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2A947" w14:textId="5E5E2264" w:rsidR="00561D0F" w:rsidRPr="00561D0F" w:rsidRDefault="0028271C" w:rsidP="00561D0F">
      <w:pPr>
        <w:spacing w:after="0" w:line="240" w:lineRule="auto"/>
        <w:jc w:val="both"/>
        <w:rPr>
          <w:rFonts w:ascii="Arial" w:eastAsia="Calibri" w:hAnsi="Arial" w:cs="Arial"/>
          <w:sz w:val="24"/>
          <w:szCs w:val="24"/>
          <w:lang w:val="es-ES_tradnl" w:eastAsia="es-CO"/>
        </w:rPr>
      </w:pPr>
      <w:bookmarkStart w:id="0" w:name="_GoBack"/>
      <w:bookmarkEnd w:id="0"/>
      <w:r>
        <w:rPr>
          <w:rFonts w:ascii="Arial" w:eastAsia="Calibri" w:hAnsi="Arial" w:cs="Arial"/>
          <w:sz w:val="24"/>
          <w:szCs w:val="24"/>
          <w:lang w:val="es-ES_tradnl" w:eastAsia="es-CO"/>
        </w:rPr>
        <w:t>Bogotá, 2</w:t>
      </w:r>
      <w:r w:rsidR="00BB131C">
        <w:rPr>
          <w:rFonts w:ascii="Arial" w:eastAsia="Calibri" w:hAnsi="Arial" w:cs="Arial"/>
          <w:sz w:val="24"/>
          <w:szCs w:val="24"/>
          <w:lang w:val="es-ES_tradnl" w:eastAsia="es-CO"/>
        </w:rPr>
        <w:t xml:space="preserve"> Agosto</w:t>
      </w:r>
      <w:r w:rsidR="00561D0F" w:rsidRPr="00561D0F">
        <w:rPr>
          <w:rFonts w:ascii="Arial" w:eastAsia="Calibri" w:hAnsi="Arial" w:cs="Arial"/>
          <w:sz w:val="24"/>
          <w:szCs w:val="24"/>
          <w:lang w:val="es-ES_tradnl" w:eastAsia="es-CO"/>
        </w:rPr>
        <w:t xml:space="preserve"> de 2022</w:t>
      </w:r>
    </w:p>
    <w:p w14:paraId="7264DA50"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221820E1"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12B22E49"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r w:rsidRPr="00561D0F">
        <w:rPr>
          <w:rFonts w:ascii="Arial" w:eastAsia="Calibri" w:hAnsi="Arial" w:cs="Arial"/>
          <w:sz w:val="24"/>
          <w:szCs w:val="24"/>
          <w:lang w:val="es-ES_tradnl" w:eastAsia="es-CO"/>
        </w:rPr>
        <w:t>Doctor</w:t>
      </w:r>
    </w:p>
    <w:p w14:paraId="58A65220" w14:textId="4755F9F1" w:rsidR="00561D0F" w:rsidRPr="00561D0F" w:rsidRDefault="001C515A" w:rsidP="00561D0F">
      <w:pPr>
        <w:spacing w:after="0" w:line="240" w:lineRule="auto"/>
        <w:jc w:val="both"/>
        <w:rPr>
          <w:rFonts w:ascii="Arial" w:eastAsia="Calibri" w:hAnsi="Arial" w:cs="Arial"/>
          <w:b/>
          <w:sz w:val="24"/>
          <w:szCs w:val="24"/>
          <w:lang w:val="es-ES_tradnl" w:eastAsia="es-CO"/>
        </w:rPr>
      </w:pPr>
      <w:r>
        <w:rPr>
          <w:rFonts w:ascii="Arial" w:eastAsia="Calibri" w:hAnsi="Arial" w:cs="Arial"/>
          <w:b/>
          <w:sz w:val="24"/>
          <w:szCs w:val="24"/>
          <w:lang w:val="es-ES_tradnl" w:eastAsia="es-CO"/>
        </w:rPr>
        <w:t>JAIME LUIS LACOUTURE</w:t>
      </w:r>
    </w:p>
    <w:p w14:paraId="7FA98AE2"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r w:rsidRPr="00561D0F">
        <w:rPr>
          <w:rFonts w:ascii="Arial" w:eastAsia="Calibri" w:hAnsi="Arial" w:cs="Arial"/>
          <w:sz w:val="24"/>
          <w:szCs w:val="24"/>
          <w:lang w:val="es-ES_tradnl" w:eastAsia="es-CO"/>
        </w:rPr>
        <w:t>Secretario General</w:t>
      </w:r>
    </w:p>
    <w:p w14:paraId="26420A92"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r w:rsidRPr="00561D0F">
        <w:rPr>
          <w:rFonts w:ascii="Arial" w:eastAsia="Calibri" w:hAnsi="Arial" w:cs="Arial"/>
          <w:sz w:val="24"/>
          <w:szCs w:val="24"/>
          <w:lang w:val="es-ES_tradnl" w:eastAsia="es-CO"/>
        </w:rPr>
        <w:t>Cámara de Representantes</w:t>
      </w:r>
    </w:p>
    <w:p w14:paraId="4E9C504A"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r w:rsidRPr="00561D0F">
        <w:rPr>
          <w:rFonts w:ascii="Arial" w:eastAsia="Calibri" w:hAnsi="Arial" w:cs="Arial"/>
          <w:sz w:val="24"/>
          <w:szCs w:val="24"/>
          <w:lang w:val="es-ES_tradnl" w:eastAsia="es-CO"/>
        </w:rPr>
        <w:t xml:space="preserve">Ciudad </w:t>
      </w:r>
    </w:p>
    <w:p w14:paraId="5DC10B23"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51D518E7"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772931ED" w14:textId="2A598B44" w:rsidR="00561D0F" w:rsidRPr="00561D0F" w:rsidRDefault="00561D0F" w:rsidP="00561D0F">
      <w:pPr>
        <w:spacing w:after="0" w:line="240" w:lineRule="auto"/>
        <w:ind w:left="1410" w:hanging="1410"/>
        <w:jc w:val="both"/>
        <w:rPr>
          <w:rFonts w:ascii="Arial" w:eastAsia="Calibri" w:hAnsi="Arial" w:cs="Arial"/>
          <w:b/>
          <w:i/>
          <w:sz w:val="24"/>
          <w:szCs w:val="24"/>
          <w:lang w:val="es-ES_tradnl" w:eastAsia="es-CO"/>
        </w:rPr>
      </w:pPr>
      <w:r w:rsidRPr="00561D0F">
        <w:rPr>
          <w:rFonts w:ascii="Arial" w:eastAsia="Calibri" w:hAnsi="Arial" w:cs="Arial"/>
          <w:b/>
          <w:sz w:val="24"/>
          <w:szCs w:val="24"/>
          <w:lang w:val="es-ES_tradnl" w:eastAsia="es-CO"/>
        </w:rPr>
        <w:t xml:space="preserve">Asunto: </w:t>
      </w:r>
      <w:r w:rsidRPr="00561D0F">
        <w:rPr>
          <w:rFonts w:ascii="Arial" w:eastAsia="Calibri" w:hAnsi="Arial" w:cs="Arial"/>
          <w:b/>
          <w:sz w:val="24"/>
          <w:szCs w:val="24"/>
          <w:lang w:val="es-ES_tradnl" w:eastAsia="es-CO"/>
        </w:rPr>
        <w:tab/>
      </w:r>
      <w:r w:rsidR="00EC069E">
        <w:rPr>
          <w:rFonts w:ascii="Arial" w:eastAsia="Calibri" w:hAnsi="Arial" w:cs="Arial"/>
          <w:b/>
          <w:sz w:val="24"/>
          <w:szCs w:val="24"/>
          <w:lang w:val="es-ES_tradnl" w:eastAsia="es-CO"/>
        </w:rPr>
        <w:t xml:space="preserve">Radicación de proyecto de ley </w:t>
      </w:r>
      <w:r w:rsidRPr="00561D0F">
        <w:rPr>
          <w:rFonts w:ascii="Arial" w:eastAsia="Calibri" w:hAnsi="Arial" w:cs="Arial"/>
          <w:b/>
          <w:sz w:val="24"/>
          <w:szCs w:val="24"/>
          <w:lang w:val="es-ES_tradnl" w:eastAsia="es-CO"/>
        </w:rPr>
        <w:t>No. __ de 2022 Cámara, “</w:t>
      </w:r>
      <w:r w:rsidRPr="00561D0F">
        <w:rPr>
          <w:rFonts w:ascii="Arial" w:eastAsia="Calibri" w:hAnsi="Arial" w:cs="Arial"/>
          <w:b/>
          <w:bCs/>
          <w:iCs/>
          <w:sz w:val="24"/>
          <w:szCs w:val="24"/>
        </w:rPr>
        <w:t>POR EL CUAL SE CREA LA ESPECIALIDAD AMBIENTAL EN LA JURISDICCIÓN DE LO CONTENCIOSO ADMINISTRATIVO, SE CREAN LAS SALAS ESPECIALIZADAS EN TEMAS AMBIENTALES DENTRO DE LOS TRIBUNALES ADMINISTRATIVOS Y SE MODIFICA LA LEY 270 DE 1996</w:t>
      </w:r>
      <w:r w:rsidRPr="00561D0F">
        <w:rPr>
          <w:rFonts w:ascii="Arial" w:eastAsia="Calibri" w:hAnsi="Arial" w:cs="Arial"/>
          <w:b/>
          <w:sz w:val="24"/>
          <w:szCs w:val="24"/>
          <w:lang w:val="es-ES_tradnl"/>
        </w:rPr>
        <w:t>”</w:t>
      </w:r>
    </w:p>
    <w:p w14:paraId="026D5367"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37254519"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2BD8B025" w14:textId="19455A99" w:rsidR="00561D0F" w:rsidRPr="00561D0F" w:rsidRDefault="00561D0F" w:rsidP="00561D0F">
      <w:pPr>
        <w:spacing w:after="0" w:line="240" w:lineRule="auto"/>
        <w:jc w:val="both"/>
        <w:rPr>
          <w:rFonts w:ascii="Arial" w:eastAsia="Calibri" w:hAnsi="Arial" w:cs="Arial"/>
          <w:sz w:val="24"/>
          <w:szCs w:val="24"/>
          <w:lang w:val="es-ES_tradnl" w:eastAsia="es-CO"/>
        </w:rPr>
      </w:pPr>
      <w:r w:rsidRPr="00561D0F">
        <w:rPr>
          <w:rFonts w:ascii="Arial" w:eastAsia="Calibri" w:hAnsi="Arial" w:cs="Arial"/>
          <w:sz w:val="24"/>
          <w:szCs w:val="24"/>
          <w:lang w:val="es-ES_tradnl" w:eastAsia="es-CO"/>
        </w:rPr>
        <w:t xml:space="preserve">Respetado Doctor </w:t>
      </w:r>
      <w:r w:rsidR="006B165A">
        <w:rPr>
          <w:rFonts w:ascii="Arial" w:eastAsia="Calibri" w:hAnsi="Arial" w:cs="Arial"/>
          <w:sz w:val="24"/>
          <w:szCs w:val="24"/>
          <w:lang w:val="es-ES_tradnl" w:eastAsia="es-CO"/>
        </w:rPr>
        <w:t>Lacouture</w:t>
      </w:r>
      <w:r w:rsidRPr="00561D0F">
        <w:rPr>
          <w:rFonts w:ascii="Arial" w:eastAsia="Calibri" w:hAnsi="Arial" w:cs="Arial"/>
          <w:sz w:val="24"/>
          <w:szCs w:val="24"/>
          <w:lang w:val="es-ES_tradnl" w:eastAsia="es-CO"/>
        </w:rPr>
        <w:t>:</w:t>
      </w:r>
    </w:p>
    <w:p w14:paraId="32EA40AD"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5FC00064"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63DBEA79" w14:textId="77777777" w:rsidR="00561D0F" w:rsidRPr="00561D0F" w:rsidRDefault="00561D0F" w:rsidP="00561D0F">
      <w:pPr>
        <w:spacing w:after="0" w:line="240" w:lineRule="auto"/>
        <w:jc w:val="both"/>
        <w:rPr>
          <w:rFonts w:ascii="Arial" w:eastAsia="Calibri" w:hAnsi="Arial" w:cs="Arial"/>
          <w:i/>
          <w:sz w:val="24"/>
          <w:szCs w:val="24"/>
          <w:lang w:val="es-ES_tradnl" w:eastAsia="es-CO"/>
        </w:rPr>
      </w:pPr>
      <w:r w:rsidRPr="00561D0F">
        <w:rPr>
          <w:rFonts w:ascii="Arial" w:eastAsia="Calibri" w:hAnsi="Arial" w:cs="Arial"/>
          <w:sz w:val="24"/>
          <w:szCs w:val="24"/>
          <w:lang w:val="es-ES_tradnl" w:eastAsia="es-CO"/>
        </w:rPr>
        <w:t>En cumplimiento de mi deber constitucional y legal, y particular actuando en consecuencia con lo establecido en la Ley 5 de 1992 (reglamento del Congreso de la República), en mi calidad de Congresista de la República, radicó ante su despacho el proyecto de ley No. __ de 2022 Cámara, “P</w:t>
      </w:r>
      <w:r w:rsidRPr="00561D0F">
        <w:rPr>
          <w:rFonts w:ascii="Arial" w:eastAsia="Calibri" w:hAnsi="Arial" w:cs="Arial"/>
          <w:i/>
          <w:sz w:val="24"/>
          <w:szCs w:val="24"/>
          <w:lang w:val="es-ES_tradnl" w:eastAsia="es-CO"/>
        </w:rPr>
        <w:t>or el cual se crea la especialidad ambiental en la jurisdicción de lo contencioso administrativo, se crean las salas especializadas en temas ambientales dentro de los tribunales administrativos y se modifica la ley 270 de 1996”.</w:t>
      </w:r>
    </w:p>
    <w:p w14:paraId="06BEFE40" w14:textId="77777777" w:rsidR="00561D0F" w:rsidRPr="00561D0F" w:rsidRDefault="00561D0F" w:rsidP="00561D0F">
      <w:pPr>
        <w:spacing w:after="0" w:line="240" w:lineRule="auto"/>
        <w:jc w:val="both"/>
        <w:rPr>
          <w:rFonts w:ascii="Arial" w:eastAsia="Calibri" w:hAnsi="Arial" w:cs="Arial"/>
          <w:i/>
          <w:sz w:val="24"/>
          <w:szCs w:val="24"/>
          <w:lang w:val="es-ES_tradnl" w:eastAsia="es-CO"/>
        </w:rPr>
      </w:pPr>
    </w:p>
    <w:p w14:paraId="682C8C01" w14:textId="77777777" w:rsidR="00561D0F" w:rsidRPr="00561D0F" w:rsidRDefault="00561D0F" w:rsidP="00561D0F">
      <w:pPr>
        <w:spacing w:after="0" w:line="240" w:lineRule="auto"/>
        <w:jc w:val="both"/>
        <w:rPr>
          <w:rFonts w:ascii="Arial" w:eastAsia="Calibri" w:hAnsi="Arial" w:cs="Arial"/>
          <w:i/>
          <w:sz w:val="24"/>
          <w:szCs w:val="24"/>
          <w:lang w:val="es-ES_tradnl" w:eastAsia="es-CO"/>
        </w:rPr>
      </w:pPr>
    </w:p>
    <w:p w14:paraId="1003E965"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p>
    <w:p w14:paraId="011D71CE" w14:textId="77777777" w:rsidR="00561D0F" w:rsidRPr="00561D0F" w:rsidRDefault="00561D0F" w:rsidP="00561D0F">
      <w:pPr>
        <w:spacing w:after="0" w:line="240" w:lineRule="auto"/>
        <w:jc w:val="both"/>
        <w:rPr>
          <w:rFonts w:ascii="Arial" w:eastAsia="Calibri" w:hAnsi="Arial" w:cs="Arial"/>
          <w:sz w:val="24"/>
          <w:szCs w:val="24"/>
          <w:lang w:val="es-ES_tradnl" w:eastAsia="es-CO"/>
        </w:rPr>
      </w:pPr>
      <w:r w:rsidRPr="00561D0F">
        <w:rPr>
          <w:rFonts w:ascii="Arial" w:eastAsia="Calibri" w:hAnsi="Arial" w:cs="Arial"/>
          <w:sz w:val="24"/>
          <w:szCs w:val="24"/>
          <w:lang w:val="es-ES_tradnl" w:eastAsia="es-CO"/>
        </w:rPr>
        <w:t>Cordialmente,</w:t>
      </w:r>
    </w:p>
    <w:p w14:paraId="61A3A275" w14:textId="77777777" w:rsidR="00561D0F" w:rsidRPr="00561D0F" w:rsidRDefault="00561D0F" w:rsidP="00561D0F">
      <w:pPr>
        <w:spacing w:after="160" w:line="256" w:lineRule="auto"/>
        <w:rPr>
          <w:rFonts w:ascii="Arial" w:eastAsia="Calibri" w:hAnsi="Arial" w:cs="Arial"/>
          <w:b/>
          <w:bCs/>
          <w:sz w:val="24"/>
          <w:szCs w:val="24"/>
        </w:rPr>
      </w:pPr>
    </w:p>
    <w:p w14:paraId="5D9C4C4D" w14:textId="77777777" w:rsidR="00561D0F" w:rsidRPr="00561D0F" w:rsidRDefault="00561D0F" w:rsidP="00561D0F">
      <w:pPr>
        <w:spacing w:after="160" w:line="256" w:lineRule="auto"/>
        <w:rPr>
          <w:rFonts w:ascii="Arial" w:eastAsia="Calibri" w:hAnsi="Arial" w:cs="Arial"/>
          <w:bCs/>
          <w:sz w:val="24"/>
          <w:szCs w:val="24"/>
        </w:rPr>
      </w:pPr>
    </w:p>
    <w:p w14:paraId="50281D8F" w14:textId="514102BB" w:rsidR="00561D0F" w:rsidRPr="00561D0F" w:rsidRDefault="00561D0F" w:rsidP="00561D0F">
      <w:pPr>
        <w:spacing w:after="160" w:line="256" w:lineRule="auto"/>
        <w:rPr>
          <w:rFonts w:ascii="Arial" w:eastAsia="Calibri" w:hAnsi="Arial" w:cs="Arial"/>
          <w:sz w:val="24"/>
          <w:szCs w:val="24"/>
        </w:rPr>
      </w:pPr>
      <w:r w:rsidRPr="00561D0F">
        <w:rPr>
          <w:rFonts w:ascii="Arial" w:eastAsia="Calibri" w:hAnsi="Arial" w:cs="Arial"/>
          <w:bCs/>
          <w:sz w:val="24"/>
          <w:szCs w:val="24"/>
        </w:rPr>
        <w:t>________________________</w:t>
      </w:r>
      <w:r w:rsidRPr="00561D0F">
        <w:rPr>
          <w:rFonts w:ascii="Arial" w:eastAsia="Calibri" w:hAnsi="Arial" w:cs="Arial"/>
          <w:b/>
          <w:bCs/>
          <w:sz w:val="24"/>
          <w:szCs w:val="24"/>
        </w:rPr>
        <w:t xml:space="preserve">    </w:t>
      </w:r>
      <w:r w:rsidRPr="00561D0F">
        <w:rPr>
          <w:rFonts w:ascii="Arial" w:eastAsia="Calibri" w:hAnsi="Arial" w:cs="Arial"/>
          <w:b/>
          <w:bCs/>
          <w:sz w:val="24"/>
          <w:szCs w:val="24"/>
        </w:rPr>
        <w:tab/>
      </w:r>
      <w:r w:rsidRPr="00561D0F">
        <w:rPr>
          <w:rFonts w:ascii="Arial" w:eastAsia="Calibri" w:hAnsi="Arial" w:cs="Arial"/>
          <w:b/>
          <w:bCs/>
          <w:sz w:val="24"/>
          <w:szCs w:val="24"/>
        </w:rPr>
        <w:tab/>
      </w:r>
      <w:r w:rsidRPr="00561D0F">
        <w:rPr>
          <w:rFonts w:ascii="Arial" w:eastAsia="Calibri" w:hAnsi="Arial" w:cs="Arial"/>
          <w:b/>
          <w:bCs/>
          <w:sz w:val="24"/>
          <w:szCs w:val="24"/>
        </w:rPr>
        <w:tab/>
      </w:r>
    </w:p>
    <w:p w14:paraId="2E02CCE5" w14:textId="3D86F268" w:rsidR="00561D0F" w:rsidRDefault="00EC069E" w:rsidP="00F02C19">
      <w:pPr>
        <w:spacing w:after="0" w:line="240" w:lineRule="auto"/>
        <w:rPr>
          <w:rFonts w:ascii="Arial" w:eastAsia="Calibri" w:hAnsi="Arial" w:cs="Arial"/>
          <w:b/>
          <w:sz w:val="24"/>
          <w:szCs w:val="24"/>
        </w:rPr>
      </w:pPr>
      <w:r w:rsidRPr="00EC069E">
        <w:rPr>
          <w:rFonts w:ascii="Arial" w:eastAsia="Calibri" w:hAnsi="Arial" w:cs="Arial"/>
          <w:b/>
          <w:sz w:val="24"/>
          <w:szCs w:val="24"/>
        </w:rPr>
        <w:t>JUAN LORETO GOMEZ</w:t>
      </w:r>
      <w:r w:rsidR="003F3C02">
        <w:rPr>
          <w:rFonts w:ascii="Arial" w:eastAsia="Calibri" w:hAnsi="Arial" w:cs="Arial"/>
          <w:b/>
          <w:sz w:val="24"/>
          <w:szCs w:val="24"/>
        </w:rPr>
        <w:t xml:space="preserve"> SOTO</w:t>
      </w:r>
    </w:p>
    <w:p w14:paraId="1D181421" w14:textId="02636E98" w:rsidR="00F02C19" w:rsidRPr="00561D0F" w:rsidRDefault="00F02C19" w:rsidP="00F02C19">
      <w:pPr>
        <w:spacing w:after="0" w:line="240" w:lineRule="auto"/>
        <w:rPr>
          <w:rFonts w:ascii="Arial" w:eastAsia="Calibri" w:hAnsi="Arial" w:cs="Arial"/>
          <w:b/>
          <w:sz w:val="24"/>
          <w:szCs w:val="24"/>
        </w:rPr>
      </w:pPr>
      <w:r>
        <w:rPr>
          <w:rFonts w:ascii="Arial" w:eastAsia="Calibri" w:hAnsi="Arial" w:cs="Arial"/>
          <w:b/>
          <w:sz w:val="24"/>
          <w:szCs w:val="24"/>
        </w:rPr>
        <w:t>Partido Conservador</w:t>
      </w:r>
    </w:p>
    <w:p w14:paraId="08EEEF62" w14:textId="77777777" w:rsidR="0024294A" w:rsidRDefault="00561D0F" w:rsidP="00561D0F">
      <w:pPr>
        <w:spacing w:after="160" w:line="256" w:lineRule="auto"/>
        <w:rPr>
          <w:rFonts w:ascii="Arial" w:eastAsia="Calibri" w:hAnsi="Arial" w:cs="Arial"/>
          <w:b/>
          <w:bCs/>
          <w:sz w:val="24"/>
          <w:szCs w:val="24"/>
        </w:rPr>
      </w:pPr>
      <w:r w:rsidRPr="00561D0F">
        <w:rPr>
          <w:rFonts w:ascii="Arial" w:eastAsia="Calibri" w:hAnsi="Arial" w:cs="Arial"/>
          <w:b/>
          <w:bCs/>
          <w:sz w:val="24"/>
          <w:szCs w:val="24"/>
        </w:rPr>
        <w:t xml:space="preserve">                                  </w:t>
      </w:r>
    </w:p>
    <w:p w14:paraId="5C981B29" w14:textId="6D19917A"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
          <w:bCs/>
          <w:sz w:val="24"/>
          <w:szCs w:val="24"/>
        </w:rPr>
        <w:t xml:space="preserve">   </w:t>
      </w:r>
    </w:p>
    <w:p w14:paraId="5256D500" w14:textId="457546B5" w:rsidR="00561D0F" w:rsidRPr="00561D0F" w:rsidRDefault="00EC069E" w:rsidP="00EC069E">
      <w:pPr>
        <w:spacing w:after="160" w:line="256" w:lineRule="auto"/>
        <w:jc w:val="both"/>
        <w:rPr>
          <w:rFonts w:ascii="Arial" w:eastAsia="Calibri" w:hAnsi="Arial" w:cs="Arial"/>
          <w:b/>
          <w:bCs/>
          <w:sz w:val="24"/>
          <w:szCs w:val="24"/>
        </w:rPr>
      </w:pPr>
      <w:r>
        <w:rPr>
          <w:rFonts w:ascii="Arial" w:eastAsia="Calibri" w:hAnsi="Arial" w:cs="Arial"/>
          <w:b/>
          <w:sz w:val="24"/>
          <w:szCs w:val="24"/>
          <w:lang w:val="es-ES_tradnl" w:eastAsia="es-CO"/>
        </w:rPr>
        <w:lastRenderedPageBreak/>
        <w:t xml:space="preserve">Radicación de proyecto de ley </w:t>
      </w:r>
      <w:r w:rsidRPr="00561D0F">
        <w:rPr>
          <w:rFonts w:ascii="Arial" w:eastAsia="Calibri" w:hAnsi="Arial" w:cs="Arial"/>
          <w:b/>
          <w:sz w:val="24"/>
          <w:szCs w:val="24"/>
          <w:lang w:val="es-ES_tradnl" w:eastAsia="es-CO"/>
        </w:rPr>
        <w:t>No. __ de 2022 Cámara, “</w:t>
      </w:r>
      <w:r w:rsidRPr="00561D0F">
        <w:rPr>
          <w:rFonts w:ascii="Arial" w:eastAsia="Calibri" w:hAnsi="Arial" w:cs="Arial"/>
          <w:b/>
          <w:bCs/>
          <w:iCs/>
          <w:sz w:val="24"/>
          <w:szCs w:val="24"/>
        </w:rPr>
        <w:t>POR EL CUAL SE CREA LA ESPECIALIDAD AMBIENTAL EN LA JURISDICCIÓN DE LO CONTENCIOSO ADMINISTRATIVO, SE CREAN LAS SALAS ESPECIALIZADAS EN TEMAS AMBIENTALES DENTRO DE LOS TRIBUNALES ADMINISTRATIVOS Y SE MODIFICA LA LEY 270 DE 1996</w:t>
      </w:r>
      <w:r w:rsidRPr="00561D0F">
        <w:rPr>
          <w:rFonts w:ascii="Arial" w:eastAsia="Calibri" w:hAnsi="Arial" w:cs="Arial"/>
          <w:b/>
          <w:sz w:val="24"/>
          <w:szCs w:val="24"/>
          <w:lang w:val="es-ES_tradnl"/>
        </w:rPr>
        <w:t>”</w:t>
      </w:r>
    </w:p>
    <w:p w14:paraId="1FAFD206" w14:textId="77777777" w:rsidR="00817D76" w:rsidRDefault="00561D0F" w:rsidP="00561D0F">
      <w:pPr>
        <w:spacing w:after="160" w:line="256" w:lineRule="auto"/>
        <w:rPr>
          <w:rFonts w:ascii="Arial" w:eastAsia="Calibri" w:hAnsi="Arial" w:cs="Arial"/>
          <w:b/>
          <w:bCs/>
          <w:sz w:val="24"/>
          <w:szCs w:val="24"/>
        </w:rPr>
      </w:pPr>
      <w:r w:rsidRPr="00561D0F">
        <w:rPr>
          <w:rFonts w:ascii="Arial" w:eastAsia="Calibri" w:hAnsi="Arial" w:cs="Arial"/>
          <w:b/>
          <w:bCs/>
          <w:sz w:val="24"/>
          <w:szCs w:val="24"/>
        </w:rPr>
        <w:t xml:space="preserve">                   </w:t>
      </w:r>
    </w:p>
    <w:p w14:paraId="547A4C51" w14:textId="77777777" w:rsidR="00817D76" w:rsidRDefault="00817D76" w:rsidP="00561D0F">
      <w:pPr>
        <w:spacing w:after="160" w:line="256" w:lineRule="auto"/>
        <w:rPr>
          <w:rFonts w:ascii="Arial" w:eastAsia="Calibri" w:hAnsi="Arial" w:cs="Arial"/>
          <w:b/>
          <w:bCs/>
          <w:sz w:val="24"/>
          <w:szCs w:val="24"/>
        </w:rPr>
      </w:pPr>
    </w:p>
    <w:p w14:paraId="68364A6C" w14:textId="3718FBA2"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
          <w:bCs/>
          <w:sz w:val="24"/>
          <w:szCs w:val="24"/>
        </w:rPr>
        <w:t xml:space="preserve">               </w:t>
      </w:r>
    </w:p>
    <w:p w14:paraId="05D200E2"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647883F0" w14:textId="77777777" w:rsidR="00561D0F" w:rsidRPr="00561D0F" w:rsidRDefault="00561D0F" w:rsidP="00561D0F">
      <w:pPr>
        <w:spacing w:after="160" w:line="256" w:lineRule="auto"/>
        <w:rPr>
          <w:rFonts w:ascii="Arial" w:eastAsia="Calibri" w:hAnsi="Arial" w:cs="Arial"/>
          <w:b/>
          <w:bCs/>
          <w:sz w:val="24"/>
          <w:szCs w:val="24"/>
        </w:rPr>
      </w:pPr>
    </w:p>
    <w:p w14:paraId="7E6A83F9" w14:textId="77777777" w:rsidR="00561D0F" w:rsidRPr="00561D0F" w:rsidRDefault="00561D0F" w:rsidP="00561D0F">
      <w:pPr>
        <w:spacing w:after="160" w:line="256" w:lineRule="auto"/>
        <w:rPr>
          <w:rFonts w:ascii="Arial" w:eastAsia="Calibri" w:hAnsi="Arial" w:cs="Arial"/>
          <w:b/>
          <w:bCs/>
          <w:sz w:val="24"/>
          <w:szCs w:val="24"/>
        </w:rPr>
      </w:pPr>
    </w:p>
    <w:p w14:paraId="5755D5FA"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12FEAEAA" w14:textId="77777777" w:rsidR="00561D0F" w:rsidRPr="00561D0F" w:rsidRDefault="00561D0F" w:rsidP="00561D0F">
      <w:pPr>
        <w:spacing w:after="160" w:line="256" w:lineRule="auto"/>
        <w:rPr>
          <w:rFonts w:ascii="Arial" w:eastAsia="Calibri" w:hAnsi="Arial" w:cs="Arial"/>
          <w:b/>
          <w:bCs/>
          <w:sz w:val="24"/>
          <w:szCs w:val="24"/>
        </w:rPr>
      </w:pPr>
    </w:p>
    <w:p w14:paraId="4F7F773D" w14:textId="77777777" w:rsidR="00561D0F" w:rsidRPr="00561D0F" w:rsidRDefault="00561D0F" w:rsidP="00561D0F">
      <w:pPr>
        <w:spacing w:after="160" w:line="256" w:lineRule="auto"/>
        <w:rPr>
          <w:rFonts w:ascii="Arial" w:eastAsia="Calibri" w:hAnsi="Arial" w:cs="Arial"/>
          <w:b/>
          <w:bCs/>
          <w:sz w:val="24"/>
          <w:szCs w:val="24"/>
        </w:rPr>
      </w:pPr>
    </w:p>
    <w:p w14:paraId="680E43F0"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065133CB" w14:textId="77777777" w:rsidR="00561D0F" w:rsidRPr="00561D0F" w:rsidRDefault="00561D0F" w:rsidP="00561D0F">
      <w:pPr>
        <w:spacing w:after="160" w:line="256" w:lineRule="auto"/>
        <w:rPr>
          <w:rFonts w:ascii="Arial" w:eastAsia="Calibri" w:hAnsi="Arial" w:cs="Arial"/>
          <w:b/>
          <w:bCs/>
          <w:sz w:val="24"/>
          <w:szCs w:val="24"/>
        </w:rPr>
      </w:pPr>
    </w:p>
    <w:p w14:paraId="743CB1E8" w14:textId="77777777" w:rsidR="00561D0F" w:rsidRPr="00561D0F" w:rsidRDefault="00561D0F" w:rsidP="00561D0F">
      <w:pPr>
        <w:spacing w:after="160" w:line="256" w:lineRule="auto"/>
        <w:rPr>
          <w:rFonts w:ascii="Arial" w:eastAsia="Calibri" w:hAnsi="Arial" w:cs="Arial"/>
          <w:b/>
          <w:bCs/>
          <w:sz w:val="24"/>
          <w:szCs w:val="24"/>
        </w:rPr>
      </w:pPr>
    </w:p>
    <w:p w14:paraId="57821634"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349AABB9" w14:textId="77777777" w:rsidR="00561D0F" w:rsidRPr="00561D0F" w:rsidRDefault="00561D0F" w:rsidP="00561D0F">
      <w:pPr>
        <w:spacing w:after="160" w:line="256" w:lineRule="auto"/>
        <w:rPr>
          <w:rFonts w:ascii="Arial" w:eastAsia="Calibri" w:hAnsi="Arial" w:cs="Arial"/>
          <w:b/>
          <w:bCs/>
          <w:sz w:val="24"/>
          <w:szCs w:val="24"/>
        </w:rPr>
      </w:pPr>
    </w:p>
    <w:p w14:paraId="2CBAA216" w14:textId="77777777" w:rsidR="00561D0F" w:rsidRPr="00561D0F" w:rsidRDefault="00561D0F" w:rsidP="00561D0F">
      <w:pPr>
        <w:spacing w:after="160" w:line="256" w:lineRule="auto"/>
        <w:rPr>
          <w:rFonts w:ascii="Arial" w:eastAsia="Calibri" w:hAnsi="Arial" w:cs="Arial"/>
          <w:b/>
          <w:bCs/>
          <w:sz w:val="24"/>
          <w:szCs w:val="24"/>
        </w:rPr>
      </w:pPr>
    </w:p>
    <w:p w14:paraId="0EE90395"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1C3B1996" w14:textId="77777777" w:rsidR="00561D0F" w:rsidRPr="00561D0F" w:rsidRDefault="00561D0F" w:rsidP="00561D0F">
      <w:pPr>
        <w:spacing w:after="160" w:line="256" w:lineRule="auto"/>
        <w:rPr>
          <w:rFonts w:ascii="Arial" w:eastAsia="Calibri" w:hAnsi="Arial" w:cs="Arial"/>
          <w:bCs/>
          <w:sz w:val="24"/>
          <w:szCs w:val="24"/>
        </w:rPr>
      </w:pPr>
    </w:p>
    <w:p w14:paraId="22515AA6" w14:textId="77777777" w:rsidR="00561D0F" w:rsidRPr="00561D0F" w:rsidRDefault="00561D0F" w:rsidP="00561D0F">
      <w:pPr>
        <w:spacing w:after="160" w:line="256" w:lineRule="auto"/>
        <w:rPr>
          <w:rFonts w:ascii="Arial" w:eastAsia="Calibri" w:hAnsi="Arial" w:cs="Arial"/>
          <w:bCs/>
          <w:sz w:val="24"/>
          <w:szCs w:val="24"/>
        </w:rPr>
      </w:pPr>
    </w:p>
    <w:p w14:paraId="260F4CE7"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3405EF0B" w14:textId="77777777" w:rsidR="00561D0F" w:rsidRPr="00561D0F" w:rsidRDefault="00561D0F" w:rsidP="00561D0F">
      <w:pPr>
        <w:spacing w:after="160" w:line="256" w:lineRule="auto"/>
        <w:rPr>
          <w:rFonts w:ascii="Arial" w:eastAsia="Calibri" w:hAnsi="Arial" w:cs="Arial"/>
          <w:bCs/>
          <w:sz w:val="24"/>
          <w:szCs w:val="24"/>
        </w:rPr>
      </w:pPr>
    </w:p>
    <w:p w14:paraId="62B04A84" w14:textId="77777777" w:rsidR="00561D0F" w:rsidRPr="00561D0F" w:rsidRDefault="00561D0F" w:rsidP="00561D0F">
      <w:pPr>
        <w:spacing w:after="160" w:line="256" w:lineRule="auto"/>
        <w:rPr>
          <w:rFonts w:ascii="Arial" w:eastAsia="Calibri" w:hAnsi="Arial" w:cs="Arial"/>
          <w:bCs/>
          <w:sz w:val="24"/>
          <w:szCs w:val="24"/>
        </w:rPr>
      </w:pPr>
    </w:p>
    <w:p w14:paraId="20279BC5"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6AF78931" w14:textId="7E612EC3" w:rsidR="00561D0F" w:rsidRPr="00561D0F" w:rsidRDefault="00561D0F" w:rsidP="00817D76">
      <w:pPr>
        <w:spacing w:after="160" w:line="256" w:lineRule="auto"/>
        <w:jc w:val="center"/>
        <w:rPr>
          <w:rFonts w:ascii="Arial" w:eastAsia="Calibri" w:hAnsi="Arial" w:cs="Arial"/>
          <w:b/>
          <w:bCs/>
          <w:sz w:val="24"/>
          <w:szCs w:val="24"/>
        </w:rPr>
      </w:pPr>
      <w:r w:rsidRPr="00561D0F">
        <w:rPr>
          <w:rFonts w:ascii="Arial" w:eastAsia="Calibri" w:hAnsi="Arial" w:cs="Arial"/>
          <w:b/>
          <w:bCs/>
          <w:sz w:val="24"/>
          <w:szCs w:val="24"/>
        </w:rPr>
        <w:lastRenderedPageBreak/>
        <w:t>PROYECTO DE LEY ESTATUTARIA No ------- DE 2022 CAMARA</w:t>
      </w:r>
    </w:p>
    <w:p w14:paraId="3557022E" w14:textId="77777777" w:rsidR="00561D0F" w:rsidRPr="00561D0F" w:rsidRDefault="00561D0F" w:rsidP="00561D0F">
      <w:pPr>
        <w:tabs>
          <w:tab w:val="left" w:pos="2565"/>
        </w:tabs>
        <w:spacing w:after="160"/>
        <w:jc w:val="center"/>
        <w:rPr>
          <w:rFonts w:ascii="Arial" w:eastAsia="Calibri" w:hAnsi="Arial" w:cs="Arial"/>
          <w:i/>
          <w:sz w:val="24"/>
          <w:szCs w:val="24"/>
        </w:rPr>
      </w:pPr>
      <w:r w:rsidRPr="00561D0F">
        <w:rPr>
          <w:rFonts w:ascii="Arial" w:eastAsia="Calibri" w:hAnsi="Arial" w:cs="Arial"/>
          <w:b/>
          <w:sz w:val="24"/>
          <w:szCs w:val="24"/>
        </w:rPr>
        <w:t xml:space="preserve"> “</w:t>
      </w:r>
      <w:r w:rsidRPr="00561D0F">
        <w:rPr>
          <w:rFonts w:ascii="Arial" w:eastAsia="Calibri" w:hAnsi="Arial" w:cs="Arial"/>
          <w:b/>
          <w:bCs/>
          <w:iCs/>
          <w:sz w:val="24"/>
          <w:szCs w:val="24"/>
        </w:rPr>
        <w:t>POR EL CUAL SE CREA LA ESPECIALIDAD AMBIENTAL EN LA JURISDICCIÓN DE LO CONTENCIOSO ADMINISTRATIVO, SE CREAN LAS SALAS ESPECIALIZADAS EN TEMAS AMBIENTALES DENTRO DE LOS TRIBUNALES ADMINISTRATIVOS Y SE MODIFICA LA LEY 270 DE 1996</w:t>
      </w:r>
      <w:r w:rsidRPr="00561D0F">
        <w:rPr>
          <w:rFonts w:ascii="Arial" w:eastAsia="Calibri" w:hAnsi="Arial" w:cs="Arial"/>
          <w:b/>
          <w:i/>
          <w:sz w:val="24"/>
          <w:szCs w:val="24"/>
        </w:rPr>
        <w:t>”</w:t>
      </w:r>
    </w:p>
    <w:p w14:paraId="65FB7AF2" w14:textId="77777777" w:rsidR="00561D0F" w:rsidRPr="00561D0F" w:rsidRDefault="00561D0F" w:rsidP="00561D0F">
      <w:pPr>
        <w:tabs>
          <w:tab w:val="left" w:pos="2565"/>
        </w:tabs>
        <w:spacing w:after="0"/>
        <w:jc w:val="center"/>
        <w:rPr>
          <w:rFonts w:ascii="Arial" w:eastAsia="Calibri" w:hAnsi="Arial" w:cs="Arial"/>
          <w:b/>
          <w:sz w:val="24"/>
          <w:szCs w:val="24"/>
        </w:rPr>
      </w:pPr>
      <w:r w:rsidRPr="00561D0F">
        <w:rPr>
          <w:rFonts w:ascii="Arial" w:eastAsia="Calibri" w:hAnsi="Arial" w:cs="Arial"/>
          <w:b/>
          <w:sz w:val="24"/>
          <w:szCs w:val="24"/>
        </w:rPr>
        <w:t>EL CONGRESO DE COLOMBIA</w:t>
      </w:r>
    </w:p>
    <w:p w14:paraId="7BA886C1" w14:textId="77777777" w:rsidR="00561D0F" w:rsidRPr="00561D0F" w:rsidRDefault="00561D0F" w:rsidP="00561D0F">
      <w:pPr>
        <w:spacing w:after="160" w:line="256" w:lineRule="auto"/>
        <w:jc w:val="center"/>
        <w:rPr>
          <w:rFonts w:ascii="Arial" w:eastAsia="Calibri" w:hAnsi="Arial" w:cs="Arial"/>
          <w:b/>
          <w:sz w:val="24"/>
          <w:szCs w:val="24"/>
        </w:rPr>
      </w:pPr>
    </w:p>
    <w:p w14:paraId="0B468916" w14:textId="77777777" w:rsidR="00561D0F" w:rsidRPr="00561D0F" w:rsidRDefault="00561D0F" w:rsidP="00561D0F">
      <w:pPr>
        <w:spacing w:after="160" w:line="256" w:lineRule="auto"/>
        <w:jc w:val="center"/>
        <w:rPr>
          <w:rFonts w:ascii="Arial" w:eastAsia="Calibri" w:hAnsi="Arial" w:cs="Arial"/>
          <w:b/>
          <w:sz w:val="24"/>
          <w:szCs w:val="24"/>
        </w:rPr>
      </w:pPr>
      <w:r w:rsidRPr="00561D0F">
        <w:rPr>
          <w:rFonts w:ascii="Arial" w:eastAsia="Calibri" w:hAnsi="Arial" w:cs="Arial"/>
          <w:b/>
          <w:sz w:val="24"/>
          <w:szCs w:val="24"/>
        </w:rPr>
        <w:t>I.- EXPOSICIÓN DE MOTIVOS</w:t>
      </w:r>
    </w:p>
    <w:p w14:paraId="2C05C4EB" w14:textId="77777777" w:rsidR="00561D0F" w:rsidRPr="00561D0F" w:rsidRDefault="00561D0F" w:rsidP="00561D0F">
      <w:pPr>
        <w:spacing w:after="160" w:line="256" w:lineRule="auto"/>
        <w:jc w:val="center"/>
        <w:rPr>
          <w:rFonts w:ascii="Arial" w:eastAsia="Calibri" w:hAnsi="Arial" w:cs="Arial"/>
          <w:b/>
          <w:sz w:val="24"/>
          <w:szCs w:val="24"/>
        </w:rPr>
      </w:pPr>
    </w:p>
    <w:p w14:paraId="7460407D" w14:textId="3325D71A" w:rsidR="00561D0F" w:rsidRDefault="00561D0F" w:rsidP="00561D0F">
      <w:pPr>
        <w:numPr>
          <w:ilvl w:val="0"/>
          <w:numId w:val="44"/>
        </w:numPr>
        <w:spacing w:after="160" w:line="259" w:lineRule="auto"/>
        <w:contextualSpacing/>
        <w:jc w:val="both"/>
        <w:rPr>
          <w:rFonts w:ascii="Arial" w:eastAsia="Calibri" w:hAnsi="Arial" w:cs="Arial"/>
          <w:b/>
          <w:sz w:val="24"/>
          <w:szCs w:val="24"/>
        </w:rPr>
      </w:pPr>
      <w:r w:rsidRPr="00561D0F">
        <w:rPr>
          <w:rFonts w:ascii="Arial" w:eastAsia="Calibri" w:hAnsi="Arial" w:cs="Arial"/>
          <w:b/>
          <w:sz w:val="24"/>
          <w:szCs w:val="24"/>
        </w:rPr>
        <w:t>ASPECTOS IMPORTANTES DEL PROYECTO DE LEY</w:t>
      </w:r>
    </w:p>
    <w:p w14:paraId="4DB9E214" w14:textId="77777777" w:rsidR="00AE6F00" w:rsidRPr="00561D0F" w:rsidRDefault="00AE6F00" w:rsidP="00AE6F00">
      <w:pPr>
        <w:spacing w:after="160" w:line="259" w:lineRule="auto"/>
        <w:ind w:left="720"/>
        <w:contextualSpacing/>
        <w:jc w:val="both"/>
        <w:rPr>
          <w:rFonts w:ascii="Arial" w:eastAsia="Calibri" w:hAnsi="Arial" w:cs="Arial"/>
          <w:b/>
          <w:sz w:val="24"/>
          <w:szCs w:val="24"/>
        </w:rPr>
      </w:pPr>
    </w:p>
    <w:p w14:paraId="2B96E270" w14:textId="77777777" w:rsidR="00561D0F" w:rsidRPr="00561D0F" w:rsidRDefault="00561D0F" w:rsidP="00561D0F">
      <w:pPr>
        <w:spacing w:after="160" w:line="256" w:lineRule="auto"/>
        <w:jc w:val="both"/>
        <w:rPr>
          <w:rFonts w:ascii="Arial" w:eastAsia="Calibri" w:hAnsi="Arial" w:cs="Arial"/>
          <w:bCs/>
          <w:sz w:val="24"/>
          <w:szCs w:val="24"/>
        </w:rPr>
      </w:pPr>
      <w:r w:rsidRPr="00561D0F">
        <w:rPr>
          <w:rFonts w:ascii="Arial" w:eastAsia="Calibri" w:hAnsi="Arial" w:cs="Arial"/>
          <w:bCs/>
          <w:sz w:val="24"/>
          <w:szCs w:val="24"/>
        </w:rPr>
        <w:t>El Proyecto de Ley Estatutaria tiene por objeto establecer la especialidad ambiental en la jurisdicción de lo Contencioso Administrativo, así como su estructura, regulando aspectos procesales esenciales sobre las actuaciones judiciales que versen sobre las controversias y litigios de contenido ambiental, que conozcan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5679B33C" w14:textId="77777777" w:rsidR="00561D0F" w:rsidRPr="00561D0F" w:rsidRDefault="00561D0F" w:rsidP="00561D0F">
      <w:pPr>
        <w:spacing w:after="160" w:line="256" w:lineRule="auto"/>
        <w:jc w:val="both"/>
        <w:rPr>
          <w:rFonts w:ascii="Arial" w:eastAsia="Calibri" w:hAnsi="Arial" w:cs="Arial"/>
          <w:bCs/>
          <w:sz w:val="24"/>
          <w:szCs w:val="24"/>
        </w:rPr>
      </w:pPr>
      <w:r w:rsidRPr="00561D0F">
        <w:rPr>
          <w:rFonts w:ascii="Arial" w:eastAsia="Calibri" w:hAnsi="Arial" w:cs="Arial"/>
          <w:bCs/>
          <w:sz w:val="24"/>
          <w:szCs w:val="24"/>
        </w:rPr>
        <w:t>El presente proyecto de ley pretende modificar la Ley Estatutaria de la Administración de Justicia (en adelante, LEAJ), así como, los Códigos de Procedimiento Administrativo y de lo Contencioso Administrativo – CPACA y Código General del Proceso - CGP, con el objeto principal de crear la especialidad ambiental en la Jurisdicción de lo Contencioso Administrativo, fijar reglas y criterios generales, que permitan su organización y efectivo funcionamiento, así como medidas procesales aplicables a los procesos que sobre el particular se adelanten en cada una de esas jurisdicciones.</w:t>
      </w:r>
    </w:p>
    <w:p w14:paraId="15DDE8C1" w14:textId="77777777" w:rsidR="00561D0F" w:rsidRPr="00561D0F" w:rsidRDefault="00561D0F" w:rsidP="00561D0F">
      <w:pPr>
        <w:spacing w:after="160" w:line="256" w:lineRule="auto"/>
        <w:ind w:left="360"/>
        <w:jc w:val="both"/>
        <w:rPr>
          <w:rFonts w:ascii="Arial" w:eastAsia="Calibri" w:hAnsi="Arial" w:cs="Arial"/>
          <w:bCs/>
          <w:sz w:val="24"/>
          <w:szCs w:val="24"/>
        </w:rPr>
      </w:pPr>
    </w:p>
    <w:p w14:paraId="7D36F36D" w14:textId="6F22E6BD" w:rsidR="00561D0F" w:rsidRDefault="00561D0F" w:rsidP="00561D0F">
      <w:pPr>
        <w:numPr>
          <w:ilvl w:val="0"/>
          <w:numId w:val="44"/>
        </w:numPr>
        <w:spacing w:after="160" w:line="259" w:lineRule="auto"/>
        <w:contextualSpacing/>
        <w:jc w:val="both"/>
        <w:rPr>
          <w:rFonts w:ascii="Arial" w:eastAsia="Calibri" w:hAnsi="Arial" w:cs="Arial"/>
          <w:b/>
          <w:sz w:val="24"/>
          <w:szCs w:val="24"/>
        </w:rPr>
      </w:pPr>
      <w:r w:rsidRPr="00561D0F">
        <w:rPr>
          <w:rFonts w:ascii="Arial" w:eastAsia="Calibri" w:hAnsi="Arial" w:cs="Arial"/>
          <w:b/>
          <w:sz w:val="24"/>
          <w:szCs w:val="24"/>
        </w:rPr>
        <w:t>ANTECEDENTES DEL PROYECTO DE LEY</w:t>
      </w:r>
    </w:p>
    <w:p w14:paraId="28FAD9D2" w14:textId="77777777" w:rsidR="00AE6F00" w:rsidRPr="00561D0F" w:rsidRDefault="00AE6F00" w:rsidP="00AE6F00">
      <w:pPr>
        <w:spacing w:after="160" w:line="259" w:lineRule="auto"/>
        <w:ind w:left="720"/>
        <w:contextualSpacing/>
        <w:jc w:val="both"/>
        <w:rPr>
          <w:rFonts w:ascii="Arial" w:eastAsia="Calibri" w:hAnsi="Arial" w:cs="Arial"/>
          <w:b/>
          <w:sz w:val="24"/>
          <w:szCs w:val="24"/>
        </w:rPr>
      </w:pPr>
    </w:p>
    <w:p w14:paraId="40258918" w14:textId="77777777" w:rsidR="00561D0F" w:rsidRPr="00561D0F" w:rsidRDefault="00561D0F" w:rsidP="00561D0F">
      <w:pPr>
        <w:spacing w:after="160" w:line="256" w:lineRule="auto"/>
        <w:jc w:val="both"/>
        <w:rPr>
          <w:rFonts w:ascii="Arial" w:eastAsia="Calibri" w:hAnsi="Arial" w:cs="Arial"/>
          <w:sz w:val="24"/>
          <w:szCs w:val="24"/>
        </w:rPr>
      </w:pPr>
      <w:r w:rsidRPr="00561D0F">
        <w:rPr>
          <w:rFonts w:ascii="Arial" w:eastAsia="Calibri" w:hAnsi="Arial" w:cs="Arial"/>
          <w:sz w:val="24"/>
          <w:szCs w:val="24"/>
        </w:rPr>
        <w:t>Es la primera vez que el proyecto de ley se radica bajo el título “</w:t>
      </w:r>
      <w:r w:rsidRPr="00561D0F">
        <w:rPr>
          <w:rFonts w:ascii="Arial" w:eastAsia="Calibri" w:hAnsi="Arial" w:cs="Arial"/>
          <w:i/>
          <w:iCs/>
          <w:sz w:val="24"/>
          <w:szCs w:val="24"/>
        </w:rPr>
        <w:t>Por el cual se crea la especialidad ambiental en la jurisdicción de lo contencioso administrativo, se crean las salas especializadas en temas ambientales dentro de los tribunales administrativos y se modifica la ley 270 de 1996</w:t>
      </w:r>
      <w:r w:rsidRPr="00561D0F">
        <w:rPr>
          <w:rFonts w:ascii="Arial" w:eastAsia="Calibri" w:hAnsi="Arial" w:cs="Arial"/>
          <w:sz w:val="24"/>
          <w:szCs w:val="24"/>
        </w:rPr>
        <w:t xml:space="preserve">”, pese a esto, se debe indicar que el Doctor Ciro Fernández </w:t>
      </w:r>
      <w:r w:rsidRPr="00561D0F">
        <w:rPr>
          <w:rFonts w:ascii="Arial" w:eastAsia="Calibri" w:hAnsi="Arial" w:cs="Arial"/>
          <w:sz w:val="24"/>
          <w:szCs w:val="24"/>
        </w:rPr>
        <w:lastRenderedPageBreak/>
        <w:t xml:space="preserve">Núñez de Santander trabajo un proyecto de Ley que orienta la presente iniciativa bajo parámetros </w:t>
      </w:r>
      <w:r w:rsidRPr="00650A8A">
        <w:rPr>
          <w:rFonts w:ascii="Arial" w:eastAsia="Calibri" w:hAnsi="Arial" w:cs="Arial"/>
          <w:sz w:val="24"/>
          <w:szCs w:val="24"/>
        </w:rPr>
        <w:t>diferentes en dos ocasiones y bajo la denominación de:</w:t>
      </w:r>
      <w:r w:rsidRPr="00561D0F">
        <w:rPr>
          <w:rFonts w:ascii="Arial" w:eastAsia="Calibri" w:hAnsi="Arial" w:cs="Arial"/>
          <w:sz w:val="24"/>
          <w:szCs w:val="24"/>
        </w:rPr>
        <w:t xml:space="preserve"> “</w:t>
      </w:r>
      <w:r w:rsidRPr="00561D0F">
        <w:rPr>
          <w:rFonts w:ascii="Arial" w:eastAsia="Calibri" w:hAnsi="Arial" w:cs="Arial"/>
          <w:i/>
          <w:iCs/>
          <w:sz w:val="24"/>
          <w:szCs w:val="24"/>
        </w:rPr>
        <w:t>Por medio de la cual se dictan disposiciones para la conformación de los tribunales ambientales especiales en el estado colombiano y se dictan otras disposiciones</w:t>
      </w:r>
      <w:r w:rsidRPr="00561D0F">
        <w:rPr>
          <w:rFonts w:ascii="Arial" w:eastAsia="Calibri" w:hAnsi="Arial" w:cs="Arial"/>
          <w:sz w:val="24"/>
          <w:szCs w:val="24"/>
        </w:rPr>
        <w:t>”. En vistas de estos esfuerzos, y agradeciendo la importancia significativa que tiene para Colombia contar con mecanismos especiales de justicia, especialmente en materia ambiental, se ha planteado esta iniciativa legislativa.</w:t>
      </w:r>
    </w:p>
    <w:p w14:paraId="7B093827" w14:textId="77777777" w:rsidR="00561D0F" w:rsidRPr="00561D0F" w:rsidRDefault="00561D0F" w:rsidP="00561D0F">
      <w:pPr>
        <w:spacing w:after="160" w:line="256" w:lineRule="auto"/>
        <w:jc w:val="both"/>
        <w:rPr>
          <w:rFonts w:ascii="Arial" w:eastAsia="Calibri" w:hAnsi="Arial" w:cs="Arial"/>
          <w:sz w:val="24"/>
          <w:szCs w:val="24"/>
        </w:rPr>
      </w:pPr>
      <w:r w:rsidRPr="00561D0F">
        <w:rPr>
          <w:rFonts w:ascii="Arial" w:eastAsia="Calibri" w:hAnsi="Arial" w:cs="Arial"/>
          <w:sz w:val="24"/>
          <w:szCs w:val="24"/>
        </w:rPr>
        <w:t>La presente iniciativa legislativa tiene en cuenta las recomendaciones, sugerencias y observaciones formuladas por el Ministerio de Hacienda, magistrados y magistradas nacionales e internacionales, académicos de diferentes universidades y países, organizaciones de la sociedad civil y agencias del Estado en la Audiencia Pública realizada el día veintiuno (21) de septiembre de 2020, en la Mesa Técnica realizada por Global Green Growm Institute (IGGI), el día ocho (8) de octubre de 2020 y siete (7) de octubre de 2021.</w:t>
      </w:r>
    </w:p>
    <w:p w14:paraId="2BBC3997" w14:textId="77777777" w:rsidR="00561D0F" w:rsidRPr="00561D0F" w:rsidRDefault="00561D0F" w:rsidP="00561D0F">
      <w:pPr>
        <w:spacing w:after="160" w:line="256" w:lineRule="auto"/>
        <w:jc w:val="both"/>
        <w:rPr>
          <w:rFonts w:ascii="Arial" w:eastAsia="Calibri" w:hAnsi="Arial" w:cs="Arial"/>
          <w:sz w:val="24"/>
          <w:szCs w:val="24"/>
          <w:shd w:val="clear" w:color="auto" w:fill="FFFFFF"/>
        </w:rPr>
      </w:pPr>
    </w:p>
    <w:p w14:paraId="6EFA0E6C" w14:textId="0C346A62" w:rsidR="00561D0F" w:rsidRDefault="00561D0F" w:rsidP="00561D0F">
      <w:pPr>
        <w:numPr>
          <w:ilvl w:val="0"/>
          <w:numId w:val="44"/>
        </w:numPr>
        <w:spacing w:after="160" w:line="259" w:lineRule="auto"/>
        <w:contextualSpacing/>
        <w:jc w:val="both"/>
        <w:rPr>
          <w:rFonts w:ascii="Arial" w:eastAsia="Calibri" w:hAnsi="Arial" w:cs="Arial"/>
          <w:b/>
          <w:bCs/>
          <w:sz w:val="24"/>
          <w:szCs w:val="24"/>
        </w:rPr>
      </w:pPr>
      <w:r w:rsidRPr="00561D0F">
        <w:rPr>
          <w:rFonts w:ascii="Arial" w:eastAsia="Calibri" w:hAnsi="Arial" w:cs="Arial"/>
          <w:b/>
          <w:bCs/>
          <w:sz w:val="24"/>
          <w:szCs w:val="24"/>
        </w:rPr>
        <w:t>CONVENIENCIA DEL PROYECTO DE LEY</w:t>
      </w:r>
    </w:p>
    <w:p w14:paraId="51E1E779" w14:textId="77777777" w:rsidR="00AE6F00" w:rsidRPr="00561D0F" w:rsidRDefault="00AE6F00" w:rsidP="00AE6F00">
      <w:pPr>
        <w:spacing w:after="160" w:line="259" w:lineRule="auto"/>
        <w:ind w:left="720"/>
        <w:contextualSpacing/>
        <w:jc w:val="both"/>
        <w:rPr>
          <w:rFonts w:ascii="Arial" w:eastAsia="Calibri" w:hAnsi="Arial" w:cs="Arial"/>
          <w:b/>
          <w:bCs/>
          <w:sz w:val="24"/>
          <w:szCs w:val="24"/>
        </w:rPr>
      </w:pPr>
    </w:p>
    <w:p w14:paraId="0A084AC3" w14:textId="77777777" w:rsidR="00561D0F" w:rsidRPr="00561D0F" w:rsidRDefault="00561D0F" w:rsidP="00561D0F">
      <w:pPr>
        <w:spacing w:after="160" w:line="256" w:lineRule="auto"/>
        <w:jc w:val="both"/>
        <w:rPr>
          <w:rFonts w:ascii="Arial" w:eastAsia="Calibri" w:hAnsi="Arial" w:cs="Arial"/>
          <w:sz w:val="24"/>
          <w:szCs w:val="24"/>
          <w:shd w:val="clear" w:color="auto" w:fill="FFFFFF"/>
        </w:rPr>
      </w:pPr>
      <w:r w:rsidRPr="00561D0F">
        <w:rPr>
          <w:rFonts w:ascii="Arial" w:eastAsia="Calibri" w:hAnsi="Arial" w:cs="Arial"/>
          <w:sz w:val="24"/>
          <w:szCs w:val="24"/>
          <w:shd w:val="clear" w:color="auto" w:fill="FFFFFF"/>
        </w:rPr>
        <w:t>La especialidad ambiental en la jurisdicción de lo contencioso administrativo es una iniciativa que debe ser correspondida y destacada. La concepción de una “especialidad judicial” pasa por el trámite de una reforma a la ley estatutaria de la administración de justicia, así como por una adecuada planeación en el uso del gasto público. Razón por la cual, se plantean ocho (8) salas dentro los tribunales administrativos que irradien eficiencia y dinamicen la administración de justicia en temas ambientales.</w:t>
      </w:r>
    </w:p>
    <w:p w14:paraId="7B28C253" w14:textId="77777777" w:rsidR="00561D0F" w:rsidRPr="00561D0F" w:rsidRDefault="00561D0F" w:rsidP="00561D0F">
      <w:pPr>
        <w:spacing w:after="160" w:line="256" w:lineRule="auto"/>
        <w:jc w:val="both"/>
        <w:rPr>
          <w:rFonts w:ascii="Arial" w:eastAsia="Calibri" w:hAnsi="Arial" w:cs="Arial"/>
          <w:sz w:val="24"/>
          <w:szCs w:val="24"/>
        </w:rPr>
      </w:pPr>
      <w:r w:rsidRPr="00561D0F">
        <w:rPr>
          <w:rFonts w:ascii="Arial" w:eastAsia="Calibri" w:hAnsi="Arial" w:cs="Arial"/>
          <w:sz w:val="24"/>
          <w:szCs w:val="24"/>
          <w:shd w:val="clear" w:color="auto" w:fill="FFFFFF"/>
        </w:rPr>
        <w:t xml:space="preserve">Con la especialidad ambiental, se cumplirá de forma efectiva con los objetivos de Desarrollo Sostenible planteados en el año 2015 los Estados miembros de las Naciones Unidas, así como los postulados </w:t>
      </w:r>
      <w:r w:rsidRPr="00561D0F">
        <w:rPr>
          <w:rFonts w:ascii="Arial" w:eastAsia="Calibri" w:hAnsi="Arial" w:cs="Arial"/>
          <w:sz w:val="24"/>
          <w:szCs w:val="24"/>
        </w:rPr>
        <w:t>del Acuerdo Escazú firmado el día once (11) de diciembre de 2019.</w:t>
      </w:r>
      <w:r w:rsidRPr="00561D0F">
        <w:rPr>
          <w:rFonts w:ascii="Arial" w:eastAsia="Calibri" w:hAnsi="Arial" w:cs="Arial"/>
          <w:sz w:val="24"/>
          <w:szCs w:val="24"/>
          <w:shd w:val="clear" w:color="auto" w:fill="FFFFFF"/>
        </w:rPr>
        <w:t xml:space="preserve"> Pues permitirá i) </w:t>
      </w:r>
      <w:r w:rsidRPr="00561D0F">
        <w:rPr>
          <w:rFonts w:ascii="Arial" w:eastAsia="Calibri" w:hAnsi="Arial" w:cs="Arial"/>
          <w:sz w:val="24"/>
          <w:szCs w:val="24"/>
        </w:rPr>
        <w:t xml:space="preserve">utilizar contenidos concretos en materia ambiental; ii) facilitar el acceso a la administración de justicia; iii) generar decisiones en términos adecuados de respuesta; y iv) establecer el perfil de juez ambiental en el ordenamiento jurídico colombiano. </w:t>
      </w:r>
    </w:p>
    <w:p w14:paraId="65B3DFCA" w14:textId="77777777" w:rsidR="00561D0F" w:rsidRPr="00561D0F" w:rsidRDefault="00561D0F" w:rsidP="00561D0F">
      <w:pPr>
        <w:spacing w:after="160" w:line="256" w:lineRule="auto"/>
        <w:jc w:val="both"/>
        <w:rPr>
          <w:rFonts w:ascii="Arial" w:eastAsia="Calibri" w:hAnsi="Arial" w:cs="Arial"/>
          <w:sz w:val="24"/>
          <w:szCs w:val="24"/>
        </w:rPr>
      </w:pPr>
      <w:r w:rsidRPr="00561D0F">
        <w:rPr>
          <w:rFonts w:ascii="Arial" w:eastAsia="Calibri" w:hAnsi="Arial" w:cs="Arial"/>
          <w:sz w:val="24"/>
          <w:szCs w:val="24"/>
        </w:rPr>
        <w:t xml:space="preserve">En los conflictos ambientales se encuentran dos características trascendentales como son aspectos cuantitativos y aspectos cualitativos. En la primera característica se identifica un aumento en los problemas ambientales que tiene que resolver la jurisdicción contenciosa administrativa, contexto que ubica a Colombia como una de las naciones con mayores procesos ambientales en el planeta. En la segunda característica se evidencia el tipo de problema que surge en torno al ambiente, hallando principalmente juicios ambientales generados por fragmentos diversos de la economía como, por </w:t>
      </w:r>
      <w:r w:rsidRPr="00561D0F">
        <w:rPr>
          <w:rFonts w:ascii="Arial" w:eastAsia="Calibri" w:hAnsi="Arial" w:cs="Arial"/>
          <w:sz w:val="24"/>
          <w:szCs w:val="24"/>
        </w:rPr>
        <w:lastRenderedPageBreak/>
        <w:t>ejemplo: conflictos en torno al desarrollo rural, seguridad alimentaria; ordenamiento territorial y recursos naturales; cambio climático</w:t>
      </w:r>
      <w:r w:rsidRPr="00561D0F">
        <w:rPr>
          <w:rFonts w:ascii="Arial" w:eastAsia="Calibri" w:hAnsi="Arial" w:cs="Arial"/>
          <w:sz w:val="24"/>
          <w:szCs w:val="24"/>
          <w:vertAlign w:val="superscript"/>
        </w:rPr>
        <w:footnoteReference w:id="1"/>
      </w:r>
      <w:r w:rsidRPr="00561D0F">
        <w:rPr>
          <w:rFonts w:ascii="Arial" w:eastAsia="Calibri" w:hAnsi="Arial" w:cs="Arial"/>
          <w:sz w:val="24"/>
          <w:szCs w:val="24"/>
        </w:rPr>
        <w:t>.</w:t>
      </w:r>
    </w:p>
    <w:p w14:paraId="409D291E"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Crear salas dentro de los Tribunales Administrativos que le ayuden a la jurisdicción contenciosa administrativa en los litigios ambientales, instaurando de forma clara y precisa la competencia que les permita evitar conflictos de jurisdicción o competencia. Al igual que disminuir la carga procesal y documental de la jurisdicción contenciosa administrativa, la cual, permite descongestionar los despachos en los asuntos ambientales.</w:t>
      </w:r>
    </w:p>
    <w:p w14:paraId="683F2A7B" w14:textId="77777777" w:rsidR="00561D0F" w:rsidRPr="00561D0F" w:rsidRDefault="00561D0F" w:rsidP="00561D0F">
      <w:pPr>
        <w:spacing w:after="0" w:line="240" w:lineRule="auto"/>
        <w:jc w:val="both"/>
        <w:rPr>
          <w:rFonts w:ascii="Arial" w:eastAsia="Calibri" w:hAnsi="Arial" w:cs="Arial"/>
          <w:sz w:val="24"/>
          <w:szCs w:val="24"/>
        </w:rPr>
      </w:pPr>
    </w:p>
    <w:p w14:paraId="5A4D8E91" w14:textId="77777777" w:rsidR="00561D0F" w:rsidRPr="00561D0F" w:rsidRDefault="00561D0F" w:rsidP="00561D0F">
      <w:pPr>
        <w:spacing w:after="160" w:line="256" w:lineRule="auto"/>
        <w:jc w:val="both"/>
        <w:rPr>
          <w:rFonts w:ascii="Arial" w:eastAsia="Calibri" w:hAnsi="Arial" w:cs="Arial"/>
          <w:sz w:val="24"/>
          <w:szCs w:val="24"/>
        </w:rPr>
      </w:pPr>
      <w:r w:rsidRPr="00561D0F">
        <w:rPr>
          <w:rFonts w:ascii="Arial" w:eastAsia="Calibri" w:hAnsi="Arial" w:cs="Arial"/>
          <w:sz w:val="24"/>
          <w:szCs w:val="24"/>
        </w:rPr>
        <w:t>Una cuestión tan trascendental como la que indica el doctor Luis Felipe Guzmán, fue si “los requisitos para pertenecer a dichos órganos son o serían los mismos fijados por la ley 270 de 1996”, de acuerdo con esto, se planteó, estructuró y organizó un articulado en el que no podrían ser otras las condiciones que las establecidas en la ley 270 “Estatutaria de la Administración de Justicia”</w:t>
      </w:r>
      <w:r w:rsidRPr="00561D0F">
        <w:rPr>
          <w:rFonts w:ascii="Arial" w:eastAsia="Calibri" w:hAnsi="Arial" w:cs="Arial"/>
          <w:sz w:val="24"/>
          <w:szCs w:val="24"/>
          <w:vertAlign w:val="superscript"/>
        </w:rPr>
        <w:footnoteReference w:id="2"/>
      </w:r>
      <w:r w:rsidRPr="00561D0F">
        <w:rPr>
          <w:rFonts w:ascii="Arial" w:eastAsia="Calibri" w:hAnsi="Arial" w:cs="Arial"/>
          <w:sz w:val="24"/>
          <w:szCs w:val="24"/>
        </w:rPr>
        <w:t>. El presente proyecto de ley busca que los magistrados que harán parte de la especialidad ambiental reciban los mismos beneficios, obligaciones y deberes que recibiría cualquier magistrado que compone un Tribunal Judicial de orden Civil, Laboral, Penal o Administrativo, razón por la cual se introducen reformas a la Ley 270 de 1996.</w:t>
      </w:r>
    </w:p>
    <w:p w14:paraId="6C63415E" w14:textId="77777777" w:rsidR="00561D0F" w:rsidRPr="00561D0F" w:rsidRDefault="00561D0F" w:rsidP="00561D0F">
      <w:pPr>
        <w:spacing w:after="0" w:line="240" w:lineRule="auto"/>
        <w:jc w:val="both"/>
        <w:rPr>
          <w:rFonts w:ascii="Arial" w:eastAsia="Calibri" w:hAnsi="Arial" w:cs="Arial"/>
          <w:sz w:val="24"/>
          <w:szCs w:val="24"/>
        </w:rPr>
      </w:pPr>
    </w:p>
    <w:p w14:paraId="36CF942E"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presente proyecto de ley utiliza como referentes constitucionales, legales y conceptuales la Constitución Política de 1991, la Ley 99 de 1993, Ley 611 de 2000 y el decreto 1291 de 2003 “por el cual crea el Instituto Nacional de Adecuación de Tierras INAT y se ordena su liquidación”, el Decreto 1300 del 2003 “por medio del cual se creó el Instituto Colombiano de Desarrollo Rural Incoder y se determinó su estructura”, con el fin de fortificar los aspectos medulares del proyecto. En cuanto a la estructura y funcionamiento se utilizaron como guía unos apartes del Estatutaria de la Administración de Justicia - Ley 270 de 1996.</w:t>
      </w:r>
    </w:p>
    <w:p w14:paraId="54748B3E" w14:textId="77777777" w:rsidR="00561D0F" w:rsidRPr="00561D0F" w:rsidRDefault="00561D0F" w:rsidP="00561D0F">
      <w:pPr>
        <w:spacing w:after="0" w:line="240" w:lineRule="auto"/>
        <w:jc w:val="both"/>
        <w:rPr>
          <w:rFonts w:ascii="Arial" w:eastAsia="Calibri" w:hAnsi="Arial" w:cs="Arial"/>
          <w:sz w:val="24"/>
          <w:szCs w:val="24"/>
        </w:rPr>
      </w:pPr>
    </w:p>
    <w:p w14:paraId="160E9DE5"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Debemos partir de la idea de que los asuntos ambientales son estructurales para la nación colombiana, va más allá de los períodos Legislativos del Congreso de la República o del gobierno de turno, y por tal condición deben tratarse como una política de Estado, con una visión de largo plazo.</w:t>
      </w:r>
    </w:p>
    <w:p w14:paraId="49CC21E6" w14:textId="77777777" w:rsidR="00561D0F" w:rsidRPr="00561D0F" w:rsidRDefault="00561D0F" w:rsidP="00561D0F">
      <w:pPr>
        <w:spacing w:after="0" w:line="240" w:lineRule="auto"/>
        <w:jc w:val="both"/>
        <w:rPr>
          <w:rFonts w:ascii="Arial" w:eastAsia="Calibri" w:hAnsi="Arial" w:cs="Arial"/>
          <w:color w:val="C00000"/>
          <w:sz w:val="24"/>
          <w:szCs w:val="24"/>
        </w:rPr>
      </w:pPr>
    </w:p>
    <w:p w14:paraId="373D47E0"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 xml:space="preserve">Los temas ambientales están hoy en el primer lugar de importancia mundial y han perdurado por muchos años sin grandes respuestas por parte de la institucionalidad. La presente iniciativa legislativa está concebida para atender la demanda de justicia </w:t>
      </w:r>
      <w:r w:rsidRPr="00561D0F">
        <w:rPr>
          <w:rFonts w:ascii="Arial" w:eastAsia="Calibri" w:hAnsi="Arial" w:cs="Arial"/>
          <w:sz w:val="24"/>
          <w:szCs w:val="24"/>
        </w:rPr>
        <w:lastRenderedPageBreak/>
        <w:t>ambiental que se presenta en el país por medio de la integración, composición, competencia y puesta en funcionamiento de despachos judiciales especializados, y así, crear dentro de la jurisdicción de lo contencioso administrativo salas ambientales en algunos de los Tribunales Administrativos, juzgados administrativos ambientales, Sección Primera del Consejo de Estado con la competencia para conocer los temas ambientales.</w:t>
      </w:r>
    </w:p>
    <w:p w14:paraId="44FB359D" w14:textId="77777777" w:rsidR="00561D0F" w:rsidRPr="00561D0F" w:rsidRDefault="00561D0F" w:rsidP="00561D0F">
      <w:pPr>
        <w:spacing w:after="0" w:line="240" w:lineRule="auto"/>
        <w:jc w:val="both"/>
        <w:rPr>
          <w:rFonts w:ascii="Arial" w:eastAsia="Calibri" w:hAnsi="Arial" w:cs="Arial"/>
          <w:color w:val="C00000"/>
          <w:sz w:val="24"/>
          <w:szCs w:val="24"/>
        </w:rPr>
      </w:pPr>
    </w:p>
    <w:p w14:paraId="7444AEAF" w14:textId="77777777" w:rsidR="00561D0F" w:rsidRPr="00561D0F" w:rsidRDefault="00561D0F" w:rsidP="00561D0F">
      <w:pPr>
        <w:spacing w:after="0" w:line="240" w:lineRule="auto"/>
        <w:jc w:val="both"/>
        <w:rPr>
          <w:rFonts w:ascii="Arial" w:eastAsia="Calibri" w:hAnsi="Arial" w:cs="Arial"/>
          <w:color w:val="C00000"/>
          <w:sz w:val="24"/>
          <w:szCs w:val="24"/>
        </w:rPr>
      </w:pPr>
    </w:p>
    <w:p w14:paraId="09EE69F0" w14:textId="77777777" w:rsidR="00561D0F" w:rsidRPr="00561D0F" w:rsidRDefault="00561D0F" w:rsidP="00561D0F">
      <w:pPr>
        <w:numPr>
          <w:ilvl w:val="0"/>
          <w:numId w:val="44"/>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CONFLICTIVIDAD AMBIENTAL</w:t>
      </w:r>
    </w:p>
    <w:p w14:paraId="1A62C121" w14:textId="77777777" w:rsidR="00561D0F" w:rsidRPr="00561D0F" w:rsidRDefault="00561D0F" w:rsidP="00561D0F">
      <w:pPr>
        <w:spacing w:after="0" w:line="240" w:lineRule="auto"/>
        <w:jc w:val="both"/>
        <w:rPr>
          <w:rFonts w:ascii="Arial" w:eastAsia="Calibri" w:hAnsi="Arial" w:cs="Arial"/>
          <w:color w:val="C00000"/>
          <w:sz w:val="24"/>
          <w:szCs w:val="24"/>
        </w:rPr>
      </w:pPr>
    </w:p>
    <w:p w14:paraId="5997D785"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Es claro entender que el crecimiento económico de los Estados forja desarrollo y a su vez conflictividad social y ambiental. El uso y el empleo de recursos naturales renovables y no renovables está en el origen de muchos de los debates que se dan en el planeta.</w:t>
      </w:r>
      <w:r w:rsidRPr="00561D0F">
        <w:rPr>
          <w:rFonts w:ascii="Arial" w:eastAsia="Calibri" w:hAnsi="Arial" w:cs="Arial"/>
          <w:color w:val="C00000"/>
          <w:sz w:val="24"/>
          <w:szCs w:val="24"/>
        </w:rPr>
        <w:t xml:space="preserve"> </w:t>
      </w:r>
      <w:r w:rsidRPr="00561D0F">
        <w:rPr>
          <w:rFonts w:ascii="Arial" w:eastAsia="Calibri" w:hAnsi="Arial" w:cs="Arial"/>
          <w:sz w:val="24"/>
          <w:szCs w:val="24"/>
        </w:rPr>
        <w:t>En el caso de Colombia debe tenerse en cuenta que, por motivo del conflicto armado como la insurgencia, genera mayores repercusiones y secuelas sobre nuestra diversa oferta ambiental.</w:t>
      </w:r>
    </w:p>
    <w:p w14:paraId="3133DC90" w14:textId="77777777" w:rsidR="00561D0F" w:rsidRPr="00561D0F" w:rsidRDefault="00561D0F" w:rsidP="00561D0F">
      <w:pPr>
        <w:spacing w:after="0" w:line="240" w:lineRule="auto"/>
        <w:jc w:val="both"/>
        <w:rPr>
          <w:rFonts w:ascii="Arial" w:eastAsia="Calibri" w:hAnsi="Arial" w:cs="Arial"/>
          <w:sz w:val="24"/>
          <w:szCs w:val="24"/>
        </w:rPr>
      </w:pPr>
    </w:p>
    <w:p w14:paraId="2DA15296"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 xml:space="preserve">Los conflictos ambientales pueden clasificarse por sus diversas características: Por los </w:t>
      </w:r>
      <w:r w:rsidRPr="00561D0F">
        <w:rPr>
          <w:rFonts w:ascii="Arial" w:eastAsia="Calibri" w:hAnsi="Arial" w:cs="Arial"/>
          <w:b/>
          <w:bCs/>
          <w:sz w:val="24"/>
          <w:szCs w:val="24"/>
        </w:rPr>
        <w:t>actores involucrados</w:t>
      </w:r>
      <w:r w:rsidRPr="00561D0F">
        <w:rPr>
          <w:rFonts w:ascii="Arial" w:eastAsia="Calibri" w:hAnsi="Arial" w:cs="Arial"/>
          <w:sz w:val="24"/>
          <w:szCs w:val="24"/>
        </w:rPr>
        <w:t xml:space="preserve"> (en este grupo se encuentran empresas privadas nacionales y extranjeras, empresas públicas, comunidades vulnerables  tanto rurales como urbanas, comunidades con estabilidad económica y ONG’s); </w:t>
      </w:r>
      <w:r w:rsidRPr="00561D0F">
        <w:rPr>
          <w:rFonts w:ascii="Arial" w:eastAsia="Calibri" w:hAnsi="Arial" w:cs="Arial"/>
          <w:b/>
          <w:bCs/>
          <w:sz w:val="24"/>
          <w:szCs w:val="24"/>
        </w:rPr>
        <w:t>por el origen geográfico de los conflictos</w:t>
      </w:r>
      <w:r w:rsidRPr="00561D0F">
        <w:rPr>
          <w:rFonts w:ascii="Arial" w:eastAsia="Calibri" w:hAnsi="Arial" w:cs="Arial"/>
          <w:sz w:val="24"/>
          <w:szCs w:val="24"/>
        </w:rPr>
        <w:t xml:space="preserve"> (esto es local, regional o nacional) y </w:t>
      </w:r>
      <w:r w:rsidRPr="00561D0F">
        <w:rPr>
          <w:rFonts w:ascii="Arial" w:eastAsia="Calibri" w:hAnsi="Arial" w:cs="Arial"/>
          <w:b/>
          <w:bCs/>
          <w:sz w:val="24"/>
          <w:szCs w:val="24"/>
        </w:rPr>
        <w:t>por el sector económico involucrado</w:t>
      </w:r>
      <w:r w:rsidRPr="00561D0F">
        <w:rPr>
          <w:rFonts w:ascii="Arial" w:eastAsia="Calibri" w:hAnsi="Arial" w:cs="Arial"/>
          <w:sz w:val="24"/>
          <w:szCs w:val="24"/>
        </w:rPr>
        <w:t xml:space="preserve"> (mineros, de extracción de hidrocarburos, de biomasa, relacionados con el agua como hidroeléctricas, transvases, grandes o pequeñas captaciones de agua, etc.) que se cruzan con conflictos asociados a la construcción de infraestructura como vías de comunicación, generación de energía y puertos, etc.</w:t>
      </w:r>
    </w:p>
    <w:p w14:paraId="20EA08E7" w14:textId="77777777" w:rsidR="00561D0F" w:rsidRPr="00561D0F" w:rsidRDefault="00561D0F" w:rsidP="00561D0F">
      <w:pPr>
        <w:spacing w:after="0" w:line="240" w:lineRule="auto"/>
        <w:jc w:val="both"/>
        <w:rPr>
          <w:rFonts w:ascii="Arial" w:eastAsia="Calibri" w:hAnsi="Arial" w:cs="Arial"/>
          <w:color w:val="C00000"/>
          <w:sz w:val="24"/>
          <w:szCs w:val="24"/>
        </w:rPr>
      </w:pPr>
    </w:p>
    <w:p w14:paraId="4D64598A"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Cada zona del país tiene su propia gama de conflictos ambientales. En la Región andina, por ejemplo, se presentan mayores conflictos de origen minero asociados a la extracción de oro en cercanía a ecosistemas estratégicos, como es el caso de los surgidos en el Páramo de Santurbán en Santander y en la Hacienda La Colosa, en el Tolima. En materia de gestión del agua los debates se han generado en la construcción y operación de hidroeléctricas, especialmente por el Quimbo en el Huila, Hidrosogamoso en Santander, la Represa Salvajina en Cauca, Hidromiel I y II en Caldas y el de Hidroituango en Antioquia. En cuanto a extracción de energía fósil (carbón), están los conflictos en páramos como El Almorzadero en Santander, Guacheneque en Cundinamarca y Boyacá, y Rabanal en Cundinamarca. Y con respecto al petróleo, se evidencian conflictos en el páramo de Miraflores en Huila y la extracción de petróleo en territorio Motilón-Barí.</w:t>
      </w:r>
    </w:p>
    <w:p w14:paraId="1DCBD1E3" w14:textId="77777777" w:rsidR="00561D0F" w:rsidRPr="00561D0F" w:rsidRDefault="00561D0F" w:rsidP="00561D0F">
      <w:pPr>
        <w:spacing w:after="0" w:line="240" w:lineRule="auto"/>
        <w:jc w:val="both"/>
        <w:rPr>
          <w:rFonts w:ascii="Arial" w:eastAsia="Calibri" w:hAnsi="Arial" w:cs="Arial"/>
          <w:color w:val="C00000"/>
          <w:sz w:val="24"/>
          <w:szCs w:val="24"/>
        </w:rPr>
      </w:pPr>
    </w:p>
    <w:p w14:paraId="2F3FA145"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 xml:space="preserve">En la región Caribe son visibles los conflictos por energía fósil en las minas de carbón de El Cerrejón en La Guajira y La Loma en la Jagua de Ibiríco en el César. Ambos proyectos son generadores de impactos ambientales no solo en su fase extractiva, sino por las acusaciones sobre desviación del cauce de ríos, así como en el transporte y en el cargue </w:t>
      </w:r>
      <w:r w:rsidRPr="00561D0F">
        <w:rPr>
          <w:rFonts w:ascii="Arial" w:eastAsia="Calibri" w:hAnsi="Arial" w:cs="Arial"/>
          <w:sz w:val="24"/>
          <w:szCs w:val="24"/>
        </w:rPr>
        <w:lastRenderedPageBreak/>
        <w:t>hacia el exterior. En el sector de infraestructura se destacan la construcción de puertos y en especial la carretera sobre la Ciénaga Grande de Santa Marta. En minería se resalta la mina Cerromatoso en Córdoba, una de las minas de ferroníquel más grandes de América Latina. En cuanto a la gestión del agua están también los debates sobre la existencia de hidroeléctricas y embalses (como los casos de Urra I y II frente a las cuales la Corte Constitucional se ha pronunciado sobre los derechos de los indígenas), y la represa sobre el río Ranchería en La Guajira, que tantos impactos ha generado a la comunidad Wayuu. En la región Pacífica se reportan conflictos mineros con la explotación de oro en Dojurá en Chocó, además de los casos de minería ilegal que se conocen y que dieron lugar a la expedición de la Sentencia sobre el río Atrato por parte de la Corte Constitucional (T-622 de 2016). En temas de agricultura hay debates asociados al cambio de uso de suelo para el establecimiento de palma y de explotación maderera. En infraestructura están las polémicas originadas por la construcción de dos puertos, el de Tribugá en el Chocó y el de Bahía Málaga en el Valle del Cauca. Además, de la construcción de una vía hacía el puerto de Buenaventura y la carretera Mulaló-Loboguerrero. Y en cuanto a la gestión del agua, mucha sensibilidad con los efectos de la hidroeléctrica de Anchicayá</w:t>
      </w:r>
    </w:p>
    <w:p w14:paraId="371AA98F" w14:textId="77777777" w:rsidR="00561D0F" w:rsidRPr="00561D0F" w:rsidRDefault="00561D0F" w:rsidP="00561D0F">
      <w:pPr>
        <w:spacing w:after="0" w:line="240" w:lineRule="auto"/>
        <w:jc w:val="both"/>
        <w:rPr>
          <w:rFonts w:ascii="Arial" w:eastAsia="Calibri" w:hAnsi="Arial" w:cs="Arial"/>
          <w:color w:val="C00000"/>
          <w:sz w:val="24"/>
          <w:szCs w:val="24"/>
        </w:rPr>
      </w:pPr>
    </w:p>
    <w:p w14:paraId="14E7B675"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En la región de la Amazonía, de importancia mundial por la existencia de la selva amazónica, se presentan enormes problemas sociales y ambientales, con residuos de conflictividad armada, por la presencia de actores ilegales y la ausencia del Estado, entre otros elementos. Algunos de los principales conflictos son los siguientes: En minería están los relacionados con la explotación ilegal de Coltán en el Parque Nacional Natural Puinawuai, el proyecto La Vega Mocoa en Putumayo con la explotación de oro y en Taraita, Yaigoje Apaporis en Vaupés con la explotación de oro; en este último, se resalta la intervención de la Corte Constitucional; en materia de petróleo, está la explotación en el corredor Puerto Vega-Teteyé y en cuanto a fumigación de cultivos ilícitos, es pertinente señalar que este conflicto es fronterizo entre Colombia y Ecuador, que ha llegado a instancias internacionales.</w:t>
      </w:r>
    </w:p>
    <w:p w14:paraId="184F6260" w14:textId="77777777" w:rsidR="00561D0F" w:rsidRPr="00561D0F" w:rsidRDefault="00561D0F" w:rsidP="00561D0F">
      <w:pPr>
        <w:spacing w:after="0" w:line="240" w:lineRule="auto"/>
        <w:jc w:val="both"/>
        <w:rPr>
          <w:rFonts w:ascii="Arial" w:eastAsia="Calibri" w:hAnsi="Arial" w:cs="Arial"/>
          <w:color w:val="C00000"/>
          <w:sz w:val="24"/>
          <w:szCs w:val="24"/>
        </w:rPr>
      </w:pPr>
    </w:p>
    <w:p w14:paraId="387DB55F"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En la región de la Orinoquía se identificaron conflictos asociados a actividades petroleras, donde se incluye uno de los conflictos de mayor relevancia internacional, las exploraciones petroleras en territorio indígena Uwa. Otros corresponden a la expansión de la frontera agrícola en la región con cultivos de perfil exportador como la palma y la soya.</w:t>
      </w:r>
    </w:p>
    <w:p w14:paraId="49A3D5B4" w14:textId="77777777" w:rsidR="00561D0F" w:rsidRPr="00561D0F" w:rsidRDefault="00561D0F" w:rsidP="00561D0F">
      <w:pPr>
        <w:spacing w:after="0" w:line="240" w:lineRule="auto"/>
        <w:jc w:val="both"/>
        <w:rPr>
          <w:rFonts w:ascii="Arial" w:eastAsia="Calibri" w:hAnsi="Arial" w:cs="Arial"/>
          <w:color w:val="C00000"/>
          <w:sz w:val="24"/>
          <w:szCs w:val="24"/>
        </w:rPr>
      </w:pPr>
    </w:p>
    <w:p w14:paraId="2D4A2C37"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 xml:space="preserve">De acuerdo con datos aportados por el Departamento Nacional de Planeación, en el documento base para la adopción del Plan de Desarrollo 2018-2022, los siguientes son los sectores que más eventos conflictivos presentan: Minería con el 38%, combustibles fósiles con el 29%, extracción de biomasa con el 19% y gestión del agua con el 14%. Toda esta conflictividad motivó la decisión de incluir en las bases del Plan Nacional de Desarrollo 2018-2022 la siguiente estrategia para la gestión de los conflictos </w:t>
      </w:r>
      <w:r w:rsidRPr="00561D0F">
        <w:rPr>
          <w:rFonts w:ascii="Arial" w:eastAsia="Calibri" w:hAnsi="Arial" w:cs="Arial"/>
          <w:sz w:val="24"/>
          <w:szCs w:val="24"/>
        </w:rPr>
        <w:lastRenderedPageBreak/>
        <w:t>socioambientales: “[…] MinAmbiente estructurará una propuesta de educación y especialización de tribunales judiciales y jueces en temas ambientales, para aumentar su idoneidad y capacidad técnica para la prevención y resolución de conflictos socioambientales y económicos, que estará acompañada de un programa de capacitación a funcionarios judiciales en el campo del derecho ambiental […]. (Bases, Plan Nacional de Desarrollo, 2019, pág. 439).</w:t>
      </w:r>
    </w:p>
    <w:p w14:paraId="118EFAF2" w14:textId="77777777" w:rsidR="00561D0F" w:rsidRPr="00561D0F" w:rsidRDefault="00561D0F" w:rsidP="00561D0F">
      <w:pPr>
        <w:spacing w:after="0" w:line="240" w:lineRule="auto"/>
        <w:jc w:val="both"/>
        <w:rPr>
          <w:rFonts w:ascii="Arial" w:eastAsia="Calibri" w:hAnsi="Arial" w:cs="Arial"/>
          <w:color w:val="C00000"/>
          <w:sz w:val="24"/>
          <w:szCs w:val="24"/>
        </w:rPr>
      </w:pPr>
    </w:p>
    <w:p w14:paraId="353DDBE6"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De conformidad con la información suministrada por la Agencia Nacional de Defensa Jurídica del Estado, a corte 30 de junio de 2020 el sector Ambiente y Desarrollo Sostenible se encuentra dentro del Top–10 de los más demandados, con pretensiones por $38,1 billones, frente a $37,0 de junio del 2019. En el mismo estudio, el sector Minas y Energía reporta para junio del 2020 demandas con pretensiones por valor de $82,4 billones, contra $85,8 a junio de 2019. Dentro del Top-10 de las entidades más demandadas se encuentra el Ministerio de Minas y Energía, con pretensiones por $71,2 billones a junio 30 de 2020, frente a $71,6 billones a junio 30 de 2019</w:t>
      </w:r>
      <w:r w:rsidRPr="00561D0F">
        <w:rPr>
          <w:rFonts w:ascii="Arial" w:eastAsia="Calibri" w:hAnsi="Arial" w:cs="Arial"/>
          <w:sz w:val="24"/>
          <w:szCs w:val="24"/>
          <w:vertAlign w:val="superscript"/>
        </w:rPr>
        <w:footnoteReference w:id="3"/>
      </w:r>
      <w:r w:rsidRPr="00561D0F">
        <w:rPr>
          <w:rFonts w:ascii="Arial" w:eastAsia="Calibri" w:hAnsi="Arial" w:cs="Arial"/>
          <w:sz w:val="24"/>
          <w:szCs w:val="24"/>
        </w:rPr>
        <w:t>.</w:t>
      </w:r>
    </w:p>
    <w:p w14:paraId="2129D30F" w14:textId="77777777" w:rsidR="00561D0F" w:rsidRPr="00561D0F" w:rsidRDefault="00561D0F" w:rsidP="00561D0F">
      <w:pPr>
        <w:spacing w:after="0" w:line="240" w:lineRule="auto"/>
        <w:jc w:val="both"/>
        <w:rPr>
          <w:rFonts w:ascii="Arial" w:eastAsia="Calibri" w:hAnsi="Arial" w:cs="Arial"/>
          <w:color w:val="C00000"/>
          <w:sz w:val="24"/>
          <w:szCs w:val="24"/>
        </w:rPr>
      </w:pPr>
    </w:p>
    <w:p w14:paraId="5C92AB62"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En cuanto a las principales causas que generan demandas en la jurisdicción de lo contencioso administrativo, en el precitado estudio de la Agencia Nacional de Defensa Jurídica del Estado se encuentra el daño o amenaza ambiental por actividad del sector de hidrocarburos, con pretensiones a junio 30 del 2020 por valor de $22,2 billones, contra $22,0 billones a junio 30 del 2019</w:t>
      </w:r>
      <w:r w:rsidRPr="00561D0F">
        <w:rPr>
          <w:rFonts w:ascii="Arial" w:eastAsia="Calibri" w:hAnsi="Arial" w:cs="Arial"/>
          <w:sz w:val="24"/>
          <w:szCs w:val="24"/>
          <w:vertAlign w:val="superscript"/>
        </w:rPr>
        <w:footnoteReference w:id="4"/>
      </w:r>
      <w:r w:rsidRPr="00561D0F">
        <w:rPr>
          <w:rFonts w:ascii="Arial" w:eastAsia="Calibri" w:hAnsi="Arial" w:cs="Arial"/>
          <w:sz w:val="24"/>
          <w:szCs w:val="24"/>
        </w:rPr>
        <w:t>.</w:t>
      </w:r>
    </w:p>
    <w:p w14:paraId="01C5ACA4" w14:textId="77777777" w:rsidR="00561D0F" w:rsidRPr="00561D0F" w:rsidRDefault="00561D0F" w:rsidP="00561D0F">
      <w:pPr>
        <w:spacing w:after="0" w:line="240" w:lineRule="auto"/>
        <w:jc w:val="both"/>
        <w:rPr>
          <w:rFonts w:ascii="Arial" w:eastAsia="Calibri" w:hAnsi="Arial" w:cs="Arial"/>
          <w:sz w:val="24"/>
          <w:szCs w:val="24"/>
        </w:rPr>
      </w:pPr>
    </w:p>
    <w:p w14:paraId="177CC17C"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Por otro lado, según datos de la Unidad de Desarrollo y Análisis Estadístico del Consejo Superior de la Judicatura, al 4 de agosto de 2020 se reporta que, del total</w:t>
      </w:r>
    </w:p>
    <w:p w14:paraId="2817647A"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de despachos de tribunal administrativo existentes en el país, el 54% (91 despachos) tienen a su cargo asuntos ambientales con los diferentes medios de control como lo son la nulidad y el restablecimiento del derecho, la reparación directa y las acciones populares y/o de grupo. En cuanto a la proporción de juzgados administrativos que tienen a cargo procesos relacionados con asuntos ambientales, se reporta que al mismo 4 de agosto del presente año el 55% (181 juzgados) de un total de 327 tienen en su inventario este tipo de asuntos</w:t>
      </w:r>
      <w:r w:rsidRPr="00561D0F">
        <w:rPr>
          <w:rFonts w:ascii="Arial" w:eastAsia="Calibri" w:hAnsi="Arial" w:cs="Arial"/>
          <w:sz w:val="24"/>
          <w:szCs w:val="24"/>
          <w:vertAlign w:val="superscript"/>
        </w:rPr>
        <w:footnoteReference w:id="5"/>
      </w:r>
      <w:r w:rsidRPr="00561D0F">
        <w:rPr>
          <w:rFonts w:ascii="Arial" w:eastAsia="Calibri" w:hAnsi="Arial" w:cs="Arial"/>
          <w:sz w:val="24"/>
          <w:szCs w:val="24"/>
        </w:rPr>
        <w:t>.</w:t>
      </w:r>
    </w:p>
    <w:p w14:paraId="2476702B" w14:textId="77777777" w:rsidR="00561D0F" w:rsidRPr="00561D0F" w:rsidRDefault="00561D0F" w:rsidP="00561D0F">
      <w:pPr>
        <w:spacing w:after="0" w:line="240" w:lineRule="auto"/>
        <w:jc w:val="both"/>
        <w:rPr>
          <w:rFonts w:ascii="Arial" w:eastAsia="Calibri" w:hAnsi="Arial" w:cs="Arial"/>
          <w:color w:val="C00000"/>
          <w:sz w:val="24"/>
          <w:szCs w:val="24"/>
        </w:rPr>
      </w:pPr>
    </w:p>
    <w:p w14:paraId="6EB9DEE9"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 xml:space="preserve">En este estudio de la Unidad de Desarrollo y Análisis Estadístico del Consejo Superior de la Judicatura citado, se indica que al 4 de agosto del 2020, la siguiente es la participación porcentual de los medios de control en asuntos ambientales reportados por los despachos de tribunal y de juzgados administrativos: (i) 71,3% en acciones populares y/o de grupo; (ii) 13,1% en procesos de nulidad y restablecimiento del derecho; (iii) 12,2% </w:t>
      </w:r>
      <w:r w:rsidRPr="00561D0F">
        <w:rPr>
          <w:rFonts w:ascii="Arial" w:eastAsia="Calibri" w:hAnsi="Arial" w:cs="Arial"/>
          <w:sz w:val="24"/>
          <w:szCs w:val="24"/>
        </w:rPr>
        <w:lastRenderedPageBreak/>
        <w:t>en acciones de reparación directa; (iv) 2,7% en nulidad simple; (v) 0,4% en controversias contractuales; (vi) 0,2% en acciones de tutela y, (vii) 0,1% en acciones de cumplimiento</w:t>
      </w:r>
      <w:r w:rsidRPr="00561D0F">
        <w:rPr>
          <w:rFonts w:ascii="Arial" w:eastAsia="Calibri" w:hAnsi="Arial" w:cs="Arial"/>
          <w:sz w:val="24"/>
          <w:szCs w:val="24"/>
          <w:vertAlign w:val="superscript"/>
        </w:rPr>
        <w:footnoteReference w:id="6"/>
      </w:r>
      <w:r w:rsidRPr="00561D0F">
        <w:rPr>
          <w:rFonts w:ascii="Arial" w:eastAsia="Calibri" w:hAnsi="Arial" w:cs="Arial"/>
          <w:sz w:val="24"/>
          <w:szCs w:val="24"/>
        </w:rPr>
        <w:t>.</w:t>
      </w:r>
    </w:p>
    <w:p w14:paraId="6BA980CF" w14:textId="77777777" w:rsidR="00561D0F" w:rsidRPr="00561D0F" w:rsidRDefault="00561D0F" w:rsidP="00561D0F">
      <w:pPr>
        <w:spacing w:after="0" w:line="240" w:lineRule="auto"/>
        <w:jc w:val="both"/>
        <w:rPr>
          <w:rFonts w:ascii="Arial" w:eastAsia="Calibri" w:hAnsi="Arial" w:cs="Arial"/>
          <w:color w:val="C00000"/>
          <w:sz w:val="24"/>
          <w:szCs w:val="24"/>
        </w:rPr>
      </w:pPr>
    </w:p>
    <w:p w14:paraId="60BF8241" w14:textId="77777777" w:rsidR="00561D0F" w:rsidRPr="00561D0F" w:rsidRDefault="00561D0F" w:rsidP="00561D0F">
      <w:pPr>
        <w:numPr>
          <w:ilvl w:val="1"/>
          <w:numId w:val="44"/>
        </w:numPr>
        <w:spacing w:after="0" w:line="240" w:lineRule="auto"/>
        <w:contextualSpacing/>
        <w:jc w:val="center"/>
        <w:rPr>
          <w:rFonts w:ascii="Arial" w:eastAsia="Calibri" w:hAnsi="Arial" w:cs="Arial"/>
          <w:b/>
          <w:bCs/>
          <w:sz w:val="24"/>
          <w:szCs w:val="24"/>
        </w:rPr>
      </w:pPr>
      <w:r w:rsidRPr="00561D0F">
        <w:rPr>
          <w:rFonts w:ascii="Arial" w:eastAsia="Calibri" w:hAnsi="Arial" w:cs="Arial"/>
          <w:b/>
          <w:bCs/>
          <w:sz w:val="24"/>
          <w:szCs w:val="24"/>
        </w:rPr>
        <w:t>Principios del derecho a un ambiente sano (Principios ambientales)</w:t>
      </w:r>
      <w:r w:rsidRPr="00561D0F">
        <w:rPr>
          <w:rFonts w:ascii="Arial" w:eastAsia="Calibri" w:hAnsi="Arial" w:cs="Arial"/>
          <w:b/>
          <w:bCs/>
          <w:sz w:val="24"/>
          <w:szCs w:val="24"/>
          <w:vertAlign w:val="superscript"/>
        </w:rPr>
        <w:footnoteReference w:id="7"/>
      </w:r>
    </w:p>
    <w:p w14:paraId="2DF4D799" w14:textId="77777777" w:rsidR="00561D0F" w:rsidRPr="00561D0F" w:rsidRDefault="00561D0F" w:rsidP="00561D0F">
      <w:pPr>
        <w:spacing w:after="0" w:line="240" w:lineRule="auto"/>
        <w:jc w:val="both"/>
        <w:rPr>
          <w:rFonts w:ascii="Arial" w:eastAsia="Calibri" w:hAnsi="Arial" w:cs="Arial"/>
          <w:color w:val="C00000"/>
          <w:sz w:val="24"/>
          <w:szCs w:val="24"/>
        </w:rPr>
      </w:pPr>
    </w:p>
    <w:p w14:paraId="24FFD636" w14:textId="77777777" w:rsidR="00561D0F" w:rsidRPr="00561D0F" w:rsidRDefault="00561D0F" w:rsidP="00561D0F">
      <w:pPr>
        <w:numPr>
          <w:ilvl w:val="0"/>
          <w:numId w:val="45"/>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 xml:space="preserve">Principio de precaución </w:t>
      </w:r>
    </w:p>
    <w:p w14:paraId="05C98FFD" w14:textId="77777777" w:rsidR="00561D0F" w:rsidRPr="00561D0F" w:rsidRDefault="00561D0F" w:rsidP="00561D0F">
      <w:pPr>
        <w:spacing w:after="0" w:line="240" w:lineRule="auto"/>
        <w:jc w:val="both"/>
        <w:rPr>
          <w:rFonts w:ascii="Arial" w:eastAsia="Calibri" w:hAnsi="Arial" w:cs="Arial"/>
          <w:color w:val="C00000"/>
          <w:sz w:val="24"/>
          <w:szCs w:val="24"/>
        </w:rPr>
      </w:pPr>
    </w:p>
    <w:p w14:paraId="20A5A37F"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rPr>
        <w:t>El principio de cautela o precaución contiene un mandato dirigido tanto a las autoridades ambientales como a los ciudadanos particulares, en el que los lleva a resolver en favor del ambiente esa duda o incertidumbre en relación con la ocurrencia de un daño futuro; es decir, impone el ser cautelosos y precavidos en la labor de protección del ambiente. En este sentido, una vez identificado el peligro de un eventual daño, y aunque no se tenga la certeza de que éste va a producirse, lo que corresponde es adoptar las medidas que se requieran para que el peligro desaparezca; y no puede entonces una autoridad o un particular, so pretexto de esa incertidumbre, negarse a emprender acciones de precaución.</w:t>
      </w:r>
    </w:p>
    <w:p w14:paraId="0D7DF6A9" w14:textId="77777777" w:rsidR="00561D0F" w:rsidRPr="00561D0F" w:rsidRDefault="00561D0F" w:rsidP="00561D0F">
      <w:pPr>
        <w:spacing w:after="0" w:line="240" w:lineRule="auto"/>
        <w:jc w:val="both"/>
        <w:rPr>
          <w:rFonts w:ascii="Arial" w:eastAsia="Calibri" w:hAnsi="Arial" w:cs="Arial"/>
          <w:color w:val="C00000"/>
          <w:sz w:val="24"/>
          <w:szCs w:val="24"/>
        </w:rPr>
      </w:pPr>
      <w:r w:rsidRPr="00561D0F">
        <w:rPr>
          <w:rFonts w:ascii="Arial" w:eastAsia="Calibri" w:hAnsi="Arial" w:cs="Arial"/>
          <w:color w:val="C00000"/>
          <w:sz w:val="24"/>
          <w:szCs w:val="24"/>
        </w:rPr>
        <w:t xml:space="preserve"> </w:t>
      </w:r>
    </w:p>
    <w:p w14:paraId="346C7BB9" w14:textId="77777777" w:rsidR="00561D0F" w:rsidRPr="00561D0F" w:rsidRDefault="00561D0F" w:rsidP="00561D0F">
      <w:pPr>
        <w:numPr>
          <w:ilvl w:val="0"/>
          <w:numId w:val="45"/>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Principio de progresividad</w:t>
      </w:r>
    </w:p>
    <w:p w14:paraId="40D3493D" w14:textId="77777777" w:rsidR="00561D0F" w:rsidRPr="00561D0F" w:rsidRDefault="00561D0F" w:rsidP="00561D0F">
      <w:pPr>
        <w:spacing w:after="0" w:line="240" w:lineRule="auto"/>
        <w:jc w:val="both"/>
        <w:rPr>
          <w:rFonts w:ascii="Arial" w:eastAsia="Calibri" w:hAnsi="Arial" w:cs="Arial"/>
          <w:color w:val="C00000"/>
          <w:sz w:val="24"/>
          <w:szCs w:val="24"/>
        </w:rPr>
      </w:pPr>
    </w:p>
    <w:p w14:paraId="04AD8B9F"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principio de progresividad limita el poder de las autoridades de expedir normatividades en desmedro de progresos normativos previos en la garantía de un derecho. Así mismo, consagra el deber de avanzar gradualmente en la protección del derecho.</w:t>
      </w:r>
    </w:p>
    <w:p w14:paraId="10D1F9CD" w14:textId="77777777" w:rsidR="00561D0F" w:rsidRPr="00561D0F" w:rsidRDefault="00561D0F" w:rsidP="00561D0F">
      <w:pPr>
        <w:spacing w:after="0" w:line="240" w:lineRule="auto"/>
        <w:jc w:val="both"/>
        <w:rPr>
          <w:rFonts w:ascii="Arial" w:eastAsia="Calibri" w:hAnsi="Arial" w:cs="Arial"/>
          <w:color w:val="C00000"/>
          <w:sz w:val="24"/>
          <w:szCs w:val="24"/>
        </w:rPr>
      </w:pPr>
    </w:p>
    <w:p w14:paraId="6268F94C" w14:textId="77777777" w:rsidR="00561D0F" w:rsidRPr="00561D0F" w:rsidRDefault="00561D0F" w:rsidP="00561D0F">
      <w:pPr>
        <w:numPr>
          <w:ilvl w:val="0"/>
          <w:numId w:val="45"/>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Principio de desarrollo sostenible - equidad intergeneracional</w:t>
      </w:r>
    </w:p>
    <w:p w14:paraId="7030D1EA" w14:textId="77777777" w:rsidR="00561D0F" w:rsidRPr="00561D0F" w:rsidRDefault="00561D0F" w:rsidP="00561D0F">
      <w:pPr>
        <w:spacing w:after="0" w:line="240" w:lineRule="auto"/>
        <w:jc w:val="both"/>
        <w:rPr>
          <w:rFonts w:ascii="Arial" w:eastAsia="Calibri" w:hAnsi="Arial" w:cs="Arial"/>
          <w:sz w:val="24"/>
          <w:szCs w:val="24"/>
        </w:rPr>
      </w:pPr>
    </w:p>
    <w:p w14:paraId="1BF20123"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desarrollo sostenible como principio constitucional se encuentra en el artículo 80 de la Constitución Política, y pretende armonizar el crecimiento de la economía con las necesidades ambientales.</w:t>
      </w:r>
    </w:p>
    <w:p w14:paraId="2E224A66" w14:textId="77777777" w:rsidR="00561D0F" w:rsidRPr="00561D0F" w:rsidRDefault="00561D0F" w:rsidP="00561D0F">
      <w:pPr>
        <w:spacing w:after="0" w:line="240" w:lineRule="auto"/>
        <w:jc w:val="both"/>
        <w:rPr>
          <w:rFonts w:ascii="Arial" w:eastAsia="Calibri" w:hAnsi="Arial" w:cs="Arial"/>
          <w:sz w:val="24"/>
          <w:szCs w:val="24"/>
        </w:rPr>
      </w:pPr>
    </w:p>
    <w:p w14:paraId="748CE4BF"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En este sentido, el ordenamiento jurídico reconoce la importancia del desarrollo económico para el cumplimiento de los fines del Estado, pero enfatiza la exigencia de que éste no se realice desequilibradamente, sin considerar los límites que imponen los demás deberes estatales, como la garantía y protección del ambiente.</w:t>
      </w:r>
    </w:p>
    <w:p w14:paraId="5C306E58" w14:textId="77777777" w:rsidR="00561D0F" w:rsidRPr="00561D0F" w:rsidRDefault="00561D0F" w:rsidP="00561D0F">
      <w:pPr>
        <w:spacing w:after="0" w:line="240" w:lineRule="auto"/>
        <w:jc w:val="both"/>
        <w:rPr>
          <w:rFonts w:ascii="Arial" w:eastAsia="Calibri" w:hAnsi="Arial" w:cs="Arial"/>
          <w:sz w:val="24"/>
          <w:szCs w:val="24"/>
        </w:rPr>
      </w:pPr>
    </w:p>
    <w:p w14:paraId="490602A8"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 xml:space="preserve">El punto de contacto de estas dos exigencias constitucionales, el desarrollo económico y la protección al ambiente, en efecto, se traducía tradicionalmente en una actitud puramente conservacionista respecto al segundo. En la actualidad y gracias al moderno principio del desarrollo sostenible, el desarrollo económico necesario para la satisfacción de las necesidades individuales y para el cumplimiento de los fines impuestos por el </w:t>
      </w:r>
      <w:r w:rsidRPr="00561D0F">
        <w:rPr>
          <w:rFonts w:ascii="Arial" w:eastAsia="Calibri" w:hAnsi="Arial" w:cs="Arial"/>
          <w:sz w:val="24"/>
          <w:szCs w:val="24"/>
        </w:rPr>
        <w:lastRenderedPageBreak/>
        <w:t>Estado Social de Derecho debe armonizarse con las restricciones y limitaciones emanadas de la protección al ambiente.</w:t>
      </w:r>
    </w:p>
    <w:p w14:paraId="06A0B4F6" w14:textId="77777777" w:rsidR="00561D0F" w:rsidRPr="00561D0F" w:rsidRDefault="00561D0F" w:rsidP="00561D0F">
      <w:pPr>
        <w:spacing w:after="0" w:line="240" w:lineRule="auto"/>
        <w:jc w:val="both"/>
        <w:rPr>
          <w:rFonts w:ascii="Arial" w:eastAsia="Calibri" w:hAnsi="Arial" w:cs="Arial"/>
          <w:color w:val="C00000"/>
          <w:sz w:val="24"/>
          <w:szCs w:val="24"/>
        </w:rPr>
      </w:pPr>
    </w:p>
    <w:p w14:paraId="5E4AF13F" w14:textId="77777777" w:rsidR="00561D0F" w:rsidRPr="00561D0F" w:rsidRDefault="00561D0F" w:rsidP="00561D0F">
      <w:pPr>
        <w:numPr>
          <w:ilvl w:val="0"/>
          <w:numId w:val="45"/>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Principio de responsabilidad objetiva</w:t>
      </w:r>
    </w:p>
    <w:p w14:paraId="7C15DA58" w14:textId="77777777" w:rsidR="00561D0F" w:rsidRPr="00561D0F" w:rsidRDefault="00561D0F" w:rsidP="00561D0F">
      <w:pPr>
        <w:spacing w:after="0" w:line="240" w:lineRule="auto"/>
        <w:jc w:val="both"/>
        <w:rPr>
          <w:rFonts w:ascii="Arial" w:eastAsia="Calibri" w:hAnsi="Arial" w:cs="Arial"/>
          <w:color w:val="C00000"/>
          <w:sz w:val="24"/>
          <w:szCs w:val="24"/>
        </w:rPr>
      </w:pPr>
    </w:p>
    <w:p w14:paraId="6D6667B7"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régimen de responsabilidad en materia ambiental es objetivo. El principio de responsabilidad objetiva desecha “la culpa”. Por consiguiente, será llamado a responder por el deterioro ambiental producido quien por consecuencia de una actividad, proyecto u obra cause deterioro al ambiente, sin reparar el juzgador, en ningún momento, si el comportamiento del inculpado fue negligente o intencional. Basta el simple hecho de que con su actuación ocasione el daño, para que se genere responsabilidad.</w:t>
      </w:r>
    </w:p>
    <w:p w14:paraId="0CA5BA2A" w14:textId="77777777" w:rsidR="00561D0F" w:rsidRPr="00561D0F" w:rsidRDefault="00561D0F" w:rsidP="00561D0F">
      <w:pPr>
        <w:spacing w:after="0" w:line="240" w:lineRule="auto"/>
        <w:jc w:val="both"/>
        <w:rPr>
          <w:rFonts w:ascii="Arial" w:eastAsia="Calibri" w:hAnsi="Arial" w:cs="Arial"/>
          <w:sz w:val="24"/>
          <w:szCs w:val="24"/>
        </w:rPr>
      </w:pPr>
    </w:p>
    <w:p w14:paraId="4CE39946"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principio de responsabilidad objetiva se traduce en que el agente que amenace o cause un grave deterioro al ambiente va a reparar la amenaza de daño o el daño causado, haciendo que cese la amenaza o vulneración, devolviendo las cosas al estado anterior al detrimento causado, o indemnizando pecuniariamente, en procura de compensar los efectos ocasionados al ambiente.</w:t>
      </w:r>
    </w:p>
    <w:p w14:paraId="527BFF3A" w14:textId="77777777" w:rsidR="00561D0F" w:rsidRPr="00561D0F" w:rsidRDefault="00561D0F" w:rsidP="00561D0F">
      <w:pPr>
        <w:spacing w:after="0" w:line="240" w:lineRule="auto"/>
        <w:jc w:val="both"/>
        <w:rPr>
          <w:rFonts w:ascii="Arial" w:eastAsia="Calibri" w:hAnsi="Arial" w:cs="Arial"/>
          <w:sz w:val="24"/>
          <w:szCs w:val="24"/>
        </w:rPr>
      </w:pPr>
    </w:p>
    <w:p w14:paraId="79FB2404"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Este agente va a ser juzgado en una actuación administrativa o en un proceso judicial por el detrimento que cause a la comunidad, sin importar su diligencia o su intencionalidad de causar daño al ambiente.</w:t>
      </w:r>
    </w:p>
    <w:p w14:paraId="32A1A663" w14:textId="77777777" w:rsidR="00561D0F" w:rsidRPr="00561D0F" w:rsidRDefault="00561D0F" w:rsidP="00561D0F">
      <w:pPr>
        <w:spacing w:after="0" w:line="240" w:lineRule="auto"/>
        <w:jc w:val="both"/>
        <w:rPr>
          <w:rFonts w:ascii="Arial" w:eastAsia="Calibri" w:hAnsi="Arial" w:cs="Arial"/>
          <w:color w:val="C00000"/>
          <w:sz w:val="24"/>
          <w:szCs w:val="24"/>
        </w:rPr>
      </w:pPr>
    </w:p>
    <w:p w14:paraId="7E790465" w14:textId="77777777" w:rsidR="00561D0F" w:rsidRPr="00561D0F" w:rsidRDefault="00561D0F" w:rsidP="00561D0F">
      <w:pPr>
        <w:numPr>
          <w:ilvl w:val="0"/>
          <w:numId w:val="45"/>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Principio de Prevención</w:t>
      </w:r>
      <w:r w:rsidRPr="00561D0F">
        <w:rPr>
          <w:rFonts w:ascii="Arial" w:eastAsia="Calibri" w:hAnsi="Arial" w:cs="Arial"/>
          <w:b/>
          <w:bCs/>
          <w:sz w:val="24"/>
          <w:szCs w:val="24"/>
          <w:vertAlign w:val="superscript"/>
        </w:rPr>
        <w:footnoteReference w:id="8"/>
      </w:r>
    </w:p>
    <w:p w14:paraId="03AA8E22" w14:textId="77777777" w:rsidR="00561D0F" w:rsidRPr="00561D0F" w:rsidRDefault="00561D0F" w:rsidP="00561D0F">
      <w:pPr>
        <w:spacing w:after="0" w:line="240" w:lineRule="auto"/>
        <w:jc w:val="both"/>
        <w:rPr>
          <w:rFonts w:ascii="Arial" w:eastAsia="Calibri" w:hAnsi="Arial" w:cs="Arial"/>
          <w:sz w:val="24"/>
          <w:szCs w:val="24"/>
        </w:rPr>
      </w:pPr>
    </w:p>
    <w:p w14:paraId="411B5025"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rPr>
        <w:t>Este principio parte de la base de la existencia de suficiente certeza respecto de los riesgos o de su probabilidad de ocurrencia, de tal manera que actúa dentro de una cadena de causalidad conocida con el fin de interrumpir el curso causal respectivo y de prevenir la consumación del daño.</w:t>
      </w:r>
      <w:r w:rsidRPr="00561D0F">
        <w:rPr>
          <w:rFonts w:ascii="Arial" w:eastAsia="Calibri" w:hAnsi="Arial" w:cs="Arial"/>
          <w:sz w:val="24"/>
          <w:szCs w:val="24"/>
          <w:lang w:val="es-ES"/>
        </w:rPr>
        <w:t xml:space="preserve"> Sospecha </w:t>
      </w:r>
      <w:r w:rsidRPr="00561D0F">
        <w:rPr>
          <w:rFonts w:ascii="Arial" w:eastAsia="Calibri" w:hAnsi="Arial" w:cs="Arial"/>
          <w:sz w:val="24"/>
          <w:szCs w:val="24"/>
        </w:rPr>
        <w:t>que el riesgo puede ser conocido anticipadamente y que pueden adoptarse medidas para neutralizarlo, mientras que el de precaución comporta que el riesgo de daño ambiental no puede ser conocido anticipadamente porque no se pueden conocer materialmente los efectos a mediano y largo plazo de una acción, indicó el alto tribunal (C. P. Hernán Andrade).</w:t>
      </w:r>
    </w:p>
    <w:p w14:paraId="4FDE7235" w14:textId="77777777" w:rsidR="00561D0F" w:rsidRPr="00561D0F" w:rsidRDefault="00561D0F" w:rsidP="00561D0F">
      <w:pPr>
        <w:spacing w:after="0" w:line="240" w:lineRule="auto"/>
        <w:jc w:val="both"/>
        <w:rPr>
          <w:rFonts w:ascii="Arial" w:eastAsia="Calibri" w:hAnsi="Arial" w:cs="Arial"/>
          <w:sz w:val="24"/>
          <w:szCs w:val="24"/>
        </w:rPr>
      </w:pPr>
    </w:p>
    <w:p w14:paraId="23D04222" w14:textId="77777777" w:rsidR="00561D0F" w:rsidRPr="00561D0F" w:rsidRDefault="00561D0F" w:rsidP="00561D0F">
      <w:pPr>
        <w:numPr>
          <w:ilvl w:val="1"/>
          <w:numId w:val="44"/>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Componente Técnico y Científico De Apoyo</w:t>
      </w:r>
    </w:p>
    <w:p w14:paraId="0785D4E4" w14:textId="77777777" w:rsidR="00561D0F" w:rsidRPr="00561D0F" w:rsidRDefault="00561D0F" w:rsidP="00561D0F">
      <w:pPr>
        <w:spacing w:after="0" w:line="240" w:lineRule="auto"/>
        <w:jc w:val="both"/>
        <w:rPr>
          <w:rFonts w:ascii="Arial" w:eastAsia="Calibri" w:hAnsi="Arial" w:cs="Arial"/>
          <w:color w:val="C00000"/>
          <w:sz w:val="24"/>
          <w:szCs w:val="24"/>
        </w:rPr>
      </w:pPr>
    </w:p>
    <w:p w14:paraId="3444EDB2"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proyecto de Ley propone incorporar un equipo interdisciplinario de apoyo, que no sea jurídico, para robustecer el componente técnico y científico de las decisiones que deben adoptar los jueces y magistrados en estos campos del derecho. Se trata del denominado “Grupo de Apoyo Técnico Interdisciplinario”.</w:t>
      </w:r>
    </w:p>
    <w:p w14:paraId="535F8859" w14:textId="77777777" w:rsidR="00561D0F" w:rsidRPr="00561D0F" w:rsidRDefault="00561D0F" w:rsidP="00561D0F">
      <w:pPr>
        <w:spacing w:after="0" w:line="240" w:lineRule="auto"/>
        <w:jc w:val="both"/>
        <w:rPr>
          <w:rFonts w:ascii="Arial" w:eastAsia="Calibri" w:hAnsi="Arial" w:cs="Arial"/>
          <w:color w:val="C00000"/>
          <w:sz w:val="24"/>
          <w:szCs w:val="24"/>
        </w:rPr>
      </w:pPr>
    </w:p>
    <w:p w14:paraId="12FEB180"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lastRenderedPageBreak/>
        <w:t>Sin desconocer, por supuesto, el papel que vienen desempeñando los “auxiliares de la justicia” por muchos años en el país, la iniciativa plantea la posibilidad de contar con profesionales de tiempo completo dedicados a resolver las dudas técnicas que demandan los casos de conocimiento de esta especialidad, sin que pueda predicarse de ellas algún tipo de vínculo con las partes del proceso, ni siquiera con organismos de control. Como en buena parte de la conflictividad ambiental que se tramita judicialmente en el país está vinculado el Estado, es conveniente alejar la construcción del fallo, en sus componentes técnicos y jurídicos, de la participación o el concepto de algún funcionario estatal, no obstante, sus acreditadas calidades, conocimientos y experiencias son necesarias. Se planteó para la presente propuesta legislativa que la rama judicial que va a resolver los temas ambientales tenga su “propio” equipo técnico y científico, con el que pueda construir su propia opinión y la consecuente decisión.</w:t>
      </w:r>
    </w:p>
    <w:p w14:paraId="4FEC35F2" w14:textId="77777777" w:rsidR="00561D0F" w:rsidRPr="00561D0F" w:rsidRDefault="00561D0F" w:rsidP="00561D0F">
      <w:pPr>
        <w:spacing w:after="0" w:line="240" w:lineRule="auto"/>
        <w:jc w:val="both"/>
        <w:rPr>
          <w:rFonts w:ascii="Arial" w:eastAsia="Calibri" w:hAnsi="Arial" w:cs="Arial"/>
          <w:color w:val="C00000"/>
          <w:sz w:val="24"/>
          <w:szCs w:val="24"/>
        </w:rPr>
      </w:pPr>
    </w:p>
    <w:p w14:paraId="33DE5277"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Esta propuesta tiene su origen en el análisis que se ha realizado sobre el Estado chileno, aplicable en muchos de sus aspectos a Colombia. Chile cuenta con la presencia de tres (3) tribunales ambientales, cada uno conformado por dos (2) abogados y un profesional no jurídico, todos en el mismo nivel de magistrados. Para el caso de nuestro país se trata de promover que profesionales de ciencias naturales y básicas, con régimen laboral y de permanencia similar al de magistrados auxiliares, conformen equipos de apoyo técnico para apoyar la construcción de la mejor decisión por parte del magistrado de tribunal o de la alta corte.</w:t>
      </w:r>
    </w:p>
    <w:p w14:paraId="730E78FE" w14:textId="77777777" w:rsidR="00561D0F" w:rsidRPr="00561D0F" w:rsidRDefault="00561D0F" w:rsidP="00561D0F">
      <w:pPr>
        <w:spacing w:after="0" w:line="240" w:lineRule="auto"/>
        <w:jc w:val="both"/>
        <w:rPr>
          <w:rFonts w:ascii="Arial" w:eastAsia="Calibri" w:hAnsi="Arial" w:cs="Arial"/>
          <w:color w:val="C00000"/>
          <w:sz w:val="24"/>
          <w:szCs w:val="24"/>
        </w:rPr>
      </w:pPr>
    </w:p>
    <w:p w14:paraId="0D449958"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Se quiere promover y estimular que profesionales de otras áreas del conocimiento tengan espacios y participación en las decisiones que tienen que ver con la problemática ambiental de Colombia, que guíen de manera acertada y responsable las causas ambientales. Razón por la cual, se aspira a que profesionales de ingeniería ambiental, ingeniería de minas, ingeniería forestal, ingeniería civil, ingeniería química, biología, biología marina, ecología, ingeniería de petróleos, entre otras, participen en esta nueva forma de administrar justicia.</w:t>
      </w:r>
    </w:p>
    <w:p w14:paraId="1BBB7C32" w14:textId="77777777" w:rsidR="00561D0F" w:rsidRPr="00561D0F" w:rsidRDefault="00561D0F" w:rsidP="00561D0F">
      <w:pPr>
        <w:spacing w:after="0" w:line="240" w:lineRule="auto"/>
        <w:jc w:val="both"/>
        <w:rPr>
          <w:rFonts w:ascii="Arial" w:eastAsia="Calibri" w:hAnsi="Arial" w:cs="Arial"/>
          <w:color w:val="C00000"/>
          <w:sz w:val="24"/>
          <w:szCs w:val="24"/>
        </w:rPr>
      </w:pPr>
    </w:p>
    <w:p w14:paraId="029838A0" w14:textId="77777777" w:rsidR="00561D0F" w:rsidRPr="00561D0F" w:rsidRDefault="00561D0F" w:rsidP="00561D0F">
      <w:pPr>
        <w:numPr>
          <w:ilvl w:val="1"/>
          <w:numId w:val="44"/>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Especialidad ambiental en el Plan Nacional de Desarrollo 2018-2022</w:t>
      </w:r>
    </w:p>
    <w:p w14:paraId="24C0F6EB" w14:textId="77777777" w:rsidR="00561D0F" w:rsidRPr="00561D0F" w:rsidRDefault="00561D0F" w:rsidP="00561D0F">
      <w:pPr>
        <w:spacing w:after="0" w:line="240" w:lineRule="auto"/>
        <w:jc w:val="both"/>
        <w:rPr>
          <w:rFonts w:ascii="Arial" w:eastAsia="Calibri" w:hAnsi="Arial" w:cs="Arial"/>
          <w:color w:val="C00000"/>
          <w:sz w:val="24"/>
          <w:szCs w:val="24"/>
        </w:rPr>
      </w:pPr>
    </w:p>
    <w:p w14:paraId="19CD4FF8"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Plan Nacional de Desarrollo 2018-2022</w:t>
      </w:r>
      <w:r w:rsidRPr="00561D0F">
        <w:rPr>
          <w:rFonts w:ascii="Arial" w:eastAsia="Calibri" w:hAnsi="Arial" w:cs="Arial"/>
          <w:sz w:val="24"/>
          <w:szCs w:val="24"/>
          <w:vertAlign w:val="superscript"/>
        </w:rPr>
        <w:footnoteReference w:id="9"/>
      </w:r>
      <w:r w:rsidRPr="00561D0F">
        <w:rPr>
          <w:rFonts w:ascii="Arial" w:eastAsia="Calibri" w:hAnsi="Arial" w:cs="Arial"/>
          <w:sz w:val="24"/>
          <w:szCs w:val="24"/>
        </w:rPr>
        <w:t xml:space="preserve"> situó, como estrategia para la gestión de conflictos socioambientales, la estructuración de una propuesta de educación y de especialización de tribunales y de jueces en temas ambientales, “[…} para aumentar su idoneidad y capacidad técnica para la prevención y resolución de conflictos socioambientales y económicos, que estará acompañada de un programa de capacitación a funcionarios judiciales en el campo del derecho ambiental […]”. (Bases del Plan Nacional de Desarrollo 2018-2022, pág. 439). (DNP, 2019)</w:t>
      </w:r>
    </w:p>
    <w:p w14:paraId="7481A938" w14:textId="77777777" w:rsidR="00561D0F" w:rsidRPr="00561D0F" w:rsidRDefault="00561D0F" w:rsidP="00561D0F">
      <w:pPr>
        <w:spacing w:after="0" w:line="240" w:lineRule="auto"/>
        <w:jc w:val="both"/>
        <w:rPr>
          <w:rFonts w:ascii="Arial" w:eastAsia="Calibri" w:hAnsi="Arial" w:cs="Arial"/>
          <w:sz w:val="24"/>
          <w:szCs w:val="24"/>
        </w:rPr>
      </w:pPr>
    </w:p>
    <w:p w14:paraId="2D45B82A" w14:textId="77777777" w:rsidR="00561D0F" w:rsidRPr="00561D0F" w:rsidRDefault="00561D0F" w:rsidP="00561D0F">
      <w:pPr>
        <w:spacing w:after="0" w:line="240" w:lineRule="auto"/>
        <w:jc w:val="both"/>
        <w:rPr>
          <w:rFonts w:ascii="Arial" w:eastAsia="Calibri" w:hAnsi="Arial" w:cs="Arial"/>
          <w:color w:val="C00000"/>
          <w:sz w:val="24"/>
          <w:szCs w:val="24"/>
        </w:rPr>
      </w:pPr>
      <w:r w:rsidRPr="00561D0F">
        <w:rPr>
          <w:rFonts w:ascii="Arial" w:eastAsia="Calibri" w:hAnsi="Arial" w:cs="Arial"/>
          <w:sz w:val="24"/>
          <w:szCs w:val="24"/>
        </w:rPr>
        <w:lastRenderedPageBreak/>
        <w:t>Evidentemente dentro del documento denominado “Bases del Plan Nacional de Desarrollo 2018-2022”</w:t>
      </w:r>
      <w:r w:rsidRPr="00561D0F">
        <w:rPr>
          <w:rFonts w:ascii="Arial" w:eastAsia="Calibri" w:hAnsi="Arial" w:cs="Arial"/>
          <w:sz w:val="24"/>
          <w:szCs w:val="24"/>
          <w:vertAlign w:val="superscript"/>
        </w:rPr>
        <w:footnoteReference w:id="10"/>
      </w:r>
      <w:r w:rsidRPr="00561D0F">
        <w:rPr>
          <w:rFonts w:ascii="Arial" w:eastAsia="Calibri" w:hAnsi="Arial" w:cs="Arial"/>
          <w:sz w:val="24"/>
          <w:szCs w:val="24"/>
        </w:rPr>
        <w:t>, está incluida la tarea de estructurar la especialización de tribunales y de jueces ambientales. Dentro de los compromisos transversales que incorpora el documento Base del Plan Nacional de Desarrollo se puede resaltar el primero de ellos, “Pacto por la sostenibilidad: producir conservando y conservar produciendo”, considerado como habilitador, conector y de coordinación. Tiene la función de actuar como dinamizador del desarrollo y ayudar a enfrentar los riesgos que se pueden presentar en la búsqueda de equidad en las oportunidades.</w:t>
      </w:r>
    </w:p>
    <w:p w14:paraId="66B6EF9C"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mencionado pacto, señala el documento Base, es transversal al desarrollo e impulsa acciones que permitan el equilibrio entre la conservación y la producción, de tal forma que la riqueza natural del país sea apropiada como un activo estratégico de la Nación.</w:t>
      </w:r>
    </w:p>
    <w:p w14:paraId="13131109" w14:textId="77777777" w:rsidR="00561D0F" w:rsidRPr="00561D0F" w:rsidRDefault="00561D0F" w:rsidP="00561D0F">
      <w:pPr>
        <w:spacing w:after="0" w:line="240" w:lineRule="auto"/>
        <w:jc w:val="both"/>
        <w:rPr>
          <w:rFonts w:ascii="Arial" w:eastAsia="Calibri" w:hAnsi="Arial" w:cs="Arial"/>
          <w:color w:val="C00000"/>
          <w:sz w:val="24"/>
          <w:szCs w:val="24"/>
        </w:rPr>
      </w:pPr>
    </w:p>
    <w:p w14:paraId="436E5097" w14:textId="0AFEAC25"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Algunas de las características de este Pacto son las siguientes: (i) sus acciones se apalancan en una institucionalidad ambiental moderna, coordinada entre la Nación, los departamentos, las regiones y los municipios, con una mayor educación y cultura ciudadana que valore la biodiversidad y dialogue con base en el conocimiento y la información; (ii) define acciones para convertir la riqueza y el capital natural en activos estratégicos de la Nación, al tiempo que hacen de su conservación uno de los objetivos centrales del desarrollo; (iii) para esto es necesario contrarrestar las dinámicas actuales de deforestación, el comercio ilegal de flora y fauna y la degradación de ecosistemas, así como articular acciones del Estado para gestionar integralmente las áreas ambientales estratégicas del país;</w:t>
      </w:r>
      <w:r w:rsidR="00AE6F00">
        <w:rPr>
          <w:rFonts w:ascii="Arial" w:eastAsia="Calibri" w:hAnsi="Arial" w:cs="Arial"/>
          <w:sz w:val="24"/>
          <w:szCs w:val="24"/>
        </w:rPr>
        <w:t xml:space="preserve"> </w:t>
      </w:r>
      <w:r w:rsidRPr="00561D0F">
        <w:rPr>
          <w:rFonts w:ascii="Arial" w:eastAsia="Calibri" w:hAnsi="Arial" w:cs="Arial"/>
          <w:sz w:val="24"/>
          <w:szCs w:val="24"/>
        </w:rPr>
        <w:t>(iv) para lograrlo se requiere de acciones encaminadas a ejercer control y presencia del Estado en territorios donde se concentran las m</w:t>
      </w:r>
      <w:r w:rsidR="00AE6F00">
        <w:rPr>
          <w:rFonts w:ascii="Arial" w:eastAsia="Calibri" w:hAnsi="Arial" w:cs="Arial"/>
          <w:sz w:val="24"/>
          <w:szCs w:val="24"/>
        </w:rPr>
        <w:t xml:space="preserve">ayores amenazas al ambiente;(v) </w:t>
      </w:r>
      <w:r w:rsidRPr="00561D0F">
        <w:rPr>
          <w:rFonts w:ascii="Arial" w:eastAsia="Calibri" w:hAnsi="Arial" w:cs="Arial"/>
          <w:sz w:val="24"/>
          <w:szCs w:val="24"/>
        </w:rPr>
        <w:t>para lograr los principales objetivos del Pacto por la Sostenibilidad es necesario modernizar y fortalecer la institucionalidad ambiental y así, una mayor transparencia y eficiencia en los procesos y procedimientos, y generar información accesible y oportuna para todos los sectores productivos y la población, a la vez que se promueve la transformación social a partir de la educación y la cultura ambiental, el diálogo y el manejo de los conflictos socioambientales, y la apropiación del territorio.</w:t>
      </w:r>
    </w:p>
    <w:p w14:paraId="7A1690AF" w14:textId="77777777" w:rsidR="00561D0F" w:rsidRPr="00561D0F" w:rsidRDefault="00561D0F" w:rsidP="00561D0F">
      <w:pPr>
        <w:spacing w:after="0" w:line="240" w:lineRule="auto"/>
        <w:jc w:val="both"/>
        <w:rPr>
          <w:rFonts w:ascii="Arial" w:eastAsia="Calibri" w:hAnsi="Arial" w:cs="Arial"/>
          <w:color w:val="C00000"/>
          <w:sz w:val="24"/>
          <w:szCs w:val="24"/>
        </w:rPr>
      </w:pPr>
    </w:p>
    <w:p w14:paraId="4EB995FD"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Pacto por la Sostenibilidad implementa adicionalmente la Agenda 2030 y los Objetivos de Desarrollo Sostenible (ODS)</w:t>
      </w:r>
      <w:r w:rsidRPr="00561D0F">
        <w:rPr>
          <w:rFonts w:ascii="Arial" w:eastAsia="Calibri" w:hAnsi="Arial" w:cs="Arial"/>
          <w:sz w:val="24"/>
          <w:szCs w:val="24"/>
          <w:vertAlign w:val="superscript"/>
        </w:rPr>
        <w:footnoteReference w:id="11"/>
      </w:r>
      <w:r w:rsidRPr="00561D0F">
        <w:rPr>
          <w:rFonts w:ascii="Arial" w:eastAsia="Calibri" w:hAnsi="Arial" w:cs="Arial"/>
          <w:sz w:val="24"/>
          <w:szCs w:val="24"/>
        </w:rPr>
        <w:t>, así como los lineamientos de la Organización para la Cooperación y el Desarrollo Económico (OCDE) en materia ambiental.</w:t>
      </w:r>
    </w:p>
    <w:p w14:paraId="40BBF409" w14:textId="77777777" w:rsidR="00561D0F" w:rsidRPr="00561D0F" w:rsidRDefault="00561D0F" w:rsidP="00561D0F">
      <w:pPr>
        <w:spacing w:after="0" w:line="240" w:lineRule="auto"/>
        <w:jc w:val="both"/>
        <w:rPr>
          <w:rFonts w:ascii="Arial" w:eastAsia="Calibri" w:hAnsi="Arial" w:cs="Arial"/>
          <w:color w:val="C00000"/>
          <w:sz w:val="24"/>
          <w:szCs w:val="24"/>
        </w:rPr>
      </w:pPr>
    </w:p>
    <w:p w14:paraId="058DD10B"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Este Pacto aporta al cumplimiento de los siguientes Objetivos de Desarrollo Sostenible - ODS:</w:t>
      </w:r>
    </w:p>
    <w:p w14:paraId="2C994952" w14:textId="77777777" w:rsidR="00561D0F" w:rsidRPr="00561D0F" w:rsidRDefault="00561D0F" w:rsidP="00561D0F">
      <w:pPr>
        <w:spacing w:after="0" w:line="240" w:lineRule="auto"/>
        <w:jc w:val="both"/>
        <w:rPr>
          <w:rFonts w:ascii="Arial" w:eastAsia="Calibri" w:hAnsi="Arial" w:cs="Arial"/>
          <w:sz w:val="24"/>
          <w:szCs w:val="24"/>
        </w:rPr>
      </w:pPr>
    </w:p>
    <w:p w14:paraId="0F9E9CB8"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1: Fin de la pobreza.</w:t>
      </w:r>
    </w:p>
    <w:p w14:paraId="52EEEEB9"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lastRenderedPageBreak/>
        <w:t>-</w:t>
      </w:r>
      <w:r w:rsidRPr="00561D0F">
        <w:rPr>
          <w:rFonts w:ascii="Arial" w:eastAsia="Calibri" w:hAnsi="Arial" w:cs="Arial"/>
          <w:sz w:val="24"/>
          <w:szCs w:val="24"/>
        </w:rPr>
        <w:tab/>
        <w:t>ODS 2: Hambre cero.</w:t>
      </w:r>
    </w:p>
    <w:p w14:paraId="33490BAB"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3: Salud y bienestar.</w:t>
      </w:r>
    </w:p>
    <w:p w14:paraId="14517E82"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6: Agua limpia y saneamiento.</w:t>
      </w:r>
    </w:p>
    <w:p w14:paraId="156EFD79"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7: Energía asequible y no contaminante.</w:t>
      </w:r>
    </w:p>
    <w:p w14:paraId="5DFEBFEE"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8: Trabajo decente y desarrollo económico.</w:t>
      </w:r>
    </w:p>
    <w:p w14:paraId="1115F76A"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9: Industria, innovación e infraestructura.</w:t>
      </w:r>
    </w:p>
    <w:p w14:paraId="12C14AD8"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11: Ciudades y comunidades sostenibles.</w:t>
      </w:r>
    </w:p>
    <w:p w14:paraId="1C60EFD3"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12: Producción y consumo responsable.</w:t>
      </w:r>
    </w:p>
    <w:p w14:paraId="4DDD43B3"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13: Acción por el clima.</w:t>
      </w:r>
    </w:p>
    <w:p w14:paraId="3C7AFFE5"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14: Vida submarina.</w:t>
      </w:r>
    </w:p>
    <w:p w14:paraId="55B7D42C"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15: Vida de ecosistemas terrestres, y,</w:t>
      </w:r>
    </w:p>
    <w:p w14:paraId="08538FFA"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w:t>
      </w:r>
      <w:r w:rsidRPr="00561D0F">
        <w:rPr>
          <w:rFonts w:ascii="Arial" w:eastAsia="Calibri" w:hAnsi="Arial" w:cs="Arial"/>
          <w:sz w:val="24"/>
          <w:szCs w:val="24"/>
        </w:rPr>
        <w:tab/>
        <w:t>ODS 16: Paz, justicia e instituciones sólidas.</w:t>
      </w:r>
    </w:p>
    <w:p w14:paraId="08C72431" w14:textId="77777777" w:rsidR="00561D0F" w:rsidRPr="00561D0F" w:rsidRDefault="00561D0F" w:rsidP="00561D0F">
      <w:pPr>
        <w:spacing w:after="0" w:line="240" w:lineRule="auto"/>
        <w:jc w:val="both"/>
        <w:rPr>
          <w:rFonts w:ascii="Arial" w:eastAsia="Calibri" w:hAnsi="Arial" w:cs="Arial"/>
          <w:sz w:val="24"/>
          <w:szCs w:val="24"/>
        </w:rPr>
      </w:pPr>
    </w:p>
    <w:p w14:paraId="5AC43262"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Dentro del componente de “instituciones ambientales modernas, apropiación social de la biodiversidad y manejo efectivo de los conflictos socioambientales” del Pacto por la Sostenibilidad, se señala que “[…] en el territorio, los conflictos socioambientales se han manifestado especialmente mediante la extracción ilícita de materiales, la deforestación y la degradación ambiental. Estos conflictos han concluido en fallos judiciales, que instan a avanzar en una coordinación interinstitucional e intersectorial con la concurrencia de las entidades del Estado y otros actores, con el fin de dar respuesta a estos problemas y, al mismo tiempo, fomentar una participación ciudadana educada, apropiada del territorio, capacitada, informada y con conciencia ambiental […]”. (Bases del Plan Nacional de Desarrollo 2018-2022, pág. 431).</w:t>
      </w:r>
    </w:p>
    <w:p w14:paraId="33CDB77D" w14:textId="77777777" w:rsidR="00561D0F" w:rsidRPr="00561D0F" w:rsidRDefault="00561D0F" w:rsidP="00561D0F">
      <w:pPr>
        <w:spacing w:after="0" w:line="240" w:lineRule="auto"/>
        <w:jc w:val="both"/>
        <w:rPr>
          <w:rFonts w:ascii="Arial" w:eastAsia="Calibri" w:hAnsi="Arial" w:cs="Arial"/>
          <w:color w:val="C00000"/>
          <w:sz w:val="24"/>
          <w:szCs w:val="24"/>
        </w:rPr>
      </w:pPr>
    </w:p>
    <w:p w14:paraId="760500BC"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El documento que soporta el Plan Nacional de Desarrollo 2018-2022 especifica en uno de sus acapites que “[…] la debilidad institucional, la desarticulación interinstitucional, los sistemas de información débiles y la falta de presencia del Estado en áreas ambientales estratégicas, han incrementado los conflictos socioambientales que se desarrollan principalmente en zonas rurales, relacionados con el uso, ocupación, tenencia y acceso a los recursos naturales. En este sentido, los sectores que más eventos conflictivos presentan son: la minería (33%), los combustibles fósiles (25%), la extracción de biomasa (16%) y la gestión del agua (12%) (Pérez-Rincón, 2016). Como respuesta a estos conflictos la rama judicial ha proferido pronunciamientos, con el fin de restaurar los ecosistemas estratégicos y propiciar una coordinación interinstitucional que permita transformar los conflictos generados, de manera especial, por la extracción ilícita de minerales y la deforestación. Sin embargo, para el cumplimiento de estos fallos, se requiere de la participación y financiación de otros sectores, además del ambiental […]. (Ver Bases del Plan Nacional de Desarrollo 2018-2022, pág. 434).</w:t>
      </w:r>
    </w:p>
    <w:p w14:paraId="38FA33B1" w14:textId="77777777" w:rsidR="00561D0F" w:rsidRPr="00561D0F" w:rsidRDefault="00561D0F" w:rsidP="00561D0F">
      <w:pPr>
        <w:spacing w:after="0" w:line="240" w:lineRule="auto"/>
        <w:jc w:val="both"/>
        <w:rPr>
          <w:rFonts w:ascii="Arial" w:eastAsia="Calibri" w:hAnsi="Arial" w:cs="Arial"/>
          <w:color w:val="C00000"/>
          <w:sz w:val="24"/>
          <w:szCs w:val="24"/>
        </w:rPr>
      </w:pPr>
    </w:p>
    <w:p w14:paraId="719DEFD4"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 xml:space="preserve">Es en este orden de ideas, la gestión de los conflictos socioambientales, que se produce en la instrucción al Ministerio de Ambiente y Desarrollo Sostenible de estructurar una propuesta de educación y de especialización de tribunales judiciales y de jueces en temas </w:t>
      </w:r>
      <w:r w:rsidRPr="00561D0F">
        <w:rPr>
          <w:rFonts w:ascii="Arial" w:eastAsia="Calibri" w:hAnsi="Arial" w:cs="Arial"/>
          <w:sz w:val="24"/>
          <w:szCs w:val="24"/>
        </w:rPr>
        <w:lastRenderedPageBreak/>
        <w:t>ambientales, con el ánimo de “[…] aumentar su idoneidad y capacidad técnica para la prevención y resolución de conflictos socioambientales y económicos, que estará acompañada de un programa de capacitación a funcionarios judiciales en el campo del derecho ambiental […]”.(Ver Bases del Plan Nacional de Desarrollo 2018-2022, pág. 439).</w:t>
      </w:r>
    </w:p>
    <w:p w14:paraId="530692BF" w14:textId="77777777" w:rsidR="00561D0F" w:rsidRPr="00561D0F" w:rsidRDefault="00561D0F" w:rsidP="00561D0F">
      <w:pPr>
        <w:spacing w:after="0" w:line="240" w:lineRule="auto"/>
        <w:jc w:val="both"/>
        <w:rPr>
          <w:rFonts w:ascii="Arial" w:eastAsia="Calibri" w:hAnsi="Arial" w:cs="Arial"/>
          <w:color w:val="C00000"/>
          <w:sz w:val="24"/>
          <w:szCs w:val="24"/>
        </w:rPr>
      </w:pPr>
    </w:p>
    <w:p w14:paraId="3E38979B"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Por esta otra razón definida, es acorde la creación de una especialidad ambiental en la jurisdicción de lo contencioso administrativo de Colombia.</w:t>
      </w:r>
    </w:p>
    <w:p w14:paraId="1C1CF691" w14:textId="77777777" w:rsidR="00561D0F" w:rsidRPr="00561D0F" w:rsidRDefault="00561D0F" w:rsidP="00561D0F">
      <w:pPr>
        <w:spacing w:after="0" w:line="240" w:lineRule="auto"/>
        <w:jc w:val="both"/>
        <w:rPr>
          <w:rFonts w:ascii="Arial" w:eastAsia="Calibri" w:hAnsi="Arial" w:cs="Arial"/>
          <w:color w:val="C00000"/>
          <w:sz w:val="24"/>
          <w:szCs w:val="24"/>
        </w:rPr>
      </w:pPr>
    </w:p>
    <w:p w14:paraId="1E2BE9AD" w14:textId="77777777" w:rsidR="00561D0F" w:rsidRPr="00561D0F" w:rsidRDefault="00561D0F" w:rsidP="00561D0F">
      <w:pPr>
        <w:spacing w:after="0" w:line="240" w:lineRule="auto"/>
        <w:jc w:val="both"/>
        <w:rPr>
          <w:rFonts w:ascii="Arial" w:eastAsia="Calibri" w:hAnsi="Arial" w:cs="Arial"/>
          <w:color w:val="C00000"/>
          <w:sz w:val="24"/>
          <w:szCs w:val="24"/>
        </w:rPr>
      </w:pPr>
    </w:p>
    <w:p w14:paraId="15B052E3" w14:textId="77777777" w:rsidR="00561D0F" w:rsidRPr="00561D0F" w:rsidRDefault="00561D0F" w:rsidP="00561D0F">
      <w:pPr>
        <w:numPr>
          <w:ilvl w:val="0"/>
          <w:numId w:val="44"/>
        </w:numPr>
        <w:spacing w:after="0" w:line="240" w:lineRule="auto"/>
        <w:contextualSpacing/>
        <w:jc w:val="both"/>
        <w:rPr>
          <w:rFonts w:ascii="Arial" w:eastAsia="Calibri" w:hAnsi="Arial" w:cs="Arial"/>
          <w:b/>
          <w:bCs/>
          <w:sz w:val="24"/>
          <w:szCs w:val="24"/>
        </w:rPr>
      </w:pPr>
      <w:r w:rsidRPr="00561D0F">
        <w:rPr>
          <w:rFonts w:ascii="Arial" w:eastAsia="Calibri" w:hAnsi="Arial" w:cs="Arial"/>
          <w:b/>
          <w:bCs/>
          <w:sz w:val="24"/>
          <w:szCs w:val="24"/>
        </w:rPr>
        <w:t>DERECHO COMPARADO</w:t>
      </w:r>
    </w:p>
    <w:p w14:paraId="28689B6B" w14:textId="77777777" w:rsidR="00561D0F" w:rsidRPr="00561D0F" w:rsidRDefault="00561D0F" w:rsidP="00561D0F">
      <w:pPr>
        <w:spacing w:after="0" w:line="240" w:lineRule="auto"/>
        <w:jc w:val="both"/>
        <w:rPr>
          <w:rFonts w:ascii="Arial" w:eastAsia="Calibri" w:hAnsi="Arial" w:cs="Arial"/>
          <w:sz w:val="24"/>
          <w:szCs w:val="24"/>
        </w:rPr>
      </w:pPr>
    </w:p>
    <w:p w14:paraId="501F2040"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En la actualidad se tiene conocimiento de la existencia tribunales ambientales en Australia, Austria, Bahamas, Bangladesh, Bélgica, Bolivia, Brasil, Canadá, Chile, China, Costa Rica, Dinamarca, Estados Unidos, España, Islas Fiyi, Filipinas, Finlandia, Grecia, Guyana, Hungría, Holanda, India, Indonesia, Irlanda, Jamaica, Japón, Kenia, Corea del Sur, Liberia, Malawi, Malasia, Mauritania, Nueva Zelanda, Nigeria, Pakistán, Sudáfrica, Sudán, Suecia, Tanzania, Tailandia y Trinidad y Tobago.</w:t>
      </w:r>
    </w:p>
    <w:p w14:paraId="552522EC" w14:textId="77777777" w:rsidR="00561D0F" w:rsidRPr="00561D0F" w:rsidRDefault="00561D0F" w:rsidP="00561D0F">
      <w:pPr>
        <w:spacing w:after="0" w:line="240" w:lineRule="auto"/>
        <w:jc w:val="both"/>
        <w:rPr>
          <w:rFonts w:ascii="Arial" w:eastAsia="Calibri" w:hAnsi="Arial" w:cs="Arial"/>
          <w:sz w:val="24"/>
          <w:szCs w:val="24"/>
        </w:rPr>
      </w:pPr>
    </w:p>
    <w:p w14:paraId="0CB99240"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Entre las muchas diversas experiencias que se tienen al respecto en diferentes países, llama la atención el caso particular de Chile, que merece ser estudiado por aparte. Mediante la Ley 20600 del veintiocho (28) de junio del año 2012</w:t>
      </w:r>
      <w:r w:rsidRPr="00561D0F">
        <w:rPr>
          <w:rFonts w:ascii="Arial" w:eastAsia="Calibri" w:hAnsi="Arial" w:cs="Arial"/>
          <w:sz w:val="24"/>
          <w:szCs w:val="24"/>
          <w:vertAlign w:val="superscript"/>
        </w:rPr>
        <w:footnoteReference w:id="12"/>
      </w:r>
      <w:r w:rsidRPr="00561D0F">
        <w:rPr>
          <w:rFonts w:ascii="Arial" w:eastAsia="Calibri" w:hAnsi="Arial" w:cs="Arial"/>
          <w:sz w:val="24"/>
          <w:szCs w:val="24"/>
        </w:rPr>
        <w:t xml:space="preserve"> se crean en ese país tres tribunales ambientales que tienen como función principal “resolver las controversias ambientales de su competencia y ocuparse de los demás asuntos que la ley somete a su conocimiento”. Son despachos jurisdiccionales especiales que no forman parte del poder judicial del país, aunque se encuentran bajo la vigilancia y la dependencia económica de la Corte Suprema.</w:t>
      </w:r>
    </w:p>
    <w:p w14:paraId="462C64E9" w14:textId="77777777" w:rsidR="00561D0F" w:rsidRPr="00561D0F" w:rsidRDefault="00561D0F" w:rsidP="00561D0F">
      <w:pPr>
        <w:spacing w:after="0" w:line="240" w:lineRule="auto"/>
        <w:jc w:val="both"/>
        <w:rPr>
          <w:rFonts w:ascii="Arial" w:eastAsia="Calibri" w:hAnsi="Arial" w:cs="Arial"/>
          <w:sz w:val="24"/>
          <w:szCs w:val="24"/>
        </w:rPr>
      </w:pPr>
    </w:p>
    <w:p w14:paraId="3028194F"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rPr>
        <w:t>Cada tribunal ambiental en Chile está integrado por tres ministros (equivalente a un magistrado colombiano); dos (2) de ellos deben tener título de abogado, haber ejercido la profesión por un período no inferior a diez (10) años y haberse destacado en la actividad profesional o académica especializada en materias de Derecho Administrativo o Derecho Ambiental. El tercero de los ministros debe ser un licenciado en Ciencias con especialización en materias ambientales y con al menos diez (10) años de ejercicio profesional. Cada Tribunal tendrá dos (2) ministros suplentes, uno de ellos deberá tener el título de abogado y el otro el de licenciado en Ciencias. Esto significa que de los cinco integrantes de cada tribunal (entre principales y suplentes), tres (3) son abogados y dos (2) provienen de Ciencias.</w:t>
      </w:r>
    </w:p>
    <w:p w14:paraId="0D5FBD4D" w14:textId="77777777" w:rsidR="00561D0F" w:rsidRPr="00561D0F" w:rsidRDefault="00561D0F" w:rsidP="00561D0F">
      <w:pPr>
        <w:spacing w:after="0" w:line="240" w:lineRule="auto"/>
        <w:jc w:val="both"/>
        <w:rPr>
          <w:rFonts w:ascii="Arial" w:eastAsia="Calibri" w:hAnsi="Arial" w:cs="Arial"/>
          <w:color w:val="C00000"/>
          <w:sz w:val="24"/>
          <w:szCs w:val="24"/>
        </w:rPr>
      </w:pPr>
    </w:p>
    <w:p w14:paraId="2CEDDF08" w14:textId="77777777" w:rsidR="00561D0F" w:rsidRPr="00561D0F" w:rsidRDefault="00561D0F" w:rsidP="00561D0F">
      <w:pPr>
        <w:spacing w:after="0" w:line="240" w:lineRule="auto"/>
        <w:jc w:val="both"/>
        <w:rPr>
          <w:rFonts w:ascii="Arial" w:eastAsia="Calibri" w:hAnsi="Arial" w:cs="Arial"/>
          <w:color w:val="C00000"/>
          <w:sz w:val="24"/>
          <w:szCs w:val="24"/>
        </w:rPr>
      </w:pPr>
    </w:p>
    <w:p w14:paraId="3C920841"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lastRenderedPageBreak/>
        <w:t>Los ministros permanecerán seis (6) años en sus cargos, y pueden ser reelegidos hasta por dos períodos sucesivos.</w:t>
      </w:r>
    </w:p>
    <w:p w14:paraId="495370FE" w14:textId="77777777" w:rsidR="00561D0F" w:rsidRPr="00561D0F" w:rsidRDefault="00561D0F" w:rsidP="00561D0F">
      <w:pPr>
        <w:spacing w:after="0" w:line="240" w:lineRule="auto"/>
        <w:jc w:val="both"/>
        <w:rPr>
          <w:rFonts w:ascii="Arial" w:eastAsia="Calibri" w:hAnsi="Arial" w:cs="Arial"/>
          <w:color w:val="C00000"/>
          <w:sz w:val="24"/>
          <w:szCs w:val="24"/>
        </w:rPr>
      </w:pPr>
    </w:p>
    <w:p w14:paraId="21228FC6"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La organización de los tribunales ambientales en Chile obedece a la siguiente distribución territorial:</w:t>
      </w:r>
    </w:p>
    <w:p w14:paraId="45F26E0E" w14:textId="77777777" w:rsidR="00561D0F" w:rsidRPr="00561D0F" w:rsidRDefault="00561D0F" w:rsidP="00561D0F">
      <w:pPr>
        <w:spacing w:after="0" w:line="240" w:lineRule="auto"/>
        <w:jc w:val="both"/>
        <w:rPr>
          <w:rFonts w:ascii="Arial" w:eastAsia="Calibri" w:hAnsi="Arial" w:cs="Arial"/>
          <w:sz w:val="24"/>
          <w:szCs w:val="24"/>
        </w:rPr>
      </w:pPr>
    </w:p>
    <w:p w14:paraId="0074E1BC"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a)</w:t>
      </w:r>
      <w:r w:rsidRPr="00561D0F">
        <w:rPr>
          <w:rFonts w:ascii="Arial" w:eastAsia="Calibri" w:hAnsi="Arial" w:cs="Arial"/>
          <w:sz w:val="24"/>
          <w:szCs w:val="24"/>
        </w:rPr>
        <w:tab/>
        <w:t>El Primer Tribunal Ambiental tiene como sede la comuna de Antofagasta, con competencia en las regiones de Arica y Parinacota, de Tarapacá, de Antofagasta, de Atacama y de Coquimbo.</w:t>
      </w:r>
    </w:p>
    <w:p w14:paraId="1D99E5CC" w14:textId="77777777" w:rsidR="00043162" w:rsidRDefault="00043162" w:rsidP="00561D0F">
      <w:pPr>
        <w:spacing w:after="0" w:line="240" w:lineRule="auto"/>
        <w:jc w:val="both"/>
        <w:rPr>
          <w:rFonts w:ascii="Arial" w:eastAsia="Calibri" w:hAnsi="Arial" w:cs="Arial"/>
          <w:sz w:val="24"/>
          <w:szCs w:val="24"/>
        </w:rPr>
      </w:pPr>
    </w:p>
    <w:p w14:paraId="1F04AA30" w14:textId="4BB298BA"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b)</w:t>
      </w:r>
      <w:r w:rsidRPr="00561D0F">
        <w:rPr>
          <w:rFonts w:ascii="Arial" w:eastAsia="Calibri" w:hAnsi="Arial" w:cs="Arial"/>
          <w:sz w:val="24"/>
          <w:szCs w:val="24"/>
        </w:rPr>
        <w:tab/>
        <w:t>El Segundo Tribunal Ambiental tiene como sede la comuna de Santiago, con competencia territorial en las regiones de Valparaíso, Metropolitana de Santiago, del Libertador General Bernardo O´Higgins y del Maule.</w:t>
      </w:r>
    </w:p>
    <w:p w14:paraId="20A28044" w14:textId="77777777" w:rsidR="00043162" w:rsidRDefault="00043162" w:rsidP="00561D0F">
      <w:pPr>
        <w:spacing w:after="0" w:line="240" w:lineRule="auto"/>
        <w:jc w:val="both"/>
        <w:rPr>
          <w:rFonts w:ascii="Arial" w:eastAsia="Calibri" w:hAnsi="Arial" w:cs="Arial"/>
          <w:sz w:val="24"/>
          <w:szCs w:val="24"/>
        </w:rPr>
      </w:pPr>
    </w:p>
    <w:p w14:paraId="1101B275" w14:textId="34118EDD"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c)</w:t>
      </w:r>
      <w:r w:rsidRPr="00561D0F">
        <w:rPr>
          <w:rFonts w:ascii="Arial" w:eastAsia="Calibri" w:hAnsi="Arial" w:cs="Arial"/>
          <w:sz w:val="24"/>
          <w:szCs w:val="24"/>
        </w:rPr>
        <w:tab/>
        <w:t>El Tercer Tribunal Ambiental tiene como asiento la comuna de Valdivia, y competencia territorial en las regiones del Ñuble, del Biobío, de la Araucanía, de Los Ríos, de Los Lagos, de Aysén, del General Carlos Ibáñez del Campo, de Magallanes y de la Antártica Chilena.</w:t>
      </w:r>
    </w:p>
    <w:p w14:paraId="0927E845" w14:textId="77777777" w:rsidR="00561D0F" w:rsidRPr="00561D0F" w:rsidRDefault="00561D0F" w:rsidP="00561D0F">
      <w:pPr>
        <w:spacing w:after="0" w:line="240" w:lineRule="auto"/>
        <w:jc w:val="both"/>
        <w:rPr>
          <w:rFonts w:ascii="Arial" w:eastAsia="Calibri" w:hAnsi="Arial" w:cs="Arial"/>
          <w:color w:val="C00000"/>
          <w:sz w:val="24"/>
          <w:szCs w:val="24"/>
        </w:rPr>
      </w:pPr>
    </w:p>
    <w:p w14:paraId="5B064BE9"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En Chile los tribunales ambientales asumen el conocimiento de reclamaciones que se interpongan en contra de actos administrativos de carácter ambiental. En consecuencia, se ha de entender que se trata de entes jurisdiccionales que tienen el carácter de un tribunal de lo contencioso administrativo ambiental. Por tanto, respecto del daño ambiental la ley hace una remisión expresa a los tribunales ambientales, de la competencia que antes se encontraba radicada en los juzgados de letras en lo civil.</w:t>
      </w:r>
    </w:p>
    <w:p w14:paraId="1B9B0B9E" w14:textId="77777777" w:rsidR="00561D0F" w:rsidRPr="00561D0F" w:rsidRDefault="00561D0F" w:rsidP="00561D0F">
      <w:pPr>
        <w:spacing w:after="0" w:line="240" w:lineRule="auto"/>
        <w:jc w:val="both"/>
        <w:rPr>
          <w:rFonts w:ascii="Arial" w:eastAsia="Calibri" w:hAnsi="Arial" w:cs="Arial"/>
          <w:sz w:val="24"/>
          <w:szCs w:val="24"/>
        </w:rPr>
      </w:pPr>
    </w:p>
    <w:p w14:paraId="26195FA7"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Se trae a colación el caso de los tribunales chilenos porque su experiencia con integrantes que no son abogados enriquece el debate, profundiza el componente técnico y científico de sus decisiones y contribuye a la calidad y a la pertinencia de sus decisiones. Para Colombia se propone que los despachos ambientales que se vayan a crear tengan su propio “Grupo de Apoyo Interdisciplinario”, no con rango de magistrado titular sino de magistrado auxiliar.</w:t>
      </w:r>
    </w:p>
    <w:p w14:paraId="36774670" w14:textId="77777777" w:rsidR="00561D0F" w:rsidRPr="00561D0F" w:rsidRDefault="00561D0F" w:rsidP="00561D0F">
      <w:pPr>
        <w:spacing w:after="0" w:line="240" w:lineRule="auto"/>
        <w:jc w:val="both"/>
        <w:rPr>
          <w:rFonts w:ascii="Arial" w:eastAsia="Calibri" w:hAnsi="Arial" w:cs="Arial"/>
          <w:color w:val="C00000"/>
          <w:sz w:val="24"/>
          <w:szCs w:val="24"/>
        </w:rPr>
      </w:pPr>
    </w:p>
    <w:p w14:paraId="18D5F614"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En Colombia la mayoría de los temas ambientales se vienen atendiendo a través de las acciones populares en la jurisdicción de lo contencioso administrativo, sin perjuicio de las acciones de tutela que pueden ser radicadas en cualquier otro despacho judicial.</w:t>
      </w:r>
    </w:p>
    <w:p w14:paraId="634E2A5D" w14:textId="77777777" w:rsidR="00561D0F" w:rsidRPr="00561D0F" w:rsidRDefault="00561D0F" w:rsidP="00561D0F">
      <w:pPr>
        <w:spacing w:after="0" w:line="240" w:lineRule="auto"/>
        <w:jc w:val="both"/>
        <w:rPr>
          <w:rFonts w:ascii="Arial" w:eastAsia="Calibri" w:hAnsi="Arial" w:cs="Arial"/>
          <w:sz w:val="24"/>
          <w:szCs w:val="24"/>
        </w:rPr>
      </w:pPr>
    </w:p>
    <w:p w14:paraId="48BC2E77" w14:textId="77777777" w:rsidR="00561D0F" w:rsidRPr="00561D0F" w:rsidRDefault="00561D0F" w:rsidP="00561D0F">
      <w:pPr>
        <w:spacing w:after="0" w:line="240" w:lineRule="auto"/>
        <w:jc w:val="both"/>
        <w:rPr>
          <w:rFonts w:ascii="Arial" w:eastAsia="Calibri" w:hAnsi="Arial" w:cs="Arial"/>
          <w:sz w:val="24"/>
          <w:szCs w:val="24"/>
        </w:rPr>
      </w:pPr>
      <w:r w:rsidRPr="00561D0F">
        <w:rPr>
          <w:rFonts w:ascii="Arial" w:eastAsia="Calibri" w:hAnsi="Arial" w:cs="Arial"/>
          <w:sz w:val="24"/>
          <w:szCs w:val="24"/>
        </w:rPr>
        <w:t>La creación de la especialidad ambiental en la jurisdicción de lo contencioso administrativo es una oportunidad histórica que tiene el Estado colombiano para modernizar su aparato judicial, atendiendo la realidad social y económica del campo y del ambiente en el país.</w:t>
      </w:r>
    </w:p>
    <w:p w14:paraId="764F6EA8" w14:textId="77777777" w:rsidR="00561D0F" w:rsidRPr="00561D0F" w:rsidRDefault="00561D0F" w:rsidP="00561D0F">
      <w:pPr>
        <w:spacing w:after="0" w:line="240" w:lineRule="auto"/>
        <w:jc w:val="both"/>
        <w:rPr>
          <w:rFonts w:ascii="Arial" w:eastAsia="Calibri" w:hAnsi="Arial" w:cs="Arial"/>
          <w:color w:val="C00000"/>
          <w:sz w:val="24"/>
          <w:szCs w:val="24"/>
        </w:rPr>
      </w:pPr>
    </w:p>
    <w:p w14:paraId="605524A8" w14:textId="77777777" w:rsidR="00561D0F" w:rsidRPr="00561D0F" w:rsidRDefault="00561D0F" w:rsidP="00561D0F">
      <w:pPr>
        <w:numPr>
          <w:ilvl w:val="0"/>
          <w:numId w:val="44"/>
        </w:numPr>
        <w:spacing w:after="0" w:line="240" w:lineRule="auto"/>
        <w:contextualSpacing/>
        <w:jc w:val="both"/>
        <w:rPr>
          <w:rFonts w:ascii="Arial" w:eastAsia="Calibri" w:hAnsi="Arial" w:cs="Arial"/>
          <w:b/>
          <w:bCs/>
          <w:color w:val="C00000"/>
          <w:sz w:val="24"/>
          <w:szCs w:val="24"/>
          <w:lang w:val="es-ES"/>
        </w:rPr>
      </w:pPr>
      <w:r w:rsidRPr="00561D0F">
        <w:rPr>
          <w:rFonts w:ascii="Arial" w:eastAsia="Calibri" w:hAnsi="Arial" w:cs="Arial"/>
          <w:b/>
          <w:bCs/>
          <w:color w:val="C00000"/>
          <w:sz w:val="24"/>
          <w:szCs w:val="24"/>
          <w:lang w:val="es-ES"/>
        </w:rPr>
        <w:lastRenderedPageBreak/>
        <w:t xml:space="preserve"> </w:t>
      </w:r>
      <w:r w:rsidRPr="00561D0F">
        <w:rPr>
          <w:rFonts w:ascii="Arial" w:eastAsia="Calibri" w:hAnsi="Arial" w:cs="Arial"/>
          <w:b/>
          <w:bCs/>
          <w:sz w:val="24"/>
          <w:szCs w:val="24"/>
          <w:lang w:val="es-ES"/>
        </w:rPr>
        <w:t>POSIBLES CONFLICTOS DE INTERÉS</w:t>
      </w:r>
    </w:p>
    <w:p w14:paraId="3D6C2429" w14:textId="77777777" w:rsidR="00561D0F" w:rsidRPr="00561D0F" w:rsidRDefault="00561D0F" w:rsidP="00561D0F">
      <w:pPr>
        <w:spacing w:after="0" w:line="240" w:lineRule="auto"/>
        <w:jc w:val="both"/>
        <w:rPr>
          <w:rFonts w:ascii="Arial" w:eastAsia="Calibri" w:hAnsi="Arial" w:cs="Arial"/>
          <w:color w:val="C00000"/>
          <w:sz w:val="24"/>
          <w:szCs w:val="24"/>
          <w:lang w:val="es-ES"/>
        </w:rPr>
      </w:pPr>
    </w:p>
    <w:p w14:paraId="78B41EA5"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lang w:val="es-ES"/>
        </w:rPr>
        <w:t>Teniendo en cuenta lo establecido en el artículo 3 de la Ley 2003 del 19 de noviembre de 2019, “</w:t>
      </w:r>
      <w:r w:rsidRPr="00561D0F">
        <w:rPr>
          <w:rFonts w:ascii="Arial" w:eastAsia="Calibri" w:hAnsi="Arial" w:cs="Arial"/>
          <w:i/>
          <w:iCs/>
          <w:sz w:val="24"/>
          <w:szCs w:val="24"/>
          <w:lang w:val="es-ES"/>
        </w:rPr>
        <w:t>por la cual se modifica parcialmente la Ley 5 de 1992 y se dictan otras disposiciones</w:t>
      </w:r>
      <w:r w:rsidRPr="00561D0F">
        <w:rPr>
          <w:rFonts w:ascii="Arial" w:eastAsia="Calibri" w:hAnsi="Arial" w:cs="Arial"/>
          <w:sz w:val="24"/>
          <w:szCs w:val="24"/>
          <w:lang w:val="es-ES"/>
        </w:rPr>
        <w:t>”, que modifica el artículo 291 de la Ley 5 de 1992, en la que se estableció que el autor del proyecto de ley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el presente proyecto ley estatutaria no configura en principio un beneficio particular, actual y directo para ningún congresista, pues es un proyecto que no versa sobre derechos u obligaciones particulares.</w:t>
      </w:r>
    </w:p>
    <w:p w14:paraId="31089368" w14:textId="77777777" w:rsidR="00561D0F" w:rsidRPr="00561D0F" w:rsidRDefault="00561D0F" w:rsidP="00561D0F">
      <w:pPr>
        <w:spacing w:after="0" w:line="240" w:lineRule="auto"/>
        <w:jc w:val="both"/>
        <w:rPr>
          <w:rFonts w:ascii="Arial" w:eastAsia="Calibri" w:hAnsi="Arial" w:cs="Arial"/>
          <w:color w:val="C00000"/>
          <w:sz w:val="24"/>
          <w:szCs w:val="24"/>
          <w:lang w:val="es-ES"/>
        </w:rPr>
      </w:pPr>
    </w:p>
    <w:p w14:paraId="310BD32D"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lang w:val="es-ES"/>
        </w:rPr>
        <w:t>Frente al Proyecto de Ley Estatutaria, se considera que pueden existir conflictos de interés relacionados con: - El interés particular, actual y directo de los congresistas derivado de que su cónyuge, compañero o compañera permanente, o parientes dentro del segundo grado de consanguinidad, segundo de afinidad o primero civil hagan parte de la jurisdicción de lo contencioso administrativo de la Rama Judicial.</w:t>
      </w:r>
    </w:p>
    <w:p w14:paraId="2DB12962" w14:textId="77777777" w:rsidR="00561D0F" w:rsidRPr="00561D0F" w:rsidRDefault="00561D0F" w:rsidP="00561D0F">
      <w:pPr>
        <w:spacing w:after="0" w:line="240" w:lineRule="auto"/>
        <w:jc w:val="both"/>
        <w:rPr>
          <w:rFonts w:ascii="Arial" w:eastAsia="Calibri" w:hAnsi="Arial" w:cs="Arial"/>
          <w:sz w:val="24"/>
          <w:szCs w:val="24"/>
          <w:lang w:val="es-ES"/>
        </w:rPr>
      </w:pPr>
    </w:p>
    <w:p w14:paraId="008D6BBF"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lang w:val="es-ES"/>
        </w:rPr>
        <w:t xml:space="preserve">Finalmente, el artículo 183 de la Constitución Política consagra los conflictos de interés como causal de pérdida de investidura. Igualmente, el artículo 286 de la Ley 5 de 1992 establece el régimen de conflicto de interés de los congresistas. </w:t>
      </w:r>
    </w:p>
    <w:p w14:paraId="4C6B3B61" w14:textId="77777777" w:rsidR="00561D0F" w:rsidRPr="00561D0F" w:rsidRDefault="00561D0F" w:rsidP="00561D0F">
      <w:pPr>
        <w:spacing w:after="0" w:line="240" w:lineRule="auto"/>
        <w:jc w:val="both"/>
        <w:rPr>
          <w:rFonts w:ascii="Arial" w:eastAsia="Calibri" w:hAnsi="Arial" w:cs="Arial"/>
          <w:sz w:val="24"/>
          <w:szCs w:val="24"/>
          <w:lang w:val="es-ES"/>
        </w:rPr>
      </w:pPr>
    </w:p>
    <w:p w14:paraId="48D1CC89"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lang w:val="es-ES"/>
        </w:rPr>
        <w:t xml:space="preserve">De conformidad con la jurisprudencia del Consejo de Estado y la Corte Constitucional, para que se configure el conflicto de intereses como causal de pérdida de investidura deben presentarse las siguientes condiciones o supuestos: </w:t>
      </w:r>
    </w:p>
    <w:p w14:paraId="33A06FF9" w14:textId="77777777" w:rsidR="00561D0F" w:rsidRPr="00561D0F" w:rsidRDefault="00561D0F" w:rsidP="00561D0F">
      <w:pPr>
        <w:spacing w:after="0" w:line="240" w:lineRule="auto"/>
        <w:jc w:val="both"/>
        <w:rPr>
          <w:rFonts w:ascii="Arial" w:eastAsia="Calibri" w:hAnsi="Arial" w:cs="Arial"/>
          <w:sz w:val="24"/>
          <w:szCs w:val="24"/>
          <w:lang w:val="es-ES"/>
        </w:rPr>
      </w:pPr>
    </w:p>
    <w:p w14:paraId="2CF472E2" w14:textId="77777777" w:rsidR="00561D0F" w:rsidRPr="00561D0F" w:rsidRDefault="00561D0F" w:rsidP="00561D0F">
      <w:pPr>
        <w:numPr>
          <w:ilvl w:val="0"/>
          <w:numId w:val="46"/>
        </w:numPr>
        <w:spacing w:after="0" w:line="240"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 xml:space="preserve">Que exista un interés directo, particular y actual: moral o económico. </w:t>
      </w:r>
    </w:p>
    <w:p w14:paraId="5DD395E5" w14:textId="77777777" w:rsidR="006A6478" w:rsidRDefault="006A6478" w:rsidP="006A6478">
      <w:pPr>
        <w:spacing w:after="0" w:line="240" w:lineRule="auto"/>
        <w:ind w:left="1080"/>
        <w:contextualSpacing/>
        <w:jc w:val="both"/>
        <w:rPr>
          <w:rFonts w:ascii="Arial" w:eastAsia="Calibri" w:hAnsi="Arial" w:cs="Arial"/>
          <w:sz w:val="24"/>
          <w:szCs w:val="24"/>
          <w:lang w:val="es-ES"/>
        </w:rPr>
      </w:pPr>
    </w:p>
    <w:p w14:paraId="38E81042" w14:textId="21CD58C7" w:rsidR="00561D0F" w:rsidRPr="00561D0F" w:rsidRDefault="00561D0F" w:rsidP="00561D0F">
      <w:pPr>
        <w:numPr>
          <w:ilvl w:val="0"/>
          <w:numId w:val="46"/>
        </w:numPr>
        <w:spacing w:after="0" w:line="240"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 xml:space="preserve">Que el congresista no manifieste su impedimento a pesar de que exista un interés directo en la decisión que se ha de tomar. </w:t>
      </w:r>
    </w:p>
    <w:p w14:paraId="0848EE59" w14:textId="77777777" w:rsidR="006A6478" w:rsidRDefault="006A6478" w:rsidP="006A6478">
      <w:pPr>
        <w:spacing w:after="0" w:line="240" w:lineRule="auto"/>
        <w:ind w:left="1080"/>
        <w:contextualSpacing/>
        <w:jc w:val="both"/>
        <w:rPr>
          <w:rFonts w:ascii="Arial" w:eastAsia="Calibri" w:hAnsi="Arial" w:cs="Arial"/>
          <w:sz w:val="24"/>
          <w:szCs w:val="24"/>
          <w:lang w:val="es-ES"/>
        </w:rPr>
      </w:pPr>
    </w:p>
    <w:p w14:paraId="39C48ABF" w14:textId="192A5699" w:rsidR="00561D0F" w:rsidRPr="00561D0F" w:rsidRDefault="00561D0F" w:rsidP="00561D0F">
      <w:pPr>
        <w:numPr>
          <w:ilvl w:val="0"/>
          <w:numId w:val="46"/>
        </w:numPr>
        <w:spacing w:after="0" w:line="240"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 xml:space="preserve">Que el congresista no haya sido separado del asunto mediante recusación. </w:t>
      </w:r>
    </w:p>
    <w:p w14:paraId="3B072459" w14:textId="77777777" w:rsidR="006A6478" w:rsidRDefault="006A6478" w:rsidP="006A6478">
      <w:pPr>
        <w:spacing w:after="0" w:line="240" w:lineRule="auto"/>
        <w:ind w:left="1080"/>
        <w:contextualSpacing/>
        <w:jc w:val="both"/>
        <w:rPr>
          <w:rFonts w:ascii="Arial" w:eastAsia="Calibri" w:hAnsi="Arial" w:cs="Arial"/>
          <w:sz w:val="24"/>
          <w:szCs w:val="24"/>
          <w:lang w:val="es-ES"/>
        </w:rPr>
      </w:pPr>
    </w:p>
    <w:p w14:paraId="440B81E6" w14:textId="70EC79BC" w:rsidR="00561D0F" w:rsidRPr="00561D0F" w:rsidRDefault="00561D0F" w:rsidP="00561D0F">
      <w:pPr>
        <w:numPr>
          <w:ilvl w:val="0"/>
          <w:numId w:val="46"/>
        </w:numPr>
        <w:spacing w:after="0" w:line="240"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 xml:space="preserve">Que el congresista haya participado en los debates y/o haya votado. </w:t>
      </w:r>
    </w:p>
    <w:p w14:paraId="4F1FF217" w14:textId="77777777" w:rsidR="006A6478" w:rsidRDefault="006A6478" w:rsidP="006A6478">
      <w:pPr>
        <w:spacing w:after="0" w:line="240" w:lineRule="auto"/>
        <w:ind w:left="1080"/>
        <w:contextualSpacing/>
        <w:jc w:val="both"/>
        <w:rPr>
          <w:rFonts w:ascii="Arial" w:eastAsia="Calibri" w:hAnsi="Arial" w:cs="Arial"/>
          <w:sz w:val="24"/>
          <w:szCs w:val="24"/>
          <w:lang w:val="es-ES"/>
        </w:rPr>
      </w:pPr>
    </w:p>
    <w:p w14:paraId="08833D75" w14:textId="1C0A3856" w:rsidR="00561D0F" w:rsidRPr="00561D0F" w:rsidRDefault="00561D0F" w:rsidP="00561D0F">
      <w:pPr>
        <w:numPr>
          <w:ilvl w:val="0"/>
          <w:numId w:val="46"/>
        </w:numPr>
        <w:spacing w:after="0" w:line="240"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 xml:space="preserve">Que la participación del congresista se haya producido en relación con el trámite de leyes o de cualquier otro asunto sometido a su conocimiento. </w:t>
      </w:r>
    </w:p>
    <w:p w14:paraId="2DD9705F" w14:textId="77777777" w:rsidR="00561D0F" w:rsidRPr="00561D0F" w:rsidRDefault="00561D0F" w:rsidP="00561D0F">
      <w:pPr>
        <w:spacing w:after="0" w:line="240" w:lineRule="auto"/>
        <w:jc w:val="both"/>
        <w:rPr>
          <w:rFonts w:ascii="Arial" w:eastAsia="Calibri" w:hAnsi="Arial" w:cs="Arial"/>
          <w:sz w:val="24"/>
          <w:szCs w:val="24"/>
          <w:lang w:val="es-ES"/>
        </w:rPr>
      </w:pPr>
    </w:p>
    <w:p w14:paraId="09B8AF34"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lang w:val="es-ES"/>
        </w:rPr>
        <w:t xml:space="preserve">En cuanto al concepto del interés del congresista que puede entrar en conflicto con el interés público, la Sala ha explicado que el mismo debe ser entendido como “una razón subjetiva que torna parcial al funcionario y que lo inhabilita para aproximarse al proceso </w:t>
      </w:r>
      <w:r w:rsidRPr="00561D0F">
        <w:rPr>
          <w:rFonts w:ascii="Arial" w:eastAsia="Calibri" w:hAnsi="Arial" w:cs="Arial"/>
          <w:sz w:val="24"/>
          <w:szCs w:val="24"/>
          <w:lang w:val="es-ES"/>
        </w:rPr>
        <w:lastRenderedPageBreak/>
        <w:t>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w:t>
      </w:r>
      <w:r w:rsidRPr="00561D0F">
        <w:rPr>
          <w:rFonts w:ascii="Arial" w:eastAsia="Calibri" w:hAnsi="Arial" w:cs="Arial"/>
          <w:sz w:val="24"/>
          <w:szCs w:val="24"/>
          <w:vertAlign w:val="superscript"/>
          <w:lang w:val="es-ES"/>
        </w:rPr>
        <w:footnoteReference w:id="13"/>
      </w:r>
      <w:r w:rsidRPr="00561D0F">
        <w:rPr>
          <w:rFonts w:ascii="Arial" w:eastAsia="Calibri" w:hAnsi="Arial" w:cs="Arial"/>
          <w:sz w:val="24"/>
          <w:szCs w:val="24"/>
          <w:lang w:val="es-ES"/>
        </w:rPr>
        <w:t>.</w:t>
      </w:r>
    </w:p>
    <w:p w14:paraId="0D260455" w14:textId="77777777" w:rsidR="00561D0F" w:rsidRPr="00561D0F" w:rsidRDefault="00561D0F" w:rsidP="00561D0F">
      <w:pPr>
        <w:spacing w:after="0" w:line="240" w:lineRule="auto"/>
        <w:jc w:val="both"/>
        <w:rPr>
          <w:rFonts w:ascii="Arial" w:eastAsia="Calibri" w:hAnsi="Arial" w:cs="Arial"/>
          <w:sz w:val="24"/>
          <w:szCs w:val="24"/>
          <w:lang w:val="es-ES"/>
        </w:rPr>
      </w:pPr>
    </w:p>
    <w:p w14:paraId="0680EB54"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lang w:val="es-ES"/>
        </w:rPr>
        <w:t>De acuerdo con la Sentencia SU-379 de 2017,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 La Sala Plena del Consejo de Estado en sentencia del 17 de octubre de 2000 afirmó frente a la pérdida de investidura de los Congresistas por violar el régimen de conflicto de intereses:</w:t>
      </w:r>
    </w:p>
    <w:p w14:paraId="1AD09CB5" w14:textId="77777777" w:rsidR="00561D0F" w:rsidRPr="00561D0F" w:rsidRDefault="00561D0F" w:rsidP="00561D0F">
      <w:pPr>
        <w:spacing w:after="0" w:line="240" w:lineRule="auto"/>
        <w:jc w:val="both"/>
        <w:rPr>
          <w:rFonts w:ascii="Arial" w:eastAsia="Calibri" w:hAnsi="Arial" w:cs="Arial"/>
          <w:sz w:val="24"/>
          <w:szCs w:val="24"/>
          <w:lang w:val="es-ES"/>
        </w:rPr>
      </w:pPr>
    </w:p>
    <w:p w14:paraId="50187F27" w14:textId="77777777" w:rsidR="00561D0F" w:rsidRPr="00561D0F" w:rsidRDefault="00561D0F" w:rsidP="00561D0F">
      <w:pPr>
        <w:spacing w:after="0" w:line="240" w:lineRule="auto"/>
        <w:ind w:left="708"/>
        <w:jc w:val="both"/>
        <w:rPr>
          <w:rFonts w:ascii="Arial" w:eastAsia="Calibri" w:hAnsi="Arial" w:cs="Arial"/>
          <w:sz w:val="24"/>
          <w:szCs w:val="24"/>
          <w:lang w:val="es-ES"/>
        </w:rPr>
      </w:pPr>
      <w:r w:rsidRPr="00561D0F">
        <w:rPr>
          <w:rFonts w:ascii="Arial" w:eastAsia="Calibri" w:hAnsi="Arial" w:cs="Arial"/>
          <w:sz w:val="24"/>
          <w:szCs w:val="24"/>
          <w:lang w:val="es-ES"/>
        </w:rPr>
        <w:t>“El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w:t>
      </w:r>
    </w:p>
    <w:p w14:paraId="56D2EC3C" w14:textId="77777777" w:rsidR="00561D0F" w:rsidRPr="00561D0F" w:rsidRDefault="00561D0F" w:rsidP="00561D0F">
      <w:pPr>
        <w:spacing w:after="0" w:line="240" w:lineRule="auto"/>
        <w:jc w:val="both"/>
        <w:rPr>
          <w:rFonts w:ascii="Arial" w:eastAsia="Calibri" w:hAnsi="Arial" w:cs="Arial"/>
          <w:sz w:val="24"/>
          <w:szCs w:val="24"/>
          <w:lang w:val="es-ES"/>
        </w:rPr>
      </w:pPr>
    </w:p>
    <w:p w14:paraId="74BD974E" w14:textId="77777777" w:rsidR="00561D0F" w:rsidRPr="00561D0F" w:rsidRDefault="00561D0F" w:rsidP="00561D0F">
      <w:pPr>
        <w:spacing w:after="0" w:line="240" w:lineRule="auto"/>
        <w:jc w:val="both"/>
        <w:rPr>
          <w:rFonts w:ascii="Arial" w:eastAsia="Calibri" w:hAnsi="Arial" w:cs="Arial"/>
          <w:sz w:val="24"/>
          <w:szCs w:val="24"/>
          <w:lang w:val="es-ES"/>
        </w:rPr>
      </w:pPr>
      <w:r w:rsidRPr="00561D0F">
        <w:rPr>
          <w:rFonts w:ascii="Arial" w:eastAsia="Calibri" w:hAnsi="Arial" w:cs="Arial"/>
          <w:sz w:val="24"/>
          <w:szCs w:val="24"/>
          <w:lang w:val="es-ES"/>
        </w:rPr>
        <w:t>Así las cosas, en cumplimiento de lo dispuesto en el artículo 291 de la Ley 5 de 1992, se advierte que no existen circunstancias o eventos que puedan generar un conflicto de interés directo para la discusión y votación del proyecto según artículo 286 de la misma Ley. Lo anterior, no exime del deber del Congresista de identificar otras causales adicionales.</w:t>
      </w:r>
    </w:p>
    <w:p w14:paraId="28627F8D" w14:textId="77777777" w:rsidR="00561D0F" w:rsidRPr="00561D0F" w:rsidRDefault="00561D0F" w:rsidP="00561D0F">
      <w:pPr>
        <w:spacing w:after="160" w:line="256" w:lineRule="auto"/>
        <w:jc w:val="both"/>
        <w:rPr>
          <w:rFonts w:ascii="Arial" w:eastAsia="Calibri" w:hAnsi="Arial" w:cs="Arial"/>
          <w:sz w:val="24"/>
          <w:szCs w:val="24"/>
          <w:shd w:val="clear" w:color="auto" w:fill="FFFFFF"/>
        </w:rPr>
      </w:pPr>
    </w:p>
    <w:p w14:paraId="65C41392" w14:textId="4283F206" w:rsidR="00561D0F" w:rsidRDefault="00561D0F" w:rsidP="00561D0F">
      <w:pPr>
        <w:numPr>
          <w:ilvl w:val="0"/>
          <w:numId w:val="44"/>
        </w:numPr>
        <w:spacing w:after="160" w:line="259" w:lineRule="auto"/>
        <w:contextualSpacing/>
        <w:jc w:val="both"/>
        <w:rPr>
          <w:rFonts w:ascii="Arial" w:eastAsia="Calibri" w:hAnsi="Arial" w:cs="Arial"/>
          <w:b/>
          <w:bCs/>
          <w:sz w:val="24"/>
          <w:szCs w:val="24"/>
          <w:shd w:val="clear" w:color="auto" w:fill="FFFFFF"/>
        </w:rPr>
      </w:pPr>
      <w:r w:rsidRPr="00561D0F">
        <w:rPr>
          <w:rFonts w:ascii="Arial" w:eastAsia="Calibri" w:hAnsi="Arial" w:cs="Arial"/>
          <w:b/>
          <w:bCs/>
          <w:sz w:val="24"/>
          <w:szCs w:val="24"/>
          <w:shd w:val="clear" w:color="auto" w:fill="FFFFFF"/>
        </w:rPr>
        <w:t>CONSIDERACIÓN</w:t>
      </w:r>
    </w:p>
    <w:p w14:paraId="5AE8B242" w14:textId="77777777" w:rsidR="00D3734B" w:rsidRPr="00561D0F" w:rsidRDefault="00D3734B" w:rsidP="00D3734B">
      <w:pPr>
        <w:spacing w:after="160" w:line="259" w:lineRule="auto"/>
        <w:ind w:left="720"/>
        <w:contextualSpacing/>
        <w:jc w:val="both"/>
        <w:rPr>
          <w:rFonts w:ascii="Arial" w:eastAsia="Calibri" w:hAnsi="Arial" w:cs="Arial"/>
          <w:b/>
          <w:bCs/>
          <w:sz w:val="24"/>
          <w:szCs w:val="24"/>
          <w:shd w:val="clear" w:color="auto" w:fill="FFFFFF"/>
        </w:rPr>
      </w:pPr>
    </w:p>
    <w:p w14:paraId="2E2FAF97" w14:textId="77777777" w:rsidR="00561D0F" w:rsidRPr="00561D0F" w:rsidRDefault="00561D0F" w:rsidP="00561D0F">
      <w:pPr>
        <w:spacing w:after="160" w:line="256" w:lineRule="auto"/>
        <w:jc w:val="both"/>
        <w:rPr>
          <w:rFonts w:ascii="Arial" w:eastAsia="Calibri" w:hAnsi="Arial" w:cs="Arial"/>
          <w:sz w:val="24"/>
          <w:szCs w:val="24"/>
        </w:rPr>
      </w:pPr>
      <w:r w:rsidRPr="00561D0F">
        <w:rPr>
          <w:rFonts w:ascii="Arial" w:eastAsia="Calibri" w:hAnsi="Arial" w:cs="Arial"/>
          <w:sz w:val="24"/>
          <w:szCs w:val="24"/>
        </w:rPr>
        <w:t xml:space="preserve">Bajo estas circunstancias presento a consideración del Honorable Congreso de la República la presente propuesta legislativa de categoría Estatutaria, “POR EL CUAL SE CREA LA ESPECIALIDAD AMBIENTAL EN LA JURISDICCIÓN DE LO CONTENCIOSO </w:t>
      </w:r>
      <w:r w:rsidRPr="00561D0F">
        <w:rPr>
          <w:rFonts w:ascii="Arial" w:eastAsia="Calibri" w:hAnsi="Arial" w:cs="Arial"/>
          <w:sz w:val="24"/>
          <w:szCs w:val="24"/>
        </w:rPr>
        <w:lastRenderedPageBreak/>
        <w:t>ADMINISTRATIVO, SE CREAN LAS SALAS ESPECIALIZADAS EN TEMAS AMBIENTALES DENTRO DE LOS TRIBUNALES ADMINISTRATIVOS Y SE MODIFICA LA LEY 270 DE 1996</w:t>
      </w:r>
      <w:r w:rsidRPr="00561D0F">
        <w:rPr>
          <w:rFonts w:ascii="Arial" w:eastAsia="Calibri" w:hAnsi="Arial" w:cs="Arial"/>
          <w:bCs/>
          <w:i/>
          <w:iCs/>
          <w:sz w:val="24"/>
          <w:szCs w:val="24"/>
        </w:rPr>
        <w:t>”</w:t>
      </w:r>
      <w:r w:rsidRPr="00561D0F">
        <w:rPr>
          <w:rFonts w:ascii="Arial" w:eastAsia="Calibri" w:hAnsi="Arial" w:cs="Arial"/>
          <w:color w:val="C00000"/>
          <w:sz w:val="24"/>
          <w:szCs w:val="24"/>
        </w:rPr>
        <w:t xml:space="preserve">. </w:t>
      </w:r>
      <w:r w:rsidRPr="00561D0F">
        <w:rPr>
          <w:rFonts w:ascii="Arial" w:eastAsia="Calibri" w:hAnsi="Arial" w:cs="Arial"/>
          <w:sz w:val="24"/>
          <w:szCs w:val="24"/>
        </w:rPr>
        <w:t>La creación de la especialidad ambiental en la jurisdicción de lo contencioso administrativo es una oportunidad histórica que tiene el Estado colombiano para modernizar su aparato judicial, atendiendo la realidad social y económica del campo y del ambiente en el país.</w:t>
      </w:r>
    </w:p>
    <w:p w14:paraId="76700EBE" w14:textId="77777777" w:rsidR="00561D0F" w:rsidRPr="00561D0F" w:rsidRDefault="00561D0F" w:rsidP="00561D0F">
      <w:pPr>
        <w:spacing w:after="160" w:line="256" w:lineRule="auto"/>
        <w:jc w:val="both"/>
        <w:rPr>
          <w:rFonts w:ascii="Arial" w:eastAsia="Calibri" w:hAnsi="Arial" w:cs="Arial"/>
          <w:sz w:val="24"/>
          <w:szCs w:val="24"/>
        </w:rPr>
      </w:pPr>
      <w:r w:rsidRPr="00561D0F">
        <w:rPr>
          <w:rFonts w:ascii="Arial" w:eastAsia="Calibri" w:hAnsi="Arial" w:cs="Arial"/>
          <w:sz w:val="24"/>
          <w:szCs w:val="24"/>
        </w:rPr>
        <w:t xml:space="preserve">Finalmente, es imperioso indicar que, el proyecto de ley presentado, pretende ser el inicio para nutrir la discusión parlamentaria necesaria en justicia ambiental, en las cuales el proyecto seguramente se logrará alimentar con las discusiones democráticas que planteen los Congresistas, Magistrados y todos aquellos interesados. </w:t>
      </w:r>
    </w:p>
    <w:p w14:paraId="43F27587" w14:textId="77777777" w:rsidR="00561D0F" w:rsidRPr="00561D0F" w:rsidRDefault="00561D0F" w:rsidP="00561D0F">
      <w:pPr>
        <w:spacing w:after="160" w:line="256" w:lineRule="auto"/>
        <w:jc w:val="both"/>
        <w:rPr>
          <w:rFonts w:ascii="Arial" w:eastAsia="Calibri" w:hAnsi="Arial" w:cs="Arial"/>
          <w:sz w:val="24"/>
          <w:szCs w:val="24"/>
        </w:rPr>
      </w:pPr>
    </w:p>
    <w:p w14:paraId="4793821A" w14:textId="7ED0EB50" w:rsidR="00561D0F" w:rsidRPr="00561D0F" w:rsidRDefault="00D3734B" w:rsidP="00561D0F">
      <w:pPr>
        <w:numPr>
          <w:ilvl w:val="0"/>
          <w:numId w:val="44"/>
        </w:numPr>
        <w:spacing w:after="160" w:line="256" w:lineRule="auto"/>
        <w:contextualSpacing/>
        <w:jc w:val="both"/>
        <w:rPr>
          <w:rFonts w:ascii="Arial" w:eastAsia="Calibri" w:hAnsi="Arial" w:cs="Arial"/>
          <w:b/>
          <w:bCs/>
          <w:sz w:val="24"/>
          <w:szCs w:val="24"/>
        </w:rPr>
      </w:pPr>
      <w:r>
        <w:rPr>
          <w:rFonts w:ascii="Arial" w:eastAsia="Calibri" w:hAnsi="Arial" w:cs="Arial"/>
          <w:b/>
          <w:bCs/>
          <w:sz w:val="24"/>
          <w:szCs w:val="24"/>
        </w:rPr>
        <w:t>REFERENCIAS</w:t>
      </w:r>
    </w:p>
    <w:p w14:paraId="00F2F2EB" w14:textId="77777777" w:rsidR="00561D0F" w:rsidRPr="00561D0F" w:rsidRDefault="00AC475C" w:rsidP="00561D0F">
      <w:pPr>
        <w:spacing w:before="240" w:after="240" w:line="240" w:lineRule="auto"/>
        <w:ind w:left="360"/>
        <w:rPr>
          <w:rFonts w:ascii="Arial" w:eastAsia="Times New Roman" w:hAnsi="Arial" w:cs="Arial"/>
          <w:sz w:val="24"/>
          <w:szCs w:val="24"/>
          <w:lang w:eastAsia="es-CO"/>
        </w:rPr>
      </w:pPr>
      <w:hyperlink r:id="rId8" w:anchor="_ftnref1" w:history="1">
        <w:r w:rsidR="00561D0F" w:rsidRPr="00561D0F">
          <w:rPr>
            <w:rFonts w:ascii="Arial" w:eastAsia="Times New Roman" w:hAnsi="Arial" w:cs="Arial"/>
            <w:color w:val="1155CC"/>
            <w:sz w:val="24"/>
            <w:szCs w:val="24"/>
            <w:u w:val="single"/>
            <w:lang w:eastAsia="es-CO"/>
          </w:rPr>
          <w:t>1]</w:t>
        </w:r>
      </w:hyperlink>
      <w:r w:rsidR="00561D0F" w:rsidRPr="00561D0F">
        <w:rPr>
          <w:rFonts w:ascii="Arial" w:eastAsia="Times New Roman" w:hAnsi="Arial" w:cs="Arial"/>
          <w:color w:val="000000"/>
          <w:sz w:val="24"/>
          <w:szCs w:val="24"/>
          <w:lang w:eastAsia="es-CO"/>
        </w:rPr>
        <w:t xml:space="preserve"> </w:t>
      </w:r>
      <w:r w:rsidR="00561D0F" w:rsidRPr="00561D0F">
        <w:rPr>
          <w:rFonts w:ascii="Arial" w:eastAsia="Times New Roman" w:hAnsi="Arial" w:cs="Arial"/>
          <w:color w:val="222222"/>
          <w:sz w:val="24"/>
          <w:szCs w:val="24"/>
          <w:shd w:val="clear" w:color="auto" w:fill="FFFFFF"/>
          <w:lang w:eastAsia="es-CO"/>
        </w:rPr>
        <w:t xml:space="preserve">GUZMÁN JIMÉNEZ, L. Ambiente y acceso a la justicia: ¿son los tribunales ambientales una solución para abordar los conflictos ambientales en Colombia. </w:t>
      </w:r>
      <w:r w:rsidR="00561D0F" w:rsidRPr="00561D0F">
        <w:rPr>
          <w:rFonts w:ascii="Arial" w:eastAsia="Times New Roman" w:hAnsi="Arial" w:cs="Arial"/>
          <w:i/>
          <w:iCs/>
          <w:color w:val="222222"/>
          <w:sz w:val="24"/>
          <w:szCs w:val="24"/>
          <w:shd w:val="clear" w:color="auto" w:fill="FFFFFF"/>
          <w:lang w:eastAsia="es-CO"/>
        </w:rPr>
        <w:t>Blog Departamento de Derecho del Ambiente, Bogotá, Universidad Externado de Colombia</w:t>
      </w:r>
      <w:r w:rsidR="00561D0F" w:rsidRPr="00561D0F">
        <w:rPr>
          <w:rFonts w:ascii="Arial" w:eastAsia="Times New Roman" w:hAnsi="Arial" w:cs="Arial"/>
          <w:color w:val="222222"/>
          <w:sz w:val="24"/>
          <w:szCs w:val="24"/>
          <w:shd w:val="clear" w:color="auto" w:fill="FFFFFF"/>
          <w:lang w:eastAsia="es-CO"/>
        </w:rPr>
        <w:t>, 2018.</w:t>
      </w:r>
    </w:p>
    <w:p w14:paraId="035DE230" w14:textId="77777777" w:rsidR="00561D0F" w:rsidRPr="00561D0F" w:rsidRDefault="00AC475C" w:rsidP="00561D0F">
      <w:pPr>
        <w:spacing w:before="240" w:after="240" w:line="240" w:lineRule="auto"/>
        <w:ind w:left="360"/>
        <w:jc w:val="both"/>
        <w:rPr>
          <w:rFonts w:ascii="Arial" w:eastAsia="Times New Roman" w:hAnsi="Arial" w:cs="Arial"/>
          <w:sz w:val="24"/>
          <w:szCs w:val="24"/>
          <w:lang w:eastAsia="es-CO"/>
        </w:rPr>
      </w:pPr>
      <w:hyperlink r:id="rId9" w:anchor="_ftnref3" w:history="1">
        <w:r w:rsidR="00561D0F" w:rsidRPr="00561D0F">
          <w:rPr>
            <w:rFonts w:ascii="Arial" w:eastAsia="Times New Roman" w:hAnsi="Arial" w:cs="Arial"/>
            <w:color w:val="1155CC"/>
            <w:sz w:val="24"/>
            <w:szCs w:val="24"/>
            <w:u w:val="single"/>
            <w:lang w:eastAsia="es-CO"/>
          </w:rPr>
          <w:t>[3]</w:t>
        </w:r>
      </w:hyperlink>
      <w:r w:rsidR="00561D0F" w:rsidRPr="00561D0F">
        <w:rPr>
          <w:rFonts w:ascii="Arial" w:eastAsia="Times New Roman" w:hAnsi="Arial" w:cs="Arial"/>
          <w:color w:val="000000"/>
          <w:sz w:val="24"/>
          <w:szCs w:val="24"/>
          <w:lang w:eastAsia="es-CO"/>
        </w:rPr>
        <w:t xml:space="preserve"> Agencia Nacional de Defensa Jurídica del Estado, Informe </w:t>
      </w:r>
      <w:r w:rsidR="00561D0F" w:rsidRPr="00561D0F">
        <w:rPr>
          <w:rFonts w:ascii="Arial" w:eastAsia="Times New Roman" w:hAnsi="Arial" w:cs="Arial"/>
          <w:i/>
          <w:iCs/>
          <w:color w:val="000000"/>
          <w:sz w:val="24"/>
          <w:szCs w:val="24"/>
          <w:lang w:eastAsia="es-CO"/>
        </w:rPr>
        <w:t>Trimestral</w:t>
      </w:r>
      <w:r w:rsidR="00561D0F" w:rsidRPr="00561D0F">
        <w:rPr>
          <w:rFonts w:ascii="Arial" w:eastAsia="Times New Roman" w:hAnsi="Arial" w:cs="Arial"/>
          <w:color w:val="000000"/>
          <w:sz w:val="24"/>
          <w:szCs w:val="24"/>
          <w:lang w:eastAsia="es-CO"/>
        </w:rPr>
        <w:t xml:space="preserve"> de Litigiosidad – Segundo semestre – Corte junio de 2020, Bogotá, págs. 8 y 9.</w:t>
      </w:r>
    </w:p>
    <w:p w14:paraId="43BB037C" w14:textId="77777777" w:rsidR="00561D0F" w:rsidRPr="00561D0F" w:rsidRDefault="00AC475C" w:rsidP="00561D0F">
      <w:pPr>
        <w:spacing w:before="240" w:after="240" w:line="240" w:lineRule="auto"/>
        <w:ind w:left="360"/>
        <w:jc w:val="both"/>
        <w:rPr>
          <w:rFonts w:ascii="Arial" w:eastAsia="Times New Roman" w:hAnsi="Arial" w:cs="Arial"/>
          <w:sz w:val="24"/>
          <w:szCs w:val="24"/>
          <w:lang w:eastAsia="es-CO"/>
        </w:rPr>
      </w:pPr>
      <w:hyperlink r:id="rId10" w:anchor="_ftnref5" w:history="1">
        <w:r w:rsidR="00561D0F" w:rsidRPr="00561D0F">
          <w:rPr>
            <w:rFonts w:ascii="Arial" w:eastAsia="Times New Roman" w:hAnsi="Arial" w:cs="Arial"/>
            <w:color w:val="1155CC"/>
            <w:sz w:val="24"/>
            <w:szCs w:val="24"/>
            <w:u w:val="single"/>
            <w:lang w:eastAsia="es-CO"/>
          </w:rPr>
          <w:t>[5]</w:t>
        </w:r>
      </w:hyperlink>
      <w:r w:rsidR="00561D0F" w:rsidRPr="00561D0F">
        <w:rPr>
          <w:rFonts w:ascii="Arial" w:eastAsia="Times New Roman" w:hAnsi="Arial" w:cs="Arial"/>
          <w:color w:val="000000"/>
          <w:sz w:val="24"/>
          <w:szCs w:val="24"/>
          <w:lang w:eastAsia="es-CO"/>
        </w:rPr>
        <w:t xml:space="preserve"> Consejo Superior de la Judicatura – Unidad de Desarrollo y Análisis Estadístico, Informe de Asuntos Ambientales en Despachos Administrativos del País – Corte a 4 de agosto de 2020, Bogotá, págs. 2 y 3.</w:t>
      </w:r>
    </w:p>
    <w:p w14:paraId="78818C49" w14:textId="77777777" w:rsidR="00561D0F" w:rsidRPr="00561D0F" w:rsidRDefault="00AC475C" w:rsidP="00561D0F">
      <w:pPr>
        <w:spacing w:before="240" w:after="240" w:line="240" w:lineRule="auto"/>
        <w:ind w:left="360"/>
        <w:jc w:val="both"/>
        <w:rPr>
          <w:rFonts w:ascii="Arial" w:eastAsia="Times New Roman" w:hAnsi="Arial" w:cs="Arial"/>
          <w:sz w:val="24"/>
          <w:szCs w:val="24"/>
          <w:lang w:eastAsia="es-CO"/>
        </w:rPr>
      </w:pPr>
      <w:hyperlink r:id="rId11" w:anchor="_ftnref7" w:history="1">
        <w:r w:rsidR="00561D0F" w:rsidRPr="00561D0F">
          <w:rPr>
            <w:rFonts w:ascii="Arial" w:eastAsia="Times New Roman" w:hAnsi="Arial" w:cs="Arial"/>
            <w:color w:val="1155CC"/>
            <w:sz w:val="24"/>
            <w:szCs w:val="24"/>
            <w:u w:val="single"/>
            <w:lang w:eastAsia="es-CO"/>
          </w:rPr>
          <w:t>[7]</w:t>
        </w:r>
      </w:hyperlink>
      <w:r w:rsidR="00561D0F" w:rsidRPr="00561D0F">
        <w:rPr>
          <w:rFonts w:ascii="Arial" w:eastAsia="Times New Roman" w:hAnsi="Arial" w:cs="Arial"/>
          <w:color w:val="000000"/>
          <w:sz w:val="24"/>
          <w:szCs w:val="24"/>
          <w:lang w:eastAsia="es-CO"/>
        </w:rPr>
        <w:t xml:space="preserve"> GAP UROSARIO. (2010). El ambiente sano, un derecho de todos. Bogotá: U ROSARIO. Obtenido de https://editorial.urosario.edu.co/pageflip/acceso-abierto/el- medio-ambiente-sano.pdf</w:t>
      </w:r>
    </w:p>
    <w:p w14:paraId="1CEFBE1D" w14:textId="77777777" w:rsidR="00561D0F" w:rsidRPr="00561D0F" w:rsidRDefault="00AC475C" w:rsidP="00561D0F">
      <w:pPr>
        <w:spacing w:before="240" w:after="240" w:line="240" w:lineRule="auto"/>
        <w:ind w:left="360"/>
        <w:jc w:val="both"/>
        <w:rPr>
          <w:rFonts w:ascii="Arial" w:eastAsia="Times New Roman" w:hAnsi="Arial" w:cs="Arial"/>
          <w:sz w:val="24"/>
          <w:szCs w:val="24"/>
          <w:lang w:eastAsia="es-CO"/>
        </w:rPr>
      </w:pPr>
      <w:hyperlink r:id="rId12" w:anchor="_ftnref8" w:history="1">
        <w:r w:rsidR="00561D0F" w:rsidRPr="00561D0F">
          <w:rPr>
            <w:rFonts w:ascii="Arial" w:eastAsia="Times New Roman" w:hAnsi="Arial" w:cs="Arial"/>
            <w:color w:val="1155CC"/>
            <w:sz w:val="24"/>
            <w:szCs w:val="24"/>
            <w:u w:val="single"/>
            <w:lang w:eastAsia="es-CO"/>
          </w:rPr>
          <w:t>[8]</w:t>
        </w:r>
      </w:hyperlink>
      <w:r w:rsidR="00561D0F" w:rsidRPr="00561D0F">
        <w:rPr>
          <w:rFonts w:ascii="Arial" w:eastAsia="Times New Roman" w:hAnsi="Arial" w:cs="Arial"/>
          <w:color w:val="000000"/>
          <w:sz w:val="24"/>
          <w:szCs w:val="24"/>
          <w:lang w:eastAsia="es-CO"/>
        </w:rPr>
        <w:t xml:space="preserve"> Consejo de Estado Sección Tercera, Sentencia 760012331000200050427101 (37603) https://vlex.com.co/vid/732536929</w:t>
      </w:r>
    </w:p>
    <w:p w14:paraId="345D2019" w14:textId="77777777" w:rsidR="00561D0F" w:rsidRPr="00561D0F" w:rsidRDefault="00AC475C" w:rsidP="00561D0F">
      <w:pPr>
        <w:spacing w:before="240" w:after="240" w:line="240" w:lineRule="auto"/>
        <w:ind w:left="360"/>
        <w:jc w:val="both"/>
        <w:rPr>
          <w:rFonts w:ascii="Arial" w:eastAsia="Times New Roman" w:hAnsi="Arial" w:cs="Arial"/>
          <w:sz w:val="24"/>
          <w:szCs w:val="24"/>
          <w:lang w:eastAsia="es-CO"/>
        </w:rPr>
      </w:pPr>
      <w:hyperlink r:id="rId13" w:anchor="_ftnref9" w:history="1">
        <w:r w:rsidR="00561D0F" w:rsidRPr="00561D0F">
          <w:rPr>
            <w:rFonts w:ascii="Arial" w:eastAsia="Times New Roman" w:hAnsi="Arial" w:cs="Arial"/>
            <w:color w:val="1155CC"/>
            <w:sz w:val="24"/>
            <w:szCs w:val="24"/>
            <w:u w:val="single"/>
            <w:lang w:eastAsia="es-CO"/>
          </w:rPr>
          <w:t>[9]</w:t>
        </w:r>
      </w:hyperlink>
      <w:r w:rsidR="00561D0F" w:rsidRPr="00561D0F">
        <w:rPr>
          <w:rFonts w:ascii="Arial" w:eastAsia="Times New Roman" w:hAnsi="Arial" w:cs="Arial"/>
          <w:color w:val="000000"/>
          <w:sz w:val="24"/>
          <w:szCs w:val="24"/>
          <w:lang w:eastAsia="es-CO"/>
        </w:rPr>
        <w:t xml:space="preserve"> DNP. (2019). Bases del Plan Nacional de Desarrollo. DNP. Obtenido de https://www.dnp.gov.co/Plan-Nacional-de-Desarrollo/Paginas/Bases-del-Plan-Nacional-de- Desarrollo-2018-2022.aspx</w:t>
      </w:r>
    </w:p>
    <w:p w14:paraId="73A53672" w14:textId="77777777" w:rsidR="00561D0F" w:rsidRPr="00561D0F" w:rsidRDefault="00AC475C" w:rsidP="00561D0F">
      <w:pPr>
        <w:spacing w:before="240" w:after="240" w:line="240" w:lineRule="auto"/>
        <w:ind w:left="360"/>
        <w:jc w:val="both"/>
        <w:rPr>
          <w:rFonts w:ascii="Arial" w:eastAsia="Times New Roman" w:hAnsi="Arial" w:cs="Arial"/>
          <w:sz w:val="24"/>
          <w:szCs w:val="24"/>
          <w:lang w:eastAsia="es-CO"/>
        </w:rPr>
      </w:pPr>
      <w:hyperlink r:id="rId14" w:anchor="_ftnref10" w:history="1">
        <w:r w:rsidR="00561D0F" w:rsidRPr="00561D0F">
          <w:rPr>
            <w:rFonts w:ascii="Arial" w:eastAsia="Times New Roman" w:hAnsi="Arial" w:cs="Arial"/>
            <w:color w:val="1155CC"/>
            <w:sz w:val="24"/>
            <w:szCs w:val="24"/>
            <w:u w:val="single"/>
            <w:lang w:eastAsia="es-CO"/>
          </w:rPr>
          <w:t>[10]</w:t>
        </w:r>
      </w:hyperlink>
      <w:r w:rsidR="00561D0F" w:rsidRPr="00561D0F">
        <w:rPr>
          <w:rFonts w:ascii="Arial" w:eastAsia="Times New Roman" w:hAnsi="Arial" w:cs="Arial"/>
          <w:color w:val="000000"/>
          <w:sz w:val="24"/>
          <w:szCs w:val="24"/>
          <w:lang w:eastAsia="es-CO"/>
        </w:rPr>
        <w:t xml:space="preserve"> DNP. (2019). Plan Nacional de Desarrollo, "El Futuro es de Todos". DNP. Obtenido de https://www.dnp.gov.co/DNPN/Paginas/Plan-Nacional-de-Desarrollo.aspx</w:t>
      </w:r>
    </w:p>
    <w:p w14:paraId="2426ABAD" w14:textId="77777777" w:rsidR="00561D0F" w:rsidRPr="00561D0F" w:rsidRDefault="00AC475C" w:rsidP="00561D0F">
      <w:pPr>
        <w:spacing w:before="240" w:after="240" w:line="240" w:lineRule="auto"/>
        <w:ind w:left="360"/>
        <w:jc w:val="both"/>
        <w:rPr>
          <w:rFonts w:ascii="Arial" w:eastAsia="Times New Roman" w:hAnsi="Arial" w:cs="Arial"/>
          <w:sz w:val="24"/>
          <w:szCs w:val="24"/>
          <w:lang w:eastAsia="es-CO"/>
        </w:rPr>
      </w:pPr>
      <w:hyperlink r:id="rId15" w:anchor="_ftnref11" w:history="1">
        <w:r w:rsidR="00561D0F" w:rsidRPr="00561D0F">
          <w:rPr>
            <w:rFonts w:ascii="Arial" w:eastAsia="Times New Roman" w:hAnsi="Arial" w:cs="Arial"/>
            <w:color w:val="1155CC"/>
            <w:sz w:val="24"/>
            <w:szCs w:val="24"/>
            <w:u w:val="single"/>
            <w:lang w:eastAsia="es-CO"/>
          </w:rPr>
          <w:t>[11]</w:t>
        </w:r>
      </w:hyperlink>
      <w:r w:rsidR="00561D0F" w:rsidRPr="00561D0F">
        <w:rPr>
          <w:rFonts w:ascii="Arial" w:eastAsia="Times New Roman" w:hAnsi="Arial" w:cs="Arial"/>
          <w:color w:val="000000"/>
          <w:sz w:val="24"/>
          <w:szCs w:val="24"/>
          <w:lang w:eastAsia="es-CO"/>
        </w:rPr>
        <w:t xml:space="preserve"> Naciones Unidas. (2015). Objetivos de Desarrollo Sostenible. UN. Obtenido de https://www.un.org/sustainabledevelopment/es/objetivos-de-desarrollo-sostenible/</w:t>
      </w:r>
    </w:p>
    <w:p w14:paraId="7A94D3DA" w14:textId="77777777" w:rsidR="00561D0F" w:rsidRPr="00561D0F" w:rsidRDefault="00AC475C" w:rsidP="00561D0F">
      <w:pPr>
        <w:spacing w:before="240" w:after="240" w:line="240" w:lineRule="auto"/>
        <w:ind w:left="360"/>
        <w:jc w:val="both"/>
        <w:rPr>
          <w:rFonts w:ascii="Arial" w:eastAsia="Times New Roman" w:hAnsi="Arial" w:cs="Arial"/>
          <w:sz w:val="24"/>
          <w:szCs w:val="24"/>
          <w:lang w:eastAsia="es-CO"/>
        </w:rPr>
      </w:pPr>
      <w:hyperlink r:id="rId16" w:anchor="_ftnref12" w:history="1">
        <w:r w:rsidR="00561D0F" w:rsidRPr="00561D0F">
          <w:rPr>
            <w:rFonts w:ascii="Arial" w:eastAsia="Times New Roman" w:hAnsi="Arial" w:cs="Arial"/>
            <w:color w:val="1155CC"/>
            <w:sz w:val="24"/>
            <w:szCs w:val="24"/>
            <w:u w:val="single"/>
            <w:lang w:eastAsia="es-CO"/>
          </w:rPr>
          <w:t>[12]</w:t>
        </w:r>
      </w:hyperlink>
      <w:r w:rsidR="00561D0F" w:rsidRPr="00561D0F">
        <w:rPr>
          <w:rFonts w:ascii="Arial" w:eastAsia="Times New Roman" w:hAnsi="Arial" w:cs="Arial"/>
          <w:color w:val="000000"/>
          <w:sz w:val="24"/>
          <w:szCs w:val="24"/>
          <w:lang w:eastAsia="es-CO"/>
        </w:rPr>
        <w:t xml:space="preserve"> Congreso de Chile (2012) LEY 20600 Crea los Tribunales Ambientales, obtenido de https://www.bcn.cl/leychile/navegar?idNorma=1041361</w:t>
      </w:r>
    </w:p>
    <w:p w14:paraId="3A904164" w14:textId="77777777" w:rsidR="00561D0F" w:rsidRPr="00561D0F" w:rsidRDefault="00AC475C" w:rsidP="00561D0F">
      <w:pPr>
        <w:spacing w:after="160" w:line="256" w:lineRule="auto"/>
        <w:ind w:left="360"/>
        <w:jc w:val="both"/>
        <w:rPr>
          <w:rFonts w:ascii="Arial" w:eastAsia="Calibri" w:hAnsi="Arial" w:cs="Arial"/>
          <w:sz w:val="24"/>
          <w:szCs w:val="24"/>
        </w:rPr>
      </w:pPr>
      <w:hyperlink r:id="rId17" w:anchor="_ftnref13" w:history="1">
        <w:r w:rsidR="00561D0F" w:rsidRPr="00561D0F">
          <w:rPr>
            <w:rFonts w:ascii="Arial" w:eastAsia="Calibri" w:hAnsi="Arial" w:cs="Arial"/>
            <w:color w:val="1155CC"/>
            <w:sz w:val="24"/>
            <w:szCs w:val="24"/>
            <w:u w:val="single"/>
          </w:rPr>
          <w:t>[13]</w:t>
        </w:r>
      </w:hyperlink>
      <w:r w:rsidR="00561D0F" w:rsidRPr="00561D0F">
        <w:rPr>
          <w:rFonts w:ascii="Arial" w:eastAsia="Calibri" w:hAnsi="Arial" w:cs="Arial"/>
          <w:color w:val="000000"/>
          <w:sz w:val="24"/>
          <w:szCs w:val="24"/>
        </w:rPr>
        <w:t xml:space="preserve"> Consejo de Estado, Sala de lo Contencioso Administrativo, Sección Primera, Radicado 66001-23-33-002-2016- 00291-01(PI), sentencia del 30 de junio de 201</w:t>
      </w:r>
    </w:p>
    <w:p w14:paraId="4B296215" w14:textId="77777777" w:rsidR="00561D0F" w:rsidRPr="00561D0F" w:rsidRDefault="00561D0F" w:rsidP="00561D0F">
      <w:pPr>
        <w:spacing w:after="160" w:line="256" w:lineRule="auto"/>
        <w:jc w:val="both"/>
        <w:rPr>
          <w:rFonts w:ascii="Arial" w:eastAsia="Calibri" w:hAnsi="Arial" w:cs="Arial"/>
          <w:sz w:val="24"/>
          <w:szCs w:val="24"/>
        </w:rPr>
      </w:pPr>
    </w:p>
    <w:p w14:paraId="3B9DB2BE" w14:textId="282EE2C4" w:rsidR="00561D0F" w:rsidRPr="00561D0F" w:rsidRDefault="00561D0F" w:rsidP="00267A9D">
      <w:pPr>
        <w:spacing w:after="160"/>
        <w:jc w:val="center"/>
        <w:rPr>
          <w:rFonts w:ascii="Arial" w:eastAsia="Calibri" w:hAnsi="Arial" w:cs="Arial"/>
          <w:b/>
          <w:bCs/>
          <w:sz w:val="24"/>
          <w:szCs w:val="24"/>
        </w:rPr>
      </w:pPr>
      <w:r w:rsidRPr="00561D0F">
        <w:rPr>
          <w:rFonts w:ascii="Arial" w:eastAsia="Calibri" w:hAnsi="Arial" w:cs="Arial"/>
          <w:b/>
          <w:bCs/>
          <w:sz w:val="24"/>
          <w:szCs w:val="24"/>
        </w:rPr>
        <w:t>PROYECTO DE LEY ESTATUTARIA No ------- DE 2022 CAMARA</w:t>
      </w:r>
    </w:p>
    <w:p w14:paraId="2BDEF752" w14:textId="77777777" w:rsidR="00561D0F" w:rsidRPr="00561D0F" w:rsidRDefault="00561D0F" w:rsidP="00561D0F">
      <w:pPr>
        <w:tabs>
          <w:tab w:val="left" w:pos="2565"/>
        </w:tabs>
        <w:spacing w:after="160"/>
        <w:jc w:val="center"/>
        <w:rPr>
          <w:rFonts w:ascii="Arial" w:eastAsia="Calibri" w:hAnsi="Arial" w:cs="Arial"/>
          <w:i/>
          <w:sz w:val="24"/>
          <w:szCs w:val="24"/>
        </w:rPr>
      </w:pPr>
      <w:r w:rsidRPr="00561D0F">
        <w:rPr>
          <w:rFonts w:ascii="Arial" w:eastAsia="Calibri" w:hAnsi="Arial" w:cs="Arial"/>
          <w:b/>
          <w:sz w:val="24"/>
          <w:szCs w:val="24"/>
        </w:rPr>
        <w:t xml:space="preserve"> “</w:t>
      </w:r>
      <w:r w:rsidRPr="00561D0F">
        <w:rPr>
          <w:rFonts w:ascii="Arial" w:eastAsia="Calibri" w:hAnsi="Arial" w:cs="Arial"/>
          <w:b/>
          <w:bCs/>
          <w:iCs/>
          <w:sz w:val="24"/>
          <w:szCs w:val="24"/>
        </w:rPr>
        <w:t>POR EL CUAL SE CREA LA ESPECIALIDAD AMBIENTAL EN LA JURISDICCIÓN DE LO CONTENCIOSO ADMINISTRATIVO, SE CREAN LAS SALAS ESPECIALIZADAS EN TEMAS AMBIENTALES DENTRO DE LOS TRIBUNALES ADMINISTRATIVOS Y SE MODIFICA LA LEY 270 DE 1996</w:t>
      </w:r>
      <w:r w:rsidRPr="00561D0F">
        <w:rPr>
          <w:rFonts w:ascii="Arial" w:eastAsia="Calibri" w:hAnsi="Arial" w:cs="Arial"/>
          <w:b/>
          <w:i/>
          <w:sz w:val="24"/>
          <w:szCs w:val="24"/>
        </w:rPr>
        <w:t>”</w:t>
      </w:r>
    </w:p>
    <w:p w14:paraId="23C2C587" w14:textId="77777777" w:rsidR="00561D0F" w:rsidRPr="00561D0F" w:rsidRDefault="00561D0F" w:rsidP="00561D0F">
      <w:pPr>
        <w:tabs>
          <w:tab w:val="left" w:pos="2565"/>
        </w:tabs>
        <w:spacing w:after="0"/>
        <w:jc w:val="center"/>
        <w:rPr>
          <w:rFonts w:ascii="Arial" w:eastAsia="Calibri" w:hAnsi="Arial" w:cs="Arial"/>
          <w:b/>
          <w:sz w:val="24"/>
          <w:szCs w:val="24"/>
        </w:rPr>
      </w:pPr>
      <w:r w:rsidRPr="00561D0F">
        <w:rPr>
          <w:rFonts w:ascii="Arial" w:eastAsia="Calibri" w:hAnsi="Arial" w:cs="Arial"/>
          <w:b/>
          <w:sz w:val="24"/>
          <w:szCs w:val="24"/>
        </w:rPr>
        <w:t>EL CONGRESO DE COLOMBIA</w:t>
      </w:r>
    </w:p>
    <w:p w14:paraId="0220A37D" w14:textId="77777777" w:rsidR="00561D0F" w:rsidRPr="00561D0F" w:rsidRDefault="00561D0F" w:rsidP="00561D0F">
      <w:pPr>
        <w:tabs>
          <w:tab w:val="left" w:pos="2565"/>
        </w:tabs>
        <w:spacing w:after="0"/>
        <w:jc w:val="center"/>
        <w:rPr>
          <w:rFonts w:ascii="Arial" w:eastAsia="Calibri" w:hAnsi="Arial" w:cs="Arial"/>
          <w:b/>
          <w:sz w:val="24"/>
          <w:szCs w:val="24"/>
        </w:rPr>
      </w:pPr>
    </w:p>
    <w:p w14:paraId="392CA4EA" w14:textId="77777777" w:rsidR="00561D0F" w:rsidRPr="00561D0F" w:rsidRDefault="00561D0F" w:rsidP="00561D0F">
      <w:pPr>
        <w:tabs>
          <w:tab w:val="left" w:pos="2565"/>
        </w:tabs>
        <w:spacing w:after="0"/>
        <w:jc w:val="center"/>
        <w:rPr>
          <w:rFonts w:ascii="Arial" w:eastAsia="Calibri" w:hAnsi="Arial" w:cs="Arial"/>
          <w:b/>
          <w:sz w:val="24"/>
          <w:szCs w:val="24"/>
        </w:rPr>
      </w:pPr>
      <w:r w:rsidRPr="00561D0F">
        <w:rPr>
          <w:rFonts w:ascii="Arial" w:eastAsia="Calibri" w:hAnsi="Arial" w:cs="Arial"/>
          <w:b/>
          <w:sz w:val="24"/>
          <w:szCs w:val="24"/>
        </w:rPr>
        <w:t>DECRETA:</w:t>
      </w:r>
    </w:p>
    <w:p w14:paraId="00BF68D3" w14:textId="77777777" w:rsidR="00561D0F" w:rsidRPr="00561D0F" w:rsidRDefault="00561D0F" w:rsidP="00561D0F">
      <w:pPr>
        <w:tabs>
          <w:tab w:val="left" w:pos="2565"/>
        </w:tabs>
        <w:spacing w:after="0"/>
        <w:jc w:val="center"/>
        <w:rPr>
          <w:rFonts w:ascii="Arial" w:eastAsia="Calibri" w:hAnsi="Arial" w:cs="Arial"/>
          <w:b/>
          <w:sz w:val="24"/>
          <w:szCs w:val="24"/>
        </w:rPr>
      </w:pPr>
    </w:p>
    <w:p w14:paraId="4A251987" w14:textId="77777777" w:rsidR="00561D0F" w:rsidRPr="00561D0F" w:rsidRDefault="00561D0F" w:rsidP="00561D0F">
      <w:pPr>
        <w:tabs>
          <w:tab w:val="left" w:pos="2565"/>
        </w:tabs>
        <w:spacing w:after="0"/>
        <w:jc w:val="center"/>
        <w:rPr>
          <w:rFonts w:ascii="Arial" w:eastAsia="Calibri" w:hAnsi="Arial" w:cs="Arial"/>
          <w:b/>
          <w:sz w:val="24"/>
          <w:szCs w:val="24"/>
        </w:rPr>
      </w:pPr>
    </w:p>
    <w:p w14:paraId="0C5136B3" w14:textId="77777777" w:rsidR="00561D0F" w:rsidRPr="00561D0F" w:rsidRDefault="00561D0F" w:rsidP="00561D0F">
      <w:pPr>
        <w:spacing w:after="160"/>
        <w:jc w:val="both"/>
        <w:rPr>
          <w:rFonts w:ascii="Arial" w:eastAsia="Calibri" w:hAnsi="Arial" w:cs="Arial"/>
          <w:sz w:val="24"/>
          <w:szCs w:val="24"/>
        </w:rPr>
      </w:pPr>
      <w:r w:rsidRPr="00561D0F">
        <w:rPr>
          <w:rFonts w:ascii="Arial" w:eastAsia="Calibri" w:hAnsi="Arial" w:cs="Arial"/>
          <w:b/>
          <w:bCs/>
          <w:sz w:val="24"/>
          <w:szCs w:val="24"/>
        </w:rPr>
        <w:t>Artículo 1. Objeto.</w:t>
      </w:r>
      <w:r w:rsidRPr="00561D0F">
        <w:rPr>
          <w:rFonts w:ascii="Arial" w:eastAsia="Calibri" w:hAnsi="Arial" w:cs="Arial"/>
          <w:sz w:val="24"/>
          <w:szCs w:val="24"/>
        </w:rPr>
        <w:t xml:space="preserve"> La presente ley tiene por objeto establecer la especialidad ambiental en la Jurisdicción de lo Contencioso Administrativo, así como su estructura.</w:t>
      </w:r>
    </w:p>
    <w:p w14:paraId="22AC2A20" w14:textId="77777777" w:rsidR="00561D0F" w:rsidRPr="00561D0F" w:rsidRDefault="00561D0F" w:rsidP="00561D0F">
      <w:pPr>
        <w:spacing w:after="160"/>
        <w:jc w:val="both"/>
        <w:rPr>
          <w:rFonts w:ascii="Arial" w:eastAsia="Calibri" w:hAnsi="Arial" w:cs="Arial"/>
          <w:sz w:val="24"/>
          <w:szCs w:val="24"/>
        </w:rPr>
      </w:pPr>
      <w:r w:rsidRPr="00561D0F">
        <w:rPr>
          <w:rFonts w:ascii="Arial" w:eastAsia="Calibri" w:hAnsi="Arial" w:cs="Arial"/>
          <w:sz w:val="24"/>
          <w:szCs w:val="24"/>
        </w:rPr>
        <w:t>También regulará los aspectos procesales esenciales sobre las actuaciones judiciales que versen sobre las controversias y litigios:</w:t>
      </w:r>
    </w:p>
    <w:p w14:paraId="41D8D0D6" w14:textId="77777777" w:rsidR="00561D0F" w:rsidRPr="00561D0F" w:rsidRDefault="00561D0F" w:rsidP="00561D0F">
      <w:pPr>
        <w:numPr>
          <w:ilvl w:val="0"/>
          <w:numId w:val="38"/>
        </w:numPr>
        <w:spacing w:after="160" w:line="256" w:lineRule="auto"/>
        <w:contextualSpacing/>
        <w:jc w:val="both"/>
        <w:rPr>
          <w:rFonts w:ascii="Arial" w:eastAsia="Calibri" w:hAnsi="Arial" w:cs="Arial"/>
          <w:sz w:val="24"/>
          <w:szCs w:val="24"/>
        </w:rPr>
      </w:pPr>
      <w:r w:rsidRPr="00561D0F">
        <w:rPr>
          <w:rFonts w:ascii="Arial" w:eastAsia="Calibri" w:hAnsi="Arial" w:cs="Arial"/>
          <w:sz w:val="24"/>
          <w:szCs w:val="24"/>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35D078F6" w14:textId="77777777" w:rsidR="00561D0F" w:rsidRPr="00561D0F" w:rsidRDefault="00561D0F" w:rsidP="00561D0F">
      <w:pPr>
        <w:spacing w:after="160"/>
        <w:rPr>
          <w:rFonts w:ascii="Arial" w:eastAsia="Calibri" w:hAnsi="Arial" w:cs="Arial"/>
          <w:sz w:val="24"/>
          <w:szCs w:val="24"/>
        </w:rPr>
      </w:pPr>
    </w:p>
    <w:p w14:paraId="19BD3954" w14:textId="77777777" w:rsidR="00561D0F" w:rsidRPr="00561D0F" w:rsidRDefault="00561D0F" w:rsidP="00561D0F">
      <w:pPr>
        <w:spacing w:after="160"/>
        <w:rPr>
          <w:rFonts w:ascii="Arial" w:eastAsia="Calibri" w:hAnsi="Arial" w:cs="Arial"/>
          <w:sz w:val="24"/>
          <w:szCs w:val="24"/>
        </w:rPr>
      </w:pPr>
      <w:r w:rsidRPr="00561D0F">
        <w:rPr>
          <w:rFonts w:ascii="Arial" w:eastAsia="Calibri" w:hAnsi="Arial" w:cs="Arial"/>
          <w:b/>
          <w:bCs/>
          <w:sz w:val="24"/>
          <w:szCs w:val="24"/>
        </w:rPr>
        <w:t>Artículo 2. Ámbito de aplicación.</w:t>
      </w:r>
      <w:r w:rsidRPr="00561D0F">
        <w:rPr>
          <w:rFonts w:ascii="Arial" w:eastAsia="Calibri" w:hAnsi="Arial" w:cs="Arial"/>
          <w:sz w:val="24"/>
          <w:szCs w:val="24"/>
        </w:rPr>
        <w:t xml:space="preserve"> La especialidad ambiental de la jurisdicción contenciosa administrativa tendrá cobertura y competencia en todo el territorio nacional, según lo dispuesto en esta ley.</w:t>
      </w:r>
    </w:p>
    <w:p w14:paraId="0B4D1BB1" w14:textId="77777777" w:rsidR="00561D0F" w:rsidRPr="00561D0F" w:rsidRDefault="00561D0F" w:rsidP="00561D0F">
      <w:pPr>
        <w:spacing w:after="160"/>
        <w:rPr>
          <w:rFonts w:ascii="Arial" w:eastAsia="Calibri" w:hAnsi="Arial" w:cs="Arial"/>
          <w:sz w:val="24"/>
          <w:szCs w:val="24"/>
        </w:rPr>
      </w:pPr>
    </w:p>
    <w:p w14:paraId="3E64B46E" w14:textId="4793B402" w:rsidR="00561D0F" w:rsidRPr="00561D0F" w:rsidRDefault="00561D0F" w:rsidP="00561D0F">
      <w:pPr>
        <w:spacing w:after="160"/>
        <w:jc w:val="both"/>
        <w:rPr>
          <w:rFonts w:ascii="Arial" w:eastAsia="Calibri" w:hAnsi="Arial" w:cs="Arial"/>
          <w:sz w:val="24"/>
          <w:szCs w:val="24"/>
        </w:rPr>
      </w:pPr>
      <w:r w:rsidRPr="00561D0F">
        <w:rPr>
          <w:rFonts w:ascii="Arial" w:eastAsia="Calibri" w:hAnsi="Arial" w:cs="Arial"/>
          <w:b/>
          <w:bCs/>
          <w:sz w:val="24"/>
          <w:szCs w:val="24"/>
        </w:rPr>
        <w:lastRenderedPageBreak/>
        <w:t>Artículo 3. Principios.</w:t>
      </w:r>
      <w:r w:rsidRPr="00561D0F">
        <w:rPr>
          <w:rFonts w:ascii="Arial" w:eastAsia="Calibri" w:hAnsi="Arial" w:cs="Arial"/>
          <w:sz w:val="24"/>
          <w:szCs w:val="24"/>
        </w:rPr>
        <w:t xml:space="preserve"> En la aplicación e interpretación de las disposiciones de esta ley deberán observarse de manera prevalente los principios y 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386AA439"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Acceso a la justicia.</w:t>
      </w:r>
      <w:r w:rsidRPr="00561D0F">
        <w:rPr>
          <w:rFonts w:ascii="Arial" w:eastAsia="Calibri" w:hAnsi="Arial" w:cs="Arial"/>
          <w:sz w:val="24"/>
          <w:szCs w:val="24"/>
        </w:rPr>
        <w:t xml:space="preserve"> Toda persona o grupo de personas tiene derecho a la tutela jurisdiccional efectiva para la resolución de los litigios y controversias sobre el ambiente, los recursos naturales, el ordenamiento territorial, la aplicación de la legislación ambiental vigente, y el respeto de un debido proceso de duración razonable. Los términos procesales se observarán con diligencia y su incumplimiento injustificado será sancionado de conformidad con las disposiciones pertinentes del Código General del Proceso.</w:t>
      </w:r>
    </w:p>
    <w:p w14:paraId="6E2AE463" w14:textId="77777777" w:rsidR="00561D0F" w:rsidRPr="00561D0F" w:rsidRDefault="00561D0F" w:rsidP="00561D0F">
      <w:pPr>
        <w:ind w:left="720"/>
        <w:contextualSpacing/>
        <w:jc w:val="both"/>
        <w:rPr>
          <w:rFonts w:ascii="Arial" w:eastAsia="Calibri" w:hAnsi="Arial" w:cs="Arial"/>
          <w:b/>
          <w:bCs/>
          <w:sz w:val="24"/>
          <w:szCs w:val="24"/>
        </w:rPr>
      </w:pPr>
    </w:p>
    <w:p w14:paraId="7E88A751" w14:textId="77777777" w:rsidR="00561D0F" w:rsidRPr="00561D0F" w:rsidRDefault="00561D0F" w:rsidP="00561D0F">
      <w:pPr>
        <w:ind w:left="720"/>
        <w:contextualSpacing/>
        <w:jc w:val="both"/>
        <w:rPr>
          <w:rFonts w:ascii="Arial" w:eastAsia="Calibri" w:hAnsi="Arial" w:cs="Arial"/>
          <w:sz w:val="24"/>
          <w:szCs w:val="24"/>
        </w:rPr>
      </w:pPr>
      <w:r w:rsidRPr="00561D0F">
        <w:rPr>
          <w:rFonts w:ascii="Arial" w:eastAsia="Calibri" w:hAnsi="Arial" w:cs="Arial"/>
          <w:sz w:val="24"/>
          <w:szCs w:val="24"/>
        </w:rPr>
        <w:t>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oferta judicial de manera más simple y con el mínimo de formalidades necesarias para presentar ante el Juez los derechos objeto de reclamo o defensa.</w:t>
      </w:r>
    </w:p>
    <w:p w14:paraId="5B87CA48" w14:textId="77777777" w:rsidR="00561D0F" w:rsidRPr="00561D0F" w:rsidRDefault="00561D0F" w:rsidP="00561D0F">
      <w:pPr>
        <w:ind w:left="720"/>
        <w:contextualSpacing/>
        <w:jc w:val="both"/>
        <w:rPr>
          <w:rFonts w:ascii="Arial" w:eastAsia="Calibri" w:hAnsi="Arial" w:cs="Arial"/>
          <w:sz w:val="24"/>
          <w:szCs w:val="24"/>
        </w:rPr>
      </w:pPr>
    </w:p>
    <w:p w14:paraId="03680FBD"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Buena fe procesal.</w:t>
      </w:r>
      <w:r w:rsidRPr="00561D0F">
        <w:rPr>
          <w:rFonts w:ascii="Arial" w:eastAsia="Calibri" w:hAnsi="Arial" w:cs="Arial"/>
          <w:sz w:val="24"/>
          <w:szCs w:val="24"/>
        </w:rPr>
        <w:t xml:space="preserve"> Es deber de las partes y demás intervinientes en el proceso ambiental, proceder con lealtad, probidad y buena fe en todos sus actos dentro del proceso judicial.</w:t>
      </w:r>
    </w:p>
    <w:p w14:paraId="4A30887F" w14:textId="77777777" w:rsidR="00561D0F" w:rsidRPr="00561D0F" w:rsidRDefault="00561D0F" w:rsidP="00561D0F">
      <w:pPr>
        <w:ind w:left="720"/>
        <w:contextualSpacing/>
        <w:jc w:val="both"/>
        <w:rPr>
          <w:rFonts w:ascii="Arial" w:eastAsia="Calibri" w:hAnsi="Arial" w:cs="Arial"/>
          <w:sz w:val="24"/>
          <w:szCs w:val="24"/>
        </w:rPr>
      </w:pPr>
    </w:p>
    <w:p w14:paraId="42F14AE0"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Celeridad y economía procesal.</w:t>
      </w:r>
      <w:r w:rsidRPr="00561D0F">
        <w:rPr>
          <w:rFonts w:ascii="Arial" w:eastAsia="Calibri" w:hAnsi="Arial" w:cs="Arial"/>
          <w:sz w:val="24"/>
          <w:szCs w:val="24"/>
        </w:rPr>
        <w:t xml:space="preserve"> Las actuaciones judiciales se deben adelantar con austeridad y eficiencia, evitando la dilación de los procedimientos, las decisiones inocuas y los recursos innecesarios. Se dotará a las autoridades judiciales de poderes correctivos para evitar maniobras o prácticas que atenten contra la celeridad de los procesos.</w:t>
      </w:r>
    </w:p>
    <w:p w14:paraId="3DD24BF1" w14:textId="77777777" w:rsidR="00561D0F" w:rsidRPr="00561D0F" w:rsidRDefault="00561D0F" w:rsidP="00561D0F">
      <w:pPr>
        <w:ind w:left="720"/>
        <w:contextualSpacing/>
        <w:jc w:val="both"/>
        <w:rPr>
          <w:rFonts w:ascii="Arial" w:eastAsia="Calibri" w:hAnsi="Arial" w:cs="Arial"/>
          <w:sz w:val="24"/>
          <w:szCs w:val="24"/>
        </w:rPr>
      </w:pPr>
    </w:p>
    <w:p w14:paraId="47B82ADA"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lastRenderedPageBreak/>
        <w:t>Democratización del acceso y uso adecuado de la tierra.</w:t>
      </w:r>
      <w:r w:rsidRPr="00561D0F">
        <w:rPr>
          <w:rFonts w:ascii="Arial" w:eastAsia="Calibri" w:hAnsi="Arial" w:cs="Arial"/>
          <w:sz w:val="24"/>
          <w:szCs w:val="24"/>
        </w:rPr>
        <w:t xml:space="preserve"> Se buscará promover mecanismos y garantías que permitan incentivar el uso adecuado de la tierra con criterios de sostenibilidad ambiental, de vocación del suelo, de ordenamiento territorial y de participación de las comunidades.</w:t>
      </w:r>
    </w:p>
    <w:p w14:paraId="7F50BFEA" w14:textId="77777777" w:rsidR="00561D0F" w:rsidRPr="00561D0F" w:rsidRDefault="00561D0F" w:rsidP="00561D0F">
      <w:pPr>
        <w:ind w:left="720"/>
        <w:contextualSpacing/>
        <w:jc w:val="both"/>
        <w:rPr>
          <w:rFonts w:ascii="Arial" w:eastAsia="Calibri" w:hAnsi="Arial" w:cs="Arial"/>
          <w:sz w:val="24"/>
          <w:szCs w:val="24"/>
        </w:rPr>
      </w:pPr>
    </w:p>
    <w:p w14:paraId="57DF623A"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Eficacia.</w:t>
      </w:r>
      <w:r w:rsidRPr="00561D0F">
        <w:rPr>
          <w:rFonts w:ascii="Arial" w:eastAsia="Calibri" w:hAnsi="Arial" w:cs="Arial"/>
          <w:sz w:val="24"/>
          <w:szCs w:val="24"/>
        </w:rPr>
        <w:t xml:space="preserve"> Atendiendo a la finalidad de esta ley, se debe garantizar la materialización de los mandatos dispuestos en los procedimientos judiciales, que diriman controversias en materia ambiental, así como la seguridad en el disfrute de los derechos reconocidos en cabeza de los ciudadanos sobre los cuales recaigan las decisiones.</w:t>
      </w:r>
    </w:p>
    <w:p w14:paraId="2FC82C67" w14:textId="77777777" w:rsidR="00561D0F" w:rsidRPr="00561D0F" w:rsidRDefault="00561D0F" w:rsidP="00561D0F">
      <w:pPr>
        <w:ind w:left="720"/>
        <w:contextualSpacing/>
        <w:jc w:val="both"/>
        <w:rPr>
          <w:rFonts w:ascii="Arial" w:eastAsia="Calibri" w:hAnsi="Arial" w:cs="Arial"/>
          <w:sz w:val="24"/>
          <w:szCs w:val="24"/>
        </w:rPr>
      </w:pPr>
    </w:p>
    <w:p w14:paraId="2D5C4363"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Especialidad ambiental</w:t>
      </w:r>
      <w:r w:rsidRPr="00561D0F">
        <w:rPr>
          <w:rFonts w:ascii="Arial" w:eastAsia="Calibri" w:hAnsi="Arial" w:cs="Arial"/>
          <w:sz w:val="24"/>
          <w:szCs w:val="24"/>
        </w:rPr>
        <w:t>. En la resolución de las controversias y litigios a los cuales se hace referencia esta ley se deberán tener en cuenta las particularidades de las relaciones ambientales asociadas al uso del suelo, daño y contaminación ambiental.</w:t>
      </w:r>
    </w:p>
    <w:p w14:paraId="4791E9E2" w14:textId="77777777" w:rsidR="00561D0F" w:rsidRPr="00561D0F" w:rsidRDefault="00561D0F" w:rsidP="00561D0F">
      <w:pPr>
        <w:ind w:left="720"/>
        <w:contextualSpacing/>
        <w:jc w:val="both"/>
        <w:rPr>
          <w:rFonts w:ascii="Arial" w:eastAsia="Calibri" w:hAnsi="Arial" w:cs="Arial"/>
          <w:sz w:val="24"/>
          <w:szCs w:val="24"/>
        </w:rPr>
      </w:pPr>
    </w:p>
    <w:p w14:paraId="43C6506D" w14:textId="77777777" w:rsidR="00561D0F" w:rsidRPr="00561D0F" w:rsidRDefault="00561D0F" w:rsidP="00561D0F">
      <w:pPr>
        <w:ind w:left="720"/>
        <w:contextualSpacing/>
        <w:jc w:val="both"/>
        <w:rPr>
          <w:rFonts w:ascii="Arial" w:eastAsia="Calibri" w:hAnsi="Arial" w:cs="Arial"/>
          <w:sz w:val="24"/>
          <w:szCs w:val="24"/>
        </w:rPr>
      </w:pPr>
      <w:r w:rsidRPr="00561D0F">
        <w:rPr>
          <w:rFonts w:ascii="Arial" w:eastAsia="Calibri" w:hAnsi="Arial" w:cs="Arial"/>
          <w:sz w:val="24"/>
          <w:szCs w:val="24"/>
        </w:rPr>
        <w:t>Las competencias de conocimiento de esta especialidad serán objeto de revisión por parte del Ministerio de Justicia y del Derecho en conjunto con el Ministerio de Ambiente y Desarrollo Sostenible, las Autoridades Ambientales o quien haga sus veces, cada cuatro (4) años con miras a establecer nuevos tipos de litigios que ameriten ser conocidos por estos despachos judiciales en cuyo caso se tramitará una modificación de jerarquía de ley estatutaria para adicionar o suprimir competencias.</w:t>
      </w:r>
    </w:p>
    <w:p w14:paraId="2A0850D2" w14:textId="77777777" w:rsidR="00561D0F" w:rsidRPr="00561D0F" w:rsidRDefault="00561D0F" w:rsidP="00561D0F">
      <w:pPr>
        <w:ind w:left="720"/>
        <w:contextualSpacing/>
        <w:jc w:val="both"/>
        <w:rPr>
          <w:rFonts w:ascii="Arial" w:eastAsia="Calibri" w:hAnsi="Arial" w:cs="Arial"/>
          <w:sz w:val="24"/>
          <w:szCs w:val="24"/>
        </w:rPr>
      </w:pPr>
    </w:p>
    <w:p w14:paraId="1C115F5C"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Igualdad, equidad de género y protección reforzada.</w:t>
      </w:r>
      <w:r w:rsidRPr="00561D0F">
        <w:rPr>
          <w:rFonts w:ascii="Arial" w:eastAsia="Calibri" w:hAnsi="Arial" w:cs="Arial"/>
          <w:sz w:val="24"/>
          <w:szCs w:val="24"/>
        </w:rPr>
        <w:t xml:space="preserve"> En las actuaciones judiciales las autoridades promoverán la participación especial de las mujeres rurales y demás sujetos de especial protección constitucional en condición de vulnerabilidad, con el fin de contribuir a la transformación estructural de la realidad ambiental colombiana.</w:t>
      </w:r>
    </w:p>
    <w:p w14:paraId="61840272" w14:textId="77777777" w:rsidR="00561D0F" w:rsidRPr="00561D0F" w:rsidRDefault="00561D0F" w:rsidP="00561D0F">
      <w:pPr>
        <w:ind w:left="720"/>
        <w:contextualSpacing/>
        <w:jc w:val="both"/>
        <w:rPr>
          <w:rFonts w:ascii="Arial" w:eastAsia="Calibri" w:hAnsi="Arial" w:cs="Arial"/>
          <w:sz w:val="24"/>
          <w:szCs w:val="24"/>
        </w:rPr>
      </w:pPr>
    </w:p>
    <w:p w14:paraId="205EA7D5" w14:textId="77777777" w:rsidR="00561D0F" w:rsidRPr="00561D0F" w:rsidRDefault="00561D0F" w:rsidP="00561D0F">
      <w:pPr>
        <w:ind w:left="720"/>
        <w:contextualSpacing/>
        <w:jc w:val="both"/>
        <w:rPr>
          <w:rFonts w:ascii="Arial" w:eastAsia="Calibri" w:hAnsi="Arial" w:cs="Arial"/>
          <w:sz w:val="24"/>
          <w:szCs w:val="24"/>
        </w:rPr>
      </w:pPr>
      <w:r w:rsidRPr="00561D0F">
        <w:rPr>
          <w:rFonts w:ascii="Arial" w:eastAsia="Calibri" w:hAnsi="Arial" w:cs="Arial"/>
          <w:sz w:val="24"/>
          <w:szCs w:val="24"/>
        </w:rPr>
        <w:t>En el proceso judicial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6A5956BD" w14:textId="77777777" w:rsidR="00561D0F" w:rsidRPr="00561D0F" w:rsidRDefault="00561D0F" w:rsidP="00561D0F">
      <w:pPr>
        <w:ind w:left="720"/>
        <w:contextualSpacing/>
        <w:jc w:val="both"/>
        <w:rPr>
          <w:rFonts w:ascii="Arial" w:eastAsia="Calibri" w:hAnsi="Arial" w:cs="Arial"/>
          <w:sz w:val="24"/>
          <w:szCs w:val="24"/>
        </w:rPr>
      </w:pPr>
    </w:p>
    <w:p w14:paraId="006191FE" w14:textId="77777777" w:rsidR="00561D0F" w:rsidRPr="00561D0F" w:rsidRDefault="00561D0F" w:rsidP="00561D0F">
      <w:pPr>
        <w:ind w:left="720"/>
        <w:contextualSpacing/>
        <w:jc w:val="both"/>
        <w:rPr>
          <w:rFonts w:ascii="Arial" w:eastAsia="Calibri" w:hAnsi="Arial" w:cs="Arial"/>
          <w:sz w:val="24"/>
          <w:szCs w:val="24"/>
        </w:rPr>
      </w:pPr>
      <w:r w:rsidRPr="00561D0F">
        <w:rPr>
          <w:rFonts w:ascii="Arial" w:eastAsia="Calibri" w:hAnsi="Arial" w:cs="Arial"/>
          <w:sz w:val="24"/>
          <w:szCs w:val="24"/>
        </w:rPr>
        <w:lastRenderedPageBreak/>
        <w:t>Para prevenir barreras de acceso a la justicia, se proveerá de mecanismos alternativos de solución de conflictos, con enfoque diferencial debido al género, para la orientación sobre la solución de controversias y litigios, en favor de las mujeres campesinas y rurales.</w:t>
      </w:r>
    </w:p>
    <w:p w14:paraId="3A2A5E05" w14:textId="77777777" w:rsidR="00561D0F" w:rsidRPr="00561D0F" w:rsidRDefault="00561D0F" w:rsidP="00561D0F">
      <w:pPr>
        <w:ind w:left="720"/>
        <w:contextualSpacing/>
        <w:jc w:val="both"/>
        <w:rPr>
          <w:rFonts w:ascii="Arial" w:eastAsia="Calibri" w:hAnsi="Arial" w:cs="Arial"/>
          <w:sz w:val="24"/>
          <w:szCs w:val="24"/>
        </w:rPr>
      </w:pPr>
    </w:p>
    <w:p w14:paraId="0665A7C2" w14:textId="77777777" w:rsidR="00561D0F" w:rsidRPr="00561D0F" w:rsidRDefault="00561D0F" w:rsidP="00561D0F">
      <w:pPr>
        <w:ind w:left="720"/>
        <w:contextualSpacing/>
        <w:jc w:val="both"/>
        <w:rPr>
          <w:rFonts w:ascii="Arial" w:eastAsia="Calibri" w:hAnsi="Arial" w:cs="Arial"/>
          <w:sz w:val="24"/>
          <w:szCs w:val="24"/>
        </w:rPr>
      </w:pPr>
      <w:r w:rsidRPr="00561D0F">
        <w:rPr>
          <w:rFonts w:ascii="Arial" w:eastAsia="Calibri" w:hAnsi="Arial" w:cs="Arial"/>
          <w:sz w:val="24"/>
          <w:szCs w:val="24"/>
        </w:rPr>
        <w:t>En la ejecución de los procedimientos previstos en la presente ley, deberán adoptarse criterios diferenciales que respondan a las particularidades y grado de vulnerabilidad de las mujeres y demás grupos poblacionales en los términos del presente numeral.</w:t>
      </w:r>
    </w:p>
    <w:p w14:paraId="04E17959" w14:textId="77777777" w:rsidR="00561D0F" w:rsidRPr="00561D0F" w:rsidRDefault="00561D0F" w:rsidP="00561D0F">
      <w:pPr>
        <w:ind w:left="720"/>
        <w:contextualSpacing/>
        <w:jc w:val="both"/>
        <w:rPr>
          <w:rFonts w:ascii="Arial" w:eastAsia="Calibri" w:hAnsi="Arial" w:cs="Arial"/>
          <w:sz w:val="24"/>
          <w:szCs w:val="24"/>
        </w:rPr>
      </w:pPr>
    </w:p>
    <w:p w14:paraId="58F903D4"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Oficiosidad.</w:t>
      </w:r>
      <w:r w:rsidRPr="00561D0F">
        <w:rPr>
          <w:rFonts w:ascii="Arial" w:eastAsia="Calibri" w:hAnsi="Arial" w:cs="Arial"/>
          <w:sz w:val="24"/>
          <w:szCs w:val="24"/>
        </w:rPr>
        <w:t xml:space="preserve"> Las autoridades judiciales impulsarán oficiosamente el proceso ambiental.</w:t>
      </w:r>
    </w:p>
    <w:p w14:paraId="6414B434" w14:textId="77777777" w:rsidR="00561D0F" w:rsidRPr="00561D0F" w:rsidRDefault="00561D0F" w:rsidP="00561D0F">
      <w:pPr>
        <w:ind w:left="720"/>
        <w:contextualSpacing/>
        <w:jc w:val="both"/>
        <w:rPr>
          <w:rFonts w:ascii="Arial" w:eastAsia="Calibri" w:hAnsi="Arial" w:cs="Arial"/>
          <w:sz w:val="24"/>
          <w:szCs w:val="24"/>
        </w:rPr>
      </w:pPr>
    </w:p>
    <w:p w14:paraId="09522714"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lang w:val="es-ES"/>
        </w:rPr>
        <w:t>Publicidad y nuevas tecnologías de la información.</w:t>
      </w:r>
      <w:r w:rsidRPr="00561D0F">
        <w:rPr>
          <w:rFonts w:ascii="Arial" w:eastAsia="Calibri" w:hAnsi="Arial" w:cs="Arial"/>
          <w:sz w:val="24"/>
          <w:szCs w:val="24"/>
          <w:lang w:val="es-ES"/>
        </w:rPr>
        <w:t xml:space="preserve"> Las autoridades deberán promover mecanismos de publicidad eficaces, y acordes con la realidad del territorio colombiano,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w:t>
      </w:r>
    </w:p>
    <w:p w14:paraId="2FB1EB3B" w14:textId="77777777" w:rsidR="00561D0F" w:rsidRPr="00561D0F" w:rsidRDefault="00561D0F" w:rsidP="00561D0F">
      <w:pPr>
        <w:ind w:left="720"/>
        <w:contextualSpacing/>
        <w:rPr>
          <w:rFonts w:ascii="Arial" w:eastAsia="Calibri" w:hAnsi="Arial" w:cs="Arial"/>
          <w:sz w:val="24"/>
          <w:szCs w:val="24"/>
        </w:rPr>
      </w:pPr>
    </w:p>
    <w:p w14:paraId="5799FC6A" w14:textId="77777777" w:rsidR="00561D0F" w:rsidRPr="00561D0F" w:rsidRDefault="00561D0F" w:rsidP="00561D0F">
      <w:pPr>
        <w:ind w:left="720"/>
        <w:contextualSpacing/>
        <w:jc w:val="both"/>
        <w:rPr>
          <w:rFonts w:ascii="Arial" w:eastAsia="Calibri" w:hAnsi="Arial" w:cs="Arial"/>
          <w:sz w:val="24"/>
          <w:szCs w:val="24"/>
        </w:rPr>
      </w:pPr>
      <w:r w:rsidRPr="00561D0F">
        <w:rPr>
          <w:rFonts w:ascii="Arial" w:eastAsia="Calibri" w:hAnsi="Arial" w:cs="Arial"/>
          <w:sz w:val="24"/>
          <w:szCs w:val="24"/>
        </w:rPr>
        <w:t>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w:t>
      </w:r>
    </w:p>
    <w:p w14:paraId="4975615F" w14:textId="77777777" w:rsidR="00561D0F" w:rsidRPr="00561D0F" w:rsidRDefault="00561D0F" w:rsidP="00561D0F">
      <w:pPr>
        <w:ind w:left="720"/>
        <w:contextualSpacing/>
        <w:jc w:val="both"/>
        <w:rPr>
          <w:rFonts w:ascii="Arial" w:eastAsia="Calibri" w:hAnsi="Arial" w:cs="Arial"/>
          <w:sz w:val="24"/>
          <w:szCs w:val="24"/>
        </w:rPr>
      </w:pPr>
    </w:p>
    <w:p w14:paraId="372564CF"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 xml:space="preserve">Uso prevalente de mecanismos alternativos de solución de conflictos y participación comunitaria ambiental. </w:t>
      </w:r>
      <w:r w:rsidRPr="00561D0F">
        <w:rPr>
          <w:rFonts w:ascii="Arial" w:eastAsia="Calibri" w:hAnsi="Arial" w:cs="Arial"/>
          <w:sz w:val="24"/>
          <w:szCs w:val="24"/>
        </w:rPr>
        <w:t>Las autoridades responsables velarán por el uso prevalente de los mecanismos alternativos de solución de conflictos, cuando a ello haya lugar.</w:t>
      </w:r>
    </w:p>
    <w:p w14:paraId="3099373C" w14:textId="77777777" w:rsidR="00561D0F" w:rsidRPr="00561D0F" w:rsidRDefault="00561D0F" w:rsidP="00561D0F">
      <w:pPr>
        <w:ind w:left="720"/>
        <w:contextualSpacing/>
        <w:jc w:val="both"/>
        <w:rPr>
          <w:rFonts w:ascii="Arial" w:eastAsia="Calibri" w:hAnsi="Arial" w:cs="Arial"/>
          <w:sz w:val="24"/>
          <w:szCs w:val="24"/>
        </w:rPr>
      </w:pPr>
    </w:p>
    <w:p w14:paraId="00E8D111"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 xml:space="preserve">Protección del ambiente. </w:t>
      </w:r>
      <w:r w:rsidRPr="00561D0F">
        <w:rPr>
          <w:rFonts w:ascii="Arial" w:eastAsia="Calibri" w:hAnsi="Arial" w:cs="Arial"/>
          <w:sz w:val="24"/>
          <w:szCs w:val="24"/>
        </w:rPr>
        <w:t xml:space="preserve">En las actuaciones judiciales los jueces y magistrados promoverán las actividades encaminadas a lograr el uso adecuado de la tierra y el desarrollo sostenible. Se adoptarán las medidas necesarias para evitar daños al ambiente y se adelantarán las acciones pertinentes para mitigar, eliminar, controlar y compensar los efectos negativos de los impactos generados. Para lo anterior, deberá darse alcance a los principios de uso y aprovechamiento de los recursos </w:t>
      </w:r>
      <w:r w:rsidRPr="00561D0F">
        <w:rPr>
          <w:rFonts w:ascii="Arial" w:eastAsia="Calibri" w:hAnsi="Arial" w:cs="Arial"/>
          <w:sz w:val="24"/>
          <w:szCs w:val="24"/>
        </w:rPr>
        <w:lastRenderedPageBreak/>
        <w:t>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pro-natura, desarrollo sostenible, equidad intergeneracional, responsabilidad objetiva, entre otros.</w:t>
      </w:r>
    </w:p>
    <w:p w14:paraId="7EA92B99" w14:textId="77777777" w:rsidR="00561D0F" w:rsidRPr="00561D0F" w:rsidRDefault="00561D0F" w:rsidP="00561D0F">
      <w:pPr>
        <w:ind w:left="720"/>
        <w:contextualSpacing/>
        <w:rPr>
          <w:rFonts w:ascii="Arial" w:eastAsia="Calibri" w:hAnsi="Arial" w:cs="Arial"/>
          <w:sz w:val="24"/>
          <w:szCs w:val="24"/>
        </w:rPr>
      </w:pPr>
    </w:p>
    <w:p w14:paraId="3AFA9627" w14:textId="77777777" w:rsidR="00561D0F" w:rsidRPr="00561D0F" w:rsidRDefault="00561D0F" w:rsidP="00561D0F">
      <w:pPr>
        <w:numPr>
          <w:ilvl w:val="0"/>
          <w:numId w:val="39"/>
        </w:numPr>
        <w:spacing w:after="160" w:line="256" w:lineRule="auto"/>
        <w:contextualSpacing/>
        <w:jc w:val="both"/>
        <w:rPr>
          <w:rFonts w:ascii="Arial" w:eastAsia="Calibri" w:hAnsi="Arial" w:cs="Arial"/>
          <w:sz w:val="24"/>
          <w:szCs w:val="24"/>
        </w:rPr>
      </w:pPr>
      <w:r w:rsidRPr="00561D0F">
        <w:rPr>
          <w:rFonts w:ascii="Arial" w:eastAsia="Calibri" w:hAnsi="Arial" w:cs="Arial"/>
          <w:b/>
          <w:bCs/>
          <w:sz w:val="24"/>
          <w:szCs w:val="24"/>
        </w:rPr>
        <w:t>Objetivos de Desarrollo Sostenible.</w:t>
      </w:r>
      <w:r w:rsidRPr="00561D0F">
        <w:rPr>
          <w:rFonts w:ascii="Arial" w:eastAsia="Calibri" w:hAnsi="Arial" w:cs="Arial"/>
          <w:sz w:val="24"/>
          <w:szCs w:val="24"/>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w:t>
      </w:r>
    </w:p>
    <w:p w14:paraId="3A5F2811" w14:textId="77777777" w:rsidR="00561D0F" w:rsidRPr="00561D0F" w:rsidRDefault="00561D0F" w:rsidP="00561D0F">
      <w:pPr>
        <w:ind w:left="720"/>
        <w:contextualSpacing/>
        <w:rPr>
          <w:rFonts w:ascii="Arial" w:eastAsia="Calibri" w:hAnsi="Arial" w:cs="Arial"/>
          <w:sz w:val="24"/>
          <w:szCs w:val="24"/>
        </w:rPr>
      </w:pPr>
    </w:p>
    <w:p w14:paraId="6F90DC1B" w14:textId="77777777" w:rsidR="00561D0F" w:rsidRPr="00561D0F" w:rsidRDefault="00561D0F" w:rsidP="00561D0F">
      <w:pPr>
        <w:spacing w:after="160"/>
        <w:jc w:val="both"/>
        <w:rPr>
          <w:rFonts w:ascii="Arial" w:eastAsia="Calibri" w:hAnsi="Arial" w:cs="Arial"/>
          <w:sz w:val="24"/>
          <w:szCs w:val="24"/>
        </w:rPr>
      </w:pPr>
      <w:r w:rsidRPr="00561D0F">
        <w:rPr>
          <w:rFonts w:ascii="Arial" w:eastAsia="Calibri" w:hAnsi="Arial" w:cs="Arial"/>
          <w:b/>
          <w:bCs/>
          <w:sz w:val="24"/>
          <w:szCs w:val="24"/>
        </w:rPr>
        <w:t>Artículo 4. Naturaleza del proceso ambiental.</w:t>
      </w:r>
      <w:r w:rsidRPr="00561D0F">
        <w:rPr>
          <w:rFonts w:ascii="Arial" w:eastAsia="Calibri" w:hAnsi="Arial" w:cs="Arial"/>
          <w:sz w:val="24"/>
          <w:szCs w:val="24"/>
        </w:rPr>
        <w:t xml:space="preserve"> El proceso ambiental es un proceso declarativo que se regirá por las reglas especiales previstas en esta ley, y en lo no previsto en ellas por las reglas del Código General del Proceso y el Código de Procedimiento Administrativo y de lo Contencioso Administrativo.</w:t>
      </w:r>
    </w:p>
    <w:p w14:paraId="2358E009" w14:textId="77777777" w:rsidR="00561D0F" w:rsidRPr="00561D0F" w:rsidRDefault="00561D0F" w:rsidP="00561D0F">
      <w:pPr>
        <w:spacing w:after="160"/>
        <w:jc w:val="both"/>
        <w:rPr>
          <w:rFonts w:ascii="Arial" w:eastAsia="Calibri" w:hAnsi="Arial" w:cs="Arial"/>
          <w:sz w:val="24"/>
          <w:szCs w:val="24"/>
        </w:rPr>
      </w:pPr>
    </w:p>
    <w:p w14:paraId="23978639" w14:textId="77777777" w:rsidR="00561D0F" w:rsidRPr="00561D0F" w:rsidRDefault="00561D0F" w:rsidP="00561D0F">
      <w:pPr>
        <w:spacing w:after="160"/>
        <w:jc w:val="both"/>
        <w:rPr>
          <w:rFonts w:ascii="Arial" w:eastAsia="Calibri" w:hAnsi="Arial" w:cs="Arial"/>
          <w:sz w:val="24"/>
          <w:szCs w:val="24"/>
        </w:rPr>
      </w:pPr>
      <w:r w:rsidRPr="00561D0F">
        <w:rPr>
          <w:rFonts w:ascii="Arial" w:eastAsia="Calibri" w:hAnsi="Arial" w:cs="Arial"/>
          <w:b/>
          <w:bCs/>
          <w:sz w:val="24"/>
          <w:szCs w:val="24"/>
        </w:rPr>
        <w:t xml:space="preserve">Artículo 5. De los asuntos que se tramitan a través del proceso ambiental. </w:t>
      </w:r>
      <w:r w:rsidRPr="00561D0F">
        <w:rPr>
          <w:rFonts w:ascii="Arial" w:eastAsia="Calibri" w:hAnsi="Arial" w:cs="Arial"/>
          <w:sz w:val="24"/>
          <w:szCs w:val="24"/>
        </w:rPr>
        <w:t>Se tramitarán a través del proceso ambiental dispuesto en esta ley, todos los litigios y controversias señalados en el objeto de la presente ley.</w:t>
      </w:r>
    </w:p>
    <w:p w14:paraId="07050117" w14:textId="77777777" w:rsidR="00561D0F" w:rsidRPr="00561D0F" w:rsidRDefault="00561D0F" w:rsidP="00561D0F">
      <w:pPr>
        <w:spacing w:after="160"/>
        <w:jc w:val="both"/>
        <w:rPr>
          <w:rFonts w:ascii="Arial" w:eastAsia="Calibri" w:hAnsi="Arial" w:cs="Arial"/>
          <w:sz w:val="24"/>
          <w:szCs w:val="24"/>
        </w:rPr>
      </w:pPr>
      <w:r w:rsidRPr="00561D0F">
        <w:rPr>
          <w:rFonts w:ascii="Arial" w:eastAsia="Calibri" w:hAnsi="Arial" w:cs="Arial"/>
          <w:sz w:val="24"/>
          <w:szCs w:val="24"/>
        </w:rPr>
        <w:t>En particular, de los siguientes asuntos:</w:t>
      </w:r>
    </w:p>
    <w:p w14:paraId="660794AA" w14:textId="77777777" w:rsidR="00561D0F" w:rsidRPr="00561D0F" w:rsidRDefault="00561D0F" w:rsidP="00561D0F">
      <w:pPr>
        <w:numPr>
          <w:ilvl w:val="0"/>
          <w:numId w:val="40"/>
        </w:numPr>
        <w:spacing w:after="160" w:line="256" w:lineRule="auto"/>
        <w:contextualSpacing/>
        <w:jc w:val="both"/>
        <w:rPr>
          <w:rFonts w:ascii="Arial" w:eastAsia="Calibri" w:hAnsi="Arial" w:cs="Arial"/>
          <w:sz w:val="24"/>
          <w:szCs w:val="24"/>
        </w:rPr>
      </w:pPr>
      <w:r w:rsidRPr="00561D0F">
        <w:rPr>
          <w:rFonts w:ascii="Arial" w:eastAsia="Calibri" w:hAnsi="Arial" w:cs="Arial"/>
          <w:sz w:val="24"/>
          <w:szCs w:val="24"/>
        </w:rPr>
        <w:t>La expropiación de la que trata la Ley 388 de 1997, cuando verse sobre asuntos ambientales.</w:t>
      </w:r>
    </w:p>
    <w:p w14:paraId="04A188E3" w14:textId="77777777" w:rsidR="00267A9D" w:rsidRDefault="00267A9D" w:rsidP="00267A9D">
      <w:pPr>
        <w:spacing w:after="160" w:line="256" w:lineRule="auto"/>
        <w:ind w:left="1065"/>
        <w:contextualSpacing/>
        <w:jc w:val="both"/>
        <w:rPr>
          <w:rFonts w:ascii="Arial" w:eastAsia="Calibri" w:hAnsi="Arial" w:cs="Arial"/>
          <w:sz w:val="24"/>
          <w:szCs w:val="24"/>
        </w:rPr>
      </w:pPr>
    </w:p>
    <w:p w14:paraId="4BDF1845" w14:textId="29BE4D20" w:rsidR="00561D0F" w:rsidRPr="00561D0F" w:rsidRDefault="00561D0F" w:rsidP="00561D0F">
      <w:pPr>
        <w:numPr>
          <w:ilvl w:val="0"/>
          <w:numId w:val="40"/>
        </w:numPr>
        <w:spacing w:after="160" w:line="256" w:lineRule="auto"/>
        <w:contextualSpacing/>
        <w:jc w:val="both"/>
        <w:rPr>
          <w:rFonts w:ascii="Arial" w:eastAsia="Calibri" w:hAnsi="Arial" w:cs="Arial"/>
          <w:sz w:val="24"/>
          <w:szCs w:val="24"/>
        </w:rPr>
      </w:pPr>
      <w:r w:rsidRPr="00561D0F">
        <w:rPr>
          <w:rFonts w:ascii="Arial" w:eastAsia="Calibri" w:hAnsi="Arial" w:cs="Arial"/>
          <w:sz w:val="24"/>
          <w:szCs w:val="24"/>
        </w:rPr>
        <w:t>Acciones de grupo y responsabilidad extracontractual, siempre que la controversia tenga contenido ambiental.</w:t>
      </w:r>
    </w:p>
    <w:p w14:paraId="4949B2CC" w14:textId="77777777" w:rsidR="00267A9D" w:rsidRDefault="00267A9D" w:rsidP="00267A9D">
      <w:pPr>
        <w:spacing w:after="160" w:line="256" w:lineRule="auto"/>
        <w:ind w:left="1065"/>
        <w:contextualSpacing/>
        <w:jc w:val="both"/>
        <w:rPr>
          <w:rFonts w:ascii="Arial" w:eastAsia="Calibri" w:hAnsi="Arial" w:cs="Arial"/>
          <w:sz w:val="24"/>
          <w:szCs w:val="24"/>
        </w:rPr>
      </w:pPr>
    </w:p>
    <w:p w14:paraId="48B2F917" w14:textId="440D3226" w:rsidR="00561D0F" w:rsidRPr="00561D0F" w:rsidRDefault="00561D0F" w:rsidP="00561D0F">
      <w:pPr>
        <w:numPr>
          <w:ilvl w:val="0"/>
          <w:numId w:val="40"/>
        </w:numPr>
        <w:spacing w:after="160" w:line="256" w:lineRule="auto"/>
        <w:contextualSpacing/>
        <w:jc w:val="both"/>
        <w:rPr>
          <w:rFonts w:ascii="Arial" w:eastAsia="Calibri" w:hAnsi="Arial" w:cs="Arial"/>
          <w:sz w:val="24"/>
          <w:szCs w:val="24"/>
        </w:rPr>
      </w:pPr>
      <w:r w:rsidRPr="00561D0F">
        <w:rPr>
          <w:rFonts w:ascii="Arial" w:eastAsia="Calibri" w:hAnsi="Arial" w:cs="Arial"/>
          <w:sz w:val="24"/>
          <w:szCs w:val="24"/>
        </w:rPr>
        <w:t>Diferendos relacionados con los elementos del ambiente previstos en el Decreto Ley 2811 de 1974, Código Nacional de Recursos Naturales Renovables.</w:t>
      </w:r>
    </w:p>
    <w:p w14:paraId="2C764495" w14:textId="77777777" w:rsidR="00267A9D" w:rsidRDefault="00267A9D" w:rsidP="00267A9D">
      <w:pPr>
        <w:spacing w:after="160" w:line="256" w:lineRule="auto"/>
        <w:ind w:left="1065"/>
        <w:contextualSpacing/>
        <w:jc w:val="both"/>
        <w:rPr>
          <w:rFonts w:ascii="Arial" w:eastAsia="Calibri" w:hAnsi="Arial" w:cs="Arial"/>
          <w:sz w:val="24"/>
          <w:szCs w:val="24"/>
        </w:rPr>
      </w:pPr>
    </w:p>
    <w:p w14:paraId="150AC206" w14:textId="2B5D1187" w:rsidR="00561D0F" w:rsidRPr="00561D0F" w:rsidRDefault="00561D0F" w:rsidP="00561D0F">
      <w:pPr>
        <w:numPr>
          <w:ilvl w:val="0"/>
          <w:numId w:val="40"/>
        </w:numPr>
        <w:spacing w:after="160" w:line="256" w:lineRule="auto"/>
        <w:contextualSpacing/>
        <w:jc w:val="both"/>
        <w:rPr>
          <w:rFonts w:ascii="Arial" w:eastAsia="Calibri" w:hAnsi="Arial" w:cs="Arial"/>
          <w:sz w:val="24"/>
          <w:szCs w:val="24"/>
        </w:rPr>
      </w:pPr>
      <w:r w:rsidRPr="00561D0F">
        <w:rPr>
          <w:rFonts w:ascii="Arial" w:eastAsia="Calibri" w:hAnsi="Arial" w:cs="Arial"/>
          <w:sz w:val="24"/>
          <w:szCs w:val="24"/>
        </w:rPr>
        <w:t>Controversias sobre la materia ambiental, relativas a recursos naturales y de ordenamiento territorial, de conformidad con las normas que regulan el sector ambiental.</w:t>
      </w:r>
    </w:p>
    <w:p w14:paraId="58C20B6A" w14:textId="77777777" w:rsidR="00561D0F" w:rsidRPr="00561D0F" w:rsidRDefault="00561D0F" w:rsidP="00561D0F">
      <w:pPr>
        <w:numPr>
          <w:ilvl w:val="0"/>
          <w:numId w:val="40"/>
        </w:numPr>
        <w:spacing w:after="160" w:line="256" w:lineRule="auto"/>
        <w:contextualSpacing/>
        <w:jc w:val="both"/>
        <w:rPr>
          <w:rFonts w:ascii="Arial" w:eastAsia="Calibri" w:hAnsi="Arial" w:cs="Arial"/>
          <w:sz w:val="24"/>
          <w:szCs w:val="24"/>
        </w:rPr>
      </w:pPr>
      <w:r w:rsidRPr="00561D0F">
        <w:rPr>
          <w:rFonts w:ascii="Arial" w:eastAsia="Calibri" w:hAnsi="Arial" w:cs="Arial"/>
          <w:sz w:val="24"/>
          <w:szCs w:val="24"/>
        </w:rPr>
        <w:t>Acciones de responsabilidad extracontractual por daños al ambiente.</w:t>
      </w:r>
    </w:p>
    <w:p w14:paraId="273CB3EE" w14:textId="77777777" w:rsidR="00561D0F" w:rsidRPr="00561D0F" w:rsidRDefault="00561D0F" w:rsidP="00561D0F">
      <w:pPr>
        <w:numPr>
          <w:ilvl w:val="0"/>
          <w:numId w:val="40"/>
        </w:numPr>
        <w:spacing w:after="160" w:line="256" w:lineRule="auto"/>
        <w:contextualSpacing/>
        <w:jc w:val="both"/>
        <w:rPr>
          <w:rFonts w:ascii="Arial" w:eastAsia="Calibri" w:hAnsi="Arial" w:cs="Arial"/>
          <w:sz w:val="24"/>
          <w:szCs w:val="24"/>
        </w:rPr>
      </w:pPr>
      <w:r w:rsidRPr="00561D0F">
        <w:rPr>
          <w:rFonts w:ascii="Arial" w:eastAsia="Calibri" w:hAnsi="Arial" w:cs="Arial"/>
          <w:sz w:val="24"/>
          <w:szCs w:val="24"/>
        </w:rPr>
        <w:lastRenderedPageBreak/>
        <w:t>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w:t>
      </w:r>
    </w:p>
    <w:p w14:paraId="20D70563" w14:textId="77777777" w:rsidR="00267A9D" w:rsidRPr="00267A9D" w:rsidRDefault="00267A9D" w:rsidP="00267A9D">
      <w:pPr>
        <w:spacing w:after="160" w:line="256" w:lineRule="auto"/>
        <w:ind w:left="1065"/>
        <w:contextualSpacing/>
        <w:jc w:val="both"/>
        <w:rPr>
          <w:rFonts w:ascii="Arial" w:eastAsia="Calibri" w:hAnsi="Arial" w:cs="Arial"/>
          <w:b/>
          <w:bCs/>
          <w:sz w:val="24"/>
          <w:szCs w:val="24"/>
        </w:rPr>
      </w:pPr>
    </w:p>
    <w:p w14:paraId="5ECF83CE" w14:textId="5031C81E" w:rsidR="00561D0F" w:rsidRPr="00561D0F" w:rsidRDefault="00561D0F" w:rsidP="00561D0F">
      <w:pPr>
        <w:numPr>
          <w:ilvl w:val="0"/>
          <w:numId w:val="40"/>
        </w:numPr>
        <w:spacing w:after="160" w:line="256" w:lineRule="auto"/>
        <w:contextualSpacing/>
        <w:jc w:val="both"/>
        <w:rPr>
          <w:rFonts w:ascii="Arial" w:eastAsia="Calibri" w:hAnsi="Arial" w:cs="Arial"/>
          <w:b/>
          <w:bCs/>
          <w:sz w:val="24"/>
          <w:szCs w:val="24"/>
        </w:rPr>
      </w:pPr>
      <w:r w:rsidRPr="00561D0F">
        <w:rPr>
          <w:rFonts w:ascii="Arial" w:eastAsia="Calibri" w:hAnsi="Arial" w:cs="Arial"/>
          <w:sz w:val="24"/>
          <w:szCs w:val="24"/>
        </w:rPr>
        <w:t>Medios de control contra los actos administrativos de contenido ambiental proferidos por la Agencia Nacional de Minería, la Agencia Nacional de Hidrocarburos, la Autoridad Nacional de Licencias Ambientales, la Unidad de Planeación Minero-Energética y demás entidades en materia ambiental.</w:t>
      </w:r>
    </w:p>
    <w:p w14:paraId="4D404F7D" w14:textId="77777777" w:rsidR="00267A9D" w:rsidRDefault="00267A9D" w:rsidP="00561D0F">
      <w:pPr>
        <w:spacing w:after="160"/>
        <w:jc w:val="both"/>
        <w:rPr>
          <w:rFonts w:ascii="Arial" w:eastAsia="Calibri" w:hAnsi="Arial" w:cs="Arial"/>
          <w:b/>
          <w:bCs/>
          <w:sz w:val="24"/>
          <w:szCs w:val="24"/>
          <w:lang w:val="es-ES"/>
        </w:rPr>
      </w:pPr>
    </w:p>
    <w:p w14:paraId="5A006793" w14:textId="73F65C50"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w:t>
      </w:r>
      <w:r w:rsidRPr="00561D0F">
        <w:rPr>
          <w:rFonts w:ascii="Arial" w:eastAsia="Calibri" w:hAnsi="Arial" w:cs="Arial"/>
          <w:sz w:val="24"/>
          <w:szCs w:val="24"/>
          <w:lang w:val="es-ES"/>
        </w:rPr>
        <w:t xml:space="preserve"> Adicionalmente, la 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p w14:paraId="3A1CE2AA" w14:textId="2A2BB52F"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6. Integración de la Especialidad ambiental en la Jurisdicción de lo Contencioso Administrativo.</w:t>
      </w:r>
      <w:r w:rsidRPr="00561D0F">
        <w:rPr>
          <w:rFonts w:ascii="Arial" w:eastAsia="Calibri" w:hAnsi="Arial" w:cs="Arial"/>
          <w:sz w:val="24"/>
          <w:szCs w:val="24"/>
          <w:lang w:val="es-ES"/>
        </w:rPr>
        <w:t xml:space="preserve"> La Jurisdicción de lo Contencioso Administrativo, en su especialidad ambiental, se integrará de la siguiente forma:</w:t>
      </w:r>
    </w:p>
    <w:p w14:paraId="013054BA" w14:textId="77777777" w:rsidR="00561D0F" w:rsidRPr="00561D0F" w:rsidRDefault="00561D0F" w:rsidP="00561D0F">
      <w:pPr>
        <w:spacing w:after="160"/>
        <w:ind w:left="705" w:hanging="705"/>
        <w:jc w:val="both"/>
        <w:rPr>
          <w:rFonts w:ascii="Arial" w:eastAsia="Calibri" w:hAnsi="Arial" w:cs="Arial"/>
          <w:sz w:val="24"/>
          <w:szCs w:val="24"/>
          <w:lang w:val="es-ES"/>
        </w:rPr>
      </w:pPr>
      <w:r w:rsidRPr="00561D0F">
        <w:rPr>
          <w:rFonts w:ascii="Arial" w:eastAsia="Calibri" w:hAnsi="Arial" w:cs="Arial"/>
          <w:sz w:val="24"/>
          <w:szCs w:val="24"/>
          <w:lang w:val="es-ES"/>
        </w:rPr>
        <w:t xml:space="preserve">1. </w:t>
      </w:r>
      <w:r w:rsidRPr="00561D0F">
        <w:rPr>
          <w:rFonts w:ascii="Arial" w:eastAsia="Calibri" w:hAnsi="Arial" w:cs="Arial"/>
          <w:sz w:val="24"/>
          <w:szCs w:val="24"/>
          <w:lang w:val="es-ES"/>
        </w:rPr>
        <w:tab/>
        <w:t>La Sección Primera de la Sala de lo Contencioso Administrativo del Consejo de Estado.</w:t>
      </w:r>
    </w:p>
    <w:p w14:paraId="362F0331"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4.</w:t>
      </w:r>
      <w:r w:rsidRPr="00561D0F">
        <w:rPr>
          <w:rFonts w:ascii="Arial" w:eastAsia="Calibri" w:hAnsi="Arial" w:cs="Arial"/>
          <w:sz w:val="24"/>
          <w:szCs w:val="24"/>
          <w:lang w:val="es-ES"/>
        </w:rPr>
        <w:tab/>
        <w:t>Las Salas ambientales de los Tribunales Administrativos.</w:t>
      </w:r>
    </w:p>
    <w:p w14:paraId="449A3B4E"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5.</w:t>
      </w:r>
      <w:r w:rsidRPr="00561D0F">
        <w:rPr>
          <w:rFonts w:ascii="Arial" w:eastAsia="Calibri" w:hAnsi="Arial" w:cs="Arial"/>
          <w:sz w:val="24"/>
          <w:szCs w:val="24"/>
          <w:lang w:val="es-ES"/>
        </w:rPr>
        <w:tab/>
        <w:t>Los juzgados ambientales administrativos.</w:t>
      </w:r>
    </w:p>
    <w:p w14:paraId="55B6D550" w14:textId="69D28671"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 xml:space="preserve">Artículo 7. Competencia territorial. </w:t>
      </w:r>
      <w:r w:rsidRPr="00561D0F">
        <w:rPr>
          <w:rFonts w:ascii="Arial" w:eastAsia="Calibri" w:hAnsi="Arial" w:cs="Arial"/>
          <w:sz w:val="24"/>
          <w:szCs w:val="24"/>
          <w:lang w:val="es-ES"/>
        </w:rPr>
        <w:t>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demandante</w:t>
      </w:r>
    </w:p>
    <w:p w14:paraId="58C9C7EE" w14:textId="4C7C89FF"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8. Titularidad.</w:t>
      </w:r>
      <w:r w:rsidRPr="00561D0F">
        <w:rPr>
          <w:rFonts w:ascii="Arial" w:eastAsia="Calibri" w:hAnsi="Arial" w:cs="Arial"/>
          <w:sz w:val="24"/>
          <w:szCs w:val="24"/>
          <w:lang w:val="es-ES"/>
        </w:rPr>
        <w:t xml:space="preserve"> Podrán ser parte en el proceso ambiental, sin perjuicio de lo señalado en las normas generales de procedimiento:</w:t>
      </w:r>
    </w:p>
    <w:p w14:paraId="5007D6F1" w14:textId="77777777" w:rsidR="00561D0F" w:rsidRPr="00561D0F" w:rsidRDefault="00561D0F" w:rsidP="00561D0F">
      <w:pPr>
        <w:numPr>
          <w:ilvl w:val="0"/>
          <w:numId w:val="41"/>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Toda persona natural o jurídica, de derecho público o privado.</w:t>
      </w:r>
    </w:p>
    <w:p w14:paraId="57CDC174" w14:textId="77777777" w:rsidR="00561D0F" w:rsidRPr="00561D0F" w:rsidRDefault="00561D0F" w:rsidP="00561D0F">
      <w:pPr>
        <w:numPr>
          <w:ilvl w:val="0"/>
          <w:numId w:val="41"/>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Las</w:t>
      </w:r>
      <w:r w:rsidRPr="00561D0F">
        <w:rPr>
          <w:rFonts w:ascii="Arial" w:eastAsia="Calibri" w:hAnsi="Arial" w:cs="Arial"/>
          <w:sz w:val="24"/>
          <w:szCs w:val="24"/>
          <w:lang w:val="es-ES"/>
        </w:rPr>
        <w:tab/>
        <w:t>organizaciones</w:t>
      </w:r>
      <w:r w:rsidRPr="00561D0F">
        <w:rPr>
          <w:rFonts w:ascii="Arial" w:eastAsia="Calibri" w:hAnsi="Arial" w:cs="Arial"/>
          <w:sz w:val="24"/>
          <w:szCs w:val="24"/>
          <w:lang w:val="es-ES"/>
        </w:rPr>
        <w:tab/>
        <w:t>no</w:t>
      </w:r>
      <w:r w:rsidRPr="00561D0F">
        <w:rPr>
          <w:rFonts w:ascii="Arial" w:eastAsia="Calibri" w:hAnsi="Arial" w:cs="Arial"/>
          <w:sz w:val="24"/>
          <w:szCs w:val="24"/>
          <w:lang w:val="es-ES"/>
        </w:rPr>
        <w:tab/>
        <w:t xml:space="preserve">gubernamentales, las organizaciones sociales, comunitarias, de mujeres, cívicas o de índole similar en nombre de </w:t>
      </w:r>
      <w:r w:rsidRPr="00561D0F">
        <w:rPr>
          <w:rFonts w:ascii="Arial" w:eastAsia="Calibri" w:hAnsi="Arial" w:cs="Arial"/>
          <w:sz w:val="24"/>
          <w:szCs w:val="24"/>
          <w:lang w:val="es-ES"/>
        </w:rPr>
        <w:lastRenderedPageBreak/>
        <w:t>cualquier persona que se encuentre en situación de vulnerabilidad, sin perjuicio de los derechos que les asiste a los interesados.</w:t>
      </w:r>
    </w:p>
    <w:p w14:paraId="0B835A2F" w14:textId="77777777" w:rsidR="00561D0F" w:rsidRPr="00561D0F" w:rsidRDefault="00561D0F" w:rsidP="00561D0F">
      <w:pPr>
        <w:numPr>
          <w:ilvl w:val="0"/>
          <w:numId w:val="41"/>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La Defensoría del Pueblo en nombre de cualquier persona que se encuentre en condición de vulnerabilidad, sin perjuicio del derecho que les asiste a los interesados.</w:t>
      </w:r>
    </w:p>
    <w:p w14:paraId="492764C9" w14:textId="77777777" w:rsidR="00561D0F" w:rsidRPr="00561D0F" w:rsidRDefault="00561D0F" w:rsidP="00561D0F">
      <w:pPr>
        <w:spacing w:after="160"/>
        <w:jc w:val="both"/>
        <w:rPr>
          <w:rFonts w:ascii="Arial" w:eastAsia="Calibri" w:hAnsi="Arial" w:cs="Arial"/>
          <w:sz w:val="24"/>
          <w:szCs w:val="24"/>
          <w:lang w:val="es-ES"/>
        </w:rPr>
      </w:pPr>
    </w:p>
    <w:p w14:paraId="07525734"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9.</w:t>
      </w:r>
      <w:r w:rsidRPr="00561D0F">
        <w:rPr>
          <w:rFonts w:ascii="Arial" w:eastAsia="Calibri" w:hAnsi="Arial" w:cs="Arial"/>
          <w:sz w:val="24"/>
          <w:szCs w:val="24"/>
          <w:lang w:val="es-ES"/>
        </w:rPr>
        <w:t xml:space="preserve"> Modifíquese el artículo 6º de la Ley 270 de 1996, el cual quedará así:</w:t>
      </w:r>
    </w:p>
    <w:p w14:paraId="7CE813BE"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6. Gratuidad.</w:t>
      </w:r>
      <w:r w:rsidRPr="00561D0F">
        <w:rPr>
          <w:rFonts w:ascii="Arial" w:eastAsia="Calibri" w:hAnsi="Arial" w:cs="Arial"/>
          <w:sz w:val="24"/>
          <w:szCs w:val="24"/>
          <w:lang w:val="es-ES"/>
        </w:rPr>
        <w:t xml:space="preserve"> La administración de justicia será gratuita y su funcionamiento estará a cargo del Estado, sin perjuicio de las agencias en derecho, costas, expensas y aranceles judiciales que se fijen de conformidad con la ley.</w:t>
      </w:r>
    </w:p>
    <w:p w14:paraId="6E4A6684"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374BD7F4"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El arancel judicial constituirá un ingreso público a favor de la Rama Judicial.</w:t>
      </w:r>
    </w:p>
    <w:p w14:paraId="23F00787" w14:textId="06B0FA4B"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10.</w:t>
      </w:r>
      <w:r w:rsidRPr="00561D0F">
        <w:rPr>
          <w:rFonts w:ascii="Arial" w:eastAsia="Calibri" w:hAnsi="Arial" w:cs="Arial"/>
          <w:sz w:val="24"/>
          <w:szCs w:val="24"/>
          <w:lang w:val="es-ES"/>
        </w:rPr>
        <w:t xml:space="preserve"> Modifíquese el artículo 11 de la Ley 270 de 1996, el cual quedará así:</w:t>
      </w:r>
    </w:p>
    <w:p w14:paraId="4A5D994A"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11.</w:t>
      </w:r>
      <w:r w:rsidRPr="00561D0F">
        <w:rPr>
          <w:rFonts w:ascii="Arial" w:eastAsia="Calibri" w:hAnsi="Arial" w:cs="Arial"/>
          <w:sz w:val="24"/>
          <w:szCs w:val="24"/>
          <w:lang w:val="es-ES"/>
        </w:rPr>
        <w:t xml:space="preserve"> La Rama Judicial del Poder Público está constituida por:</w:t>
      </w:r>
    </w:p>
    <w:p w14:paraId="03CE7E28"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I. Los órganos que integran las distintas jurisdicciones:</w:t>
      </w:r>
    </w:p>
    <w:p w14:paraId="23CA88F1"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sz w:val="24"/>
          <w:szCs w:val="24"/>
          <w:lang w:val="es-ES"/>
        </w:rPr>
        <w:t>a)</w:t>
      </w:r>
      <w:r w:rsidRPr="00561D0F">
        <w:rPr>
          <w:rFonts w:ascii="Arial" w:eastAsia="Calibri" w:hAnsi="Arial" w:cs="Arial"/>
          <w:sz w:val="24"/>
          <w:szCs w:val="24"/>
          <w:lang w:val="es-ES"/>
        </w:rPr>
        <w:t xml:space="preserve"> De la Jurisdicción Ordinaria:</w:t>
      </w:r>
    </w:p>
    <w:p w14:paraId="2BF4592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1.</w:t>
      </w:r>
      <w:r w:rsidRPr="00561D0F">
        <w:rPr>
          <w:rFonts w:ascii="Arial" w:eastAsia="Calibri" w:hAnsi="Arial" w:cs="Arial"/>
          <w:sz w:val="24"/>
          <w:szCs w:val="24"/>
          <w:lang w:val="es-ES"/>
        </w:rPr>
        <w:tab/>
        <w:t>Corte Suprema de Justicia.</w:t>
      </w:r>
    </w:p>
    <w:p w14:paraId="580DBBB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2.</w:t>
      </w:r>
      <w:r w:rsidRPr="00561D0F">
        <w:rPr>
          <w:rFonts w:ascii="Arial" w:eastAsia="Calibri" w:hAnsi="Arial" w:cs="Arial"/>
          <w:sz w:val="24"/>
          <w:szCs w:val="24"/>
          <w:lang w:val="es-ES"/>
        </w:rPr>
        <w:tab/>
        <w:t>Tribunales Superiores de Distrito Judicial.</w:t>
      </w:r>
    </w:p>
    <w:p w14:paraId="5A2737B9" w14:textId="5A93C3A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3.</w:t>
      </w:r>
      <w:r w:rsidRPr="00561D0F">
        <w:rPr>
          <w:rFonts w:ascii="Arial" w:eastAsia="Calibri" w:hAnsi="Arial" w:cs="Arial"/>
          <w:sz w:val="24"/>
          <w:szCs w:val="24"/>
          <w:lang w:val="es-ES"/>
        </w:rPr>
        <w:tab/>
        <w:t>Juzgados civiles, laborales, penales, penales para adolescentes, de familia, de ejecución de penas, de pequeñas causas y de competencia múltiple, y los demás especializados y promiscuos que se creen conforme a la ley;</w:t>
      </w:r>
    </w:p>
    <w:p w14:paraId="2D9197B7"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sz w:val="24"/>
          <w:szCs w:val="24"/>
          <w:lang w:val="es-ES"/>
        </w:rPr>
        <w:t>b)</w:t>
      </w:r>
      <w:r w:rsidRPr="00561D0F">
        <w:rPr>
          <w:rFonts w:ascii="Arial" w:eastAsia="Calibri" w:hAnsi="Arial" w:cs="Arial"/>
          <w:sz w:val="24"/>
          <w:szCs w:val="24"/>
          <w:lang w:val="es-ES"/>
        </w:rPr>
        <w:t xml:space="preserve"> De la Jurisdicción de lo Contencioso Administrativo:</w:t>
      </w:r>
    </w:p>
    <w:p w14:paraId="45760359"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1.</w:t>
      </w:r>
      <w:r w:rsidRPr="00561D0F">
        <w:rPr>
          <w:rFonts w:ascii="Arial" w:eastAsia="Calibri" w:hAnsi="Arial" w:cs="Arial"/>
          <w:sz w:val="24"/>
          <w:szCs w:val="24"/>
          <w:lang w:val="es-ES"/>
        </w:rPr>
        <w:tab/>
        <w:t>Consejo de Estado</w:t>
      </w:r>
    </w:p>
    <w:p w14:paraId="5B6B4C31"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2.</w:t>
      </w:r>
      <w:r w:rsidRPr="00561D0F">
        <w:rPr>
          <w:rFonts w:ascii="Arial" w:eastAsia="Calibri" w:hAnsi="Arial" w:cs="Arial"/>
          <w:sz w:val="24"/>
          <w:szCs w:val="24"/>
          <w:lang w:val="es-ES"/>
        </w:rPr>
        <w:tab/>
        <w:t>Tribunales Administrativos</w:t>
      </w:r>
    </w:p>
    <w:p w14:paraId="3E56CBFE"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3.</w:t>
      </w:r>
      <w:r w:rsidRPr="00561D0F">
        <w:rPr>
          <w:rFonts w:ascii="Arial" w:eastAsia="Calibri" w:hAnsi="Arial" w:cs="Arial"/>
          <w:sz w:val="24"/>
          <w:szCs w:val="24"/>
          <w:lang w:val="es-ES"/>
        </w:rPr>
        <w:tab/>
        <w:t>Juzgados Administrativos y los Juzgados Administrativos ambientales.</w:t>
      </w:r>
    </w:p>
    <w:p w14:paraId="22DCA119" w14:textId="77777777" w:rsidR="00561D0F" w:rsidRPr="00561D0F" w:rsidRDefault="00561D0F" w:rsidP="00561D0F">
      <w:pPr>
        <w:spacing w:after="160"/>
        <w:jc w:val="both"/>
        <w:rPr>
          <w:rFonts w:ascii="Arial" w:eastAsia="Calibri" w:hAnsi="Arial" w:cs="Arial"/>
          <w:sz w:val="24"/>
          <w:szCs w:val="24"/>
          <w:lang w:val="es-ES"/>
        </w:rPr>
      </w:pPr>
    </w:p>
    <w:p w14:paraId="051CFD0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sz w:val="24"/>
          <w:szCs w:val="24"/>
          <w:lang w:val="es-ES"/>
        </w:rPr>
        <w:t>c)</w:t>
      </w:r>
      <w:r w:rsidRPr="00561D0F">
        <w:rPr>
          <w:rFonts w:ascii="Arial" w:eastAsia="Calibri" w:hAnsi="Arial" w:cs="Arial"/>
          <w:sz w:val="24"/>
          <w:szCs w:val="24"/>
          <w:lang w:val="es-ES"/>
        </w:rPr>
        <w:t xml:space="preserve"> De la jurisdicción constitucional:</w:t>
      </w:r>
    </w:p>
    <w:p w14:paraId="469CAB78" w14:textId="4DBE129E"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1. Corte Constitucional;</w:t>
      </w:r>
    </w:p>
    <w:p w14:paraId="036B05E5"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sz w:val="24"/>
          <w:szCs w:val="24"/>
          <w:lang w:val="es-ES"/>
        </w:rPr>
        <w:t>d)</w:t>
      </w:r>
      <w:r w:rsidRPr="00561D0F">
        <w:rPr>
          <w:rFonts w:ascii="Arial" w:eastAsia="Calibri" w:hAnsi="Arial" w:cs="Arial"/>
          <w:sz w:val="24"/>
          <w:szCs w:val="24"/>
          <w:lang w:val="es-ES"/>
        </w:rPr>
        <w:t xml:space="preserve"> De la Jurisdicción de Paz: Jueces de Paz.</w:t>
      </w:r>
    </w:p>
    <w:p w14:paraId="3BCDD9DD"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2.</w:t>
      </w:r>
      <w:r w:rsidRPr="00561D0F">
        <w:rPr>
          <w:rFonts w:ascii="Arial" w:eastAsia="Calibri" w:hAnsi="Arial" w:cs="Arial"/>
          <w:sz w:val="24"/>
          <w:szCs w:val="24"/>
          <w:lang w:val="es-ES"/>
        </w:rPr>
        <w:tab/>
        <w:t>La Fiscalía General de la Nación.</w:t>
      </w:r>
    </w:p>
    <w:p w14:paraId="222CB904" w14:textId="2D64346C"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3.</w:t>
      </w:r>
      <w:r w:rsidRPr="00561D0F">
        <w:rPr>
          <w:rFonts w:ascii="Arial" w:eastAsia="Calibri" w:hAnsi="Arial" w:cs="Arial"/>
          <w:sz w:val="24"/>
          <w:szCs w:val="24"/>
          <w:lang w:val="es-ES"/>
        </w:rPr>
        <w:tab/>
        <w:t>El Consejo Superior de la Judicatura.</w:t>
      </w:r>
    </w:p>
    <w:p w14:paraId="28C28B4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1o.</w:t>
      </w:r>
      <w:r w:rsidRPr="00561D0F">
        <w:rPr>
          <w:rFonts w:ascii="Arial" w:eastAsia="Calibri" w:hAnsi="Arial" w:cs="Arial"/>
          <w:sz w:val="24"/>
          <w:szCs w:val="24"/>
          <w:lang w:val="es-ES"/>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w:t>
      </w:r>
    </w:p>
    <w:p w14:paraId="4A66A8F7"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Los jueces del circuito tienen competencia en el respectivo circuito y los jueces municipales en el respectivo municipio; los Jueces de pequeñas causas a nivel municipal y local.</w:t>
      </w:r>
    </w:p>
    <w:p w14:paraId="5F6CFB13"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Los jueces de descongestión tendrán la competencia territorial y material específica que se les señale en el acto de su creación.</w:t>
      </w:r>
    </w:p>
    <w:p w14:paraId="6AB04D20" w14:textId="783BDDA3"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2o.</w:t>
      </w:r>
      <w:r w:rsidRPr="00561D0F">
        <w:rPr>
          <w:rFonts w:ascii="Arial" w:eastAsia="Calibri" w:hAnsi="Arial" w:cs="Arial"/>
          <w:sz w:val="24"/>
          <w:szCs w:val="24"/>
          <w:lang w:val="es-ES"/>
        </w:rPr>
        <w:t xml:space="preserve"> El Fiscal General de la Nación y sus delegados tienen competencia en todo el territorio nacional.</w:t>
      </w:r>
    </w:p>
    <w:p w14:paraId="088BB1A6"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3o.</w:t>
      </w:r>
      <w:r w:rsidRPr="00561D0F">
        <w:rPr>
          <w:rFonts w:ascii="Arial" w:eastAsia="Calibri" w:hAnsi="Arial" w:cs="Arial"/>
          <w:sz w:val="24"/>
          <w:szCs w:val="24"/>
          <w:lang w:val="es-ES"/>
        </w:rPr>
        <w:t xml:space="preserve"> En cada municipio funcionará al menos un Juzgado cualquiera que sea su categoría.</w:t>
      </w:r>
    </w:p>
    <w:p w14:paraId="722AEBCB"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4o.</w:t>
      </w:r>
      <w:r w:rsidRPr="00561D0F">
        <w:rPr>
          <w:rFonts w:ascii="Arial" w:eastAsia="Calibri" w:hAnsi="Arial" w:cs="Arial"/>
          <w:sz w:val="24"/>
          <w:szCs w:val="24"/>
          <w:lang w:val="es-ES"/>
        </w:rPr>
        <w:t xml:space="preserve"> En las ciudades se podrán organizar los despachos judiciales en forma desconcentrada.</w:t>
      </w:r>
    </w:p>
    <w:p w14:paraId="11197FE9" w14:textId="2BB29E38"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11.</w:t>
      </w:r>
      <w:r w:rsidRPr="00561D0F">
        <w:rPr>
          <w:rFonts w:ascii="Arial" w:eastAsia="Calibri" w:hAnsi="Arial" w:cs="Arial"/>
          <w:sz w:val="24"/>
          <w:szCs w:val="24"/>
          <w:lang w:val="es-ES"/>
        </w:rPr>
        <w:t xml:space="preserve"> Modifíquese el artículo 22 de la Ley 270 de 1996, el cual quedará así:</w:t>
      </w:r>
    </w:p>
    <w:p w14:paraId="1A4CCD43"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22. Régimen de los juzgados.</w:t>
      </w:r>
      <w:r w:rsidRPr="00561D0F">
        <w:rPr>
          <w:rFonts w:ascii="Arial" w:eastAsia="Calibri" w:hAnsi="Arial" w:cs="Arial"/>
          <w:sz w:val="24"/>
          <w:szCs w:val="24"/>
          <w:lang w:val="es-ES"/>
        </w:rPr>
        <w:t xml:space="preserve">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0F6B3EF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lastRenderedPageBreak/>
        <w:t>Cuando el número de asuntos así lo justifique, los juzgados podrán ser promiscuos para el conocimiento de procesos civiles, penales, laborales o de familia.</w:t>
      </w:r>
    </w:p>
    <w:p w14:paraId="205C1381"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De conformidad con las necesidades de cada ciudad y de cada municipio habrá jueces municipales de pequeñas causas y competencia múltiple sobre asuntos de Jurisdicción Ordinaria, incluidos los asuntos ambientales,</w:t>
      </w:r>
      <w:r w:rsidRPr="00561D0F">
        <w:rPr>
          <w:rFonts w:ascii="Calibri" w:eastAsia="Calibri" w:hAnsi="Calibri" w:cs="Times New Roman"/>
        </w:rPr>
        <w:t xml:space="preserve"> </w:t>
      </w:r>
      <w:r w:rsidRPr="00561D0F">
        <w:rPr>
          <w:rFonts w:ascii="Arial" w:eastAsia="Calibri" w:hAnsi="Arial" w:cs="Arial"/>
          <w:sz w:val="24"/>
          <w:szCs w:val="24"/>
          <w:lang w:val="es-ES"/>
        </w:rPr>
        <w:t>definidos legalmente como conflictos de pequeñas causas. La localización de sus sedes será descentralizada en aquellos sectores de ciudades y municipios donde así se justifique, debido a la demanda de justicia. Su actuación será oral, sumaria y en lo posible de única audiencia.</w:t>
      </w:r>
    </w:p>
    <w:p w14:paraId="0764FA0F" w14:textId="1447ED22"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El Consejo Superior de la Judicatura dispondrá lo necesario para que a partir del primero (1) de enero del año 20</w:t>
      </w:r>
      <w:r w:rsidR="0024294A">
        <w:rPr>
          <w:rFonts w:ascii="Arial" w:eastAsia="Calibri" w:hAnsi="Arial" w:cs="Arial"/>
          <w:sz w:val="24"/>
          <w:szCs w:val="24"/>
          <w:lang w:val="es-ES"/>
        </w:rPr>
        <w:t>23</w:t>
      </w:r>
      <w:r w:rsidRPr="00561D0F">
        <w:rPr>
          <w:rFonts w:ascii="Arial" w:eastAsia="Calibri" w:hAnsi="Arial" w:cs="Arial"/>
          <w:sz w:val="24"/>
          <w:szCs w:val="24"/>
          <w:lang w:val="es-ES"/>
        </w:rPr>
        <w:t>, por lo menos una quinta parte de los juzgados que funcionan en las ciudades de más de un millón de habitantes se localicen y empiecen a funcionar en sedes distribuidas geográficamente en las distintas localidades o comunas de la respectiva ciudad.</w:t>
      </w:r>
    </w:p>
    <w:p w14:paraId="47D9BBC9" w14:textId="6D06B865"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 xml:space="preserve">A partir del 1o. de enero del año </w:t>
      </w:r>
      <w:r w:rsidR="0024294A">
        <w:rPr>
          <w:rFonts w:ascii="Arial" w:eastAsia="Calibri" w:hAnsi="Arial" w:cs="Arial"/>
          <w:sz w:val="24"/>
          <w:szCs w:val="24"/>
          <w:lang w:val="es-ES"/>
        </w:rPr>
        <w:t>2024</w:t>
      </w:r>
      <w:r w:rsidRPr="00561D0F">
        <w:rPr>
          <w:rFonts w:ascii="Arial" w:eastAsia="Calibri" w:hAnsi="Arial" w:cs="Arial"/>
          <w:sz w:val="24"/>
          <w:szCs w:val="24"/>
          <w:lang w:val="es-ES"/>
        </w:rPr>
        <w:t>,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0705D98D"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El Consejo Superior de la Judicatura procurará que esta distribución se haga a todas las localidades y comunas, pero podrá hacer una distribución que corresponda hasta tres localidades o comunas colindantes.</w:t>
      </w:r>
    </w:p>
    <w:p w14:paraId="0677AD4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3840037E"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1.</w:t>
      </w:r>
      <w:r w:rsidRPr="00561D0F">
        <w:rPr>
          <w:rFonts w:ascii="Arial" w:eastAsia="Calibri" w:hAnsi="Arial" w:cs="Arial"/>
          <w:sz w:val="24"/>
          <w:szCs w:val="24"/>
          <w:lang w:val="es-ES"/>
        </w:rPr>
        <w:t xml:space="preserve"> 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sin perjuicio de la ampliación progresiva de la cobertura en todo el territorio nacional.</w:t>
      </w:r>
    </w:p>
    <w:p w14:paraId="0AD2CC2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 xml:space="preserve">El Consejo Superior de la Judicatura creará los despachos judiciales que sean requeridos para el cumplimiento de la ley, atendiendo a la especialidad de la materia, para lo cual </w:t>
      </w:r>
      <w:r w:rsidRPr="00561D0F">
        <w:rPr>
          <w:rFonts w:ascii="Arial" w:eastAsia="Calibri" w:hAnsi="Arial" w:cs="Arial"/>
          <w:sz w:val="24"/>
          <w:szCs w:val="24"/>
          <w:lang w:val="es-ES"/>
        </w:rPr>
        <w:lastRenderedPageBreak/>
        <w:t>podrá considerar algunos criterios formulados por el Ministerio de Ambiente y Desarrollo Sostenible.</w:t>
      </w:r>
    </w:p>
    <w:p w14:paraId="53EF6DD4"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2.</w:t>
      </w:r>
      <w:r w:rsidRPr="00561D0F">
        <w:rPr>
          <w:rFonts w:ascii="Arial" w:eastAsia="Calibri" w:hAnsi="Arial" w:cs="Arial"/>
          <w:sz w:val="24"/>
          <w:szCs w:val="24"/>
          <w:lang w:val="es-ES"/>
        </w:rPr>
        <w:t xml:space="preserve"> Para la provisión de los cargos de juez de los juzgados ambientales y de magistrado de las salas 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2355408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3.</w:t>
      </w:r>
      <w:r w:rsidRPr="00561D0F">
        <w:rPr>
          <w:rFonts w:ascii="Arial" w:eastAsia="Calibri" w:hAnsi="Arial" w:cs="Arial"/>
          <w:sz w:val="24"/>
          <w:szCs w:val="24"/>
          <w:lang w:val="es-ES"/>
        </w:rPr>
        <w:t xml:space="preserve"> 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renovables y no renovables, derecho administrativo, derecho público, derecho constitucional, procedimiento administrativo sancionatorio ambiental).</w:t>
      </w:r>
    </w:p>
    <w:p w14:paraId="69471223" w14:textId="7E6C8250"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12.</w:t>
      </w:r>
      <w:r w:rsidRPr="00561D0F">
        <w:rPr>
          <w:rFonts w:ascii="Arial" w:eastAsia="Calibri" w:hAnsi="Arial" w:cs="Arial"/>
          <w:sz w:val="24"/>
          <w:szCs w:val="24"/>
          <w:lang w:val="es-ES"/>
        </w:rPr>
        <w:t xml:space="preserve"> Modifíquese el artículo 34 de la Ley 270 de 1996, el cual quedará así:</w:t>
      </w:r>
    </w:p>
    <w:p w14:paraId="668FC265"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34. Integración y Composición.</w:t>
      </w:r>
      <w:r w:rsidRPr="00561D0F">
        <w:rPr>
          <w:rFonts w:ascii="Arial" w:eastAsia="Calibri" w:hAnsi="Arial" w:cs="Arial"/>
          <w:sz w:val="24"/>
          <w:szCs w:val="24"/>
          <w:lang w:val="es-ES"/>
        </w:rPr>
        <w:t xml:space="preserve"> El Consejo de Estado es el máximo Tribunal de la Jurisdicción lo Contencioso Administrativo y estará integrado por treinta y tres (33) magistrados, elegidos por la misma Corporación para los períodos individuales que determina la Constitución Política, de listas superiores a diez (10) candidatos, por cada vacante que se presente, elaboradas previa convocatoria pública reglada y adelantadas de conformidad con lo previsto en la Constitución y en esta ley.</w:t>
      </w:r>
    </w:p>
    <w:p w14:paraId="34219C4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2AB57E8D" w14:textId="51E0AFD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13.</w:t>
      </w:r>
      <w:r w:rsidRPr="00561D0F">
        <w:rPr>
          <w:rFonts w:ascii="Arial" w:eastAsia="Calibri" w:hAnsi="Arial" w:cs="Arial"/>
          <w:sz w:val="24"/>
          <w:szCs w:val="24"/>
          <w:lang w:val="es-ES"/>
        </w:rPr>
        <w:t xml:space="preserve"> Modifíquese el artículo 36 de la Ley 270 de 1996, el cual quedará así:</w:t>
      </w:r>
    </w:p>
    <w:p w14:paraId="0FC4B274"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36. De la Sala de lo Contencioso Administrativo.</w:t>
      </w:r>
      <w:r w:rsidRPr="00561D0F">
        <w:rPr>
          <w:rFonts w:ascii="Arial" w:eastAsia="Calibri" w:hAnsi="Arial" w:cs="Arial"/>
          <w:sz w:val="24"/>
          <w:szCs w:val="24"/>
          <w:lang w:val="es-ES"/>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07FECDB5" w14:textId="77777777" w:rsidR="00561D0F" w:rsidRPr="00561D0F" w:rsidRDefault="00561D0F" w:rsidP="00561D0F">
      <w:pPr>
        <w:numPr>
          <w:ilvl w:val="0"/>
          <w:numId w:val="42"/>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La Sección Primera, estará integrada por seis (6) magistrados, y atenderá los asuntos ambientales.</w:t>
      </w:r>
    </w:p>
    <w:p w14:paraId="552649C2" w14:textId="77777777" w:rsidR="00561D0F" w:rsidRPr="00561D0F" w:rsidRDefault="00561D0F" w:rsidP="00561D0F">
      <w:pPr>
        <w:numPr>
          <w:ilvl w:val="0"/>
          <w:numId w:val="42"/>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lastRenderedPageBreak/>
        <w:t>La Sección Segunda se dividirá en dos (2) Subsecciones, cada una de las cuales estará integrada por tres (3) magistrados.</w:t>
      </w:r>
    </w:p>
    <w:p w14:paraId="6EA09DBB" w14:textId="77777777" w:rsidR="00354E3A" w:rsidRDefault="00354E3A" w:rsidP="00354E3A">
      <w:pPr>
        <w:spacing w:after="160" w:line="256" w:lineRule="auto"/>
        <w:ind w:left="720"/>
        <w:contextualSpacing/>
        <w:jc w:val="both"/>
        <w:rPr>
          <w:rFonts w:ascii="Arial" w:eastAsia="Calibri" w:hAnsi="Arial" w:cs="Arial"/>
          <w:sz w:val="24"/>
          <w:szCs w:val="24"/>
          <w:lang w:val="es-ES"/>
        </w:rPr>
      </w:pPr>
    </w:p>
    <w:p w14:paraId="38E86960" w14:textId="3E4EC321" w:rsidR="00561D0F" w:rsidRPr="00561D0F" w:rsidRDefault="00561D0F" w:rsidP="00561D0F">
      <w:pPr>
        <w:numPr>
          <w:ilvl w:val="0"/>
          <w:numId w:val="42"/>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La Sección Tercera se dividirá en tres (3) Subsecciones, cada una de las cuales estará integrada por tres (3) magistrados.</w:t>
      </w:r>
    </w:p>
    <w:p w14:paraId="1FA2C8EA" w14:textId="77777777" w:rsidR="00354E3A" w:rsidRDefault="00354E3A" w:rsidP="00354E3A">
      <w:pPr>
        <w:spacing w:after="160" w:line="256" w:lineRule="auto"/>
        <w:ind w:left="720"/>
        <w:contextualSpacing/>
        <w:jc w:val="both"/>
        <w:rPr>
          <w:rFonts w:ascii="Arial" w:eastAsia="Calibri" w:hAnsi="Arial" w:cs="Arial"/>
          <w:sz w:val="24"/>
          <w:szCs w:val="24"/>
          <w:lang w:val="es-ES"/>
        </w:rPr>
      </w:pPr>
    </w:p>
    <w:p w14:paraId="471F4FCE" w14:textId="22CFF97C" w:rsidR="00561D0F" w:rsidRPr="00561D0F" w:rsidRDefault="00561D0F" w:rsidP="00561D0F">
      <w:pPr>
        <w:numPr>
          <w:ilvl w:val="0"/>
          <w:numId w:val="42"/>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La Sección Cuarta, por cuatro (4) magistrados,</w:t>
      </w:r>
    </w:p>
    <w:p w14:paraId="51502877" w14:textId="77777777" w:rsidR="00354E3A" w:rsidRDefault="00354E3A" w:rsidP="00354E3A">
      <w:pPr>
        <w:spacing w:after="160" w:line="256" w:lineRule="auto"/>
        <w:ind w:left="720"/>
        <w:contextualSpacing/>
        <w:jc w:val="both"/>
        <w:rPr>
          <w:rFonts w:ascii="Arial" w:eastAsia="Calibri" w:hAnsi="Arial" w:cs="Arial"/>
          <w:sz w:val="24"/>
          <w:szCs w:val="24"/>
          <w:lang w:val="es-ES"/>
        </w:rPr>
      </w:pPr>
    </w:p>
    <w:p w14:paraId="17457A10" w14:textId="0B2D3E0B" w:rsidR="00561D0F" w:rsidRDefault="00561D0F" w:rsidP="00561D0F">
      <w:pPr>
        <w:numPr>
          <w:ilvl w:val="0"/>
          <w:numId w:val="42"/>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La Sección Quinta, por cuatro (4) magistrados.</w:t>
      </w:r>
    </w:p>
    <w:p w14:paraId="61B1D32F" w14:textId="4FA481CF" w:rsidR="00354E3A" w:rsidRPr="00561D0F" w:rsidRDefault="00354E3A" w:rsidP="00354E3A">
      <w:pPr>
        <w:spacing w:after="160" w:line="256" w:lineRule="auto"/>
        <w:contextualSpacing/>
        <w:jc w:val="both"/>
        <w:rPr>
          <w:rFonts w:ascii="Arial" w:eastAsia="Calibri" w:hAnsi="Arial" w:cs="Arial"/>
          <w:sz w:val="24"/>
          <w:szCs w:val="24"/>
          <w:lang w:val="es-ES"/>
        </w:rPr>
      </w:pPr>
    </w:p>
    <w:p w14:paraId="5F6884B0"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Sin perjuicio de las específicas competencias que atribuya la ley, el reglamento de la corporación determinará y asignará los asuntos y las materias cuyo conocimiento corresponda a cada sección y a las respectivas subsecciones.</w:t>
      </w:r>
    </w:p>
    <w:p w14:paraId="47B73BB7"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En todo caso, la acción de pérdida de investidura de congresistas será de competencia de la sala plena de lo contencioso administrativo.</w:t>
      </w:r>
    </w:p>
    <w:p w14:paraId="5B7AA4E9"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 xml:space="preserve">Parágrafo 1. </w:t>
      </w:r>
      <w:r w:rsidRPr="00561D0F">
        <w:rPr>
          <w:rFonts w:ascii="Arial" w:eastAsia="Calibri" w:hAnsi="Arial" w:cs="Arial"/>
          <w:sz w:val="24"/>
          <w:szCs w:val="24"/>
          <w:lang w:val="es-ES"/>
        </w:rPr>
        <w:t>La Sección Primera de la Sala de lo Contencioso Administrativo que en virtud de lo dispuesto en esta Ley asumirá el conocimiento de los temas ambientales, tendrá la misma organización y estructura que en la actualidad tienen los despachos ya existentes en esa sección. 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abogados con especialización en Derecho Ambiental entre otras afines con las ciencias naturales, ambientales y asuntos sectoriales.</w:t>
      </w:r>
    </w:p>
    <w:p w14:paraId="0B1558C9"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2.</w:t>
      </w:r>
      <w:r w:rsidRPr="00561D0F">
        <w:rPr>
          <w:rFonts w:ascii="Arial" w:eastAsia="Calibri" w:hAnsi="Arial" w:cs="Arial"/>
          <w:sz w:val="24"/>
          <w:szCs w:val="24"/>
          <w:lang w:val="es-ES"/>
        </w:rPr>
        <w:t xml:space="preserve"> Además de la formación académica prevista en el parágrafo anterior, para integrar el equipo técnico deberá demostrarse experiencia específica de mínimo ocho (8)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w:t>
      </w:r>
    </w:p>
    <w:p w14:paraId="758839CB" w14:textId="7514BFC8"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14.</w:t>
      </w:r>
      <w:r w:rsidRPr="00561D0F">
        <w:rPr>
          <w:rFonts w:ascii="Arial" w:eastAsia="Calibri" w:hAnsi="Arial" w:cs="Arial"/>
          <w:sz w:val="24"/>
          <w:szCs w:val="24"/>
          <w:lang w:val="es-ES"/>
        </w:rPr>
        <w:t xml:space="preserve"> Modifíquese el parágrafo del artículo 37 de la Ley 270 de 1996, el cual quedará así:</w:t>
      </w:r>
    </w:p>
    <w:p w14:paraId="061E16D6" w14:textId="77777777" w:rsidR="00561D0F" w:rsidRPr="00561D0F" w:rsidRDefault="00561D0F" w:rsidP="00561D0F">
      <w:pPr>
        <w:spacing w:after="160"/>
        <w:jc w:val="both"/>
        <w:rPr>
          <w:rFonts w:ascii="Arial" w:eastAsia="Calibri" w:hAnsi="Arial" w:cs="Arial"/>
          <w:b/>
          <w:bCs/>
          <w:sz w:val="24"/>
          <w:szCs w:val="24"/>
          <w:lang w:val="es-ES"/>
        </w:rPr>
      </w:pPr>
      <w:r w:rsidRPr="00561D0F">
        <w:rPr>
          <w:rFonts w:ascii="Arial" w:eastAsia="Calibri" w:hAnsi="Arial" w:cs="Arial"/>
          <w:b/>
          <w:bCs/>
          <w:sz w:val="24"/>
          <w:szCs w:val="24"/>
          <w:lang w:val="es-ES"/>
        </w:rPr>
        <w:t>ARTÍCULO 37. DE LA SALA PLENA DE LO CONTENCIOSO ADMINISTRATIVO</w:t>
      </w:r>
    </w:p>
    <w:p w14:paraId="0EFAFB6E" w14:textId="19264143"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lastRenderedPageBreak/>
        <w:t>Parágrafo.</w:t>
      </w:r>
      <w:r w:rsidRPr="00561D0F">
        <w:rPr>
          <w:rFonts w:ascii="Arial" w:eastAsia="Calibri" w:hAnsi="Arial" w:cs="Arial"/>
          <w:sz w:val="24"/>
          <w:szCs w:val="24"/>
          <w:lang w:val="es-ES"/>
        </w:rPr>
        <w:t xml:space="preserve"> Los conflictos de competencia entre los Tribunales Administrativos, entre Secciones de distintos Tribunales Administrativos, entre los Tribunales y entre Jueces Administrativos y Jueces Administrativos ambientales pertenecientes a distintos distritos judiciales administrativos serán resueltos por las respectivas Secciones del Consejo de Estado, de acuerdo con su especialidad. Los conflictos entre juzgados administrativos y juzgados ambientales administrativos, entre secciones de un mismo Tribunal Administrativo, serán decididos por el correspondiente Tribunal en pleno.</w:t>
      </w:r>
    </w:p>
    <w:p w14:paraId="4D8C6CF9"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15.</w:t>
      </w:r>
      <w:r w:rsidRPr="00561D0F">
        <w:rPr>
          <w:rFonts w:ascii="Arial" w:eastAsia="Calibri" w:hAnsi="Arial" w:cs="Arial"/>
          <w:sz w:val="24"/>
          <w:szCs w:val="24"/>
          <w:lang w:val="es-ES"/>
        </w:rPr>
        <w:t xml:space="preserve"> Modifíquese el artículo 40 de la Ley 270 de 1996, el cual quedará así:</w:t>
      </w:r>
    </w:p>
    <w:p w14:paraId="1F3D6746"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 xml:space="preserve">Artículo 40. Jurisdicción. </w:t>
      </w:r>
      <w:r w:rsidRPr="00561D0F">
        <w:rPr>
          <w:rFonts w:ascii="Arial" w:eastAsia="Calibri" w:hAnsi="Arial" w:cs="Arial"/>
          <w:sz w:val="24"/>
          <w:szCs w:val="24"/>
          <w:lang w:val="es-ES"/>
        </w:rPr>
        <w:t>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11AFA19A"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75CFADB8" w14:textId="26E3ECD1"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1.</w:t>
      </w:r>
      <w:r w:rsidRPr="00561D0F">
        <w:rPr>
          <w:rFonts w:ascii="Arial" w:eastAsia="Calibri" w:hAnsi="Arial" w:cs="Arial"/>
          <w:sz w:val="24"/>
          <w:szCs w:val="24"/>
          <w:lang w:val="es-ES"/>
        </w:rPr>
        <w:t xml:space="preserve"> Se creará una Sala especializada en temas ambientales dentro de los Tribunales Administrativos, así:</w:t>
      </w:r>
    </w:p>
    <w:p w14:paraId="3B48568B" w14:textId="77777777" w:rsidR="00561D0F" w:rsidRPr="00561D0F" w:rsidRDefault="00561D0F" w:rsidP="00561D0F">
      <w:pPr>
        <w:numPr>
          <w:ilvl w:val="0"/>
          <w:numId w:val="43"/>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En la Región Caribe, conformada por los departamentos de Atlántico, Bolívar, Cesar, Magdalena, La Guajira, Sucre y San Andrés. La Sala especializada en asuntos ambientales funcionará en la ciudad de Barranquilla.</w:t>
      </w:r>
    </w:p>
    <w:p w14:paraId="612CDF25" w14:textId="77777777" w:rsidR="00561D0F" w:rsidRPr="00561D0F" w:rsidRDefault="00561D0F" w:rsidP="00561D0F">
      <w:pPr>
        <w:numPr>
          <w:ilvl w:val="0"/>
          <w:numId w:val="43"/>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En la Región Urabá, conformada por los departamentos de Antioquia, Córdoba y Chocó. La Sala especializada en asuntos ambientales funcionará en la ciudad de Medellín.</w:t>
      </w:r>
    </w:p>
    <w:p w14:paraId="117987AE" w14:textId="77777777" w:rsidR="00561D0F" w:rsidRPr="00561D0F" w:rsidRDefault="00561D0F" w:rsidP="00561D0F">
      <w:pPr>
        <w:numPr>
          <w:ilvl w:val="0"/>
          <w:numId w:val="43"/>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En la Región Cafetera, conformada por los departamentos de Risaralda, Caldas y Quindío. La Sala especializada en asuntos ambientales funcionará en la ciudad de Manizales.</w:t>
      </w:r>
    </w:p>
    <w:p w14:paraId="631BE597" w14:textId="311E484D" w:rsidR="00561D0F" w:rsidRPr="00561D0F" w:rsidRDefault="00561D0F" w:rsidP="00561D0F">
      <w:pPr>
        <w:numPr>
          <w:ilvl w:val="0"/>
          <w:numId w:val="43"/>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En la Región Pacífica, conformada por los departamentos de Valle del Cauca, Cauca y Nariño. La Sala especializada en asuntos ambientales funcionará en la ciudad de Cali.</w:t>
      </w:r>
    </w:p>
    <w:p w14:paraId="4043C9F7" w14:textId="77777777" w:rsidR="00561D0F" w:rsidRPr="00561D0F" w:rsidRDefault="00561D0F" w:rsidP="00561D0F">
      <w:pPr>
        <w:numPr>
          <w:ilvl w:val="0"/>
          <w:numId w:val="43"/>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En la Región Oriente, conformada por los departamentos de Boyacá, Santander y Norte de Santander. La Sala especializada en asuntos ambientales funcionará en la ciudad de Barrancabermeja.</w:t>
      </w:r>
    </w:p>
    <w:p w14:paraId="03A7E918" w14:textId="77777777" w:rsidR="00561D0F" w:rsidRPr="00561D0F" w:rsidRDefault="00561D0F" w:rsidP="00561D0F">
      <w:pPr>
        <w:numPr>
          <w:ilvl w:val="0"/>
          <w:numId w:val="43"/>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lastRenderedPageBreak/>
        <w:t>En la Región Orinoquía, conformada por los departamentos de Arauca, Casanare, Meta y Vichada. La Sala especializada en asuntos ambientales funcionará en la ciudad de Villavicencio.</w:t>
      </w:r>
    </w:p>
    <w:p w14:paraId="5BA5E175" w14:textId="77777777" w:rsidR="00561D0F" w:rsidRPr="00561D0F" w:rsidRDefault="00561D0F" w:rsidP="00561D0F">
      <w:pPr>
        <w:numPr>
          <w:ilvl w:val="0"/>
          <w:numId w:val="43"/>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En la Región Amazonía, conformada por los departamentos de Amazonas, Caquetá, Guainía, Guaviare, Putumayo y Vaupés. La Sala especializada en asuntos ambientales funcionará en la ciudad de Florencia.</w:t>
      </w:r>
    </w:p>
    <w:p w14:paraId="05C73800" w14:textId="77777777" w:rsidR="00561D0F" w:rsidRPr="00561D0F" w:rsidRDefault="00561D0F" w:rsidP="00561D0F">
      <w:pPr>
        <w:numPr>
          <w:ilvl w:val="0"/>
          <w:numId w:val="43"/>
        </w:numPr>
        <w:spacing w:after="160" w:line="256" w:lineRule="auto"/>
        <w:contextualSpacing/>
        <w:jc w:val="both"/>
        <w:rPr>
          <w:rFonts w:ascii="Arial" w:eastAsia="Calibri" w:hAnsi="Arial" w:cs="Arial"/>
          <w:sz w:val="24"/>
          <w:szCs w:val="24"/>
          <w:lang w:val="es-ES"/>
        </w:rPr>
      </w:pPr>
      <w:r w:rsidRPr="00561D0F">
        <w:rPr>
          <w:rFonts w:ascii="Arial" w:eastAsia="Calibri" w:hAnsi="Arial" w:cs="Arial"/>
          <w:sz w:val="24"/>
          <w:szCs w:val="24"/>
          <w:lang w:val="es-ES"/>
        </w:rPr>
        <w:t>En la Región Andina, conformada por los departamentos de Cundinamarca, Tolima, Huila y por Bogotá D.C. La Sala especializada en asuntos ambientales funcionará en la ciudad de Bogotá.</w:t>
      </w:r>
    </w:p>
    <w:p w14:paraId="4F93E950" w14:textId="77777777" w:rsidR="00354E3A" w:rsidRDefault="00354E3A" w:rsidP="00561D0F">
      <w:pPr>
        <w:spacing w:after="160"/>
        <w:jc w:val="both"/>
        <w:rPr>
          <w:rFonts w:ascii="Arial" w:eastAsia="Calibri" w:hAnsi="Arial" w:cs="Arial"/>
          <w:b/>
          <w:bCs/>
          <w:sz w:val="24"/>
          <w:szCs w:val="24"/>
          <w:lang w:val="es-ES"/>
        </w:rPr>
      </w:pPr>
    </w:p>
    <w:p w14:paraId="46BBFA18" w14:textId="6BA261EE"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2.</w:t>
      </w:r>
      <w:r w:rsidRPr="00561D0F">
        <w:rPr>
          <w:rFonts w:ascii="Arial" w:eastAsia="Calibri" w:hAnsi="Arial" w:cs="Arial"/>
          <w:sz w:val="24"/>
          <w:szCs w:val="24"/>
          <w:lang w:val="es-ES"/>
        </w:rPr>
        <w:t xml:space="preserve"> 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w:t>
      </w:r>
    </w:p>
    <w:p w14:paraId="347636FF"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El equipo técnico de apoyo interdisciplinario será elegido por la sala especializada en temas ambientales.</w:t>
      </w:r>
    </w:p>
    <w:p w14:paraId="3628AB08"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3.</w:t>
      </w:r>
      <w:r w:rsidRPr="00561D0F">
        <w:rPr>
          <w:rFonts w:ascii="Arial" w:eastAsia="Calibri" w:hAnsi="Arial" w:cs="Arial"/>
          <w:sz w:val="24"/>
          <w:szCs w:val="24"/>
          <w:lang w:val="es-ES"/>
        </w:rPr>
        <w:t xml:space="preserve"> Además de la formación académica prevista en el parágrafo anterior, para integrar el equipo técnico de apoyo deberá demostrarse experiencia específica de mínimo cuatro (4) años en las áreas señaladas. La denominación de los cargos y su remuneración será fijada por el Consejo Superior de la Judicatura</w:t>
      </w:r>
    </w:p>
    <w:p w14:paraId="22F495B2" w14:textId="71C877A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16.</w:t>
      </w:r>
      <w:r w:rsidRPr="00561D0F">
        <w:rPr>
          <w:rFonts w:ascii="Arial" w:eastAsia="Calibri" w:hAnsi="Arial" w:cs="Arial"/>
          <w:sz w:val="24"/>
          <w:szCs w:val="24"/>
          <w:lang w:val="es-ES"/>
        </w:rPr>
        <w:t xml:space="preserve"> Modifíquese el artículo 42 de la Ley 270 de 1996, el cual quedará así:</w:t>
      </w:r>
    </w:p>
    <w:p w14:paraId="1C1F8AA9"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42. Régimen.</w:t>
      </w:r>
      <w:r w:rsidRPr="00561D0F">
        <w:rPr>
          <w:rFonts w:ascii="Arial" w:eastAsia="Calibri" w:hAnsi="Arial" w:cs="Arial"/>
          <w:sz w:val="24"/>
          <w:szCs w:val="24"/>
          <w:lang w:val="es-ES"/>
        </w:rPr>
        <w:t xml:space="preserve">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01172354"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6FB30E40"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lastRenderedPageBreak/>
        <w:t>El Consejo Superior de la Judicatura creará los Juzgados ambientales Administrativos que de conformidad con las necesidades de la administración de justicia determine.</w:t>
      </w:r>
    </w:p>
    <w:p w14:paraId="4336AB0E"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sin perjuicio de la ampliación progresiva de la cobertura en todo el territorio nacional.</w:t>
      </w:r>
    </w:p>
    <w:p w14:paraId="234D1C91"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1.</w:t>
      </w:r>
      <w:r w:rsidRPr="00561D0F">
        <w:rPr>
          <w:rFonts w:ascii="Arial" w:eastAsia="Calibri" w:hAnsi="Arial" w:cs="Arial"/>
          <w:sz w:val="24"/>
          <w:szCs w:val="24"/>
          <w:lang w:val="es-ES"/>
        </w:rPr>
        <w:t xml:space="preserve"> 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604DB067"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2.</w:t>
      </w:r>
      <w:r w:rsidRPr="00561D0F">
        <w:rPr>
          <w:rFonts w:ascii="Arial" w:eastAsia="Calibri" w:hAnsi="Arial" w:cs="Arial"/>
          <w:sz w:val="24"/>
          <w:szCs w:val="24"/>
          <w:lang w:val="es-ES"/>
        </w:rPr>
        <w:t xml:space="preserve"> Para ejercer los cargos de juez y magistrado ambiental en provisionalidad, deberán tomar y aprobar, con dedicación exclusiva, el curso de capacitación en: la normativa ambiental y sectorial, las normas que desarrolle este tema y esta ley, de acuerdo con el plan que para tal fin diseñe la Escuela Judicial Rodrigo Lara Bonilla, cuyo diseño deberá efectuarse dentro de los seis (6) meses siguientes a la expedición de esta Ley.</w:t>
      </w:r>
    </w:p>
    <w:p w14:paraId="1F75556F"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La Escuela Judicial Rodrigo Lara Bonilla, para el diseño del curso, deberá tener en cuenta un componente de profundización sectorial (minería, hidrocarburos, energía, servicios públicos, ordenamiento territorial, y ambiental).</w:t>
      </w:r>
    </w:p>
    <w:p w14:paraId="735B3A05"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3.</w:t>
      </w:r>
      <w:r w:rsidRPr="00561D0F">
        <w:rPr>
          <w:rFonts w:ascii="Arial" w:eastAsia="Calibri" w:hAnsi="Arial" w:cs="Arial"/>
          <w:sz w:val="24"/>
          <w:szCs w:val="24"/>
          <w:lang w:val="es-ES"/>
        </w:rPr>
        <w:t xml:space="preserve"> Los despachos judiciales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w:t>
      </w:r>
      <w:r w:rsidRPr="00561D0F">
        <w:rPr>
          <w:rFonts w:ascii="Arial" w:eastAsia="Calibri" w:hAnsi="Arial" w:cs="Arial"/>
          <w:sz w:val="24"/>
          <w:szCs w:val="24"/>
          <w:lang w:val="es-ES"/>
        </w:rPr>
        <w:lastRenderedPageBreak/>
        <w:t>las entidades de la rama ejecutiva de mayor presencia en áreas rurales que para ese propósito celebren un convenio interadministrativo.</w:t>
      </w:r>
    </w:p>
    <w:p w14:paraId="0DCDC296" w14:textId="77777777" w:rsidR="00561D0F" w:rsidRPr="00561D0F" w:rsidRDefault="00561D0F" w:rsidP="00561D0F">
      <w:pPr>
        <w:spacing w:after="160"/>
        <w:jc w:val="both"/>
        <w:rPr>
          <w:rFonts w:ascii="Arial" w:eastAsia="Calibri" w:hAnsi="Arial" w:cs="Arial"/>
          <w:b/>
          <w:bCs/>
          <w:sz w:val="24"/>
          <w:szCs w:val="24"/>
          <w:lang w:val="es-ES"/>
        </w:rPr>
      </w:pPr>
    </w:p>
    <w:p w14:paraId="29AEB635"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17.</w:t>
      </w:r>
      <w:r w:rsidRPr="00561D0F">
        <w:rPr>
          <w:rFonts w:ascii="Arial" w:eastAsia="Calibri" w:hAnsi="Arial" w:cs="Arial"/>
          <w:sz w:val="24"/>
          <w:szCs w:val="24"/>
          <w:lang w:val="es-ES"/>
        </w:rPr>
        <w:t xml:space="preserve"> Adiciónese un parágrafo al artículo 42 A de la Ley 270 de 1996, adicionado por el artículo 13 de la ley 1285 de 2009, el cual quedará así:</w:t>
      </w:r>
    </w:p>
    <w:p w14:paraId="2E90CE32"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w:t>
      </w:r>
      <w:r w:rsidRPr="00561D0F">
        <w:rPr>
          <w:rFonts w:ascii="Arial" w:eastAsia="Calibri" w:hAnsi="Arial" w:cs="Arial"/>
          <w:sz w:val="24"/>
          <w:szCs w:val="24"/>
          <w:lang w:val="es-ES"/>
        </w:rPr>
        <w:t xml:space="preserve"> 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w:t>
      </w:r>
    </w:p>
    <w:p w14:paraId="1DDBC9F9" w14:textId="41950FFD"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18.</w:t>
      </w:r>
      <w:r w:rsidRPr="00561D0F">
        <w:rPr>
          <w:rFonts w:ascii="Arial" w:eastAsia="Calibri" w:hAnsi="Arial" w:cs="Arial"/>
          <w:sz w:val="24"/>
          <w:szCs w:val="24"/>
          <w:lang w:val="es-ES"/>
        </w:rPr>
        <w:t xml:space="preserve"> Adiciónese un parágrafo al artículo 50 de la Ley 270 de 1996, el cual quedará así:</w:t>
      </w:r>
    </w:p>
    <w:p w14:paraId="13E01047"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w:t>
      </w:r>
      <w:r w:rsidRPr="00561D0F">
        <w:rPr>
          <w:rFonts w:ascii="Arial" w:eastAsia="Calibri" w:hAnsi="Arial" w:cs="Arial"/>
          <w:sz w:val="24"/>
          <w:szCs w:val="24"/>
          <w:lang w:val="es-ES"/>
        </w:rPr>
        <w:t xml:space="preserve"> Para el caso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15DD3DD3"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14BBD424" w14:textId="0E933F25"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19.</w:t>
      </w:r>
      <w:r w:rsidRPr="00561D0F">
        <w:rPr>
          <w:rFonts w:ascii="Arial" w:eastAsia="Calibri" w:hAnsi="Arial" w:cs="Arial"/>
          <w:sz w:val="24"/>
          <w:szCs w:val="24"/>
          <w:lang w:val="es-ES"/>
        </w:rPr>
        <w:t xml:space="preserve"> Adiciónese un parágrafo al artículo 51 de la Ley 270 de 1996, el cual quedará así:</w:t>
      </w:r>
    </w:p>
    <w:p w14:paraId="04C634F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w:t>
      </w:r>
      <w:r w:rsidRPr="00561D0F">
        <w:rPr>
          <w:rFonts w:ascii="Arial" w:eastAsia="Calibri" w:hAnsi="Arial" w:cs="Arial"/>
          <w:sz w:val="24"/>
          <w:szCs w:val="24"/>
          <w:lang w:val="es-ES"/>
        </w:rPr>
        <w:t xml:space="preserve"> Para el caso de la especialidad ambiental de la Jurisdicción Contenciosa Administrativa, conforme lo disponga el Consejo Superior de la Judicatura y lo previsto en la ley,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42EB5B19"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 xml:space="preserve">El Consejo Superior de la Judicatura creará los despachos judiciales que sean requeridos para el cumplimiento de la ley, atendiendo a la especialidad de la materia y basándose, </w:t>
      </w:r>
      <w:r w:rsidRPr="00561D0F">
        <w:rPr>
          <w:rFonts w:ascii="Arial" w:eastAsia="Calibri" w:hAnsi="Arial" w:cs="Arial"/>
          <w:sz w:val="24"/>
          <w:szCs w:val="24"/>
          <w:lang w:val="es-ES"/>
        </w:rPr>
        <w:lastRenderedPageBreak/>
        <w:t>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p w14:paraId="1892DC7A" w14:textId="41EA26F0"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20.</w:t>
      </w:r>
      <w:r w:rsidRPr="00561D0F">
        <w:rPr>
          <w:rFonts w:ascii="Arial" w:eastAsia="Calibri" w:hAnsi="Arial" w:cs="Arial"/>
          <w:sz w:val="24"/>
          <w:szCs w:val="24"/>
          <w:lang w:val="es-ES"/>
        </w:rPr>
        <w:t xml:space="preserve"> Modifíquese el artículo 202 de la Ley 270 de 1996, el cual quedará así:</w:t>
      </w:r>
    </w:p>
    <w:p w14:paraId="552102EB"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202.</w:t>
      </w:r>
      <w:r w:rsidRPr="00561D0F">
        <w:rPr>
          <w:rFonts w:ascii="Arial" w:eastAsia="Calibri" w:hAnsi="Arial" w:cs="Arial"/>
          <w:sz w:val="24"/>
          <w:szCs w:val="24"/>
          <w:lang w:val="es-ES"/>
        </w:rPr>
        <w:t xml:space="preserve"> 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 a partir del primero (1) de diciembre de 2022 y la totalidad de su funcionamiento, en un término no mayor a 18 meses, contados a partir de la vigencia de la presente ley.</w:t>
      </w:r>
    </w:p>
    <w:p w14:paraId="6E79DFF6"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1.</w:t>
      </w:r>
      <w:r w:rsidRPr="00561D0F">
        <w:rPr>
          <w:rFonts w:ascii="Arial" w:eastAsia="Calibri" w:hAnsi="Arial" w:cs="Arial"/>
          <w:sz w:val="24"/>
          <w:szCs w:val="24"/>
          <w:lang w:val="es-ES"/>
        </w:rPr>
        <w:t xml:space="preserve"> 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 nacional.</w:t>
      </w:r>
    </w:p>
    <w:p w14:paraId="5491E477"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 2.</w:t>
      </w:r>
      <w:r w:rsidRPr="00561D0F">
        <w:rPr>
          <w:rFonts w:ascii="Arial" w:eastAsia="Calibri" w:hAnsi="Arial" w:cs="Arial"/>
          <w:sz w:val="24"/>
          <w:szCs w:val="24"/>
          <w:lang w:val="es-ES"/>
        </w:rPr>
        <w:t xml:space="preserve"> 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p w14:paraId="3C680BB1" w14:textId="4EE49D61" w:rsidR="00561D0F" w:rsidRPr="00561D0F" w:rsidRDefault="00561D0F" w:rsidP="00561D0F">
      <w:pPr>
        <w:spacing w:after="160"/>
        <w:jc w:val="both"/>
        <w:rPr>
          <w:rFonts w:ascii="Arial" w:eastAsia="Calibri" w:hAnsi="Arial" w:cs="Arial"/>
          <w:b/>
          <w:bCs/>
          <w:sz w:val="24"/>
          <w:szCs w:val="24"/>
          <w:lang w:val="es-ES"/>
        </w:rPr>
      </w:pPr>
      <w:r w:rsidRPr="00561D0F">
        <w:rPr>
          <w:rFonts w:ascii="Arial" w:eastAsia="Calibri" w:hAnsi="Arial" w:cs="Arial"/>
          <w:b/>
          <w:bCs/>
          <w:sz w:val="24"/>
          <w:szCs w:val="24"/>
          <w:lang w:val="es-ES"/>
        </w:rPr>
        <w:t>Artículo 21. Resolución de las controversias y litigios ambientales.</w:t>
      </w:r>
    </w:p>
    <w:p w14:paraId="7E956308"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 xml:space="preserve">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 especialidad ambiental de la jurisdicción de lo contencioso 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en cuyo </w:t>
      </w:r>
      <w:r w:rsidRPr="00561D0F">
        <w:rPr>
          <w:rFonts w:ascii="Arial" w:eastAsia="Calibri" w:hAnsi="Arial" w:cs="Arial"/>
          <w:sz w:val="24"/>
          <w:szCs w:val="24"/>
          <w:lang w:val="es-ES"/>
        </w:rPr>
        <w:lastRenderedPageBreak/>
        <w:t>caso se tramitará una modificación de jerarquía de ley estatutaria para adicionar o suprimir competencias.</w:t>
      </w:r>
    </w:p>
    <w:p w14:paraId="1683569B" w14:textId="33766410"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22. Itinerancia.</w:t>
      </w:r>
      <w:r w:rsidRPr="00561D0F">
        <w:rPr>
          <w:rFonts w:ascii="Arial" w:eastAsia="Calibri" w:hAnsi="Arial" w:cs="Arial"/>
          <w:sz w:val="24"/>
          <w:szCs w:val="24"/>
          <w:lang w:val="es-ES"/>
        </w:rPr>
        <w:t xml:space="preserve"> Los jueces ambientales administrativos de la jurisdicción de lo contencioso administrativo, cuando se estimen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demanda de justicia para efectos de implementar una mayor frecuencia o permanencia de los despachos judiciales ambientales, y en aspectos tales como la especificidad de la colindancia de corregimientos y los asuntos a decidir, entre otros.</w:t>
      </w:r>
    </w:p>
    <w:p w14:paraId="479E4197"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w:t>
      </w:r>
    </w:p>
    <w:p w14:paraId="4959B0DF" w14:textId="5FE97AC6"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23. Decisiones ultra y extra petita.</w:t>
      </w:r>
      <w:r w:rsidRPr="00561D0F">
        <w:rPr>
          <w:rFonts w:ascii="Arial" w:eastAsia="Calibri" w:hAnsi="Arial" w:cs="Arial"/>
          <w:sz w:val="24"/>
          <w:szCs w:val="24"/>
          <w:lang w:val="es-ES"/>
        </w:rPr>
        <w:t xml:space="preserve"> Cuando la controversia verse acerca de derechos reales sobre áreas declaradas como de especial importancia ambiental y las demás categorías de protección que señalen la legislación nacional e internacional así como los organismos internacionales que se ocupen de estas materias el juez o magistrado de la especialidad ambiental podrá decidir acerca de cualquier condición que se encuentre probada y que se circunscriba a asuntos relacionados con las competencias de autoridades administrativas, así no se hubiere propuesto por las partes dentro del trámite procesal.</w:t>
      </w:r>
    </w:p>
    <w:p w14:paraId="10E34989"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Adicionalmente, cuando una de las partes en el proceso, indistintamente del tipo de controversia de la que trate la causa, goce del amparo de pobreza o acredite su arraigo en el territorio ambiental y la pertenencia a los niveles 1 y 2 del SISBEN, o acredite la calidad de mujer campesina o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litis. Por consiguiente, el juzgador de la controversia está facultado para reconocer derechos u ordenar el pago de indemnizaciones extra o ultra petita, siempre que los hechos que los originen o sustenten estén debidamente controvertidos y hará uso de esta facultad siempre que se verifiquen las garantías procesales de la contraparte.</w:t>
      </w:r>
    </w:p>
    <w:p w14:paraId="7A88BD2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lastRenderedPageBreak/>
        <w:t>El juez aplicará la ley sustancial teniendo en cuenta que el objeto de esta jurisdicción es conseguir la plena realización de la justicia ambiental, en consonancia con los fines y principios generales del derecho.</w:t>
      </w:r>
    </w:p>
    <w:p w14:paraId="6ACE27DC"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Si el litigio versa entre particulares, sólo se aplicará el principio de decisiones extra y ultra petita en los casos en los que sea evidente para el fallador una asimetría procesal tal que ponga en desigualdad de condiciones a las partes de tal forma que una de ellas no pueda exponer sus derechos o argumentos ante la administración de justicia en las mismas condiciones que su contradictor. El Juez será responsable disciplinaria y penalmente por el uso indiscriminado de este privilegio en los casos en los que no se encuentra justificado el tratamiento diferencial.</w:t>
      </w:r>
    </w:p>
    <w:p w14:paraId="01DC0BE7"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Parágrafo.</w:t>
      </w:r>
      <w:r w:rsidRPr="00561D0F">
        <w:rPr>
          <w:rFonts w:ascii="Arial" w:eastAsia="Calibri" w:hAnsi="Arial" w:cs="Arial"/>
          <w:sz w:val="24"/>
          <w:szCs w:val="24"/>
          <w:lang w:val="es-ES"/>
        </w:rPr>
        <w:t xml:space="preserve"> 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de prueba que acrediten su situación, advirtiéndole que dicha carga es requisito para la procedencia de las medidas en favor de los grupos poblacionales allí referidos.</w:t>
      </w:r>
    </w:p>
    <w:p w14:paraId="1D3966C5" w14:textId="1B17EA4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24.</w:t>
      </w:r>
      <w:r w:rsidRPr="00561D0F">
        <w:rPr>
          <w:rFonts w:ascii="Arial" w:eastAsia="Calibri" w:hAnsi="Arial" w:cs="Arial"/>
          <w:sz w:val="24"/>
          <w:szCs w:val="24"/>
          <w:lang w:val="es-ES"/>
        </w:rPr>
        <w:t xml:space="preserve"> Relatoría para la especialidad ambiental. Sin perjuicio de las funciones que se definan a su cargo por parte y del Consejo de Estado, el Consejo Superior de la Judicatura dispondrá la conformación de relatorías especiales y para la Sección Primera del Consejo de Estado, con el propósito de efectuar análisis que permitan identificar discrepancias interpretativas susceptibles de requerir la aplicación de los mecanismos de unificación jurisprudencial, así como de efectuar seguimiento a la sustanciación de casos que puedan ameritar el uso del mecanismo de avocación de competencia.</w:t>
      </w:r>
    </w:p>
    <w:p w14:paraId="3E284D56" w14:textId="77777777"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sz w:val="24"/>
          <w:szCs w:val="24"/>
          <w:lang w:val="es-ES"/>
        </w:rPr>
        <w:t>Para estos efectos, con la periodicidad que determine la Sección correspondientes, las relatorías presentarán los resultados de sus hallazgos y efectuarán las sugerencias correspondientes, a fin de que los magistrados o consejeros tomen las determinaciones a que hubiere lugar</w:t>
      </w:r>
    </w:p>
    <w:p w14:paraId="47373253" w14:textId="7F83724B" w:rsidR="00561D0F" w:rsidRPr="00561D0F" w:rsidRDefault="00561D0F" w:rsidP="00561D0F">
      <w:pPr>
        <w:spacing w:after="160"/>
        <w:jc w:val="both"/>
        <w:rPr>
          <w:rFonts w:ascii="Arial" w:eastAsia="Calibri" w:hAnsi="Arial" w:cs="Arial"/>
          <w:sz w:val="24"/>
          <w:szCs w:val="24"/>
          <w:lang w:val="es-ES"/>
        </w:rPr>
      </w:pPr>
      <w:r w:rsidRPr="00561D0F">
        <w:rPr>
          <w:rFonts w:ascii="Arial" w:eastAsia="Calibri" w:hAnsi="Arial" w:cs="Arial"/>
          <w:b/>
          <w:bCs/>
          <w:sz w:val="24"/>
          <w:szCs w:val="24"/>
          <w:lang w:val="es-ES"/>
        </w:rPr>
        <w:t>Artículo 25.</w:t>
      </w:r>
      <w:r w:rsidRPr="00561D0F">
        <w:rPr>
          <w:rFonts w:ascii="Arial" w:eastAsia="Calibri" w:hAnsi="Arial" w:cs="Arial"/>
          <w:sz w:val="24"/>
          <w:szCs w:val="24"/>
          <w:lang w:val="es-ES"/>
        </w:rPr>
        <w:t xml:space="preserve"> Todas las erogaciones que se causen con ocasión de la implementación y ejecución de la presente ley deberán consultar la situación fiscal de la nación y ajustarse al marco de gasto de mediano plazo de cada sector involucrado y estar en concordancia con el marco fiscal de mediano plazo y las normas orgánicas del presupuesto.</w:t>
      </w:r>
    </w:p>
    <w:p w14:paraId="2B9287D9" w14:textId="77777777" w:rsidR="00561D0F" w:rsidRPr="00561D0F" w:rsidRDefault="00561D0F" w:rsidP="00561D0F">
      <w:pPr>
        <w:spacing w:after="160"/>
        <w:jc w:val="both"/>
        <w:rPr>
          <w:rFonts w:ascii="Arial" w:eastAsia="Calibri" w:hAnsi="Arial" w:cs="Arial"/>
          <w:sz w:val="24"/>
          <w:szCs w:val="24"/>
          <w:lang w:val="es-ES"/>
        </w:rPr>
      </w:pPr>
    </w:p>
    <w:p w14:paraId="0413FAED" w14:textId="77777777" w:rsidR="00D45296" w:rsidRDefault="00D45296" w:rsidP="00561D0F">
      <w:pPr>
        <w:spacing w:after="160"/>
        <w:jc w:val="both"/>
        <w:rPr>
          <w:rFonts w:ascii="Arial" w:eastAsia="Calibri" w:hAnsi="Arial" w:cs="Arial"/>
          <w:b/>
          <w:bCs/>
          <w:sz w:val="24"/>
          <w:szCs w:val="24"/>
          <w:lang w:val="es-ES"/>
        </w:rPr>
      </w:pPr>
    </w:p>
    <w:p w14:paraId="52D9C254" w14:textId="4B26C924" w:rsidR="00561D0F" w:rsidRPr="00D45296" w:rsidRDefault="00561D0F" w:rsidP="00561D0F">
      <w:pPr>
        <w:spacing w:after="160"/>
        <w:jc w:val="both"/>
        <w:rPr>
          <w:rFonts w:ascii="Arial" w:eastAsia="Calibri" w:hAnsi="Arial" w:cs="Arial"/>
          <w:sz w:val="24"/>
          <w:szCs w:val="24"/>
        </w:rPr>
      </w:pPr>
      <w:r w:rsidRPr="00561D0F">
        <w:rPr>
          <w:rFonts w:ascii="Arial" w:eastAsia="Calibri" w:hAnsi="Arial" w:cs="Arial"/>
          <w:b/>
          <w:bCs/>
          <w:sz w:val="24"/>
          <w:szCs w:val="24"/>
          <w:lang w:val="es-ES"/>
        </w:rPr>
        <w:lastRenderedPageBreak/>
        <w:t>Artíc</w:t>
      </w:r>
      <w:r w:rsidR="00650A8A">
        <w:rPr>
          <w:rFonts w:ascii="Arial" w:eastAsia="Calibri" w:hAnsi="Arial" w:cs="Arial"/>
          <w:b/>
          <w:bCs/>
          <w:sz w:val="24"/>
          <w:szCs w:val="24"/>
          <w:lang w:val="es-ES"/>
        </w:rPr>
        <w:t>ulo 26. V</w:t>
      </w:r>
      <w:r w:rsidRPr="00561D0F">
        <w:rPr>
          <w:rFonts w:ascii="Arial" w:eastAsia="Calibri" w:hAnsi="Arial" w:cs="Arial"/>
          <w:b/>
          <w:bCs/>
          <w:sz w:val="24"/>
          <w:szCs w:val="24"/>
          <w:lang w:val="es-ES"/>
        </w:rPr>
        <w:t>igencia.</w:t>
      </w:r>
      <w:r w:rsidRPr="00561D0F">
        <w:rPr>
          <w:rFonts w:ascii="Arial" w:eastAsia="Calibri" w:hAnsi="Arial" w:cs="Arial"/>
          <w:sz w:val="24"/>
          <w:szCs w:val="24"/>
          <w:lang w:val="es-ES"/>
        </w:rPr>
        <w:t xml:space="preserve"> La presente ley comenzará a regir el a su entrada en vigencia.</w:t>
      </w:r>
      <w:r w:rsidR="00D45296">
        <w:rPr>
          <w:rFonts w:ascii="Arial" w:eastAsia="Calibri" w:hAnsi="Arial" w:cs="Arial"/>
          <w:sz w:val="24"/>
          <w:szCs w:val="24"/>
        </w:rPr>
        <w:t xml:space="preserve"> </w:t>
      </w:r>
      <w:r w:rsidRPr="00561D0F">
        <w:rPr>
          <w:rFonts w:ascii="Arial" w:eastAsia="Calibri" w:hAnsi="Arial" w:cs="Arial"/>
          <w:sz w:val="24"/>
          <w:szCs w:val="24"/>
          <w:lang w:val="es-ES"/>
        </w:rPr>
        <w:t>Las demandas y procesos en curso a la vigencia de la presente ley seguirán rigiéndose y culminarán de conformidad con el régimen jurídico anterior.</w:t>
      </w:r>
    </w:p>
    <w:p w14:paraId="0700F54C" w14:textId="77777777" w:rsidR="00561D0F" w:rsidRPr="00561D0F" w:rsidRDefault="00561D0F" w:rsidP="00561D0F">
      <w:pPr>
        <w:spacing w:after="160"/>
        <w:jc w:val="both"/>
        <w:rPr>
          <w:rFonts w:ascii="Arial" w:eastAsia="Calibri" w:hAnsi="Arial" w:cs="Arial"/>
          <w:sz w:val="24"/>
          <w:szCs w:val="24"/>
        </w:rPr>
      </w:pPr>
    </w:p>
    <w:p w14:paraId="4ACF23D9" w14:textId="77777777" w:rsidR="00561D0F" w:rsidRPr="00561D0F" w:rsidRDefault="00561D0F" w:rsidP="00561D0F">
      <w:pPr>
        <w:spacing w:after="160" w:line="256" w:lineRule="auto"/>
        <w:rPr>
          <w:rFonts w:ascii="Arial" w:eastAsia="Calibri" w:hAnsi="Arial" w:cs="Arial"/>
          <w:bCs/>
          <w:sz w:val="24"/>
          <w:szCs w:val="24"/>
        </w:rPr>
      </w:pPr>
    </w:p>
    <w:p w14:paraId="079F215D" w14:textId="77777777" w:rsidR="00561D0F" w:rsidRPr="00561D0F" w:rsidRDefault="00561D0F" w:rsidP="00561D0F">
      <w:pPr>
        <w:spacing w:after="160" w:line="256" w:lineRule="auto"/>
        <w:rPr>
          <w:rFonts w:ascii="Arial" w:eastAsia="Calibri" w:hAnsi="Arial" w:cs="Arial"/>
          <w:sz w:val="24"/>
          <w:szCs w:val="24"/>
        </w:rPr>
      </w:pPr>
      <w:r w:rsidRPr="00561D0F">
        <w:rPr>
          <w:rFonts w:ascii="Arial" w:eastAsia="Calibri" w:hAnsi="Arial" w:cs="Arial"/>
          <w:bCs/>
          <w:sz w:val="24"/>
          <w:szCs w:val="24"/>
        </w:rPr>
        <w:t>________________________</w:t>
      </w:r>
      <w:r w:rsidRPr="00561D0F">
        <w:rPr>
          <w:rFonts w:ascii="Arial" w:eastAsia="Calibri" w:hAnsi="Arial" w:cs="Arial"/>
          <w:b/>
          <w:bCs/>
          <w:sz w:val="24"/>
          <w:szCs w:val="24"/>
        </w:rPr>
        <w:t xml:space="preserve">    </w:t>
      </w:r>
      <w:r w:rsidRPr="00561D0F">
        <w:rPr>
          <w:rFonts w:ascii="Arial" w:eastAsia="Calibri" w:hAnsi="Arial" w:cs="Arial"/>
          <w:b/>
          <w:bCs/>
          <w:sz w:val="24"/>
          <w:szCs w:val="24"/>
        </w:rPr>
        <w:tab/>
      </w:r>
      <w:r w:rsidRPr="00561D0F">
        <w:rPr>
          <w:rFonts w:ascii="Arial" w:eastAsia="Calibri" w:hAnsi="Arial" w:cs="Arial"/>
          <w:b/>
          <w:bCs/>
          <w:sz w:val="24"/>
          <w:szCs w:val="24"/>
        </w:rPr>
        <w:tab/>
      </w:r>
      <w:r w:rsidRPr="00561D0F">
        <w:rPr>
          <w:rFonts w:ascii="Arial" w:eastAsia="Calibri" w:hAnsi="Arial" w:cs="Arial"/>
          <w:b/>
          <w:bCs/>
          <w:sz w:val="24"/>
          <w:szCs w:val="24"/>
        </w:rPr>
        <w:tab/>
      </w:r>
      <w:r w:rsidRPr="00561D0F">
        <w:rPr>
          <w:rFonts w:ascii="Arial" w:eastAsia="Calibri" w:hAnsi="Arial" w:cs="Arial"/>
          <w:sz w:val="24"/>
          <w:szCs w:val="24"/>
        </w:rPr>
        <w:t>_________________________</w:t>
      </w:r>
    </w:p>
    <w:p w14:paraId="7ECFA4FA" w14:textId="6C642006" w:rsidR="00561D0F" w:rsidRDefault="00F02C19" w:rsidP="00F02C19">
      <w:pPr>
        <w:spacing w:after="0" w:line="240" w:lineRule="auto"/>
        <w:rPr>
          <w:rFonts w:ascii="Arial" w:eastAsia="Calibri" w:hAnsi="Arial" w:cs="Arial"/>
          <w:b/>
          <w:sz w:val="24"/>
          <w:szCs w:val="24"/>
        </w:rPr>
      </w:pPr>
      <w:r>
        <w:rPr>
          <w:rFonts w:ascii="Arial" w:eastAsia="Calibri" w:hAnsi="Arial" w:cs="Arial"/>
          <w:b/>
          <w:sz w:val="24"/>
          <w:szCs w:val="24"/>
        </w:rPr>
        <w:t xml:space="preserve">JUAN LORETO GOMEZ </w:t>
      </w:r>
      <w:r w:rsidR="003F3C02">
        <w:rPr>
          <w:rFonts w:ascii="Arial" w:eastAsia="Calibri" w:hAnsi="Arial" w:cs="Arial"/>
          <w:b/>
          <w:sz w:val="24"/>
          <w:szCs w:val="24"/>
        </w:rPr>
        <w:t>SOTO</w:t>
      </w:r>
    </w:p>
    <w:p w14:paraId="3254A3EF" w14:textId="0DDFCD63" w:rsidR="00F02C19" w:rsidRPr="00F02C19" w:rsidRDefault="00F02C19" w:rsidP="00F02C19">
      <w:pPr>
        <w:spacing w:after="0" w:line="240" w:lineRule="auto"/>
        <w:rPr>
          <w:rFonts w:ascii="Arial" w:eastAsia="Calibri" w:hAnsi="Arial" w:cs="Arial"/>
          <w:b/>
          <w:sz w:val="24"/>
          <w:szCs w:val="24"/>
        </w:rPr>
      </w:pPr>
      <w:r>
        <w:rPr>
          <w:rFonts w:ascii="Arial" w:eastAsia="Calibri" w:hAnsi="Arial" w:cs="Arial"/>
          <w:b/>
          <w:sz w:val="24"/>
          <w:szCs w:val="24"/>
        </w:rPr>
        <w:t xml:space="preserve">Partido Conservador </w:t>
      </w:r>
    </w:p>
    <w:p w14:paraId="7EF913DC"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
          <w:bCs/>
          <w:sz w:val="24"/>
          <w:szCs w:val="24"/>
        </w:rPr>
        <w:t xml:space="preserve">                                  </w:t>
      </w:r>
    </w:p>
    <w:p w14:paraId="347BE7AB"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
          <w:bCs/>
          <w:sz w:val="24"/>
          <w:szCs w:val="24"/>
        </w:rPr>
        <w:t xml:space="preserve">    </w:t>
      </w:r>
      <w:r w:rsidRPr="00561D0F">
        <w:rPr>
          <w:rFonts w:ascii="Arial" w:eastAsia="Calibri" w:hAnsi="Arial" w:cs="Arial"/>
          <w:b/>
          <w:bCs/>
          <w:sz w:val="24"/>
          <w:szCs w:val="24"/>
        </w:rPr>
        <w:tab/>
      </w:r>
      <w:r w:rsidRPr="00561D0F">
        <w:rPr>
          <w:rFonts w:ascii="Arial" w:eastAsia="Calibri" w:hAnsi="Arial" w:cs="Arial"/>
          <w:b/>
          <w:bCs/>
          <w:sz w:val="24"/>
          <w:szCs w:val="24"/>
        </w:rPr>
        <w:tab/>
      </w:r>
      <w:r w:rsidRPr="00561D0F">
        <w:rPr>
          <w:rFonts w:ascii="Arial" w:eastAsia="Calibri" w:hAnsi="Arial" w:cs="Arial"/>
          <w:bCs/>
          <w:sz w:val="24"/>
          <w:szCs w:val="24"/>
        </w:rPr>
        <w:t>_________________________</w:t>
      </w:r>
      <w:r w:rsidRPr="00561D0F">
        <w:rPr>
          <w:rFonts w:ascii="Arial" w:eastAsia="Calibri" w:hAnsi="Arial" w:cs="Arial"/>
          <w:b/>
          <w:bCs/>
          <w:sz w:val="24"/>
          <w:szCs w:val="24"/>
        </w:rPr>
        <w:t xml:space="preserve">    </w:t>
      </w:r>
    </w:p>
    <w:p w14:paraId="107351A2" w14:textId="77777777" w:rsidR="00561D0F" w:rsidRPr="00561D0F" w:rsidRDefault="00561D0F" w:rsidP="00561D0F">
      <w:pPr>
        <w:spacing w:after="160" w:line="256" w:lineRule="auto"/>
        <w:rPr>
          <w:rFonts w:ascii="Arial" w:eastAsia="Calibri" w:hAnsi="Arial" w:cs="Arial"/>
          <w:b/>
          <w:bCs/>
          <w:sz w:val="24"/>
          <w:szCs w:val="24"/>
        </w:rPr>
      </w:pPr>
    </w:p>
    <w:p w14:paraId="330F6468"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
          <w:bCs/>
          <w:sz w:val="24"/>
          <w:szCs w:val="24"/>
        </w:rPr>
        <w:t xml:space="preserve">                                  </w:t>
      </w:r>
    </w:p>
    <w:p w14:paraId="708BB83B"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3B279017" w14:textId="77777777" w:rsidR="00561D0F" w:rsidRPr="00561D0F" w:rsidRDefault="00561D0F" w:rsidP="00561D0F">
      <w:pPr>
        <w:spacing w:after="160" w:line="256" w:lineRule="auto"/>
        <w:rPr>
          <w:rFonts w:ascii="Arial" w:eastAsia="Calibri" w:hAnsi="Arial" w:cs="Arial"/>
          <w:b/>
          <w:bCs/>
          <w:sz w:val="24"/>
          <w:szCs w:val="24"/>
        </w:rPr>
      </w:pPr>
    </w:p>
    <w:p w14:paraId="77CFA87B" w14:textId="77777777" w:rsidR="00561D0F" w:rsidRPr="00561D0F" w:rsidRDefault="00561D0F" w:rsidP="00561D0F">
      <w:pPr>
        <w:spacing w:after="160" w:line="256" w:lineRule="auto"/>
        <w:rPr>
          <w:rFonts w:ascii="Arial" w:eastAsia="Calibri" w:hAnsi="Arial" w:cs="Arial"/>
          <w:b/>
          <w:bCs/>
          <w:sz w:val="24"/>
          <w:szCs w:val="24"/>
        </w:rPr>
      </w:pPr>
    </w:p>
    <w:p w14:paraId="747F66A0"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5690F059" w14:textId="77777777" w:rsidR="00561D0F" w:rsidRPr="00561D0F" w:rsidRDefault="00561D0F" w:rsidP="00561D0F">
      <w:pPr>
        <w:spacing w:after="160" w:line="256" w:lineRule="auto"/>
        <w:rPr>
          <w:rFonts w:ascii="Arial" w:eastAsia="Calibri" w:hAnsi="Arial" w:cs="Arial"/>
          <w:b/>
          <w:bCs/>
          <w:sz w:val="24"/>
          <w:szCs w:val="24"/>
        </w:rPr>
      </w:pPr>
    </w:p>
    <w:p w14:paraId="116179A6" w14:textId="77777777" w:rsidR="00561D0F" w:rsidRPr="00561D0F" w:rsidRDefault="00561D0F" w:rsidP="00561D0F">
      <w:pPr>
        <w:spacing w:after="160" w:line="256" w:lineRule="auto"/>
        <w:rPr>
          <w:rFonts w:ascii="Arial" w:eastAsia="Calibri" w:hAnsi="Arial" w:cs="Arial"/>
          <w:b/>
          <w:bCs/>
          <w:sz w:val="24"/>
          <w:szCs w:val="24"/>
        </w:rPr>
      </w:pPr>
    </w:p>
    <w:p w14:paraId="63849DAF"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71A22E3E" w14:textId="77777777" w:rsidR="00561D0F" w:rsidRPr="00561D0F" w:rsidRDefault="00561D0F" w:rsidP="00561D0F">
      <w:pPr>
        <w:spacing w:after="160" w:line="256" w:lineRule="auto"/>
        <w:rPr>
          <w:rFonts w:ascii="Arial" w:eastAsia="Calibri" w:hAnsi="Arial" w:cs="Arial"/>
          <w:b/>
          <w:bCs/>
          <w:sz w:val="24"/>
          <w:szCs w:val="24"/>
        </w:rPr>
      </w:pPr>
    </w:p>
    <w:p w14:paraId="75D50166" w14:textId="77777777" w:rsidR="00561D0F" w:rsidRPr="00561D0F" w:rsidRDefault="00561D0F" w:rsidP="00561D0F">
      <w:pPr>
        <w:spacing w:after="160" w:line="256" w:lineRule="auto"/>
        <w:rPr>
          <w:rFonts w:ascii="Arial" w:eastAsia="Calibri" w:hAnsi="Arial" w:cs="Arial"/>
          <w:b/>
          <w:bCs/>
          <w:sz w:val="24"/>
          <w:szCs w:val="24"/>
        </w:rPr>
      </w:pPr>
    </w:p>
    <w:p w14:paraId="07A39015"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28DB2A01" w14:textId="77777777" w:rsidR="00561D0F" w:rsidRPr="00561D0F" w:rsidRDefault="00561D0F" w:rsidP="00561D0F">
      <w:pPr>
        <w:spacing w:after="160" w:line="256" w:lineRule="auto"/>
        <w:rPr>
          <w:rFonts w:ascii="Arial" w:eastAsia="Calibri" w:hAnsi="Arial" w:cs="Arial"/>
          <w:b/>
          <w:bCs/>
          <w:sz w:val="24"/>
          <w:szCs w:val="24"/>
        </w:rPr>
      </w:pPr>
    </w:p>
    <w:p w14:paraId="7AE740ED" w14:textId="77777777" w:rsidR="00561D0F" w:rsidRPr="00561D0F" w:rsidRDefault="00561D0F" w:rsidP="00561D0F">
      <w:pPr>
        <w:spacing w:after="160" w:line="256" w:lineRule="auto"/>
        <w:rPr>
          <w:rFonts w:ascii="Arial" w:eastAsia="Calibri" w:hAnsi="Arial" w:cs="Arial"/>
          <w:b/>
          <w:bCs/>
          <w:sz w:val="24"/>
          <w:szCs w:val="24"/>
        </w:rPr>
      </w:pPr>
    </w:p>
    <w:p w14:paraId="14B2B8C4"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2766E3A3" w14:textId="77777777" w:rsidR="00561D0F" w:rsidRPr="00561D0F" w:rsidRDefault="00561D0F" w:rsidP="00561D0F">
      <w:pPr>
        <w:spacing w:after="160" w:line="256" w:lineRule="auto"/>
        <w:rPr>
          <w:rFonts w:ascii="Arial" w:eastAsia="Calibri" w:hAnsi="Arial" w:cs="Arial"/>
          <w:bCs/>
          <w:sz w:val="24"/>
          <w:szCs w:val="24"/>
        </w:rPr>
      </w:pPr>
    </w:p>
    <w:p w14:paraId="3137B30A" w14:textId="77777777" w:rsidR="00561D0F" w:rsidRPr="00561D0F" w:rsidRDefault="00561D0F" w:rsidP="00561D0F">
      <w:pPr>
        <w:spacing w:after="160" w:line="256" w:lineRule="auto"/>
        <w:rPr>
          <w:rFonts w:ascii="Arial" w:eastAsia="Calibri" w:hAnsi="Arial" w:cs="Arial"/>
          <w:bCs/>
          <w:sz w:val="24"/>
          <w:szCs w:val="24"/>
        </w:rPr>
      </w:pPr>
    </w:p>
    <w:p w14:paraId="40DC63C5"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lastRenderedPageBreak/>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61EC4DF0" w14:textId="77777777" w:rsidR="00561D0F" w:rsidRPr="00561D0F" w:rsidRDefault="00561D0F" w:rsidP="00561D0F">
      <w:pPr>
        <w:spacing w:after="160" w:line="256" w:lineRule="auto"/>
        <w:rPr>
          <w:rFonts w:ascii="Arial" w:eastAsia="Calibri" w:hAnsi="Arial" w:cs="Arial"/>
          <w:bCs/>
          <w:sz w:val="24"/>
          <w:szCs w:val="24"/>
        </w:rPr>
      </w:pPr>
    </w:p>
    <w:p w14:paraId="4176D411" w14:textId="77777777" w:rsidR="00561D0F" w:rsidRPr="00561D0F" w:rsidRDefault="00561D0F" w:rsidP="00561D0F">
      <w:pPr>
        <w:spacing w:after="160" w:line="256" w:lineRule="auto"/>
        <w:rPr>
          <w:rFonts w:ascii="Arial" w:eastAsia="Calibri" w:hAnsi="Arial" w:cs="Arial"/>
          <w:bCs/>
          <w:sz w:val="24"/>
          <w:szCs w:val="24"/>
        </w:rPr>
      </w:pPr>
    </w:p>
    <w:p w14:paraId="06B26EE4"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0654C4B9" w14:textId="77777777" w:rsidR="00561D0F" w:rsidRPr="00561D0F" w:rsidRDefault="00561D0F" w:rsidP="00561D0F">
      <w:pPr>
        <w:spacing w:after="160" w:line="256" w:lineRule="auto"/>
        <w:rPr>
          <w:rFonts w:ascii="Arial" w:eastAsia="Calibri" w:hAnsi="Arial" w:cs="Arial"/>
          <w:b/>
          <w:bCs/>
          <w:sz w:val="24"/>
          <w:szCs w:val="24"/>
        </w:rPr>
      </w:pPr>
    </w:p>
    <w:p w14:paraId="7D0BA0E7" w14:textId="77777777" w:rsidR="00561D0F" w:rsidRPr="00561D0F" w:rsidRDefault="00561D0F" w:rsidP="00561D0F">
      <w:pPr>
        <w:spacing w:after="160" w:line="256" w:lineRule="auto"/>
        <w:rPr>
          <w:rFonts w:ascii="Arial" w:eastAsia="Calibri" w:hAnsi="Arial" w:cs="Arial"/>
          <w:b/>
          <w:bCs/>
          <w:sz w:val="24"/>
          <w:szCs w:val="24"/>
        </w:rPr>
      </w:pPr>
    </w:p>
    <w:p w14:paraId="4228CADC"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Cs/>
          <w:sz w:val="24"/>
          <w:szCs w:val="24"/>
        </w:rPr>
        <w:t>_________________________</w:t>
      </w:r>
      <w:r w:rsidRPr="00561D0F">
        <w:rPr>
          <w:rFonts w:ascii="Arial" w:eastAsia="Calibri" w:hAnsi="Arial" w:cs="Arial"/>
          <w:bCs/>
          <w:sz w:val="24"/>
          <w:szCs w:val="24"/>
        </w:rPr>
        <w:tab/>
      </w:r>
      <w:r w:rsidRPr="00561D0F">
        <w:rPr>
          <w:rFonts w:ascii="Arial" w:eastAsia="Calibri" w:hAnsi="Arial" w:cs="Arial"/>
          <w:bCs/>
          <w:sz w:val="24"/>
          <w:szCs w:val="24"/>
        </w:rPr>
        <w:tab/>
      </w:r>
      <w:r w:rsidRPr="00561D0F">
        <w:rPr>
          <w:rFonts w:ascii="Arial" w:eastAsia="Calibri" w:hAnsi="Arial" w:cs="Arial"/>
          <w:bCs/>
          <w:sz w:val="24"/>
          <w:szCs w:val="24"/>
        </w:rPr>
        <w:tab/>
        <w:t>_________________________</w:t>
      </w:r>
      <w:r w:rsidRPr="00561D0F">
        <w:rPr>
          <w:rFonts w:ascii="Arial" w:eastAsia="Calibri" w:hAnsi="Arial" w:cs="Arial"/>
          <w:b/>
          <w:bCs/>
          <w:sz w:val="24"/>
          <w:szCs w:val="24"/>
        </w:rPr>
        <w:t xml:space="preserve">    </w:t>
      </w:r>
    </w:p>
    <w:p w14:paraId="31FB2706" w14:textId="77777777" w:rsidR="00561D0F" w:rsidRPr="00561D0F" w:rsidRDefault="00561D0F" w:rsidP="00561D0F">
      <w:pPr>
        <w:spacing w:after="160" w:line="256" w:lineRule="auto"/>
        <w:rPr>
          <w:rFonts w:ascii="Arial" w:eastAsia="Calibri" w:hAnsi="Arial" w:cs="Arial"/>
          <w:b/>
          <w:bCs/>
          <w:sz w:val="24"/>
          <w:szCs w:val="24"/>
        </w:rPr>
      </w:pPr>
    </w:p>
    <w:p w14:paraId="0B14E780" w14:textId="77777777" w:rsidR="00561D0F" w:rsidRPr="00561D0F" w:rsidRDefault="00561D0F" w:rsidP="00561D0F">
      <w:pPr>
        <w:spacing w:after="160" w:line="256" w:lineRule="auto"/>
        <w:rPr>
          <w:rFonts w:ascii="Arial" w:eastAsia="Calibri" w:hAnsi="Arial" w:cs="Arial"/>
          <w:b/>
          <w:bCs/>
          <w:sz w:val="24"/>
          <w:szCs w:val="24"/>
        </w:rPr>
      </w:pPr>
      <w:r w:rsidRPr="00561D0F">
        <w:rPr>
          <w:rFonts w:ascii="Arial" w:eastAsia="Calibri" w:hAnsi="Arial" w:cs="Arial"/>
          <w:b/>
          <w:bCs/>
          <w:sz w:val="24"/>
          <w:szCs w:val="24"/>
        </w:rPr>
        <w:t xml:space="preserve">     </w:t>
      </w:r>
    </w:p>
    <w:p w14:paraId="3C01D691" w14:textId="77777777" w:rsidR="00561D0F" w:rsidRPr="00561D0F" w:rsidRDefault="00561D0F" w:rsidP="00561D0F">
      <w:pPr>
        <w:spacing w:after="160"/>
        <w:jc w:val="both"/>
        <w:rPr>
          <w:rFonts w:ascii="Arial" w:eastAsia="Calibri" w:hAnsi="Arial" w:cs="Arial"/>
          <w:sz w:val="24"/>
          <w:szCs w:val="24"/>
        </w:rPr>
      </w:pPr>
    </w:p>
    <w:p w14:paraId="2D9153F1" w14:textId="77777777" w:rsidR="00561D0F" w:rsidRPr="00561D0F" w:rsidRDefault="00561D0F" w:rsidP="00561D0F">
      <w:pPr>
        <w:spacing w:after="160"/>
        <w:jc w:val="both"/>
        <w:rPr>
          <w:rFonts w:ascii="Arial" w:eastAsia="Calibri" w:hAnsi="Arial" w:cs="Arial"/>
          <w:sz w:val="24"/>
          <w:szCs w:val="24"/>
        </w:rPr>
      </w:pPr>
    </w:p>
    <w:p w14:paraId="660650F9" w14:textId="5D987CD0" w:rsidR="00500021" w:rsidRPr="00E6564D" w:rsidRDefault="00500021" w:rsidP="00E6564D"/>
    <w:sectPr w:rsidR="00500021" w:rsidRPr="00E6564D" w:rsidSect="0070386D">
      <w:headerReference w:type="default" r:id="rId18"/>
      <w:footerReference w:type="default" r:id="rId19"/>
      <w:pgSz w:w="12240" w:h="15840"/>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FF3D0" w14:textId="77777777" w:rsidR="00AC475C" w:rsidRDefault="00AC475C" w:rsidP="004404C3">
      <w:pPr>
        <w:spacing w:after="0" w:line="240" w:lineRule="auto"/>
      </w:pPr>
      <w:r>
        <w:separator/>
      </w:r>
    </w:p>
  </w:endnote>
  <w:endnote w:type="continuationSeparator" w:id="0">
    <w:p w14:paraId="0C41ECD2" w14:textId="77777777" w:rsidR="00AC475C" w:rsidRDefault="00AC475C" w:rsidP="0044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3463" w14:textId="77777777" w:rsidR="00671DCC" w:rsidRDefault="00671DCC" w:rsidP="00513835">
    <w:pPr>
      <w:pStyle w:val="Piedepgina"/>
      <w:pBdr>
        <w:bottom w:val="single" w:sz="6" w:space="1" w:color="auto"/>
      </w:pBdr>
      <w:jc w:val="right"/>
    </w:pPr>
  </w:p>
  <w:p w14:paraId="78BD88C9" w14:textId="4E603989" w:rsidR="00671DCC" w:rsidRPr="004F1754" w:rsidRDefault="00671DCC" w:rsidP="00513835">
    <w:pPr>
      <w:pStyle w:val="Piedepgina"/>
      <w:jc w:val="center"/>
      <w:rPr>
        <w:rFonts w:cs="Calibri"/>
      </w:rPr>
    </w:pPr>
    <w:r w:rsidRPr="004F1754">
      <w:rPr>
        <w:rFonts w:cs="Calibri"/>
      </w:rPr>
      <w:t>Carrera 7 Nro. 8-68 Edificio Nuevo del Congreso</w:t>
    </w:r>
  </w:p>
  <w:p w14:paraId="130FE1C4" w14:textId="005B6C8E" w:rsidR="00671DCC" w:rsidRPr="004F1754" w:rsidRDefault="00671DCC" w:rsidP="00D01B25">
    <w:pPr>
      <w:pStyle w:val="Piedepgina"/>
      <w:jc w:val="center"/>
      <w:rPr>
        <w:rFonts w:cs="Calibri"/>
      </w:rPr>
    </w:pPr>
    <w:r w:rsidRPr="004F1754">
      <w:rPr>
        <w:rFonts w:cs="Calibri"/>
      </w:rPr>
      <w:t>Mezanine Sur Oficina 102 Tels. (601) 3904050 ext. 4468 – 4467 Bogotá D.C.</w:t>
    </w:r>
  </w:p>
  <w:p w14:paraId="69D3AFBD" w14:textId="77777777" w:rsidR="00671DCC" w:rsidRDefault="00671DC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DCD06" w14:textId="77777777" w:rsidR="00AC475C" w:rsidRDefault="00AC475C" w:rsidP="004404C3">
      <w:pPr>
        <w:spacing w:after="0" w:line="240" w:lineRule="auto"/>
      </w:pPr>
      <w:r>
        <w:separator/>
      </w:r>
    </w:p>
  </w:footnote>
  <w:footnote w:type="continuationSeparator" w:id="0">
    <w:p w14:paraId="1612BBAF" w14:textId="77777777" w:rsidR="00AC475C" w:rsidRDefault="00AC475C" w:rsidP="004404C3">
      <w:pPr>
        <w:spacing w:after="0" w:line="240" w:lineRule="auto"/>
      </w:pPr>
      <w:r>
        <w:continuationSeparator/>
      </w:r>
    </w:p>
  </w:footnote>
  <w:footnote w:id="1">
    <w:p w14:paraId="3B4E012B" w14:textId="77777777" w:rsidR="00671DCC" w:rsidRPr="00010BCC" w:rsidRDefault="00671DCC" w:rsidP="00561D0F">
      <w:pPr>
        <w:pStyle w:val="Textonotapie"/>
        <w:rPr>
          <w:rFonts w:ascii="Arial" w:hAnsi="Arial" w:cs="Arial"/>
        </w:rPr>
      </w:pPr>
      <w:r w:rsidRPr="00010BCC">
        <w:rPr>
          <w:rStyle w:val="Refdenotaalpie"/>
        </w:rPr>
        <w:footnoteRef/>
      </w:r>
      <w:r w:rsidRPr="00010BCC">
        <w:rPr>
          <w:rFonts w:ascii="Arial" w:hAnsi="Arial" w:cs="Arial"/>
        </w:rPr>
        <w:t xml:space="preserve"> </w:t>
      </w:r>
      <w:r w:rsidRPr="00010BCC">
        <w:rPr>
          <w:rFonts w:ascii="Arial" w:hAnsi="Arial" w:cs="Arial"/>
          <w:color w:val="222222"/>
          <w:shd w:val="clear" w:color="auto" w:fill="FFFFFF"/>
        </w:rPr>
        <w:t xml:space="preserve">GUZMÁN JIMÉNEZ, L. </w:t>
      </w:r>
      <w:r>
        <w:rPr>
          <w:rFonts w:ascii="Arial" w:hAnsi="Arial" w:cs="Arial"/>
          <w:color w:val="222222"/>
          <w:shd w:val="clear" w:color="auto" w:fill="FFFFFF"/>
        </w:rPr>
        <w:t>Ambiente</w:t>
      </w:r>
      <w:r w:rsidRPr="00010BCC">
        <w:rPr>
          <w:rFonts w:ascii="Arial" w:hAnsi="Arial" w:cs="Arial"/>
          <w:color w:val="222222"/>
          <w:shd w:val="clear" w:color="auto" w:fill="FFFFFF"/>
        </w:rPr>
        <w:t xml:space="preserve"> y acceso a la justicia:</w:t>
      </w:r>
      <w:r>
        <w:rPr>
          <w:rFonts w:ascii="Arial" w:hAnsi="Arial" w:cs="Arial"/>
          <w:color w:val="222222"/>
          <w:shd w:val="clear" w:color="auto" w:fill="FFFFFF"/>
        </w:rPr>
        <w:t xml:space="preserve"> </w:t>
      </w:r>
      <w:r w:rsidRPr="00010BCC">
        <w:rPr>
          <w:rFonts w:ascii="Arial" w:hAnsi="Arial" w:cs="Arial"/>
          <w:color w:val="222222"/>
          <w:shd w:val="clear" w:color="auto" w:fill="FFFFFF"/>
        </w:rPr>
        <w:t>¿son los tribunales ambientales una solución para abordar los conflictos ambientales en Colombia. </w:t>
      </w:r>
      <w:r w:rsidRPr="00010BCC">
        <w:rPr>
          <w:rFonts w:ascii="Arial" w:hAnsi="Arial" w:cs="Arial"/>
          <w:i/>
          <w:iCs/>
          <w:color w:val="222222"/>
          <w:shd w:val="clear" w:color="auto" w:fill="FFFFFF"/>
        </w:rPr>
        <w:t xml:space="preserve">Blog Departamento de Derecho del </w:t>
      </w:r>
      <w:r>
        <w:rPr>
          <w:rFonts w:ascii="Arial" w:hAnsi="Arial" w:cs="Arial"/>
          <w:i/>
          <w:iCs/>
          <w:color w:val="222222"/>
          <w:shd w:val="clear" w:color="auto" w:fill="FFFFFF"/>
        </w:rPr>
        <w:t>Ambiente</w:t>
      </w:r>
      <w:r w:rsidRPr="00010BCC">
        <w:rPr>
          <w:rFonts w:ascii="Arial" w:hAnsi="Arial" w:cs="Arial"/>
          <w:i/>
          <w:iCs/>
          <w:color w:val="222222"/>
          <w:shd w:val="clear" w:color="auto" w:fill="FFFFFF"/>
        </w:rPr>
        <w:t>, Bogotá, Universidad Externado de Colombia</w:t>
      </w:r>
      <w:r w:rsidRPr="00010BCC">
        <w:rPr>
          <w:rFonts w:ascii="Arial" w:hAnsi="Arial" w:cs="Arial"/>
          <w:color w:val="222222"/>
          <w:shd w:val="clear" w:color="auto" w:fill="FFFFFF"/>
        </w:rPr>
        <w:t>, 2018.</w:t>
      </w:r>
    </w:p>
  </w:footnote>
  <w:footnote w:id="2">
    <w:p w14:paraId="3A8FA670" w14:textId="77777777" w:rsidR="00671DCC" w:rsidRDefault="00671DCC" w:rsidP="00561D0F">
      <w:pPr>
        <w:pStyle w:val="Textonotapie"/>
      </w:pPr>
      <w:r>
        <w:rPr>
          <w:rStyle w:val="Refdenotaalpie"/>
        </w:rPr>
        <w:footnoteRef/>
      </w:r>
      <w:r>
        <w:t xml:space="preserve"> </w:t>
      </w:r>
      <w:r w:rsidRPr="00010BCC">
        <w:rPr>
          <w:rFonts w:ascii="Arial" w:hAnsi="Arial" w:cs="Arial"/>
          <w:color w:val="222222"/>
          <w:shd w:val="clear" w:color="auto" w:fill="FFFFFF"/>
        </w:rPr>
        <w:t>GUZMÁN JIMÉNEZ, L</w:t>
      </w:r>
      <w:r>
        <w:rPr>
          <w:rFonts w:ascii="Arial" w:hAnsi="Arial" w:cs="Arial"/>
          <w:color w:val="222222"/>
          <w:shd w:val="clear" w:color="auto" w:fill="FFFFFF"/>
        </w:rPr>
        <w:t>, ibidem.</w:t>
      </w:r>
    </w:p>
  </w:footnote>
  <w:footnote w:id="3">
    <w:p w14:paraId="33F0EC08" w14:textId="77777777" w:rsidR="00671DCC" w:rsidRDefault="00671DCC" w:rsidP="00561D0F">
      <w:pPr>
        <w:pStyle w:val="Textonotapie"/>
        <w:jc w:val="both"/>
      </w:pPr>
      <w:r>
        <w:rPr>
          <w:rStyle w:val="Refdenotaalpie"/>
        </w:rPr>
        <w:footnoteRef/>
      </w:r>
      <w:r>
        <w:t xml:space="preserve"> Agencia Nacional de Defensa Jurídica del Estado, Informe </w:t>
      </w:r>
      <w:r w:rsidRPr="00640F25">
        <w:rPr>
          <w:i/>
          <w:iCs/>
        </w:rPr>
        <w:t>Trimestral</w:t>
      </w:r>
      <w:r>
        <w:t xml:space="preserve"> de Litigiosidad – Segundo semestre – Corte junio de 2020, Bogotá, págs. 8 y 9.</w:t>
      </w:r>
    </w:p>
  </w:footnote>
  <w:footnote w:id="4">
    <w:p w14:paraId="3C9BC47A" w14:textId="77777777" w:rsidR="00671DCC" w:rsidRDefault="00671DCC" w:rsidP="00561D0F">
      <w:pPr>
        <w:pStyle w:val="Textonotapie"/>
      </w:pPr>
      <w:r>
        <w:rPr>
          <w:rStyle w:val="Refdenotaalpie"/>
        </w:rPr>
        <w:footnoteRef/>
      </w:r>
      <w:r>
        <w:t xml:space="preserve"> </w:t>
      </w:r>
      <w:r w:rsidRPr="00706F5E">
        <w:t>Ob. Cit. Pág. 10.</w:t>
      </w:r>
    </w:p>
  </w:footnote>
  <w:footnote w:id="5">
    <w:p w14:paraId="3ECD406E" w14:textId="77777777" w:rsidR="00671DCC" w:rsidRDefault="00671DCC" w:rsidP="00561D0F">
      <w:pPr>
        <w:pStyle w:val="Textonotapie"/>
        <w:jc w:val="both"/>
      </w:pPr>
      <w:r>
        <w:rPr>
          <w:rStyle w:val="Refdenotaalpie"/>
        </w:rPr>
        <w:footnoteRef/>
      </w:r>
      <w:r>
        <w:t xml:space="preserve"> </w:t>
      </w:r>
      <w:r w:rsidRPr="00640F25">
        <w:t xml:space="preserve">Consejo Superior de la Judicatura – Unidad de Desarrollo y Análisis Estadístico, Informe de Asuntos </w:t>
      </w:r>
      <w:r>
        <w:t>A</w:t>
      </w:r>
      <w:r w:rsidRPr="00640F25">
        <w:t>mbientales en Despachos Administrativos del País – Corte a 4 de agosto de 2020, Bogotá, págs. 2 y 3.</w:t>
      </w:r>
    </w:p>
  </w:footnote>
  <w:footnote w:id="6">
    <w:p w14:paraId="632D9A12" w14:textId="77777777" w:rsidR="00671DCC" w:rsidRDefault="00671DCC" w:rsidP="00561D0F">
      <w:pPr>
        <w:pStyle w:val="Textonotapie"/>
      </w:pPr>
      <w:r>
        <w:rPr>
          <w:rStyle w:val="Refdenotaalpie"/>
        </w:rPr>
        <w:footnoteRef/>
      </w:r>
      <w:r>
        <w:t xml:space="preserve"> </w:t>
      </w:r>
      <w:r w:rsidRPr="002B5070">
        <w:t>Ob. Cit., pág. 4.</w:t>
      </w:r>
    </w:p>
  </w:footnote>
  <w:footnote w:id="7">
    <w:p w14:paraId="677C83C5" w14:textId="77777777" w:rsidR="00671DCC" w:rsidRDefault="00671DCC" w:rsidP="00561D0F">
      <w:pPr>
        <w:pStyle w:val="Textonotapie"/>
        <w:jc w:val="both"/>
      </w:pPr>
      <w:r>
        <w:rPr>
          <w:rStyle w:val="Refdenotaalpie"/>
        </w:rPr>
        <w:footnoteRef/>
      </w:r>
      <w:r>
        <w:t xml:space="preserve"> </w:t>
      </w:r>
      <w:r w:rsidRPr="00706D03">
        <w:t xml:space="preserve">GAP UROSARIO. (2010). El </w:t>
      </w:r>
      <w:r>
        <w:t>ambiente</w:t>
      </w:r>
      <w:r w:rsidRPr="00706D03">
        <w:t xml:space="preserve"> sano, un derecho de todos. Bogotá: U ROSARIO. Obtenido de https://editorial.urosario.edu.co/pageflip/acceso-abierto/el- medio-ambiente-sano.pdf</w:t>
      </w:r>
    </w:p>
  </w:footnote>
  <w:footnote w:id="8">
    <w:p w14:paraId="2ED8179A" w14:textId="77777777" w:rsidR="00671DCC" w:rsidRDefault="00671DCC" w:rsidP="00561D0F">
      <w:pPr>
        <w:pStyle w:val="Textonotapie"/>
        <w:jc w:val="both"/>
      </w:pPr>
      <w:r>
        <w:rPr>
          <w:rStyle w:val="Refdenotaalpie"/>
        </w:rPr>
        <w:footnoteRef/>
      </w:r>
      <w:r>
        <w:t xml:space="preserve"> </w:t>
      </w:r>
      <w:r w:rsidRPr="00E548E9">
        <w:t>Consejo de Estado Sección Tercera, Sentencia 760012331000200050427101 (37603) https://vlex.com.co/vid/732536929</w:t>
      </w:r>
    </w:p>
  </w:footnote>
  <w:footnote w:id="9">
    <w:p w14:paraId="330E2C2A" w14:textId="77777777" w:rsidR="00671DCC" w:rsidRDefault="00671DCC" w:rsidP="00561D0F">
      <w:pPr>
        <w:pStyle w:val="Textonotapie"/>
        <w:jc w:val="both"/>
      </w:pPr>
      <w:r>
        <w:rPr>
          <w:rStyle w:val="Refdenotaalpie"/>
        </w:rPr>
        <w:footnoteRef/>
      </w:r>
      <w:r>
        <w:t xml:space="preserve"> </w:t>
      </w:r>
      <w:r w:rsidRPr="00681225">
        <w:t>DNP. (2019). Bases del Plan Nacional de Desarrollo. DNP. Obtenido de https://www.dnp.gov.co/Plan-</w:t>
      </w:r>
      <w:r>
        <w:t>N</w:t>
      </w:r>
      <w:r w:rsidRPr="00681225">
        <w:t>acional-de-Desarrollo/Paginas/Bases-del-Plan-Nacional-de- Desarrollo-2018-2022.aspx</w:t>
      </w:r>
    </w:p>
  </w:footnote>
  <w:footnote w:id="10">
    <w:p w14:paraId="41C10A18" w14:textId="77777777" w:rsidR="00671DCC" w:rsidRDefault="00671DCC" w:rsidP="00561D0F">
      <w:pPr>
        <w:pStyle w:val="Textonotapie"/>
        <w:jc w:val="both"/>
      </w:pPr>
      <w:r>
        <w:rPr>
          <w:rStyle w:val="Refdenotaalpie"/>
        </w:rPr>
        <w:footnoteRef/>
      </w:r>
      <w:r>
        <w:t xml:space="preserve"> </w:t>
      </w:r>
      <w:r w:rsidRPr="00013AB6">
        <w:t>DNP. (2019). Plan Nacional de Desarrollo, "El Futuro es de Todos". DNP. Obtenido de https://www.dnp.gov.co/DNPN/Paginas/Plan-Nacional-de-Desarrollo.aspx</w:t>
      </w:r>
    </w:p>
  </w:footnote>
  <w:footnote w:id="11">
    <w:p w14:paraId="25AD1575" w14:textId="77777777" w:rsidR="00671DCC" w:rsidRDefault="00671DCC" w:rsidP="00561D0F">
      <w:pPr>
        <w:pStyle w:val="Textonotapie"/>
        <w:jc w:val="both"/>
      </w:pPr>
      <w:r>
        <w:rPr>
          <w:rStyle w:val="Refdenotaalpie"/>
        </w:rPr>
        <w:footnoteRef/>
      </w:r>
      <w:r>
        <w:t xml:space="preserve"> </w:t>
      </w:r>
      <w:r w:rsidRPr="00146EF9">
        <w:t>Naciones Unidas. (2015). Objetivos de Desarrollo Sostenible. UN. Obtenido de https://www.un.org/sustainabledevelopment/es/objetivos-de-desarrollo-sostenible/</w:t>
      </w:r>
    </w:p>
  </w:footnote>
  <w:footnote w:id="12">
    <w:p w14:paraId="7C1D0211" w14:textId="77777777" w:rsidR="00671DCC" w:rsidRDefault="00671DCC" w:rsidP="00561D0F">
      <w:pPr>
        <w:pStyle w:val="Textonotapie"/>
        <w:jc w:val="both"/>
      </w:pPr>
      <w:r>
        <w:rPr>
          <w:rStyle w:val="Refdenotaalpie"/>
        </w:rPr>
        <w:footnoteRef/>
      </w:r>
      <w:r>
        <w:t xml:space="preserve"> </w:t>
      </w:r>
      <w:r w:rsidRPr="00305528">
        <w:t>Congreso de Chile (2012) LEY 20600 Crea los Tribunales Ambientales, obtenido de https://www.bcn.cl/leychile/navegar?idNorma=1041361</w:t>
      </w:r>
    </w:p>
  </w:footnote>
  <w:footnote w:id="13">
    <w:p w14:paraId="7FE53AD6" w14:textId="77777777" w:rsidR="00671DCC" w:rsidRDefault="00671DCC" w:rsidP="00561D0F">
      <w:pPr>
        <w:pStyle w:val="Textonotapie"/>
      </w:pPr>
      <w:r>
        <w:rPr>
          <w:rStyle w:val="Refdenotaalpie"/>
        </w:rPr>
        <w:footnoteRef/>
      </w:r>
      <w:r>
        <w:t xml:space="preserve"> </w:t>
      </w:r>
      <w:r w:rsidRPr="00E02863">
        <w:t>Consejo de Estado, Sala de lo Contencioso Administrativo, Sección Primera, Radicado 66001-23-33-002-2016- 00291-01(PI), sentencia del 30 de junio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767" w:type="dxa"/>
      <w:tblInd w:w="-1318" w:type="dxa"/>
      <w:tblLook w:val="0400" w:firstRow="0" w:lastRow="0" w:firstColumn="0" w:lastColumn="0" w:noHBand="0" w:noVBand="1"/>
    </w:tblPr>
    <w:tblGrid>
      <w:gridCol w:w="9195"/>
    </w:tblGrid>
    <w:tr w:rsidR="00671DCC" w:rsidRPr="00DD5EF7" w14:paraId="3EB3977D" w14:textId="77777777" w:rsidTr="00513835">
      <w:trPr>
        <w:trHeight w:val="273"/>
      </w:trPr>
      <w:tc>
        <w:tcPr>
          <w:tcW w:w="6767" w:type="dxa"/>
          <w:shd w:val="clear" w:color="auto" w:fill="auto"/>
        </w:tcPr>
        <w:tbl>
          <w:tblPr>
            <w:tblW w:w="7557" w:type="dxa"/>
            <w:tblInd w:w="1422" w:type="dxa"/>
            <w:tblLook w:val="0400" w:firstRow="0" w:lastRow="0" w:firstColumn="0" w:lastColumn="0" w:noHBand="0" w:noVBand="1"/>
          </w:tblPr>
          <w:tblGrid>
            <w:gridCol w:w="4480"/>
            <w:gridCol w:w="3077"/>
          </w:tblGrid>
          <w:tr w:rsidR="00671DCC" w:rsidRPr="00DD5EF7" w14:paraId="059449FB" w14:textId="77777777" w:rsidTr="005921DD">
            <w:trPr>
              <w:trHeight w:val="220"/>
            </w:trPr>
            <w:tc>
              <w:tcPr>
                <w:tcW w:w="4480" w:type="dxa"/>
                <w:tcBorders>
                  <w:right w:val="single" w:sz="12" w:space="0" w:color="984806"/>
                </w:tcBorders>
                <w:shd w:val="clear" w:color="auto" w:fill="auto"/>
              </w:tcPr>
              <w:p w14:paraId="387A6BBA" w14:textId="77777777" w:rsidR="00671DCC" w:rsidRPr="00DD5EF7" w:rsidRDefault="00671DCC" w:rsidP="00513835">
                <w:pPr>
                  <w:pStyle w:val="Encabezado"/>
                  <w:rPr>
                    <w:noProof/>
                    <w:sz w:val="12"/>
                    <w:szCs w:val="12"/>
                    <w:lang w:eastAsia="es-ES"/>
                  </w:rPr>
                </w:pPr>
                <w:r>
                  <w:rPr>
                    <w:noProof/>
                    <w:sz w:val="12"/>
                    <w:szCs w:val="12"/>
                    <w:lang w:eastAsia="es-CO"/>
                  </w:rPr>
                  <w:drawing>
                    <wp:anchor distT="0" distB="0" distL="114300" distR="114300" simplePos="0" relativeHeight="251659264" behindDoc="1" locked="0" layoutInCell="1" allowOverlap="1" wp14:anchorId="24E6E492" wp14:editId="48DB8C55">
                      <wp:simplePos x="0" y="0"/>
                      <wp:positionH relativeFrom="column">
                        <wp:posOffset>323850</wp:posOffset>
                      </wp:positionH>
                      <wp:positionV relativeFrom="paragraph">
                        <wp:posOffset>-49530</wp:posOffset>
                      </wp:positionV>
                      <wp:extent cx="2266950" cy="628015"/>
                      <wp:effectExtent l="0" t="0" r="0" b="635"/>
                      <wp:wrapNone/>
                      <wp:docPr id="1" name="Imagen 1" descr="http://t3.gstatic.com/images?q=tbn:ANd9GcS_VZzLfJjh-iXqDmA02jBK6q1YQIAc9LcQqUvvpsS_p4h-wT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3.gstatic.com/images?q=tbn:ANd9GcS_VZzLfJjh-iXqDmA02jBK6q1YQIAc9LcQqUvvpsS_p4h-wT2F"/>
                              <pic:cNvPicPr>
                                <a:picLocks noChangeAspect="1" noChangeArrowheads="1"/>
                              </pic:cNvPicPr>
                            </pic:nvPicPr>
                            <pic:blipFill>
                              <a:blip r:embed="rId1">
                                <a:extLst>
                                  <a:ext uri="{28A0092B-C50C-407E-A947-70E740481C1C}">
                                    <a14:useLocalDpi xmlns:a14="http://schemas.microsoft.com/office/drawing/2010/main" val="0"/>
                                  </a:ext>
                                </a:extLst>
                              </a:blip>
                              <a:srcRect l="2515" t="5319" r="2267" b="5319"/>
                              <a:stretch>
                                <a:fillRect/>
                              </a:stretch>
                            </pic:blipFill>
                            <pic:spPr bwMode="auto">
                              <a:xfrm>
                                <a:off x="0" y="0"/>
                                <a:ext cx="226695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37FFB" w14:textId="77777777" w:rsidR="00671DCC" w:rsidRPr="00DD5EF7" w:rsidRDefault="00671DCC" w:rsidP="00513835">
                <w:pPr>
                  <w:pStyle w:val="Encabezado"/>
                  <w:jc w:val="center"/>
                  <w:rPr>
                    <w:noProof/>
                    <w:sz w:val="12"/>
                    <w:szCs w:val="12"/>
                    <w:lang w:eastAsia="es-ES"/>
                  </w:rPr>
                </w:pPr>
              </w:p>
              <w:p w14:paraId="0ED1AFFB" w14:textId="0B3C35A5" w:rsidR="00671DCC" w:rsidRPr="00DD5EF7" w:rsidRDefault="00671DCC" w:rsidP="00513835">
                <w:pPr>
                  <w:pStyle w:val="Encabezado"/>
                  <w:jc w:val="center"/>
                  <w:rPr>
                    <w:noProof/>
                    <w:sz w:val="12"/>
                    <w:szCs w:val="12"/>
                    <w:lang w:eastAsia="es-ES"/>
                  </w:rPr>
                </w:pPr>
                <w:r>
                  <w:rPr>
                    <w:noProof/>
                    <w:sz w:val="12"/>
                    <w:szCs w:val="12"/>
                    <w:lang w:eastAsia="es-ES"/>
                  </w:rPr>
                  <w:t xml:space="preserve"> </w:t>
                </w:r>
              </w:p>
              <w:p w14:paraId="1D58E3F6" w14:textId="77777777" w:rsidR="00671DCC" w:rsidRPr="00DD5EF7" w:rsidRDefault="00671DCC" w:rsidP="00FC015F">
                <w:pPr>
                  <w:pStyle w:val="Encabezado"/>
                  <w:jc w:val="right"/>
                  <w:rPr>
                    <w:rFonts w:ascii="Arial" w:hAnsi="Arial" w:cs="Arial"/>
                    <w:color w:val="BD7D3D"/>
                    <w:sz w:val="12"/>
                    <w:szCs w:val="12"/>
                  </w:rPr>
                </w:pPr>
              </w:p>
            </w:tc>
            <w:tc>
              <w:tcPr>
                <w:tcW w:w="3077" w:type="dxa"/>
                <w:tcBorders>
                  <w:left w:val="single" w:sz="12" w:space="0" w:color="984806"/>
                </w:tcBorders>
                <w:shd w:val="clear" w:color="auto" w:fill="auto"/>
              </w:tcPr>
              <w:p w14:paraId="54CE143B" w14:textId="77777777" w:rsidR="00671DCC" w:rsidRDefault="00671DCC" w:rsidP="004F1754">
                <w:pPr>
                  <w:pStyle w:val="Encabezado"/>
                  <w:rPr>
                    <w:rFonts w:ascii="Arial" w:hAnsi="Arial" w:cs="Arial"/>
                    <w:b/>
                    <w:color w:val="BD7D3D"/>
                    <w:sz w:val="18"/>
                    <w:szCs w:val="18"/>
                  </w:rPr>
                </w:pPr>
              </w:p>
              <w:p w14:paraId="61E3B920" w14:textId="26AD68B1" w:rsidR="00671DCC" w:rsidRPr="00322B48" w:rsidRDefault="00671DCC" w:rsidP="004F1754">
                <w:pPr>
                  <w:pStyle w:val="Encabezado"/>
                  <w:rPr>
                    <w:rFonts w:ascii="Arial" w:hAnsi="Arial" w:cs="Arial"/>
                    <w:b/>
                    <w:color w:val="BD7D3D"/>
                    <w:sz w:val="18"/>
                    <w:szCs w:val="18"/>
                  </w:rPr>
                </w:pPr>
                <w:r>
                  <w:rPr>
                    <w:rFonts w:ascii="Arial" w:hAnsi="Arial" w:cs="Arial"/>
                    <w:b/>
                    <w:color w:val="BD7D3D"/>
                    <w:sz w:val="18"/>
                    <w:szCs w:val="18"/>
                  </w:rPr>
                  <w:t xml:space="preserve">     </w:t>
                </w:r>
                <w:r w:rsidRPr="00322B48">
                  <w:rPr>
                    <w:rFonts w:ascii="Arial" w:hAnsi="Arial" w:cs="Arial"/>
                    <w:b/>
                    <w:color w:val="BD7D3D"/>
                    <w:sz w:val="18"/>
                    <w:szCs w:val="18"/>
                  </w:rPr>
                  <w:t>JUAN LORETO GOMEZ SOTO</w:t>
                </w:r>
              </w:p>
              <w:p w14:paraId="69F103F4" w14:textId="77777777" w:rsidR="00671DCC" w:rsidRDefault="00671DCC" w:rsidP="004F1754">
                <w:pPr>
                  <w:pStyle w:val="Encabezado"/>
                  <w:rPr>
                    <w:rFonts w:ascii="Arial" w:hAnsi="Arial" w:cs="Arial"/>
                    <w:b/>
                    <w:color w:val="BD7D3D"/>
                    <w:sz w:val="18"/>
                    <w:szCs w:val="18"/>
                  </w:rPr>
                </w:pPr>
                <w:r>
                  <w:rPr>
                    <w:rFonts w:ascii="Arial" w:hAnsi="Arial" w:cs="Arial"/>
                    <w:b/>
                    <w:color w:val="BD7D3D"/>
                    <w:sz w:val="18"/>
                    <w:szCs w:val="18"/>
                  </w:rPr>
                  <w:t xml:space="preserve">     </w:t>
                </w:r>
                <w:r w:rsidRPr="00322B48">
                  <w:rPr>
                    <w:rFonts w:ascii="Arial" w:hAnsi="Arial" w:cs="Arial"/>
                    <w:b/>
                    <w:color w:val="BD7D3D"/>
                    <w:sz w:val="18"/>
                    <w:szCs w:val="18"/>
                  </w:rPr>
                  <w:t xml:space="preserve">Representante a la Cámara                                             </w:t>
                </w:r>
                <w:r>
                  <w:rPr>
                    <w:rFonts w:ascii="Arial" w:hAnsi="Arial" w:cs="Arial"/>
                    <w:b/>
                    <w:color w:val="BD7D3D"/>
                    <w:sz w:val="18"/>
                    <w:szCs w:val="18"/>
                  </w:rPr>
                  <w:t xml:space="preserve">                  </w:t>
                </w:r>
              </w:p>
              <w:p w14:paraId="7841F6C9" w14:textId="626E375C" w:rsidR="00671DCC" w:rsidRPr="00322B48" w:rsidRDefault="00671DCC" w:rsidP="004F1754">
                <w:pPr>
                  <w:pStyle w:val="Encabezado"/>
                  <w:rPr>
                    <w:rFonts w:ascii="Arial" w:hAnsi="Arial" w:cs="Arial"/>
                    <w:b/>
                    <w:color w:val="BD7D3D"/>
                    <w:sz w:val="18"/>
                    <w:szCs w:val="18"/>
                  </w:rPr>
                </w:pPr>
                <w:r>
                  <w:rPr>
                    <w:rFonts w:ascii="Arial" w:hAnsi="Arial" w:cs="Arial"/>
                    <w:b/>
                    <w:color w:val="BD7D3D"/>
                    <w:sz w:val="18"/>
                    <w:szCs w:val="18"/>
                  </w:rPr>
                  <w:t xml:space="preserve">     </w:t>
                </w:r>
                <w:r w:rsidRPr="00322B48">
                  <w:rPr>
                    <w:rFonts w:ascii="Arial" w:hAnsi="Arial" w:cs="Arial"/>
                    <w:b/>
                    <w:color w:val="BD7D3D"/>
                    <w:sz w:val="18"/>
                    <w:szCs w:val="18"/>
                  </w:rPr>
                  <w:t>Departamento de La Guajira</w:t>
                </w:r>
              </w:p>
              <w:p w14:paraId="15A56805" w14:textId="77777777" w:rsidR="00671DCC" w:rsidRPr="00DD5EF7" w:rsidRDefault="00671DCC" w:rsidP="00513835">
                <w:pPr>
                  <w:pStyle w:val="Encabezado"/>
                  <w:jc w:val="center"/>
                  <w:rPr>
                    <w:rFonts w:ascii="Arial" w:hAnsi="Arial" w:cs="Arial"/>
                    <w:color w:val="BD7D3D"/>
                    <w:sz w:val="12"/>
                    <w:szCs w:val="12"/>
                  </w:rPr>
                </w:pPr>
              </w:p>
            </w:tc>
          </w:tr>
        </w:tbl>
        <w:p w14:paraId="0B16697E" w14:textId="77777777" w:rsidR="00671DCC" w:rsidRPr="00DD5EF7" w:rsidRDefault="00671DCC" w:rsidP="004404C3">
          <w:pPr>
            <w:pStyle w:val="Encabezado"/>
            <w:rPr>
              <w:rFonts w:ascii="Arial" w:hAnsi="Arial" w:cs="Arial"/>
              <w:color w:val="BD7D3D"/>
              <w:sz w:val="12"/>
              <w:szCs w:val="12"/>
            </w:rPr>
          </w:pPr>
        </w:p>
      </w:tc>
    </w:tr>
  </w:tbl>
  <w:p w14:paraId="6BCA6704" w14:textId="414A9F28" w:rsidR="00671DCC" w:rsidRDefault="00671DCC" w:rsidP="004404C3">
    <w:pPr>
      <w:pStyle w:val="Encabezado"/>
    </w:pPr>
  </w:p>
  <w:p w14:paraId="66C893BA" w14:textId="77777777" w:rsidR="00671DCC" w:rsidRDefault="00671DCC" w:rsidP="004404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1028"/>
    <w:multiLevelType w:val="multilevel"/>
    <w:tmpl w:val="2C66C0B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9B7A51"/>
    <w:multiLevelType w:val="hybridMultilevel"/>
    <w:tmpl w:val="09A66B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8E5701"/>
    <w:multiLevelType w:val="hybridMultilevel"/>
    <w:tmpl w:val="302C8E3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00F420B"/>
    <w:multiLevelType w:val="hybridMultilevel"/>
    <w:tmpl w:val="C9B84D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447C5B"/>
    <w:multiLevelType w:val="hybridMultilevel"/>
    <w:tmpl w:val="18386DE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702642"/>
    <w:multiLevelType w:val="hybridMultilevel"/>
    <w:tmpl w:val="300CC134"/>
    <w:lvl w:ilvl="0" w:tplc="991655B4">
      <w:start w:val="4"/>
      <w:numFmt w:val="bullet"/>
      <w:lvlText w:val="-"/>
      <w:lvlJc w:val="left"/>
      <w:pPr>
        <w:ind w:left="360" w:hanging="360"/>
      </w:pPr>
      <w:rPr>
        <w:rFonts w:ascii="Verdana" w:eastAsiaTheme="minorHAnsi" w:hAnsi="Verdana"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A105C8"/>
    <w:multiLevelType w:val="hybridMultilevel"/>
    <w:tmpl w:val="49F80E8E"/>
    <w:lvl w:ilvl="0" w:tplc="DAF2F616">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3A93894"/>
    <w:multiLevelType w:val="hybridMultilevel"/>
    <w:tmpl w:val="038A26DE"/>
    <w:lvl w:ilvl="0" w:tplc="74E882EE">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2A0A12"/>
    <w:multiLevelType w:val="hybridMultilevel"/>
    <w:tmpl w:val="3EDAABD6"/>
    <w:lvl w:ilvl="0" w:tplc="240A0017">
      <w:start w:val="1"/>
      <w:numFmt w:val="lowerLetter"/>
      <w:lvlText w:val="%1)"/>
      <w:lvlJc w:val="left"/>
      <w:pPr>
        <w:ind w:left="360" w:hanging="360"/>
      </w:pPr>
    </w:lvl>
    <w:lvl w:ilvl="1" w:tplc="BC208A22">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4A170B7"/>
    <w:multiLevelType w:val="hybridMultilevel"/>
    <w:tmpl w:val="CB889B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59A3206"/>
    <w:multiLevelType w:val="hybridMultilevel"/>
    <w:tmpl w:val="AA5873A0"/>
    <w:lvl w:ilvl="0" w:tplc="CFB4EC58">
      <w:start w:val="1"/>
      <w:numFmt w:val="lowerLetter"/>
      <w:lvlText w:val="%1."/>
      <w:lvlJc w:val="left"/>
      <w:pPr>
        <w:ind w:left="435" w:hanging="43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6622592"/>
    <w:multiLevelType w:val="hybridMultilevel"/>
    <w:tmpl w:val="756C21D4"/>
    <w:lvl w:ilvl="0" w:tplc="F9DAEC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816ED5"/>
    <w:multiLevelType w:val="hybridMultilevel"/>
    <w:tmpl w:val="61846A8E"/>
    <w:lvl w:ilvl="0" w:tplc="0366A9A4">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DE3B4C"/>
    <w:multiLevelType w:val="hybridMultilevel"/>
    <w:tmpl w:val="1780C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B628DF"/>
    <w:multiLevelType w:val="hybridMultilevel"/>
    <w:tmpl w:val="55F4DD50"/>
    <w:lvl w:ilvl="0" w:tplc="DAF2F6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F4725F"/>
    <w:multiLevelType w:val="hybridMultilevel"/>
    <w:tmpl w:val="E9AAD3B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299B573F"/>
    <w:multiLevelType w:val="hybridMultilevel"/>
    <w:tmpl w:val="DEC49F32"/>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791D3C"/>
    <w:multiLevelType w:val="hybridMultilevel"/>
    <w:tmpl w:val="8AB0EA9C"/>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573114"/>
    <w:multiLevelType w:val="hybridMultilevel"/>
    <w:tmpl w:val="26E45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F01F75"/>
    <w:multiLevelType w:val="hybridMultilevel"/>
    <w:tmpl w:val="01FA3BE4"/>
    <w:lvl w:ilvl="0" w:tplc="E326B0E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1054F5"/>
    <w:multiLevelType w:val="hybridMultilevel"/>
    <w:tmpl w:val="0ED41D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89967E3"/>
    <w:multiLevelType w:val="hybridMultilevel"/>
    <w:tmpl w:val="BE6EF678"/>
    <w:lvl w:ilvl="0" w:tplc="240A0001">
      <w:start w:val="1"/>
      <w:numFmt w:val="bullet"/>
      <w:lvlText w:val=""/>
      <w:lvlJc w:val="left"/>
      <w:pPr>
        <w:ind w:left="360" w:hanging="360"/>
      </w:pPr>
      <w:rPr>
        <w:rFonts w:ascii="Symbol" w:hAnsi="Symbol" w:hint="default"/>
      </w:rPr>
    </w:lvl>
    <w:lvl w:ilvl="1" w:tplc="2156546C">
      <w:numFmt w:val="bullet"/>
      <w:lvlText w:val="•"/>
      <w:lvlJc w:val="left"/>
      <w:pPr>
        <w:ind w:left="1425" w:hanging="705"/>
      </w:pPr>
      <w:rPr>
        <w:rFonts w:ascii="Verdana" w:eastAsia="Times New Roman" w:hAnsi="Verdana"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9BB4872"/>
    <w:multiLevelType w:val="hybridMultilevel"/>
    <w:tmpl w:val="C80C16B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1C366D"/>
    <w:multiLevelType w:val="hybridMultilevel"/>
    <w:tmpl w:val="0680A0B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B682085"/>
    <w:multiLevelType w:val="hybridMultilevel"/>
    <w:tmpl w:val="F4E82BCC"/>
    <w:lvl w:ilvl="0" w:tplc="07B4CEE8">
      <w:start w:val="1"/>
      <w:numFmt w:val="upperRoman"/>
      <w:lvlText w:val="%1."/>
      <w:lvlJc w:val="right"/>
      <w:pPr>
        <w:ind w:left="360" w:hanging="360"/>
      </w:pPr>
      <w:rPr>
        <w:rFonts w:ascii="Verdana" w:hAnsi="Verdana" w:hint="default"/>
        <w:b/>
        <w:i w:val="0"/>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BC3444A"/>
    <w:multiLevelType w:val="hybridMultilevel"/>
    <w:tmpl w:val="6CFEA710"/>
    <w:lvl w:ilvl="0" w:tplc="A808D824">
      <w:start w:val="1"/>
      <w:numFmt w:val="lowerLetter"/>
      <w:lvlText w:val="%1."/>
      <w:lvlJc w:val="left"/>
      <w:pPr>
        <w:ind w:left="465" w:hanging="46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D3B1CE4"/>
    <w:multiLevelType w:val="hybridMultilevel"/>
    <w:tmpl w:val="ACD6052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DE349D7"/>
    <w:multiLevelType w:val="hybridMultilevel"/>
    <w:tmpl w:val="0DACE586"/>
    <w:lvl w:ilvl="0" w:tplc="73BC71EC">
      <w:start w:val="1"/>
      <w:numFmt w:val="lowerLetter"/>
      <w:lvlText w:val="%1."/>
      <w:lvlJc w:val="left"/>
      <w:pPr>
        <w:ind w:left="405" w:hanging="4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0A505F1"/>
    <w:multiLevelType w:val="hybridMultilevel"/>
    <w:tmpl w:val="48C067F4"/>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F07BB0"/>
    <w:multiLevelType w:val="hybridMultilevel"/>
    <w:tmpl w:val="B2A27B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4394805"/>
    <w:multiLevelType w:val="hybridMultilevel"/>
    <w:tmpl w:val="35A42E96"/>
    <w:lvl w:ilvl="0" w:tplc="3B9C1E0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5D029F"/>
    <w:multiLevelType w:val="hybridMultilevel"/>
    <w:tmpl w:val="4B3ED7B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E105D70"/>
    <w:multiLevelType w:val="hybridMultilevel"/>
    <w:tmpl w:val="1FB0E45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E6923BA"/>
    <w:multiLevelType w:val="hybridMultilevel"/>
    <w:tmpl w:val="84A6782E"/>
    <w:lvl w:ilvl="0" w:tplc="5D68BAF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EFA7A9A"/>
    <w:multiLevelType w:val="hybridMultilevel"/>
    <w:tmpl w:val="80E8E9FC"/>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0266EED"/>
    <w:multiLevelType w:val="hybridMultilevel"/>
    <w:tmpl w:val="5C2A383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06955C9"/>
    <w:multiLevelType w:val="hybridMultilevel"/>
    <w:tmpl w:val="0114CE0A"/>
    <w:lvl w:ilvl="0" w:tplc="32A092B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4304F02"/>
    <w:multiLevelType w:val="hybridMultilevel"/>
    <w:tmpl w:val="73D8B8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56D4B53"/>
    <w:multiLevelType w:val="hybridMultilevel"/>
    <w:tmpl w:val="9EC8E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70F7CA1"/>
    <w:multiLevelType w:val="hybridMultilevel"/>
    <w:tmpl w:val="DD26A4B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0F00425"/>
    <w:multiLevelType w:val="hybridMultilevel"/>
    <w:tmpl w:val="8710F55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1B2169B"/>
    <w:multiLevelType w:val="hybridMultilevel"/>
    <w:tmpl w:val="E724CF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3A26182"/>
    <w:multiLevelType w:val="hybridMultilevel"/>
    <w:tmpl w:val="17A474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49E1682"/>
    <w:multiLevelType w:val="hybridMultilevel"/>
    <w:tmpl w:val="718EF254"/>
    <w:lvl w:ilvl="0" w:tplc="0366A9A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6770B30"/>
    <w:multiLevelType w:val="hybridMultilevel"/>
    <w:tmpl w:val="6B3E96F0"/>
    <w:lvl w:ilvl="0" w:tplc="DE2A7E4E">
      <w:start w:val="5"/>
      <w:numFmt w:val="bullet"/>
      <w:lvlText w:val=""/>
      <w:lvlJc w:val="left"/>
      <w:pPr>
        <w:ind w:left="720" w:hanging="360"/>
      </w:pPr>
      <w:rPr>
        <w:rFonts w:ascii="Symbol" w:eastAsiaTheme="minorHAnsi" w:hAnsi="Symbol" w:cstheme="minorBidi"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B0412A9"/>
    <w:multiLevelType w:val="hybridMultilevel"/>
    <w:tmpl w:val="F2D6C444"/>
    <w:lvl w:ilvl="0" w:tplc="BCFEF0FE">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8"/>
  </w:num>
  <w:num w:numId="4">
    <w:abstractNumId w:val="37"/>
  </w:num>
  <w:num w:numId="5">
    <w:abstractNumId w:val="40"/>
  </w:num>
  <w:num w:numId="6">
    <w:abstractNumId w:val="44"/>
  </w:num>
  <w:num w:numId="7">
    <w:abstractNumId w:val="24"/>
  </w:num>
  <w:num w:numId="8">
    <w:abstractNumId w:val="13"/>
  </w:num>
  <w:num w:numId="9">
    <w:abstractNumId w:val="39"/>
  </w:num>
  <w:num w:numId="10">
    <w:abstractNumId w:val="19"/>
  </w:num>
  <w:num w:numId="11">
    <w:abstractNumId w:val="8"/>
  </w:num>
  <w:num w:numId="12">
    <w:abstractNumId w:val="30"/>
  </w:num>
  <w:num w:numId="13">
    <w:abstractNumId w:val="2"/>
  </w:num>
  <w:num w:numId="14">
    <w:abstractNumId w:val="29"/>
  </w:num>
  <w:num w:numId="15">
    <w:abstractNumId w:val="12"/>
  </w:num>
  <w:num w:numId="16">
    <w:abstractNumId w:val="17"/>
  </w:num>
  <w:num w:numId="17">
    <w:abstractNumId w:val="28"/>
  </w:num>
  <w:num w:numId="18">
    <w:abstractNumId w:val="38"/>
  </w:num>
  <w:num w:numId="19">
    <w:abstractNumId w:val="43"/>
  </w:num>
  <w:num w:numId="20">
    <w:abstractNumId w:val="3"/>
  </w:num>
  <w:num w:numId="21">
    <w:abstractNumId w:val="4"/>
  </w:num>
  <w:num w:numId="22">
    <w:abstractNumId w:val="14"/>
  </w:num>
  <w:num w:numId="23">
    <w:abstractNumId w:val="41"/>
  </w:num>
  <w:num w:numId="24">
    <w:abstractNumId w:val="21"/>
  </w:num>
  <w:num w:numId="25">
    <w:abstractNumId w:val="9"/>
  </w:num>
  <w:num w:numId="26">
    <w:abstractNumId w:val="5"/>
  </w:num>
  <w:num w:numId="27">
    <w:abstractNumId w:val="23"/>
  </w:num>
  <w:num w:numId="28">
    <w:abstractNumId w:val="35"/>
  </w:num>
  <w:num w:numId="29">
    <w:abstractNumId w:val="26"/>
  </w:num>
  <w:num w:numId="30">
    <w:abstractNumId w:val="25"/>
  </w:num>
  <w:num w:numId="31">
    <w:abstractNumId w:val="22"/>
  </w:num>
  <w:num w:numId="32">
    <w:abstractNumId w:val="1"/>
  </w:num>
  <w:num w:numId="33">
    <w:abstractNumId w:val="27"/>
  </w:num>
  <w:num w:numId="34">
    <w:abstractNumId w:val="31"/>
  </w:num>
  <w:num w:numId="35">
    <w:abstractNumId w:val="32"/>
  </w:num>
  <w:num w:numId="36">
    <w:abstractNumId w:val="20"/>
  </w:num>
  <w:num w:numId="37">
    <w:abstractNumId w:val="15"/>
  </w:num>
  <w:num w:numId="38">
    <w:abstractNumId w:val="33"/>
  </w:num>
  <w:num w:numId="39">
    <w:abstractNumId w:val="11"/>
  </w:num>
  <w:num w:numId="40">
    <w:abstractNumId w:val="16"/>
  </w:num>
  <w:num w:numId="41">
    <w:abstractNumId w:val="34"/>
  </w:num>
  <w:num w:numId="42">
    <w:abstractNumId w:val="42"/>
  </w:num>
  <w:num w:numId="43">
    <w:abstractNumId w:val="7"/>
  </w:num>
  <w:num w:numId="44">
    <w:abstractNumId w:val="0"/>
  </w:num>
  <w:num w:numId="45">
    <w:abstractNumId w:val="4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C6"/>
    <w:rsid w:val="00002C61"/>
    <w:rsid w:val="000030D9"/>
    <w:rsid w:val="00007D9B"/>
    <w:rsid w:val="00014873"/>
    <w:rsid w:val="00032625"/>
    <w:rsid w:val="000346EA"/>
    <w:rsid w:val="00043162"/>
    <w:rsid w:val="00044A62"/>
    <w:rsid w:val="0004659E"/>
    <w:rsid w:val="00046BC0"/>
    <w:rsid w:val="00065E74"/>
    <w:rsid w:val="000720B0"/>
    <w:rsid w:val="00074A13"/>
    <w:rsid w:val="00077617"/>
    <w:rsid w:val="000818D7"/>
    <w:rsid w:val="00090D1B"/>
    <w:rsid w:val="000A6691"/>
    <w:rsid w:val="000A6F67"/>
    <w:rsid w:val="000A7B4B"/>
    <w:rsid w:val="000C1128"/>
    <w:rsid w:val="000D26B2"/>
    <w:rsid w:val="000D2A26"/>
    <w:rsid w:val="000E0B6C"/>
    <w:rsid w:val="000E0B77"/>
    <w:rsid w:val="000E15D6"/>
    <w:rsid w:val="000F0AB4"/>
    <w:rsid w:val="001015CB"/>
    <w:rsid w:val="00106FBB"/>
    <w:rsid w:val="00120F54"/>
    <w:rsid w:val="00131007"/>
    <w:rsid w:val="00131EDE"/>
    <w:rsid w:val="00142751"/>
    <w:rsid w:val="00143C6F"/>
    <w:rsid w:val="00147889"/>
    <w:rsid w:val="00157CFD"/>
    <w:rsid w:val="001617AB"/>
    <w:rsid w:val="0016440F"/>
    <w:rsid w:val="00181733"/>
    <w:rsid w:val="00187726"/>
    <w:rsid w:val="00192FD6"/>
    <w:rsid w:val="001A0EE4"/>
    <w:rsid w:val="001B0280"/>
    <w:rsid w:val="001B50E9"/>
    <w:rsid w:val="001B5ECD"/>
    <w:rsid w:val="001B7595"/>
    <w:rsid w:val="001C08E2"/>
    <w:rsid w:val="001C515A"/>
    <w:rsid w:val="001C5DC6"/>
    <w:rsid w:val="001D64C1"/>
    <w:rsid w:val="001E1BE8"/>
    <w:rsid w:val="001E6C5B"/>
    <w:rsid w:val="00205AB1"/>
    <w:rsid w:val="0022557C"/>
    <w:rsid w:val="0023363C"/>
    <w:rsid w:val="00234E49"/>
    <w:rsid w:val="002360FA"/>
    <w:rsid w:val="00236707"/>
    <w:rsid w:val="00236868"/>
    <w:rsid w:val="0024294A"/>
    <w:rsid w:val="00243443"/>
    <w:rsid w:val="00245D0F"/>
    <w:rsid w:val="00250D44"/>
    <w:rsid w:val="00251FA4"/>
    <w:rsid w:val="00253095"/>
    <w:rsid w:val="00253442"/>
    <w:rsid w:val="00267A9D"/>
    <w:rsid w:val="00274F28"/>
    <w:rsid w:val="002754BC"/>
    <w:rsid w:val="0028271C"/>
    <w:rsid w:val="002A1346"/>
    <w:rsid w:val="002A2BD9"/>
    <w:rsid w:val="002B1CD6"/>
    <w:rsid w:val="002B5157"/>
    <w:rsid w:val="002B59F3"/>
    <w:rsid w:val="002D4133"/>
    <w:rsid w:val="002D47C4"/>
    <w:rsid w:val="002D6F29"/>
    <w:rsid w:val="002E34F1"/>
    <w:rsid w:val="002E5577"/>
    <w:rsid w:val="002F109C"/>
    <w:rsid w:val="002F2442"/>
    <w:rsid w:val="002F4D57"/>
    <w:rsid w:val="003006DD"/>
    <w:rsid w:val="0030246D"/>
    <w:rsid w:val="003039BE"/>
    <w:rsid w:val="00310A10"/>
    <w:rsid w:val="00310FA1"/>
    <w:rsid w:val="00314D46"/>
    <w:rsid w:val="00322B48"/>
    <w:rsid w:val="00325BB1"/>
    <w:rsid w:val="003312B7"/>
    <w:rsid w:val="00332B12"/>
    <w:rsid w:val="00333EA4"/>
    <w:rsid w:val="0035041D"/>
    <w:rsid w:val="00351BC3"/>
    <w:rsid w:val="0035312E"/>
    <w:rsid w:val="00354E3A"/>
    <w:rsid w:val="00360C11"/>
    <w:rsid w:val="00365B0C"/>
    <w:rsid w:val="003663C3"/>
    <w:rsid w:val="00372057"/>
    <w:rsid w:val="00376EDB"/>
    <w:rsid w:val="0038500E"/>
    <w:rsid w:val="00386FAF"/>
    <w:rsid w:val="003878E5"/>
    <w:rsid w:val="00392028"/>
    <w:rsid w:val="00396245"/>
    <w:rsid w:val="003A2E22"/>
    <w:rsid w:val="003A31A9"/>
    <w:rsid w:val="003A3305"/>
    <w:rsid w:val="003B0884"/>
    <w:rsid w:val="003B4242"/>
    <w:rsid w:val="003B561F"/>
    <w:rsid w:val="003C05F5"/>
    <w:rsid w:val="003C2765"/>
    <w:rsid w:val="003D0C83"/>
    <w:rsid w:val="003D78B5"/>
    <w:rsid w:val="003E14C5"/>
    <w:rsid w:val="003E217F"/>
    <w:rsid w:val="003E547B"/>
    <w:rsid w:val="003F099F"/>
    <w:rsid w:val="003F3C02"/>
    <w:rsid w:val="004057CB"/>
    <w:rsid w:val="004073CF"/>
    <w:rsid w:val="00411405"/>
    <w:rsid w:val="0041481F"/>
    <w:rsid w:val="00421C7D"/>
    <w:rsid w:val="0042265C"/>
    <w:rsid w:val="00427FB4"/>
    <w:rsid w:val="00431103"/>
    <w:rsid w:val="0043175C"/>
    <w:rsid w:val="00437101"/>
    <w:rsid w:val="0043763B"/>
    <w:rsid w:val="004404C3"/>
    <w:rsid w:val="00451A6B"/>
    <w:rsid w:val="004613AE"/>
    <w:rsid w:val="00466D34"/>
    <w:rsid w:val="0048594E"/>
    <w:rsid w:val="00487D13"/>
    <w:rsid w:val="00487D40"/>
    <w:rsid w:val="004A2291"/>
    <w:rsid w:val="004A77FE"/>
    <w:rsid w:val="004B0D5E"/>
    <w:rsid w:val="004B135D"/>
    <w:rsid w:val="004B1ED8"/>
    <w:rsid w:val="004C3E0A"/>
    <w:rsid w:val="004E0CC4"/>
    <w:rsid w:val="004E376E"/>
    <w:rsid w:val="004F1754"/>
    <w:rsid w:val="004F250A"/>
    <w:rsid w:val="004F52BF"/>
    <w:rsid w:val="00500021"/>
    <w:rsid w:val="00502162"/>
    <w:rsid w:val="00512A3E"/>
    <w:rsid w:val="005133DF"/>
    <w:rsid w:val="00513835"/>
    <w:rsid w:val="005158AD"/>
    <w:rsid w:val="005179E5"/>
    <w:rsid w:val="00523FD2"/>
    <w:rsid w:val="00525BC7"/>
    <w:rsid w:val="00531B9D"/>
    <w:rsid w:val="00551271"/>
    <w:rsid w:val="00551426"/>
    <w:rsid w:val="005564AA"/>
    <w:rsid w:val="00556528"/>
    <w:rsid w:val="005578A4"/>
    <w:rsid w:val="005606D9"/>
    <w:rsid w:val="00560EA8"/>
    <w:rsid w:val="00561D0F"/>
    <w:rsid w:val="00577574"/>
    <w:rsid w:val="00581EA0"/>
    <w:rsid w:val="005836AE"/>
    <w:rsid w:val="005921DD"/>
    <w:rsid w:val="005A51F9"/>
    <w:rsid w:val="005A5867"/>
    <w:rsid w:val="005B70E7"/>
    <w:rsid w:val="005C6E01"/>
    <w:rsid w:val="005E24E1"/>
    <w:rsid w:val="005F6363"/>
    <w:rsid w:val="005F6815"/>
    <w:rsid w:val="005F6A05"/>
    <w:rsid w:val="006024C9"/>
    <w:rsid w:val="006053C5"/>
    <w:rsid w:val="0061024D"/>
    <w:rsid w:val="00614CAA"/>
    <w:rsid w:val="00622791"/>
    <w:rsid w:val="00622F83"/>
    <w:rsid w:val="00623CAB"/>
    <w:rsid w:val="00624075"/>
    <w:rsid w:val="00624428"/>
    <w:rsid w:val="0062480A"/>
    <w:rsid w:val="0063571C"/>
    <w:rsid w:val="00641290"/>
    <w:rsid w:val="006415AE"/>
    <w:rsid w:val="0064491F"/>
    <w:rsid w:val="00645F08"/>
    <w:rsid w:val="00650A8A"/>
    <w:rsid w:val="00665559"/>
    <w:rsid w:val="0066632C"/>
    <w:rsid w:val="00671DCC"/>
    <w:rsid w:val="00695854"/>
    <w:rsid w:val="0069618C"/>
    <w:rsid w:val="006A4B5E"/>
    <w:rsid w:val="006A6478"/>
    <w:rsid w:val="006B165A"/>
    <w:rsid w:val="006B69CD"/>
    <w:rsid w:val="006D0B4A"/>
    <w:rsid w:val="006D136D"/>
    <w:rsid w:val="006D4BE2"/>
    <w:rsid w:val="006D67F7"/>
    <w:rsid w:val="006E06F4"/>
    <w:rsid w:val="006F11CF"/>
    <w:rsid w:val="00700F2F"/>
    <w:rsid w:val="0070386D"/>
    <w:rsid w:val="007128FB"/>
    <w:rsid w:val="0071404E"/>
    <w:rsid w:val="00716C59"/>
    <w:rsid w:val="0073415B"/>
    <w:rsid w:val="00736DB2"/>
    <w:rsid w:val="00737F41"/>
    <w:rsid w:val="00742336"/>
    <w:rsid w:val="0074563C"/>
    <w:rsid w:val="00750324"/>
    <w:rsid w:val="00762D57"/>
    <w:rsid w:val="00771ED5"/>
    <w:rsid w:val="00775A6D"/>
    <w:rsid w:val="007769B7"/>
    <w:rsid w:val="00777A79"/>
    <w:rsid w:val="007943E8"/>
    <w:rsid w:val="00795BC8"/>
    <w:rsid w:val="00795E60"/>
    <w:rsid w:val="007A355F"/>
    <w:rsid w:val="007C00E2"/>
    <w:rsid w:val="007C47DD"/>
    <w:rsid w:val="007C5FE8"/>
    <w:rsid w:val="007D2C3C"/>
    <w:rsid w:val="007D2DFF"/>
    <w:rsid w:val="007D4691"/>
    <w:rsid w:val="007D7116"/>
    <w:rsid w:val="007E0C91"/>
    <w:rsid w:val="007F0C55"/>
    <w:rsid w:val="008058A8"/>
    <w:rsid w:val="00817D76"/>
    <w:rsid w:val="00823BF4"/>
    <w:rsid w:val="00824F7A"/>
    <w:rsid w:val="0082596F"/>
    <w:rsid w:val="008433E0"/>
    <w:rsid w:val="00845253"/>
    <w:rsid w:val="00845A9A"/>
    <w:rsid w:val="008620F9"/>
    <w:rsid w:val="00876661"/>
    <w:rsid w:val="008778F9"/>
    <w:rsid w:val="008818F5"/>
    <w:rsid w:val="00884474"/>
    <w:rsid w:val="00885ADB"/>
    <w:rsid w:val="00887CBE"/>
    <w:rsid w:val="00894DC1"/>
    <w:rsid w:val="008B3988"/>
    <w:rsid w:val="008B5389"/>
    <w:rsid w:val="008B57CB"/>
    <w:rsid w:val="008D0994"/>
    <w:rsid w:val="008D1ED5"/>
    <w:rsid w:val="008D204E"/>
    <w:rsid w:val="008F1E9A"/>
    <w:rsid w:val="00902688"/>
    <w:rsid w:val="00904A55"/>
    <w:rsid w:val="009173BB"/>
    <w:rsid w:val="00917A1D"/>
    <w:rsid w:val="009271DC"/>
    <w:rsid w:val="009350E0"/>
    <w:rsid w:val="0094386E"/>
    <w:rsid w:val="00943CCA"/>
    <w:rsid w:val="0095501C"/>
    <w:rsid w:val="00963DCE"/>
    <w:rsid w:val="00971827"/>
    <w:rsid w:val="00973AD3"/>
    <w:rsid w:val="00975B68"/>
    <w:rsid w:val="009846E1"/>
    <w:rsid w:val="00992239"/>
    <w:rsid w:val="009B1BC4"/>
    <w:rsid w:val="009B37E4"/>
    <w:rsid w:val="009C1B96"/>
    <w:rsid w:val="009C6D64"/>
    <w:rsid w:val="009D282B"/>
    <w:rsid w:val="009E1D23"/>
    <w:rsid w:val="009E22A2"/>
    <w:rsid w:val="009F014A"/>
    <w:rsid w:val="00A1709C"/>
    <w:rsid w:val="00A21470"/>
    <w:rsid w:val="00A21649"/>
    <w:rsid w:val="00A23BB5"/>
    <w:rsid w:val="00A23F10"/>
    <w:rsid w:val="00A30966"/>
    <w:rsid w:val="00A312F7"/>
    <w:rsid w:val="00A42A87"/>
    <w:rsid w:val="00A73874"/>
    <w:rsid w:val="00A73B3B"/>
    <w:rsid w:val="00A82AEA"/>
    <w:rsid w:val="00A87A72"/>
    <w:rsid w:val="00A910C6"/>
    <w:rsid w:val="00A96FB5"/>
    <w:rsid w:val="00A975B5"/>
    <w:rsid w:val="00AA0D89"/>
    <w:rsid w:val="00AA67EA"/>
    <w:rsid w:val="00AB37CA"/>
    <w:rsid w:val="00AB4198"/>
    <w:rsid w:val="00AC0F32"/>
    <w:rsid w:val="00AC475C"/>
    <w:rsid w:val="00AC5F7B"/>
    <w:rsid w:val="00AD0D68"/>
    <w:rsid w:val="00AD4D58"/>
    <w:rsid w:val="00AE0ABE"/>
    <w:rsid w:val="00AE24FE"/>
    <w:rsid w:val="00AE3920"/>
    <w:rsid w:val="00AE3F22"/>
    <w:rsid w:val="00AE6F00"/>
    <w:rsid w:val="00B00D46"/>
    <w:rsid w:val="00B158CC"/>
    <w:rsid w:val="00B32FFC"/>
    <w:rsid w:val="00B357C4"/>
    <w:rsid w:val="00B37700"/>
    <w:rsid w:val="00B40E72"/>
    <w:rsid w:val="00B460D0"/>
    <w:rsid w:val="00B57202"/>
    <w:rsid w:val="00B6218B"/>
    <w:rsid w:val="00B658D4"/>
    <w:rsid w:val="00B707D8"/>
    <w:rsid w:val="00B77C0E"/>
    <w:rsid w:val="00B82059"/>
    <w:rsid w:val="00B846C6"/>
    <w:rsid w:val="00B85E30"/>
    <w:rsid w:val="00B9370A"/>
    <w:rsid w:val="00BB131C"/>
    <w:rsid w:val="00BB278F"/>
    <w:rsid w:val="00BB56BB"/>
    <w:rsid w:val="00BB6571"/>
    <w:rsid w:val="00BC4C7A"/>
    <w:rsid w:val="00BD0E7F"/>
    <w:rsid w:val="00BD25F7"/>
    <w:rsid w:val="00BE04E6"/>
    <w:rsid w:val="00BE1C1B"/>
    <w:rsid w:val="00BE4B24"/>
    <w:rsid w:val="00BE52BD"/>
    <w:rsid w:val="00BF413F"/>
    <w:rsid w:val="00BF79BE"/>
    <w:rsid w:val="00C037FA"/>
    <w:rsid w:val="00C07CDD"/>
    <w:rsid w:val="00C10BE3"/>
    <w:rsid w:val="00C22B25"/>
    <w:rsid w:val="00C2327C"/>
    <w:rsid w:val="00C247CF"/>
    <w:rsid w:val="00C453F9"/>
    <w:rsid w:val="00C50D96"/>
    <w:rsid w:val="00C52EC3"/>
    <w:rsid w:val="00C6117A"/>
    <w:rsid w:val="00C6334D"/>
    <w:rsid w:val="00C63591"/>
    <w:rsid w:val="00C73064"/>
    <w:rsid w:val="00C73F2A"/>
    <w:rsid w:val="00C764D1"/>
    <w:rsid w:val="00C76DED"/>
    <w:rsid w:val="00CB0079"/>
    <w:rsid w:val="00CB4CC6"/>
    <w:rsid w:val="00CD06C4"/>
    <w:rsid w:val="00CD57BE"/>
    <w:rsid w:val="00CE1B2F"/>
    <w:rsid w:val="00CF7338"/>
    <w:rsid w:val="00CF78C2"/>
    <w:rsid w:val="00D00336"/>
    <w:rsid w:val="00D01B25"/>
    <w:rsid w:val="00D04964"/>
    <w:rsid w:val="00D07C6E"/>
    <w:rsid w:val="00D2105A"/>
    <w:rsid w:val="00D2559D"/>
    <w:rsid w:val="00D31B2C"/>
    <w:rsid w:val="00D3734B"/>
    <w:rsid w:val="00D40C95"/>
    <w:rsid w:val="00D45296"/>
    <w:rsid w:val="00D50CDE"/>
    <w:rsid w:val="00D51702"/>
    <w:rsid w:val="00D644BB"/>
    <w:rsid w:val="00D718BC"/>
    <w:rsid w:val="00D8152E"/>
    <w:rsid w:val="00D84C18"/>
    <w:rsid w:val="00DA3A87"/>
    <w:rsid w:val="00DC1B80"/>
    <w:rsid w:val="00DC2E0B"/>
    <w:rsid w:val="00DD7C74"/>
    <w:rsid w:val="00DE0FC3"/>
    <w:rsid w:val="00DE320E"/>
    <w:rsid w:val="00DE45C8"/>
    <w:rsid w:val="00DE7E78"/>
    <w:rsid w:val="00E028E6"/>
    <w:rsid w:val="00E04736"/>
    <w:rsid w:val="00E21765"/>
    <w:rsid w:val="00E24F89"/>
    <w:rsid w:val="00E332B0"/>
    <w:rsid w:val="00E406A3"/>
    <w:rsid w:val="00E408FC"/>
    <w:rsid w:val="00E47262"/>
    <w:rsid w:val="00E47752"/>
    <w:rsid w:val="00E478C9"/>
    <w:rsid w:val="00E528F9"/>
    <w:rsid w:val="00E6564D"/>
    <w:rsid w:val="00E65C91"/>
    <w:rsid w:val="00E70C3E"/>
    <w:rsid w:val="00E95E63"/>
    <w:rsid w:val="00EA2EAC"/>
    <w:rsid w:val="00EA6923"/>
    <w:rsid w:val="00EA6F11"/>
    <w:rsid w:val="00EA7832"/>
    <w:rsid w:val="00EA7BBB"/>
    <w:rsid w:val="00EB19CA"/>
    <w:rsid w:val="00EB65A9"/>
    <w:rsid w:val="00EC069E"/>
    <w:rsid w:val="00ED0659"/>
    <w:rsid w:val="00EE4860"/>
    <w:rsid w:val="00EF043F"/>
    <w:rsid w:val="00EF1283"/>
    <w:rsid w:val="00EF2243"/>
    <w:rsid w:val="00EF2DB7"/>
    <w:rsid w:val="00F004F8"/>
    <w:rsid w:val="00F021D2"/>
    <w:rsid w:val="00F02C19"/>
    <w:rsid w:val="00F0446F"/>
    <w:rsid w:val="00F07165"/>
    <w:rsid w:val="00F30EB2"/>
    <w:rsid w:val="00F55BEE"/>
    <w:rsid w:val="00F6291C"/>
    <w:rsid w:val="00F86621"/>
    <w:rsid w:val="00F94BFE"/>
    <w:rsid w:val="00FA0936"/>
    <w:rsid w:val="00FA0B06"/>
    <w:rsid w:val="00FC015F"/>
    <w:rsid w:val="00FC21D1"/>
    <w:rsid w:val="00FC6EAD"/>
    <w:rsid w:val="00FD02CB"/>
    <w:rsid w:val="00FD4F04"/>
    <w:rsid w:val="00FF011E"/>
    <w:rsid w:val="00FF14BF"/>
    <w:rsid w:val="00FF390D"/>
    <w:rsid w:val="00FF6C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A1B5"/>
  <w15:docId w15:val="{DA845313-DF30-4A6B-BE78-CB0F1A9A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5BC8"/>
    <w:pPr>
      <w:ind w:left="720"/>
      <w:contextualSpacing/>
    </w:pPr>
  </w:style>
  <w:style w:type="character" w:styleId="Refdecomentario">
    <w:name w:val="annotation reference"/>
    <w:basedOn w:val="Fuentedeprrafopredeter"/>
    <w:uiPriority w:val="99"/>
    <w:semiHidden/>
    <w:unhideWhenUsed/>
    <w:rsid w:val="0004659E"/>
    <w:rPr>
      <w:sz w:val="16"/>
      <w:szCs w:val="16"/>
    </w:rPr>
  </w:style>
  <w:style w:type="paragraph" w:styleId="Textocomentario">
    <w:name w:val="annotation text"/>
    <w:basedOn w:val="Normal"/>
    <w:link w:val="TextocomentarioCar"/>
    <w:uiPriority w:val="99"/>
    <w:unhideWhenUsed/>
    <w:rsid w:val="0004659E"/>
    <w:pPr>
      <w:spacing w:line="240" w:lineRule="auto"/>
    </w:pPr>
    <w:rPr>
      <w:sz w:val="20"/>
      <w:szCs w:val="20"/>
    </w:rPr>
  </w:style>
  <w:style w:type="character" w:customStyle="1" w:styleId="TextocomentarioCar">
    <w:name w:val="Texto comentario Car"/>
    <w:basedOn w:val="Fuentedeprrafopredeter"/>
    <w:link w:val="Textocomentario"/>
    <w:uiPriority w:val="99"/>
    <w:rsid w:val="0004659E"/>
    <w:rPr>
      <w:sz w:val="20"/>
      <w:szCs w:val="20"/>
    </w:rPr>
  </w:style>
  <w:style w:type="paragraph" w:styleId="Asuntodelcomentario">
    <w:name w:val="annotation subject"/>
    <w:basedOn w:val="Textocomentario"/>
    <w:next w:val="Textocomentario"/>
    <w:link w:val="AsuntodelcomentarioCar"/>
    <w:uiPriority w:val="99"/>
    <w:semiHidden/>
    <w:unhideWhenUsed/>
    <w:rsid w:val="0004659E"/>
    <w:rPr>
      <w:b/>
      <w:bCs/>
    </w:rPr>
  </w:style>
  <w:style w:type="character" w:customStyle="1" w:styleId="AsuntodelcomentarioCar">
    <w:name w:val="Asunto del comentario Car"/>
    <w:basedOn w:val="TextocomentarioCar"/>
    <w:link w:val="Asuntodelcomentario"/>
    <w:uiPriority w:val="99"/>
    <w:semiHidden/>
    <w:rsid w:val="0004659E"/>
    <w:rPr>
      <w:b/>
      <w:bCs/>
      <w:sz w:val="20"/>
      <w:szCs w:val="20"/>
    </w:rPr>
  </w:style>
  <w:style w:type="paragraph" w:styleId="Textodeglobo">
    <w:name w:val="Balloon Text"/>
    <w:basedOn w:val="Normal"/>
    <w:link w:val="TextodegloboCar"/>
    <w:uiPriority w:val="99"/>
    <w:semiHidden/>
    <w:unhideWhenUsed/>
    <w:rsid w:val="000465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59E"/>
    <w:rPr>
      <w:rFonts w:ascii="Segoe UI" w:hAnsi="Segoe UI" w:cs="Segoe UI"/>
      <w:sz w:val="18"/>
      <w:szCs w:val="18"/>
    </w:rPr>
  </w:style>
  <w:style w:type="paragraph" w:styleId="Encabezado">
    <w:name w:val="header"/>
    <w:basedOn w:val="Normal"/>
    <w:link w:val="EncabezadoCar"/>
    <w:uiPriority w:val="99"/>
    <w:unhideWhenUsed/>
    <w:rsid w:val="00440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4C3"/>
  </w:style>
  <w:style w:type="paragraph" w:styleId="Piedepgina">
    <w:name w:val="footer"/>
    <w:basedOn w:val="Normal"/>
    <w:link w:val="PiedepginaCar"/>
    <w:uiPriority w:val="99"/>
    <w:unhideWhenUsed/>
    <w:rsid w:val="00440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4C3"/>
  </w:style>
  <w:style w:type="paragraph" w:styleId="Textonotapie">
    <w:name w:val="footnote text"/>
    <w:basedOn w:val="Normal"/>
    <w:link w:val="TextonotapieCar"/>
    <w:uiPriority w:val="99"/>
    <w:semiHidden/>
    <w:unhideWhenUsed/>
    <w:rsid w:val="00AA0D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0D89"/>
    <w:rPr>
      <w:sz w:val="20"/>
      <w:szCs w:val="20"/>
    </w:rPr>
  </w:style>
  <w:style w:type="character" w:styleId="Refdenotaalpie">
    <w:name w:val="footnote reference"/>
    <w:basedOn w:val="Fuentedeprrafopredeter"/>
    <w:uiPriority w:val="99"/>
    <w:semiHidden/>
    <w:unhideWhenUsed/>
    <w:rsid w:val="00AA0D89"/>
    <w:rPr>
      <w:vertAlign w:val="superscript"/>
    </w:rPr>
  </w:style>
  <w:style w:type="character" w:styleId="Hipervnculo">
    <w:name w:val="Hyperlink"/>
    <w:basedOn w:val="Fuentedeprrafopredeter"/>
    <w:uiPriority w:val="99"/>
    <w:unhideWhenUsed/>
    <w:rsid w:val="0016440F"/>
    <w:rPr>
      <w:color w:val="0000FF"/>
      <w:u w:val="single"/>
    </w:rPr>
  </w:style>
  <w:style w:type="character" w:styleId="Hipervnculovisitado">
    <w:name w:val="FollowedHyperlink"/>
    <w:basedOn w:val="Fuentedeprrafopredeter"/>
    <w:uiPriority w:val="99"/>
    <w:semiHidden/>
    <w:unhideWhenUsed/>
    <w:rsid w:val="0016440F"/>
    <w:rPr>
      <w:color w:val="954F72" w:themeColor="followedHyperlink"/>
      <w:u w:val="single"/>
    </w:rPr>
  </w:style>
  <w:style w:type="table" w:styleId="Tablaconcuadrcula">
    <w:name w:val="Table Grid"/>
    <w:basedOn w:val="Tablanormal"/>
    <w:uiPriority w:val="39"/>
    <w:rsid w:val="00DC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E74"/>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5E24E1"/>
    <w:rPr>
      <w:rFonts w:ascii="Times New Roman" w:hAnsi="Times New Roman" w:cs="Times New Roman"/>
      <w:sz w:val="24"/>
      <w:szCs w:val="24"/>
    </w:rPr>
  </w:style>
  <w:style w:type="paragraph" w:styleId="Textoindependiente">
    <w:name w:val="Body Text"/>
    <w:basedOn w:val="Normal"/>
    <w:link w:val="TextoindependienteCar"/>
    <w:uiPriority w:val="1"/>
    <w:qFormat/>
    <w:rsid w:val="00EA7BBB"/>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EA7BBB"/>
    <w:rPr>
      <w:rFonts w:ascii="Arial" w:eastAsia="Arial" w:hAnsi="Arial" w:cs="Arial"/>
      <w:lang w:val="en-US"/>
    </w:r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1736">
      <w:bodyDiv w:val="1"/>
      <w:marLeft w:val="0"/>
      <w:marRight w:val="0"/>
      <w:marTop w:val="0"/>
      <w:marBottom w:val="0"/>
      <w:divBdr>
        <w:top w:val="none" w:sz="0" w:space="0" w:color="auto"/>
        <w:left w:val="none" w:sz="0" w:space="0" w:color="auto"/>
        <w:bottom w:val="none" w:sz="0" w:space="0" w:color="auto"/>
        <w:right w:val="none" w:sz="0" w:space="0" w:color="auto"/>
      </w:divBdr>
    </w:div>
    <w:div w:id="121536206">
      <w:bodyDiv w:val="1"/>
      <w:marLeft w:val="0"/>
      <w:marRight w:val="0"/>
      <w:marTop w:val="0"/>
      <w:marBottom w:val="0"/>
      <w:divBdr>
        <w:top w:val="none" w:sz="0" w:space="0" w:color="auto"/>
        <w:left w:val="none" w:sz="0" w:space="0" w:color="auto"/>
        <w:bottom w:val="none" w:sz="0" w:space="0" w:color="auto"/>
        <w:right w:val="none" w:sz="0" w:space="0" w:color="auto"/>
      </w:divBdr>
    </w:div>
    <w:div w:id="205677225">
      <w:bodyDiv w:val="1"/>
      <w:marLeft w:val="0"/>
      <w:marRight w:val="0"/>
      <w:marTop w:val="0"/>
      <w:marBottom w:val="0"/>
      <w:divBdr>
        <w:top w:val="none" w:sz="0" w:space="0" w:color="auto"/>
        <w:left w:val="none" w:sz="0" w:space="0" w:color="auto"/>
        <w:bottom w:val="none" w:sz="0" w:space="0" w:color="auto"/>
        <w:right w:val="none" w:sz="0" w:space="0" w:color="auto"/>
      </w:divBdr>
      <w:divsChild>
        <w:div w:id="393508439">
          <w:marLeft w:val="0"/>
          <w:marRight w:val="0"/>
          <w:marTop w:val="0"/>
          <w:marBottom w:val="0"/>
          <w:divBdr>
            <w:top w:val="none" w:sz="0" w:space="0" w:color="auto"/>
            <w:left w:val="none" w:sz="0" w:space="0" w:color="auto"/>
            <w:bottom w:val="none" w:sz="0" w:space="0" w:color="auto"/>
            <w:right w:val="none" w:sz="0" w:space="0" w:color="auto"/>
          </w:divBdr>
          <w:divsChild>
            <w:div w:id="416750771">
              <w:marLeft w:val="0"/>
              <w:marRight w:val="0"/>
              <w:marTop w:val="0"/>
              <w:marBottom w:val="0"/>
              <w:divBdr>
                <w:top w:val="none" w:sz="0" w:space="0" w:color="auto"/>
                <w:left w:val="none" w:sz="0" w:space="0" w:color="auto"/>
                <w:bottom w:val="none" w:sz="0" w:space="0" w:color="auto"/>
                <w:right w:val="none" w:sz="0" w:space="0" w:color="auto"/>
              </w:divBdr>
              <w:divsChild>
                <w:div w:id="5500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91547">
      <w:bodyDiv w:val="1"/>
      <w:marLeft w:val="0"/>
      <w:marRight w:val="0"/>
      <w:marTop w:val="0"/>
      <w:marBottom w:val="0"/>
      <w:divBdr>
        <w:top w:val="none" w:sz="0" w:space="0" w:color="auto"/>
        <w:left w:val="none" w:sz="0" w:space="0" w:color="auto"/>
        <w:bottom w:val="none" w:sz="0" w:space="0" w:color="auto"/>
        <w:right w:val="none" w:sz="0" w:space="0" w:color="auto"/>
      </w:divBdr>
      <w:divsChild>
        <w:div w:id="28188838">
          <w:marLeft w:val="0"/>
          <w:marRight w:val="0"/>
          <w:marTop w:val="0"/>
          <w:marBottom w:val="0"/>
          <w:divBdr>
            <w:top w:val="none" w:sz="0" w:space="0" w:color="auto"/>
            <w:left w:val="none" w:sz="0" w:space="0" w:color="auto"/>
            <w:bottom w:val="none" w:sz="0" w:space="0" w:color="auto"/>
            <w:right w:val="none" w:sz="0" w:space="0" w:color="auto"/>
          </w:divBdr>
          <w:divsChild>
            <w:div w:id="466357075">
              <w:marLeft w:val="0"/>
              <w:marRight w:val="0"/>
              <w:marTop w:val="0"/>
              <w:marBottom w:val="0"/>
              <w:divBdr>
                <w:top w:val="none" w:sz="0" w:space="0" w:color="auto"/>
                <w:left w:val="none" w:sz="0" w:space="0" w:color="auto"/>
                <w:bottom w:val="none" w:sz="0" w:space="0" w:color="auto"/>
                <w:right w:val="none" w:sz="0" w:space="0" w:color="auto"/>
              </w:divBdr>
              <w:divsChild>
                <w:div w:id="12473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5099">
      <w:bodyDiv w:val="1"/>
      <w:marLeft w:val="0"/>
      <w:marRight w:val="0"/>
      <w:marTop w:val="0"/>
      <w:marBottom w:val="0"/>
      <w:divBdr>
        <w:top w:val="none" w:sz="0" w:space="0" w:color="auto"/>
        <w:left w:val="none" w:sz="0" w:space="0" w:color="auto"/>
        <w:bottom w:val="none" w:sz="0" w:space="0" w:color="auto"/>
        <w:right w:val="none" w:sz="0" w:space="0" w:color="auto"/>
      </w:divBdr>
      <w:divsChild>
        <w:div w:id="1315136119">
          <w:marLeft w:val="0"/>
          <w:marRight w:val="0"/>
          <w:marTop w:val="0"/>
          <w:marBottom w:val="0"/>
          <w:divBdr>
            <w:top w:val="none" w:sz="0" w:space="0" w:color="auto"/>
            <w:left w:val="none" w:sz="0" w:space="0" w:color="auto"/>
            <w:bottom w:val="none" w:sz="0" w:space="0" w:color="auto"/>
            <w:right w:val="none" w:sz="0" w:space="0" w:color="auto"/>
          </w:divBdr>
          <w:divsChild>
            <w:div w:id="1640723569">
              <w:marLeft w:val="0"/>
              <w:marRight w:val="0"/>
              <w:marTop w:val="0"/>
              <w:marBottom w:val="0"/>
              <w:divBdr>
                <w:top w:val="none" w:sz="0" w:space="0" w:color="auto"/>
                <w:left w:val="none" w:sz="0" w:space="0" w:color="auto"/>
                <w:bottom w:val="none" w:sz="0" w:space="0" w:color="auto"/>
                <w:right w:val="none" w:sz="0" w:space="0" w:color="auto"/>
              </w:divBdr>
              <w:divsChild>
                <w:div w:id="12054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8499">
      <w:bodyDiv w:val="1"/>
      <w:marLeft w:val="0"/>
      <w:marRight w:val="0"/>
      <w:marTop w:val="0"/>
      <w:marBottom w:val="0"/>
      <w:divBdr>
        <w:top w:val="none" w:sz="0" w:space="0" w:color="auto"/>
        <w:left w:val="none" w:sz="0" w:space="0" w:color="auto"/>
        <w:bottom w:val="none" w:sz="0" w:space="0" w:color="auto"/>
        <w:right w:val="none" w:sz="0" w:space="0" w:color="auto"/>
      </w:divBdr>
      <w:divsChild>
        <w:div w:id="328018934">
          <w:marLeft w:val="0"/>
          <w:marRight w:val="0"/>
          <w:marTop w:val="0"/>
          <w:marBottom w:val="0"/>
          <w:divBdr>
            <w:top w:val="none" w:sz="0" w:space="0" w:color="auto"/>
            <w:left w:val="none" w:sz="0" w:space="0" w:color="auto"/>
            <w:bottom w:val="none" w:sz="0" w:space="0" w:color="auto"/>
            <w:right w:val="none" w:sz="0" w:space="0" w:color="auto"/>
          </w:divBdr>
          <w:divsChild>
            <w:div w:id="1570381396">
              <w:marLeft w:val="0"/>
              <w:marRight w:val="0"/>
              <w:marTop w:val="0"/>
              <w:marBottom w:val="0"/>
              <w:divBdr>
                <w:top w:val="none" w:sz="0" w:space="0" w:color="auto"/>
                <w:left w:val="none" w:sz="0" w:space="0" w:color="auto"/>
                <w:bottom w:val="none" w:sz="0" w:space="0" w:color="auto"/>
                <w:right w:val="none" w:sz="0" w:space="0" w:color="auto"/>
              </w:divBdr>
              <w:divsChild>
                <w:div w:id="19189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43134">
      <w:bodyDiv w:val="1"/>
      <w:marLeft w:val="0"/>
      <w:marRight w:val="0"/>
      <w:marTop w:val="0"/>
      <w:marBottom w:val="0"/>
      <w:divBdr>
        <w:top w:val="none" w:sz="0" w:space="0" w:color="auto"/>
        <w:left w:val="none" w:sz="0" w:space="0" w:color="auto"/>
        <w:bottom w:val="none" w:sz="0" w:space="0" w:color="auto"/>
        <w:right w:val="none" w:sz="0" w:space="0" w:color="auto"/>
      </w:divBdr>
    </w:div>
    <w:div w:id="746154467">
      <w:bodyDiv w:val="1"/>
      <w:marLeft w:val="0"/>
      <w:marRight w:val="0"/>
      <w:marTop w:val="0"/>
      <w:marBottom w:val="0"/>
      <w:divBdr>
        <w:top w:val="none" w:sz="0" w:space="0" w:color="auto"/>
        <w:left w:val="none" w:sz="0" w:space="0" w:color="auto"/>
        <w:bottom w:val="none" w:sz="0" w:space="0" w:color="auto"/>
        <w:right w:val="none" w:sz="0" w:space="0" w:color="auto"/>
      </w:divBdr>
      <w:divsChild>
        <w:div w:id="826749363">
          <w:marLeft w:val="0"/>
          <w:marRight w:val="0"/>
          <w:marTop w:val="0"/>
          <w:marBottom w:val="0"/>
          <w:divBdr>
            <w:top w:val="none" w:sz="0" w:space="0" w:color="auto"/>
            <w:left w:val="none" w:sz="0" w:space="0" w:color="auto"/>
            <w:bottom w:val="none" w:sz="0" w:space="0" w:color="auto"/>
            <w:right w:val="none" w:sz="0" w:space="0" w:color="auto"/>
          </w:divBdr>
          <w:divsChild>
            <w:div w:id="2071921739">
              <w:marLeft w:val="0"/>
              <w:marRight w:val="0"/>
              <w:marTop w:val="0"/>
              <w:marBottom w:val="0"/>
              <w:divBdr>
                <w:top w:val="none" w:sz="0" w:space="0" w:color="auto"/>
                <w:left w:val="none" w:sz="0" w:space="0" w:color="auto"/>
                <w:bottom w:val="none" w:sz="0" w:space="0" w:color="auto"/>
                <w:right w:val="none" w:sz="0" w:space="0" w:color="auto"/>
              </w:divBdr>
              <w:divsChild>
                <w:div w:id="13216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6737">
      <w:bodyDiv w:val="1"/>
      <w:marLeft w:val="0"/>
      <w:marRight w:val="0"/>
      <w:marTop w:val="0"/>
      <w:marBottom w:val="0"/>
      <w:divBdr>
        <w:top w:val="none" w:sz="0" w:space="0" w:color="auto"/>
        <w:left w:val="none" w:sz="0" w:space="0" w:color="auto"/>
        <w:bottom w:val="none" w:sz="0" w:space="0" w:color="auto"/>
        <w:right w:val="none" w:sz="0" w:space="0" w:color="auto"/>
      </w:divBdr>
    </w:div>
    <w:div w:id="849754845">
      <w:bodyDiv w:val="1"/>
      <w:marLeft w:val="0"/>
      <w:marRight w:val="0"/>
      <w:marTop w:val="0"/>
      <w:marBottom w:val="0"/>
      <w:divBdr>
        <w:top w:val="none" w:sz="0" w:space="0" w:color="auto"/>
        <w:left w:val="none" w:sz="0" w:space="0" w:color="auto"/>
        <w:bottom w:val="none" w:sz="0" w:space="0" w:color="auto"/>
        <w:right w:val="none" w:sz="0" w:space="0" w:color="auto"/>
      </w:divBdr>
    </w:div>
    <w:div w:id="965163467">
      <w:bodyDiv w:val="1"/>
      <w:marLeft w:val="0"/>
      <w:marRight w:val="0"/>
      <w:marTop w:val="0"/>
      <w:marBottom w:val="0"/>
      <w:divBdr>
        <w:top w:val="none" w:sz="0" w:space="0" w:color="auto"/>
        <w:left w:val="none" w:sz="0" w:space="0" w:color="auto"/>
        <w:bottom w:val="none" w:sz="0" w:space="0" w:color="auto"/>
        <w:right w:val="none" w:sz="0" w:space="0" w:color="auto"/>
      </w:divBdr>
    </w:div>
    <w:div w:id="1019358987">
      <w:bodyDiv w:val="1"/>
      <w:marLeft w:val="0"/>
      <w:marRight w:val="0"/>
      <w:marTop w:val="0"/>
      <w:marBottom w:val="0"/>
      <w:divBdr>
        <w:top w:val="none" w:sz="0" w:space="0" w:color="auto"/>
        <w:left w:val="none" w:sz="0" w:space="0" w:color="auto"/>
        <w:bottom w:val="none" w:sz="0" w:space="0" w:color="auto"/>
        <w:right w:val="none" w:sz="0" w:space="0" w:color="auto"/>
      </w:divBdr>
      <w:divsChild>
        <w:div w:id="984050076">
          <w:marLeft w:val="0"/>
          <w:marRight w:val="0"/>
          <w:marTop w:val="0"/>
          <w:marBottom w:val="0"/>
          <w:divBdr>
            <w:top w:val="none" w:sz="0" w:space="0" w:color="auto"/>
            <w:left w:val="none" w:sz="0" w:space="0" w:color="auto"/>
            <w:bottom w:val="none" w:sz="0" w:space="0" w:color="auto"/>
            <w:right w:val="none" w:sz="0" w:space="0" w:color="auto"/>
          </w:divBdr>
          <w:divsChild>
            <w:div w:id="233858370">
              <w:marLeft w:val="0"/>
              <w:marRight w:val="0"/>
              <w:marTop w:val="0"/>
              <w:marBottom w:val="0"/>
              <w:divBdr>
                <w:top w:val="none" w:sz="0" w:space="0" w:color="auto"/>
                <w:left w:val="none" w:sz="0" w:space="0" w:color="auto"/>
                <w:bottom w:val="none" w:sz="0" w:space="0" w:color="auto"/>
                <w:right w:val="none" w:sz="0" w:space="0" w:color="auto"/>
              </w:divBdr>
              <w:divsChild>
                <w:div w:id="18662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98982908">
          <w:marLeft w:val="0"/>
          <w:marRight w:val="0"/>
          <w:marTop w:val="0"/>
          <w:marBottom w:val="0"/>
          <w:divBdr>
            <w:top w:val="none" w:sz="0" w:space="0" w:color="auto"/>
            <w:left w:val="none" w:sz="0" w:space="0" w:color="auto"/>
            <w:bottom w:val="none" w:sz="0" w:space="0" w:color="auto"/>
            <w:right w:val="none" w:sz="0" w:space="0" w:color="auto"/>
          </w:divBdr>
          <w:divsChild>
            <w:div w:id="1116293924">
              <w:marLeft w:val="0"/>
              <w:marRight w:val="0"/>
              <w:marTop w:val="0"/>
              <w:marBottom w:val="0"/>
              <w:divBdr>
                <w:top w:val="none" w:sz="0" w:space="0" w:color="auto"/>
                <w:left w:val="none" w:sz="0" w:space="0" w:color="auto"/>
                <w:bottom w:val="none" w:sz="0" w:space="0" w:color="auto"/>
                <w:right w:val="none" w:sz="0" w:space="0" w:color="auto"/>
              </w:divBdr>
              <w:divsChild>
                <w:div w:id="4361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79565">
      <w:bodyDiv w:val="1"/>
      <w:marLeft w:val="0"/>
      <w:marRight w:val="0"/>
      <w:marTop w:val="0"/>
      <w:marBottom w:val="0"/>
      <w:divBdr>
        <w:top w:val="none" w:sz="0" w:space="0" w:color="auto"/>
        <w:left w:val="none" w:sz="0" w:space="0" w:color="auto"/>
        <w:bottom w:val="none" w:sz="0" w:space="0" w:color="auto"/>
        <w:right w:val="none" w:sz="0" w:space="0" w:color="auto"/>
      </w:divBdr>
    </w:div>
    <w:div w:id="1167133197">
      <w:bodyDiv w:val="1"/>
      <w:marLeft w:val="0"/>
      <w:marRight w:val="0"/>
      <w:marTop w:val="0"/>
      <w:marBottom w:val="0"/>
      <w:divBdr>
        <w:top w:val="none" w:sz="0" w:space="0" w:color="auto"/>
        <w:left w:val="none" w:sz="0" w:space="0" w:color="auto"/>
        <w:bottom w:val="none" w:sz="0" w:space="0" w:color="auto"/>
        <w:right w:val="none" w:sz="0" w:space="0" w:color="auto"/>
      </w:divBdr>
      <w:divsChild>
        <w:div w:id="1419667672">
          <w:marLeft w:val="0"/>
          <w:marRight w:val="0"/>
          <w:marTop w:val="0"/>
          <w:marBottom w:val="0"/>
          <w:divBdr>
            <w:top w:val="none" w:sz="0" w:space="0" w:color="auto"/>
            <w:left w:val="none" w:sz="0" w:space="0" w:color="auto"/>
            <w:bottom w:val="none" w:sz="0" w:space="0" w:color="auto"/>
            <w:right w:val="none" w:sz="0" w:space="0" w:color="auto"/>
          </w:divBdr>
          <w:divsChild>
            <w:div w:id="1255430886">
              <w:marLeft w:val="0"/>
              <w:marRight w:val="0"/>
              <w:marTop w:val="0"/>
              <w:marBottom w:val="0"/>
              <w:divBdr>
                <w:top w:val="none" w:sz="0" w:space="0" w:color="auto"/>
                <w:left w:val="none" w:sz="0" w:space="0" w:color="auto"/>
                <w:bottom w:val="none" w:sz="0" w:space="0" w:color="auto"/>
                <w:right w:val="none" w:sz="0" w:space="0" w:color="auto"/>
              </w:divBdr>
              <w:divsChild>
                <w:div w:id="15200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27202">
      <w:bodyDiv w:val="1"/>
      <w:marLeft w:val="0"/>
      <w:marRight w:val="0"/>
      <w:marTop w:val="0"/>
      <w:marBottom w:val="0"/>
      <w:divBdr>
        <w:top w:val="none" w:sz="0" w:space="0" w:color="auto"/>
        <w:left w:val="none" w:sz="0" w:space="0" w:color="auto"/>
        <w:bottom w:val="none" w:sz="0" w:space="0" w:color="auto"/>
        <w:right w:val="none" w:sz="0" w:space="0" w:color="auto"/>
      </w:divBdr>
      <w:divsChild>
        <w:div w:id="310599054">
          <w:marLeft w:val="0"/>
          <w:marRight w:val="0"/>
          <w:marTop w:val="0"/>
          <w:marBottom w:val="0"/>
          <w:divBdr>
            <w:top w:val="none" w:sz="0" w:space="0" w:color="auto"/>
            <w:left w:val="none" w:sz="0" w:space="0" w:color="auto"/>
            <w:bottom w:val="none" w:sz="0" w:space="0" w:color="auto"/>
            <w:right w:val="none" w:sz="0" w:space="0" w:color="auto"/>
          </w:divBdr>
          <w:divsChild>
            <w:div w:id="1711108745">
              <w:marLeft w:val="0"/>
              <w:marRight w:val="0"/>
              <w:marTop w:val="0"/>
              <w:marBottom w:val="0"/>
              <w:divBdr>
                <w:top w:val="none" w:sz="0" w:space="0" w:color="auto"/>
                <w:left w:val="none" w:sz="0" w:space="0" w:color="auto"/>
                <w:bottom w:val="none" w:sz="0" w:space="0" w:color="auto"/>
                <w:right w:val="none" w:sz="0" w:space="0" w:color="auto"/>
              </w:divBdr>
              <w:divsChild>
                <w:div w:id="1471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7940">
      <w:bodyDiv w:val="1"/>
      <w:marLeft w:val="0"/>
      <w:marRight w:val="0"/>
      <w:marTop w:val="0"/>
      <w:marBottom w:val="0"/>
      <w:divBdr>
        <w:top w:val="none" w:sz="0" w:space="0" w:color="auto"/>
        <w:left w:val="none" w:sz="0" w:space="0" w:color="auto"/>
        <w:bottom w:val="none" w:sz="0" w:space="0" w:color="auto"/>
        <w:right w:val="none" w:sz="0" w:space="0" w:color="auto"/>
      </w:divBdr>
      <w:divsChild>
        <w:div w:id="1201170534">
          <w:marLeft w:val="0"/>
          <w:marRight w:val="0"/>
          <w:marTop w:val="0"/>
          <w:marBottom w:val="0"/>
          <w:divBdr>
            <w:top w:val="none" w:sz="0" w:space="0" w:color="auto"/>
            <w:left w:val="none" w:sz="0" w:space="0" w:color="auto"/>
            <w:bottom w:val="none" w:sz="0" w:space="0" w:color="auto"/>
            <w:right w:val="none" w:sz="0" w:space="0" w:color="auto"/>
          </w:divBdr>
          <w:divsChild>
            <w:div w:id="347755508">
              <w:marLeft w:val="0"/>
              <w:marRight w:val="0"/>
              <w:marTop w:val="0"/>
              <w:marBottom w:val="0"/>
              <w:divBdr>
                <w:top w:val="none" w:sz="0" w:space="0" w:color="auto"/>
                <w:left w:val="none" w:sz="0" w:space="0" w:color="auto"/>
                <w:bottom w:val="none" w:sz="0" w:space="0" w:color="auto"/>
                <w:right w:val="none" w:sz="0" w:space="0" w:color="auto"/>
              </w:divBdr>
              <w:divsChild>
                <w:div w:id="6985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20530">
      <w:bodyDiv w:val="1"/>
      <w:marLeft w:val="0"/>
      <w:marRight w:val="0"/>
      <w:marTop w:val="0"/>
      <w:marBottom w:val="0"/>
      <w:divBdr>
        <w:top w:val="none" w:sz="0" w:space="0" w:color="auto"/>
        <w:left w:val="none" w:sz="0" w:space="0" w:color="auto"/>
        <w:bottom w:val="none" w:sz="0" w:space="0" w:color="auto"/>
        <w:right w:val="none" w:sz="0" w:space="0" w:color="auto"/>
      </w:divBdr>
      <w:divsChild>
        <w:div w:id="1695576968">
          <w:marLeft w:val="0"/>
          <w:marRight w:val="0"/>
          <w:marTop w:val="0"/>
          <w:marBottom w:val="0"/>
          <w:divBdr>
            <w:top w:val="none" w:sz="0" w:space="0" w:color="auto"/>
            <w:left w:val="none" w:sz="0" w:space="0" w:color="auto"/>
            <w:bottom w:val="none" w:sz="0" w:space="0" w:color="auto"/>
            <w:right w:val="none" w:sz="0" w:space="0" w:color="auto"/>
          </w:divBdr>
          <w:divsChild>
            <w:div w:id="1058019652">
              <w:marLeft w:val="0"/>
              <w:marRight w:val="0"/>
              <w:marTop w:val="0"/>
              <w:marBottom w:val="0"/>
              <w:divBdr>
                <w:top w:val="none" w:sz="0" w:space="0" w:color="auto"/>
                <w:left w:val="none" w:sz="0" w:space="0" w:color="auto"/>
                <w:bottom w:val="none" w:sz="0" w:space="0" w:color="auto"/>
                <w:right w:val="none" w:sz="0" w:space="0" w:color="auto"/>
              </w:divBdr>
              <w:divsChild>
                <w:div w:id="19271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7189">
      <w:bodyDiv w:val="1"/>
      <w:marLeft w:val="0"/>
      <w:marRight w:val="0"/>
      <w:marTop w:val="0"/>
      <w:marBottom w:val="0"/>
      <w:divBdr>
        <w:top w:val="none" w:sz="0" w:space="0" w:color="auto"/>
        <w:left w:val="none" w:sz="0" w:space="0" w:color="auto"/>
        <w:bottom w:val="none" w:sz="0" w:space="0" w:color="auto"/>
        <w:right w:val="none" w:sz="0" w:space="0" w:color="auto"/>
      </w:divBdr>
    </w:div>
    <w:div w:id="1522891616">
      <w:bodyDiv w:val="1"/>
      <w:marLeft w:val="0"/>
      <w:marRight w:val="0"/>
      <w:marTop w:val="0"/>
      <w:marBottom w:val="0"/>
      <w:divBdr>
        <w:top w:val="none" w:sz="0" w:space="0" w:color="auto"/>
        <w:left w:val="none" w:sz="0" w:space="0" w:color="auto"/>
        <w:bottom w:val="none" w:sz="0" w:space="0" w:color="auto"/>
        <w:right w:val="none" w:sz="0" w:space="0" w:color="auto"/>
      </w:divBdr>
      <w:divsChild>
        <w:div w:id="962228408">
          <w:marLeft w:val="0"/>
          <w:marRight w:val="0"/>
          <w:marTop w:val="0"/>
          <w:marBottom w:val="0"/>
          <w:divBdr>
            <w:top w:val="none" w:sz="0" w:space="0" w:color="auto"/>
            <w:left w:val="none" w:sz="0" w:space="0" w:color="auto"/>
            <w:bottom w:val="none" w:sz="0" w:space="0" w:color="auto"/>
            <w:right w:val="none" w:sz="0" w:space="0" w:color="auto"/>
          </w:divBdr>
          <w:divsChild>
            <w:div w:id="630328376">
              <w:marLeft w:val="0"/>
              <w:marRight w:val="0"/>
              <w:marTop w:val="0"/>
              <w:marBottom w:val="0"/>
              <w:divBdr>
                <w:top w:val="none" w:sz="0" w:space="0" w:color="auto"/>
                <w:left w:val="none" w:sz="0" w:space="0" w:color="auto"/>
                <w:bottom w:val="none" w:sz="0" w:space="0" w:color="auto"/>
                <w:right w:val="none" w:sz="0" w:space="0" w:color="auto"/>
              </w:divBdr>
              <w:divsChild>
                <w:div w:id="9023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26734">
      <w:bodyDiv w:val="1"/>
      <w:marLeft w:val="0"/>
      <w:marRight w:val="0"/>
      <w:marTop w:val="0"/>
      <w:marBottom w:val="0"/>
      <w:divBdr>
        <w:top w:val="none" w:sz="0" w:space="0" w:color="auto"/>
        <w:left w:val="none" w:sz="0" w:space="0" w:color="auto"/>
        <w:bottom w:val="none" w:sz="0" w:space="0" w:color="auto"/>
        <w:right w:val="none" w:sz="0" w:space="0" w:color="auto"/>
      </w:divBdr>
      <w:divsChild>
        <w:div w:id="387345999">
          <w:marLeft w:val="0"/>
          <w:marRight w:val="0"/>
          <w:marTop w:val="0"/>
          <w:marBottom w:val="0"/>
          <w:divBdr>
            <w:top w:val="none" w:sz="0" w:space="0" w:color="auto"/>
            <w:left w:val="none" w:sz="0" w:space="0" w:color="auto"/>
            <w:bottom w:val="none" w:sz="0" w:space="0" w:color="auto"/>
            <w:right w:val="none" w:sz="0" w:space="0" w:color="auto"/>
          </w:divBdr>
          <w:divsChild>
            <w:div w:id="1608540754">
              <w:marLeft w:val="0"/>
              <w:marRight w:val="0"/>
              <w:marTop w:val="0"/>
              <w:marBottom w:val="0"/>
              <w:divBdr>
                <w:top w:val="none" w:sz="0" w:space="0" w:color="auto"/>
                <w:left w:val="none" w:sz="0" w:space="0" w:color="auto"/>
                <w:bottom w:val="none" w:sz="0" w:space="0" w:color="auto"/>
                <w:right w:val="none" w:sz="0" w:space="0" w:color="auto"/>
              </w:divBdr>
              <w:divsChild>
                <w:div w:id="16955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83093">
      <w:bodyDiv w:val="1"/>
      <w:marLeft w:val="0"/>
      <w:marRight w:val="0"/>
      <w:marTop w:val="0"/>
      <w:marBottom w:val="0"/>
      <w:divBdr>
        <w:top w:val="none" w:sz="0" w:space="0" w:color="auto"/>
        <w:left w:val="none" w:sz="0" w:space="0" w:color="auto"/>
        <w:bottom w:val="none" w:sz="0" w:space="0" w:color="auto"/>
        <w:right w:val="none" w:sz="0" w:space="0" w:color="auto"/>
      </w:divBdr>
    </w:div>
    <w:div w:id="1988824753">
      <w:bodyDiv w:val="1"/>
      <w:marLeft w:val="0"/>
      <w:marRight w:val="0"/>
      <w:marTop w:val="0"/>
      <w:marBottom w:val="0"/>
      <w:divBdr>
        <w:top w:val="none" w:sz="0" w:space="0" w:color="auto"/>
        <w:left w:val="none" w:sz="0" w:space="0" w:color="auto"/>
        <w:bottom w:val="none" w:sz="0" w:space="0" w:color="auto"/>
        <w:right w:val="none" w:sz="0" w:space="0" w:color="auto"/>
      </w:divBdr>
    </w:div>
    <w:div w:id="2056663349">
      <w:bodyDiv w:val="1"/>
      <w:marLeft w:val="0"/>
      <w:marRight w:val="0"/>
      <w:marTop w:val="0"/>
      <w:marBottom w:val="0"/>
      <w:divBdr>
        <w:top w:val="none" w:sz="0" w:space="0" w:color="auto"/>
        <w:left w:val="none" w:sz="0" w:space="0" w:color="auto"/>
        <w:bottom w:val="none" w:sz="0" w:space="0" w:color="auto"/>
        <w:right w:val="none" w:sz="0" w:space="0" w:color="auto"/>
      </w:divBdr>
      <w:divsChild>
        <w:div w:id="249584890">
          <w:marLeft w:val="0"/>
          <w:marRight w:val="0"/>
          <w:marTop w:val="0"/>
          <w:marBottom w:val="0"/>
          <w:divBdr>
            <w:top w:val="none" w:sz="0" w:space="0" w:color="auto"/>
            <w:left w:val="none" w:sz="0" w:space="0" w:color="auto"/>
            <w:bottom w:val="none" w:sz="0" w:space="0" w:color="auto"/>
            <w:right w:val="none" w:sz="0" w:space="0" w:color="auto"/>
          </w:divBdr>
          <w:divsChild>
            <w:div w:id="1089890532">
              <w:marLeft w:val="0"/>
              <w:marRight w:val="0"/>
              <w:marTop w:val="0"/>
              <w:marBottom w:val="0"/>
              <w:divBdr>
                <w:top w:val="none" w:sz="0" w:space="0" w:color="auto"/>
                <w:left w:val="none" w:sz="0" w:space="0" w:color="auto"/>
                <w:bottom w:val="none" w:sz="0" w:space="0" w:color="auto"/>
                <w:right w:val="none" w:sz="0" w:space="0" w:color="auto"/>
              </w:divBdr>
              <w:divsChild>
                <w:div w:id="3935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11645">
      <w:bodyDiv w:val="1"/>
      <w:marLeft w:val="0"/>
      <w:marRight w:val="0"/>
      <w:marTop w:val="0"/>
      <w:marBottom w:val="0"/>
      <w:divBdr>
        <w:top w:val="none" w:sz="0" w:space="0" w:color="auto"/>
        <w:left w:val="none" w:sz="0" w:space="0" w:color="auto"/>
        <w:bottom w:val="none" w:sz="0" w:space="0" w:color="auto"/>
        <w:right w:val="none" w:sz="0" w:space="0" w:color="auto"/>
      </w:divBdr>
      <w:divsChild>
        <w:div w:id="609507711">
          <w:marLeft w:val="0"/>
          <w:marRight w:val="0"/>
          <w:marTop w:val="0"/>
          <w:marBottom w:val="0"/>
          <w:divBdr>
            <w:top w:val="none" w:sz="0" w:space="0" w:color="auto"/>
            <w:left w:val="none" w:sz="0" w:space="0" w:color="auto"/>
            <w:bottom w:val="none" w:sz="0" w:space="0" w:color="auto"/>
            <w:right w:val="none" w:sz="0" w:space="0" w:color="auto"/>
          </w:divBdr>
          <w:divsChild>
            <w:div w:id="967010312">
              <w:marLeft w:val="0"/>
              <w:marRight w:val="0"/>
              <w:marTop w:val="0"/>
              <w:marBottom w:val="0"/>
              <w:divBdr>
                <w:top w:val="none" w:sz="0" w:space="0" w:color="auto"/>
                <w:left w:val="none" w:sz="0" w:space="0" w:color="auto"/>
                <w:bottom w:val="none" w:sz="0" w:space="0" w:color="auto"/>
                <w:right w:val="none" w:sz="0" w:space="0" w:color="auto"/>
              </w:divBdr>
              <w:divsChild>
                <w:div w:id="1325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8206">
      <w:bodyDiv w:val="1"/>
      <w:marLeft w:val="0"/>
      <w:marRight w:val="0"/>
      <w:marTop w:val="0"/>
      <w:marBottom w:val="0"/>
      <w:divBdr>
        <w:top w:val="none" w:sz="0" w:space="0" w:color="auto"/>
        <w:left w:val="none" w:sz="0" w:space="0" w:color="auto"/>
        <w:bottom w:val="none" w:sz="0" w:space="0" w:color="auto"/>
        <w:right w:val="none" w:sz="0" w:space="0" w:color="auto"/>
      </w:divBdr>
    </w:div>
    <w:div w:id="2134591662">
      <w:bodyDiv w:val="1"/>
      <w:marLeft w:val="0"/>
      <w:marRight w:val="0"/>
      <w:marTop w:val="0"/>
      <w:marBottom w:val="0"/>
      <w:divBdr>
        <w:top w:val="none" w:sz="0" w:space="0" w:color="auto"/>
        <w:left w:val="none" w:sz="0" w:space="0" w:color="auto"/>
        <w:bottom w:val="none" w:sz="0" w:space="0" w:color="auto"/>
        <w:right w:val="none" w:sz="0" w:space="0" w:color="auto"/>
      </w:divBdr>
      <w:divsChild>
        <w:div w:id="1081873629">
          <w:marLeft w:val="0"/>
          <w:marRight w:val="0"/>
          <w:marTop w:val="0"/>
          <w:marBottom w:val="0"/>
          <w:divBdr>
            <w:top w:val="none" w:sz="0" w:space="0" w:color="auto"/>
            <w:left w:val="none" w:sz="0" w:space="0" w:color="auto"/>
            <w:bottom w:val="none" w:sz="0" w:space="0" w:color="auto"/>
            <w:right w:val="none" w:sz="0" w:space="0" w:color="auto"/>
          </w:divBdr>
          <w:divsChild>
            <w:div w:id="873923422">
              <w:marLeft w:val="0"/>
              <w:marRight w:val="0"/>
              <w:marTop w:val="0"/>
              <w:marBottom w:val="0"/>
              <w:divBdr>
                <w:top w:val="none" w:sz="0" w:space="0" w:color="auto"/>
                <w:left w:val="none" w:sz="0" w:space="0" w:color="auto"/>
                <w:bottom w:val="none" w:sz="0" w:space="0" w:color="auto"/>
                <w:right w:val="none" w:sz="0" w:space="0" w:color="auto"/>
              </w:divBdr>
              <w:divsChild>
                <w:div w:id="20751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3"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7"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2" Type="http://schemas.openxmlformats.org/officeDocument/2006/relationships/numbering" Target="numbering.xml"/><Relationship Id="rId16"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5" Type="http://schemas.openxmlformats.org/officeDocument/2006/relationships/webSettings" Target="webSettings.xml"/><Relationship Id="rId15"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0"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4"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EADB2-6378-463D-A947-56CBC551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13598</Words>
  <Characters>74795</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Edilsa Torres</dc:creator>
  <cp:keywords/>
  <dc:description/>
  <cp:lastModifiedBy>Ximena Rueda Anaya</cp:lastModifiedBy>
  <cp:revision>2</cp:revision>
  <cp:lastPrinted>2022-08-30T13:24:00Z</cp:lastPrinted>
  <dcterms:created xsi:type="dcterms:W3CDTF">2022-08-30T20:00:00Z</dcterms:created>
  <dcterms:modified xsi:type="dcterms:W3CDTF">2022-08-30T20:00:00Z</dcterms:modified>
</cp:coreProperties>
</file>