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7386C" w14:textId="59FF665A" w:rsidR="008E7057" w:rsidRDefault="008E7057" w:rsidP="00EE4B5F">
      <w:pPr>
        <w:spacing w:line="240" w:lineRule="auto"/>
        <w:jc w:val="both"/>
        <w:rPr>
          <w:rFonts w:ascii="Bookman Old Style" w:hAnsi="Bookman Old Style" w:cs="Arial"/>
          <w:sz w:val="24"/>
          <w:szCs w:val="24"/>
        </w:rPr>
      </w:pPr>
      <w:r w:rsidRPr="008E7057">
        <w:rPr>
          <w:rFonts w:ascii="Bookman Old Style" w:hAnsi="Bookman Old Style" w:cs="Arial"/>
          <w:sz w:val="24"/>
          <w:szCs w:val="24"/>
        </w:rPr>
        <w:t>Bogotá, D.C.,</w:t>
      </w:r>
      <w:r w:rsidR="009C05F7">
        <w:rPr>
          <w:rFonts w:ascii="Bookman Old Style" w:hAnsi="Bookman Old Style" w:cs="Arial"/>
          <w:sz w:val="24"/>
          <w:szCs w:val="24"/>
        </w:rPr>
        <w:t xml:space="preserve"> 23</w:t>
      </w:r>
      <w:r w:rsidRPr="008E7057">
        <w:rPr>
          <w:rFonts w:ascii="Bookman Old Style" w:hAnsi="Bookman Old Style" w:cs="Arial"/>
          <w:sz w:val="24"/>
          <w:szCs w:val="24"/>
        </w:rPr>
        <w:t xml:space="preserve"> julio de 2024 </w:t>
      </w:r>
    </w:p>
    <w:p w14:paraId="5F7FCB88" w14:textId="77777777" w:rsidR="00EE4B5F" w:rsidRPr="008E7057" w:rsidRDefault="00EE4B5F" w:rsidP="00EE4B5F">
      <w:pPr>
        <w:spacing w:line="240" w:lineRule="auto"/>
        <w:jc w:val="both"/>
        <w:rPr>
          <w:rFonts w:ascii="Bookman Old Style" w:hAnsi="Bookman Old Style" w:cs="Arial"/>
          <w:sz w:val="24"/>
          <w:szCs w:val="24"/>
        </w:rPr>
      </w:pPr>
    </w:p>
    <w:p w14:paraId="51B0BBCC" w14:textId="77777777" w:rsidR="008E7057" w:rsidRPr="008E7057" w:rsidRDefault="008E7057" w:rsidP="00EE4B5F">
      <w:pPr>
        <w:spacing w:line="240" w:lineRule="auto"/>
        <w:jc w:val="both"/>
        <w:rPr>
          <w:rFonts w:ascii="Bookman Old Style" w:hAnsi="Bookman Old Style" w:cs="Arial"/>
          <w:sz w:val="24"/>
          <w:szCs w:val="24"/>
        </w:rPr>
      </w:pPr>
      <w:r w:rsidRPr="008E7057">
        <w:rPr>
          <w:rFonts w:ascii="Bookman Old Style" w:hAnsi="Bookman Old Style" w:cs="Arial"/>
          <w:sz w:val="24"/>
          <w:szCs w:val="24"/>
        </w:rPr>
        <w:t xml:space="preserve">Doctor: </w:t>
      </w:r>
    </w:p>
    <w:p w14:paraId="042167B1" w14:textId="77777777" w:rsidR="008E7057" w:rsidRPr="008E7057" w:rsidRDefault="008E7057" w:rsidP="00EE4B5F">
      <w:pPr>
        <w:spacing w:after="0" w:line="240" w:lineRule="auto"/>
        <w:jc w:val="both"/>
        <w:rPr>
          <w:rFonts w:ascii="Bookman Old Style" w:hAnsi="Bookman Old Style" w:cs="Arial"/>
          <w:b/>
          <w:sz w:val="24"/>
          <w:szCs w:val="24"/>
        </w:rPr>
      </w:pPr>
      <w:r w:rsidRPr="008E7057">
        <w:rPr>
          <w:rFonts w:ascii="Bookman Old Style" w:hAnsi="Bookman Old Style" w:cs="Arial"/>
          <w:b/>
          <w:sz w:val="24"/>
          <w:szCs w:val="24"/>
        </w:rPr>
        <w:t xml:space="preserve">JAIME LUIS LACOUTURE PEÑALOZA </w:t>
      </w:r>
    </w:p>
    <w:p w14:paraId="109397F8" w14:textId="77777777" w:rsidR="008E7057" w:rsidRPr="008E7057" w:rsidRDefault="008E7057" w:rsidP="00EE4B5F">
      <w:pPr>
        <w:spacing w:after="0" w:line="240" w:lineRule="auto"/>
        <w:jc w:val="both"/>
        <w:rPr>
          <w:rFonts w:ascii="Bookman Old Style" w:hAnsi="Bookman Old Style" w:cs="Arial"/>
          <w:sz w:val="24"/>
          <w:szCs w:val="24"/>
        </w:rPr>
      </w:pPr>
      <w:r w:rsidRPr="008E7057">
        <w:rPr>
          <w:rFonts w:ascii="Bookman Old Style" w:hAnsi="Bookman Old Style" w:cs="Arial"/>
          <w:sz w:val="24"/>
          <w:szCs w:val="24"/>
        </w:rPr>
        <w:t xml:space="preserve">Secretario General </w:t>
      </w:r>
    </w:p>
    <w:p w14:paraId="0939AE15" w14:textId="77777777" w:rsidR="008E7057" w:rsidRPr="008E7057" w:rsidRDefault="008E7057" w:rsidP="00EE4B5F">
      <w:pPr>
        <w:spacing w:after="0" w:line="240" w:lineRule="auto"/>
        <w:jc w:val="both"/>
        <w:rPr>
          <w:rFonts w:ascii="Bookman Old Style" w:hAnsi="Bookman Old Style" w:cs="Arial"/>
          <w:sz w:val="24"/>
          <w:szCs w:val="24"/>
        </w:rPr>
      </w:pPr>
      <w:r w:rsidRPr="008E7057">
        <w:rPr>
          <w:rFonts w:ascii="Bookman Old Style" w:hAnsi="Bookman Old Style" w:cs="Arial"/>
          <w:sz w:val="24"/>
          <w:szCs w:val="24"/>
        </w:rPr>
        <w:t xml:space="preserve">Honorable Cámara de Representantes </w:t>
      </w:r>
    </w:p>
    <w:p w14:paraId="04D81CD2" w14:textId="77777777" w:rsidR="008E7057" w:rsidRPr="008E7057" w:rsidRDefault="008E7057" w:rsidP="00EE4B5F">
      <w:pPr>
        <w:spacing w:after="0" w:line="240" w:lineRule="auto"/>
        <w:jc w:val="both"/>
        <w:rPr>
          <w:rFonts w:ascii="Bookman Old Style" w:hAnsi="Bookman Old Style" w:cs="Arial"/>
          <w:sz w:val="24"/>
          <w:szCs w:val="24"/>
        </w:rPr>
      </w:pPr>
      <w:r w:rsidRPr="008E7057">
        <w:rPr>
          <w:rFonts w:ascii="Bookman Old Style" w:hAnsi="Bookman Old Style" w:cs="Arial"/>
          <w:sz w:val="24"/>
          <w:szCs w:val="24"/>
        </w:rPr>
        <w:t>Ciudad</w:t>
      </w:r>
    </w:p>
    <w:p w14:paraId="471A0A10" w14:textId="73EC673C" w:rsidR="008E7057" w:rsidRPr="008E7057" w:rsidRDefault="008E7057" w:rsidP="00EE4B5F">
      <w:pPr>
        <w:spacing w:line="240" w:lineRule="auto"/>
        <w:jc w:val="both"/>
        <w:rPr>
          <w:rFonts w:ascii="Bookman Old Style" w:hAnsi="Bookman Old Style" w:cs="Arial"/>
          <w:sz w:val="24"/>
          <w:szCs w:val="24"/>
        </w:rPr>
      </w:pPr>
    </w:p>
    <w:p w14:paraId="4D00F43C" w14:textId="77777777" w:rsidR="008E7057" w:rsidRPr="008E7057" w:rsidRDefault="008E7057" w:rsidP="00EE4B5F">
      <w:pPr>
        <w:spacing w:line="240" w:lineRule="auto"/>
        <w:jc w:val="right"/>
        <w:rPr>
          <w:rFonts w:ascii="Bookman Old Style" w:hAnsi="Bookman Old Style" w:cs="Arial"/>
          <w:b/>
          <w:sz w:val="24"/>
          <w:szCs w:val="24"/>
          <w:lang w:val="es"/>
        </w:rPr>
      </w:pPr>
      <w:r w:rsidRPr="008E7057">
        <w:rPr>
          <w:rFonts w:ascii="Bookman Old Style" w:hAnsi="Bookman Old Style" w:cs="Arial"/>
          <w:b/>
          <w:sz w:val="24"/>
          <w:szCs w:val="24"/>
          <w:lang w:val="es"/>
        </w:rPr>
        <w:t>REF: RADICACIÓN PROYECTO DE LEY</w:t>
      </w:r>
    </w:p>
    <w:p w14:paraId="38A67545" w14:textId="77777777" w:rsidR="008E7057" w:rsidRPr="008E7057" w:rsidRDefault="008E7057" w:rsidP="00EE4B5F">
      <w:pPr>
        <w:spacing w:line="240" w:lineRule="auto"/>
        <w:jc w:val="both"/>
        <w:rPr>
          <w:rFonts w:ascii="Bookman Old Style" w:hAnsi="Bookman Old Style" w:cs="Arial"/>
          <w:b/>
          <w:sz w:val="24"/>
          <w:szCs w:val="24"/>
          <w:lang w:val="es"/>
        </w:rPr>
      </w:pPr>
    </w:p>
    <w:p w14:paraId="0A0ECE27" w14:textId="56716D20" w:rsidR="008E7057" w:rsidRDefault="008E7057" w:rsidP="00EE4B5F">
      <w:pPr>
        <w:spacing w:line="240" w:lineRule="auto"/>
        <w:jc w:val="both"/>
        <w:rPr>
          <w:rFonts w:ascii="Bookman Old Style" w:hAnsi="Bookman Old Style" w:cs="Arial"/>
          <w:b/>
          <w:i/>
          <w:sz w:val="24"/>
          <w:szCs w:val="24"/>
          <w:lang w:val="es"/>
        </w:rPr>
      </w:pPr>
      <w:r w:rsidRPr="008E7057">
        <w:rPr>
          <w:rFonts w:ascii="Bookman Old Style" w:hAnsi="Bookman Old Style" w:cs="Arial"/>
          <w:sz w:val="24"/>
          <w:szCs w:val="24"/>
          <w:lang w:val="es"/>
        </w:rPr>
        <w:t xml:space="preserve">En mi condición de miembro del Congreso de la República y en uso del derecho consagrado en el artículo 150 de la Constitución Política de Colombia, por su digno conducto me permito poner a consideración de la Honorable Cámara de Representantes el proyecto de Ley </w:t>
      </w:r>
      <w:r w:rsidR="00EE4B5F">
        <w:rPr>
          <w:rFonts w:ascii="Bookman Old Style" w:hAnsi="Bookman Old Style" w:cs="Arial"/>
          <w:sz w:val="24"/>
          <w:szCs w:val="24"/>
          <w:lang w:val="es"/>
        </w:rPr>
        <w:t xml:space="preserve">Estatutaria </w:t>
      </w:r>
      <w:r>
        <w:rPr>
          <w:rFonts w:ascii="Bookman Old Style" w:hAnsi="Bookman Old Style" w:cs="Arial"/>
          <w:b/>
          <w:i/>
          <w:sz w:val="24"/>
          <w:szCs w:val="24"/>
          <w:lang w:val="es"/>
        </w:rPr>
        <w:t>“P</w:t>
      </w:r>
      <w:r w:rsidRPr="008E7057">
        <w:rPr>
          <w:rFonts w:ascii="Bookman Old Style" w:hAnsi="Bookman Old Style" w:cs="Arial"/>
          <w:b/>
          <w:i/>
          <w:sz w:val="24"/>
          <w:szCs w:val="24"/>
          <w:lang w:val="es"/>
        </w:rPr>
        <w:t xml:space="preserve">or </w:t>
      </w:r>
      <w:r>
        <w:rPr>
          <w:rFonts w:ascii="Bookman Old Style" w:hAnsi="Bookman Old Style" w:cs="Arial"/>
          <w:b/>
          <w:i/>
          <w:sz w:val="24"/>
          <w:szCs w:val="24"/>
          <w:lang w:val="es"/>
        </w:rPr>
        <w:t>medio d</w:t>
      </w:r>
      <w:r w:rsidRPr="008E7057">
        <w:rPr>
          <w:rFonts w:ascii="Bookman Old Style" w:hAnsi="Bookman Old Style" w:cs="Arial"/>
          <w:b/>
          <w:i/>
          <w:sz w:val="24"/>
          <w:szCs w:val="24"/>
          <w:lang w:val="es"/>
        </w:rPr>
        <w:t xml:space="preserve">el cual se modifica la </w:t>
      </w:r>
      <w:r>
        <w:rPr>
          <w:rFonts w:ascii="Bookman Old Style" w:hAnsi="Bookman Old Style" w:cs="Arial"/>
          <w:b/>
          <w:i/>
          <w:sz w:val="24"/>
          <w:szCs w:val="24"/>
          <w:lang w:val="es"/>
        </w:rPr>
        <w:t>L</w:t>
      </w:r>
      <w:r w:rsidRPr="008E7057">
        <w:rPr>
          <w:rFonts w:ascii="Bookman Old Style" w:hAnsi="Bookman Old Style" w:cs="Arial"/>
          <w:b/>
          <w:i/>
          <w:sz w:val="24"/>
          <w:szCs w:val="24"/>
          <w:lang w:val="es"/>
        </w:rPr>
        <w:t>ey 2157 de 2021 para establecer un beneficio especial de exclusión del reporte negativo en las centrales de riesgos financieros para los deudores y codeudores de créditos educativos”</w:t>
      </w:r>
      <w:r w:rsidR="00EE4B5F">
        <w:rPr>
          <w:rFonts w:ascii="Bookman Old Style" w:hAnsi="Bookman Old Style" w:cs="Arial"/>
          <w:b/>
          <w:i/>
          <w:sz w:val="24"/>
          <w:szCs w:val="24"/>
          <w:lang w:val="es"/>
        </w:rPr>
        <w:t>.</w:t>
      </w:r>
    </w:p>
    <w:p w14:paraId="3063489C" w14:textId="77777777" w:rsidR="008E7057" w:rsidRPr="008E7057" w:rsidRDefault="008E7057" w:rsidP="00EE4B5F">
      <w:pPr>
        <w:spacing w:line="240" w:lineRule="auto"/>
        <w:jc w:val="both"/>
        <w:rPr>
          <w:rFonts w:ascii="Bookman Old Style" w:hAnsi="Bookman Old Style" w:cs="Arial"/>
          <w:b/>
          <w:i/>
          <w:sz w:val="24"/>
          <w:szCs w:val="24"/>
          <w:lang w:val="es"/>
        </w:rPr>
      </w:pPr>
    </w:p>
    <w:p w14:paraId="741DE802" w14:textId="546729FE" w:rsidR="008E7057" w:rsidRDefault="008E7057" w:rsidP="00EE4B5F">
      <w:pPr>
        <w:spacing w:line="240" w:lineRule="auto"/>
        <w:jc w:val="both"/>
        <w:rPr>
          <w:rFonts w:ascii="Bookman Old Style" w:hAnsi="Bookman Old Style" w:cs="Arial"/>
          <w:sz w:val="24"/>
          <w:szCs w:val="24"/>
        </w:rPr>
      </w:pPr>
      <w:r w:rsidRPr="008E7057">
        <w:rPr>
          <w:rFonts w:ascii="Bookman Old Style" w:hAnsi="Bookman Old Style" w:cs="Arial"/>
          <w:sz w:val="24"/>
          <w:szCs w:val="24"/>
        </w:rPr>
        <w:t>Cordialmente,</w:t>
      </w:r>
    </w:p>
    <w:p w14:paraId="14C2E5BE" w14:textId="77777777" w:rsidR="008E7057" w:rsidRPr="008E7057" w:rsidRDefault="008E7057" w:rsidP="00EE4B5F">
      <w:pPr>
        <w:spacing w:line="240" w:lineRule="auto"/>
        <w:jc w:val="both"/>
        <w:rPr>
          <w:rFonts w:ascii="Bookman Old Style" w:hAnsi="Bookman Old Style" w:cs="Arial"/>
          <w:b/>
          <w:sz w:val="24"/>
          <w:szCs w:val="24"/>
        </w:rPr>
      </w:pPr>
    </w:p>
    <w:p w14:paraId="3A5A7DC7" w14:textId="77777777" w:rsidR="008E7057" w:rsidRPr="008E7057" w:rsidRDefault="008E7057" w:rsidP="00EE4B5F">
      <w:pPr>
        <w:spacing w:after="0" w:line="240" w:lineRule="auto"/>
        <w:rPr>
          <w:rFonts w:ascii="Bookman Old Style" w:hAnsi="Bookman Old Style" w:cs="Arial"/>
          <w:sz w:val="24"/>
          <w:szCs w:val="24"/>
        </w:rPr>
      </w:pPr>
      <w:r w:rsidRPr="008E7057">
        <w:rPr>
          <w:rFonts w:ascii="Bookman Old Style" w:hAnsi="Bookman Old Style" w:cs="Arial"/>
          <w:b/>
          <w:sz w:val="24"/>
          <w:szCs w:val="24"/>
        </w:rPr>
        <w:t>GERMÁN ROGELIO ROZO ANÍS</w:t>
      </w:r>
    </w:p>
    <w:p w14:paraId="3C98083F" w14:textId="77777777" w:rsidR="008E7057" w:rsidRPr="008E7057" w:rsidRDefault="008E7057" w:rsidP="00EE4B5F">
      <w:pPr>
        <w:spacing w:after="0" w:line="240" w:lineRule="auto"/>
        <w:rPr>
          <w:rFonts w:ascii="Bookman Old Style" w:hAnsi="Bookman Old Style" w:cs="Arial"/>
          <w:sz w:val="24"/>
          <w:szCs w:val="24"/>
        </w:rPr>
      </w:pPr>
      <w:r w:rsidRPr="008E7057">
        <w:rPr>
          <w:rFonts w:ascii="Bookman Old Style" w:hAnsi="Bookman Old Style" w:cs="Arial"/>
          <w:sz w:val="24"/>
          <w:szCs w:val="24"/>
        </w:rPr>
        <w:t xml:space="preserve">Representante a la Cámara </w:t>
      </w:r>
    </w:p>
    <w:p w14:paraId="3DF0A475" w14:textId="4488F8CC" w:rsidR="008E7057" w:rsidRDefault="008E7057" w:rsidP="00EE4B5F">
      <w:pPr>
        <w:spacing w:after="0" w:line="240" w:lineRule="auto"/>
        <w:rPr>
          <w:rFonts w:ascii="Bookman Old Style" w:hAnsi="Bookman Old Style" w:cs="Arial"/>
          <w:sz w:val="24"/>
          <w:szCs w:val="24"/>
        </w:rPr>
      </w:pPr>
      <w:r w:rsidRPr="008E7057">
        <w:rPr>
          <w:rFonts w:ascii="Bookman Old Style" w:hAnsi="Bookman Old Style" w:cs="Arial"/>
          <w:sz w:val="24"/>
          <w:szCs w:val="24"/>
        </w:rPr>
        <w:t>Departamento de Arauca</w:t>
      </w:r>
    </w:p>
    <w:p w14:paraId="1DF0E870" w14:textId="3E11CF67" w:rsidR="008E7057" w:rsidRDefault="008E7057" w:rsidP="00EE4B5F">
      <w:pPr>
        <w:spacing w:after="0" w:line="240" w:lineRule="auto"/>
        <w:rPr>
          <w:rFonts w:ascii="Bookman Old Style" w:hAnsi="Bookman Old Style" w:cs="Arial"/>
          <w:sz w:val="24"/>
          <w:szCs w:val="24"/>
        </w:rPr>
      </w:pPr>
    </w:p>
    <w:p w14:paraId="4C4E7D88" w14:textId="7A329F72" w:rsidR="008E7057" w:rsidRDefault="008E7057" w:rsidP="00EE4B5F">
      <w:pPr>
        <w:spacing w:after="0" w:line="240" w:lineRule="auto"/>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414"/>
        <w:gridCol w:w="4414"/>
      </w:tblGrid>
      <w:tr w:rsidR="008E7057" w14:paraId="114061D2" w14:textId="77777777" w:rsidTr="008E7057">
        <w:tc>
          <w:tcPr>
            <w:tcW w:w="4414" w:type="dxa"/>
          </w:tcPr>
          <w:p w14:paraId="6E2D05E3" w14:textId="77777777" w:rsidR="008E7057" w:rsidRDefault="008E7057" w:rsidP="00EE4B5F">
            <w:pPr>
              <w:rPr>
                <w:rFonts w:ascii="Bookman Old Style" w:hAnsi="Bookman Old Style" w:cs="Arial"/>
                <w:sz w:val="24"/>
                <w:szCs w:val="24"/>
              </w:rPr>
            </w:pPr>
          </w:p>
          <w:p w14:paraId="5E3149F1" w14:textId="0FE563A9" w:rsidR="008E7057" w:rsidRDefault="008E7057" w:rsidP="00EE4B5F">
            <w:pPr>
              <w:rPr>
                <w:rFonts w:ascii="Bookman Old Style" w:hAnsi="Bookman Old Style" w:cs="Arial"/>
                <w:sz w:val="24"/>
                <w:szCs w:val="24"/>
              </w:rPr>
            </w:pPr>
          </w:p>
        </w:tc>
        <w:tc>
          <w:tcPr>
            <w:tcW w:w="4414" w:type="dxa"/>
          </w:tcPr>
          <w:p w14:paraId="23EE8A67" w14:textId="77777777" w:rsidR="008E7057" w:rsidRDefault="008E7057" w:rsidP="00EE4B5F">
            <w:pPr>
              <w:rPr>
                <w:rFonts w:ascii="Bookman Old Style" w:hAnsi="Bookman Old Style" w:cs="Arial"/>
                <w:sz w:val="24"/>
                <w:szCs w:val="24"/>
              </w:rPr>
            </w:pPr>
          </w:p>
        </w:tc>
      </w:tr>
      <w:tr w:rsidR="008E7057" w14:paraId="60116A6A" w14:textId="77777777" w:rsidTr="008E7057">
        <w:tc>
          <w:tcPr>
            <w:tcW w:w="4414" w:type="dxa"/>
          </w:tcPr>
          <w:p w14:paraId="6A64C656" w14:textId="77777777" w:rsidR="008E7057" w:rsidRDefault="008E7057" w:rsidP="00EE4B5F">
            <w:pPr>
              <w:rPr>
                <w:rFonts w:ascii="Bookman Old Style" w:hAnsi="Bookman Old Style" w:cs="Arial"/>
                <w:sz w:val="24"/>
                <w:szCs w:val="24"/>
              </w:rPr>
            </w:pPr>
          </w:p>
          <w:p w14:paraId="6DF564F1" w14:textId="5047B7D8" w:rsidR="008E7057" w:rsidRDefault="008E7057" w:rsidP="00EE4B5F">
            <w:pPr>
              <w:rPr>
                <w:rFonts w:ascii="Bookman Old Style" w:hAnsi="Bookman Old Style" w:cs="Arial"/>
                <w:sz w:val="24"/>
                <w:szCs w:val="24"/>
              </w:rPr>
            </w:pPr>
          </w:p>
        </w:tc>
        <w:tc>
          <w:tcPr>
            <w:tcW w:w="4414" w:type="dxa"/>
          </w:tcPr>
          <w:p w14:paraId="7A2E5F78" w14:textId="77777777" w:rsidR="008E7057" w:rsidRDefault="008E7057" w:rsidP="00EE4B5F">
            <w:pPr>
              <w:rPr>
                <w:rFonts w:ascii="Bookman Old Style" w:hAnsi="Bookman Old Style" w:cs="Arial"/>
                <w:sz w:val="24"/>
                <w:szCs w:val="24"/>
              </w:rPr>
            </w:pPr>
          </w:p>
        </w:tc>
      </w:tr>
      <w:tr w:rsidR="008E7057" w14:paraId="60E94852" w14:textId="77777777" w:rsidTr="008E7057">
        <w:tc>
          <w:tcPr>
            <w:tcW w:w="4414" w:type="dxa"/>
          </w:tcPr>
          <w:p w14:paraId="7414B920" w14:textId="77777777" w:rsidR="008E7057" w:rsidRDefault="008E7057" w:rsidP="00EE4B5F">
            <w:pPr>
              <w:rPr>
                <w:rFonts w:ascii="Bookman Old Style" w:hAnsi="Bookman Old Style" w:cs="Arial"/>
                <w:sz w:val="24"/>
                <w:szCs w:val="24"/>
              </w:rPr>
            </w:pPr>
          </w:p>
          <w:p w14:paraId="172C4D09" w14:textId="3719CE86" w:rsidR="008E7057" w:rsidRDefault="008E7057" w:rsidP="00EE4B5F">
            <w:pPr>
              <w:rPr>
                <w:rFonts w:ascii="Bookman Old Style" w:hAnsi="Bookman Old Style" w:cs="Arial"/>
                <w:sz w:val="24"/>
                <w:szCs w:val="24"/>
              </w:rPr>
            </w:pPr>
          </w:p>
        </w:tc>
        <w:tc>
          <w:tcPr>
            <w:tcW w:w="4414" w:type="dxa"/>
          </w:tcPr>
          <w:p w14:paraId="199414A9" w14:textId="77777777" w:rsidR="008E7057" w:rsidRDefault="008E7057" w:rsidP="00EE4B5F">
            <w:pPr>
              <w:rPr>
                <w:rFonts w:ascii="Bookman Old Style" w:hAnsi="Bookman Old Style" w:cs="Arial"/>
                <w:sz w:val="24"/>
                <w:szCs w:val="24"/>
              </w:rPr>
            </w:pPr>
          </w:p>
        </w:tc>
      </w:tr>
      <w:tr w:rsidR="008E7057" w14:paraId="36E44323" w14:textId="77777777" w:rsidTr="008E7057">
        <w:tc>
          <w:tcPr>
            <w:tcW w:w="4414" w:type="dxa"/>
          </w:tcPr>
          <w:p w14:paraId="0DA52B12" w14:textId="77777777" w:rsidR="008E7057" w:rsidRDefault="008E7057" w:rsidP="00EE4B5F">
            <w:pPr>
              <w:rPr>
                <w:rFonts w:ascii="Bookman Old Style" w:hAnsi="Bookman Old Style" w:cs="Arial"/>
                <w:sz w:val="24"/>
                <w:szCs w:val="24"/>
              </w:rPr>
            </w:pPr>
          </w:p>
          <w:p w14:paraId="70886314" w14:textId="5A0F07A5" w:rsidR="008E7057" w:rsidRDefault="008E7057" w:rsidP="00EE4B5F">
            <w:pPr>
              <w:rPr>
                <w:rFonts w:ascii="Bookman Old Style" w:hAnsi="Bookman Old Style" w:cs="Arial"/>
                <w:sz w:val="24"/>
                <w:szCs w:val="24"/>
              </w:rPr>
            </w:pPr>
          </w:p>
        </w:tc>
        <w:tc>
          <w:tcPr>
            <w:tcW w:w="4414" w:type="dxa"/>
          </w:tcPr>
          <w:p w14:paraId="3B4DE8AF" w14:textId="77777777" w:rsidR="008E7057" w:rsidRDefault="008E7057" w:rsidP="00EE4B5F">
            <w:pPr>
              <w:rPr>
                <w:rFonts w:ascii="Bookman Old Style" w:hAnsi="Bookman Old Style" w:cs="Arial"/>
                <w:sz w:val="24"/>
                <w:szCs w:val="24"/>
              </w:rPr>
            </w:pPr>
          </w:p>
        </w:tc>
      </w:tr>
      <w:tr w:rsidR="008E7057" w14:paraId="73D6530C" w14:textId="77777777" w:rsidTr="008E7057">
        <w:tc>
          <w:tcPr>
            <w:tcW w:w="4414" w:type="dxa"/>
          </w:tcPr>
          <w:p w14:paraId="788735F9" w14:textId="77777777" w:rsidR="008E7057" w:rsidRDefault="008E7057" w:rsidP="00EE4B5F">
            <w:pPr>
              <w:rPr>
                <w:rFonts w:ascii="Bookman Old Style" w:hAnsi="Bookman Old Style" w:cs="Arial"/>
                <w:sz w:val="24"/>
                <w:szCs w:val="24"/>
              </w:rPr>
            </w:pPr>
          </w:p>
          <w:p w14:paraId="6DF06D14" w14:textId="14721B1F" w:rsidR="008E7057" w:rsidRDefault="008E7057" w:rsidP="00EE4B5F">
            <w:pPr>
              <w:rPr>
                <w:rFonts w:ascii="Bookman Old Style" w:hAnsi="Bookman Old Style" w:cs="Arial"/>
                <w:sz w:val="24"/>
                <w:szCs w:val="24"/>
              </w:rPr>
            </w:pPr>
          </w:p>
        </w:tc>
        <w:tc>
          <w:tcPr>
            <w:tcW w:w="4414" w:type="dxa"/>
          </w:tcPr>
          <w:p w14:paraId="3B959087" w14:textId="77777777" w:rsidR="008E7057" w:rsidRDefault="008E7057" w:rsidP="00EE4B5F">
            <w:pPr>
              <w:rPr>
                <w:rFonts w:ascii="Bookman Old Style" w:hAnsi="Bookman Old Style" w:cs="Arial"/>
                <w:sz w:val="24"/>
                <w:szCs w:val="24"/>
              </w:rPr>
            </w:pPr>
          </w:p>
        </w:tc>
      </w:tr>
      <w:tr w:rsidR="008E7057" w14:paraId="458133C2" w14:textId="77777777" w:rsidTr="008E7057">
        <w:tc>
          <w:tcPr>
            <w:tcW w:w="4414" w:type="dxa"/>
          </w:tcPr>
          <w:p w14:paraId="6F8EE07E" w14:textId="77777777" w:rsidR="008E7057" w:rsidRDefault="008E7057" w:rsidP="00EE4B5F">
            <w:pPr>
              <w:rPr>
                <w:rFonts w:ascii="Bookman Old Style" w:hAnsi="Bookman Old Style" w:cs="Arial"/>
                <w:sz w:val="24"/>
                <w:szCs w:val="24"/>
              </w:rPr>
            </w:pPr>
          </w:p>
          <w:p w14:paraId="003CE28F" w14:textId="762E76C2" w:rsidR="008E7057" w:rsidRDefault="008E7057" w:rsidP="00EE4B5F">
            <w:pPr>
              <w:rPr>
                <w:rFonts w:ascii="Bookman Old Style" w:hAnsi="Bookman Old Style" w:cs="Arial"/>
                <w:sz w:val="24"/>
                <w:szCs w:val="24"/>
              </w:rPr>
            </w:pPr>
          </w:p>
        </w:tc>
        <w:tc>
          <w:tcPr>
            <w:tcW w:w="4414" w:type="dxa"/>
          </w:tcPr>
          <w:p w14:paraId="3ACC2A58" w14:textId="77777777" w:rsidR="008E7057" w:rsidRDefault="008E7057" w:rsidP="00EE4B5F">
            <w:pPr>
              <w:rPr>
                <w:rFonts w:ascii="Bookman Old Style" w:hAnsi="Bookman Old Style" w:cs="Arial"/>
                <w:sz w:val="24"/>
                <w:szCs w:val="24"/>
              </w:rPr>
            </w:pPr>
          </w:p>
        </w:tc>
      </w:tr>
      <w:tr w:rsidR="008E7057" w14:paraId="76A9488F" w14:textId="77777777" w:rsidTr="008E7057">
        <w:tc>
          <w:tcPr>
            <w:tcW w:w="4414" w:type="dxa"/>
          </w:tcPr>
          <w:p w14:paraId="612B830D" w14:textId="77777777" w:rsidR="008E7057" w:rsidRDefault="008E7057" w:rsidP="00EE4B5F">
            <w:pPr>
              <w:rPr>
                <w:rFonts w:ascii="Bookman Old Style" w:hAnsi="Bookman Old Style" w:cs="Arial"/>
                <w:sz w:val="24"/>
                <w:szCs w:val="24"/>
              </w:rPr>
            </w:pPr>
          </w:p>
          <w:p w14:paraId="08AB6DC6" w14:textId="574730E4" w:rsidR="008E7057" w:rsidRDefault="008E7057" w:rsidP="00EE4B5F">
            <w:pPr>
              <w:rPr>
                <w:rFonts w:ascii="Bookman Old Style" w:hAnsi="Bookman Old Style" w:cs="Arial"/>
                <w:sz w:val="24"/>
                <w:szCs w:val="24"/>
              </w:rPr>
            </w:pPr>
          </w:p>
        </w:tc>
        <w:tc>
          <w:tcPr>
            <w:tcW w:w="4414" w:type="dxa"/>
          </w:tcPr>
          <w:p w14:paraId="339F05AB" w14:textId="77777777" w:rsidR="008E7057" w:rsidRDefault="008E7057" w:rsidP="00EE4B5F">
            <w:pPr>
              <w:rPr>
                <w:rFonts w:ascii="Bookman Old Style" w:hAnsi="Bookman Old Style" w:cs="Arial"/>
                <w:sz w:val="24"/>
                <w:szCs w:val="24"/>
              </w:rPr>
            </w:pPr>
          </w:p>
        </w:tc>
      </w:tr>
      <w:tr w:rsidR="008E7057" w14:paraId="51499BA8" w14:textId="77777777" w:rsidTr="008E7057">
        <w:tc>
          <w:tcPr>
            <w:tcW w:w="4414" w:type="dxa"/>
          </w:tcPr>
          <w:p w14:paraId="4D79D124" w14:textId="77777777" w:rsidR="008E7057" w:rsidRDefault="008E7057" w:rsidP="00EE4B5F">
            <w:pPr>
              <w:rPr>
                <w:rFonts w:ascii="Bookman Old Style" w:hAnsi="Bookman Old Style" w:cs="Arial"/>
                <w:sz w:val="24"/>
                <w:szCs w:val="24"/>
              </w:rPr>
            </w:pPr>
          </w:p>
          <w:p w14:paraId="5751952D" w14:textId="5D4F7CF6" w:rsidR="008E7057" w:rsidRDefault="008E7057" w:rsidP="00EE4B5F">
            <w:pPr>
              <w:rPr>
                <w:rFonts w:ascii="Bookman Old Style" w:hAnsi="Bookman Old Style" w:cs="Arial"/>
                <w:sz w:val="24"/>
                <w:szCs w:val="24"/>
              </w:rPr>
            </w:pPr>
          </w:p>
        </w:tc>
        <w:tc>
          <w:tcPr>
            <w:tcW w:w="4414" w:type="dxa"/>
          </w:tcPr>
          <w:p w14:paraId="6FD4C9AB" w14:textId="77777777" w:rsidR="008E7057" w:rsidRDefault="008E7057" w:rsidP="00EE4B5F">
            <w:pPr>
              <w:rPr>
                <w:rFonts w:ascii="Bookman Old Style" w:hAnsi="Bookman Old Style" w:cs="Arial"/>
                <w:sz w:val="24"/>
                <w:szCs w:val="24"/>
              </w:rPr>
            </w:pPr>
          </w:p>
        </w:tc>
      </w:tr>
    </w:tbl>
    <w:p w14:paraId="031BDED7" w14:textId="0A99C25E" w:rsidR="008E7057" w:rsidRDefault="008E7057" w:rsidP="00EE4B5F">
      <w:pPr>
        <w:spacing w:after="0" w:line="240" w:lineRule="auto"/>
        <w:rPr>
          <w:rFonts w:ascii="Bookman Old Style" w:hAnsi="Bookman Old Style" w:cs="Arial"/>
          <w:sz w:val="24"/>
          <w:szCs w:val="24"/>
        </w:rPr>
      </w:pPr>
    </w:p>
    <w:p w14:paraId="4A5A5B99" w14:textId="0778D24E" w:rsidR="008E7057" w:rsidRDefault="008E7057" w:rsidP="00EE4B5F">
      <w:pPr>
        <w:spacing w:after="0" w:line="240" w:lineRule="auto"/>
        <w:rPr>
          <w:rFonts w:ascii="Bookman Old Style" w:hAnsi="Bookman Old Style" w:cs="Arial"/>
          <w:sz w:val="24"/>
          <w:szCs w:val="24"/>
        </w:rPr>
      </w:pPr>
    </w:p>
    <w:p w14:paraId="4128A605" w14:textId="4F75E3AF" w:rsidR="008E7057" w:rsidRDefault="008E7057" w:rsidP="00EE4B5F">
      <w:pPr>
        <w:spacing w:after="0" w:line="240" w:lineRule="auto"/>
        <w:rPr>
          <w:rFonts w:ascii="Bookman Old Style" w:hAnsi="Bookman Old Style" w:cs="Arial"/>
          <w:sz w:val="24"/>
          <w:szCs w:val="24"/>
        </w:rPr>
      </w:pPr>
    </w:p>
    <w:p w14:paraId="78AC908E" w14:textId="0F328B94" w:rsidR="008E7057" w:rsidRDefault="008E7057" w:rsidP="00EE4B5F">
      <w:pPr>
        <w:spacing w:after="0" w:line="240" w:lineRule="auto"/>
        <w:rPr>
          <w:rFonts w:ascii="Bookman Old Style" w:hAnsi="Bookman Old Style" w:cs="Arial"/>
          <w:sz w:val="24"/>
          <w:szCs w:val="24"/>
        </w:rPr>
      </w:pPr>
    </w:p>
    <w:p w14:paraId="21216723" w14:textId="197E704D" w:rsidR="008E7057" w:rsidRDefault="008E7057" w:rsidP="00EE4B5F">
      <w:pPr>
        <w:spacing w:after="0" w:line="240" w:lineRule="auto"/>
        <w:rPr>
          <w:rFonts w:ascii="Bookman Old Style" w:hAnsi="Bookman Old Style" w:cs="Arial"/>
          <w:sz w:val="24"/>
          <w:szCs w:val="24"/>
        </w:rPr>
      </w:pPr>
    </w:p>
    <w:p w14:paraId="22A6F17F" w14:textId="798B5F76" w:rsidR="008E7057" w:rsidRDefault="008E7057" w:rsidP="00EE4B5F">
      <w:pPr>
        <w:spacing w:after="0" w:line="240" w:lineRule="auto"/>
        <w:rPr>
          <w:rFonts w:ascii="Bookman Old Style" w:hAnsi="Bookman Old Style" w:cs="Arial"/>
          <w:sz w:val="24"/>
          <w:szCs w:val="24"/>
        </w:rPr>
      </w:pPr>
    </w:p>
    <w:p w14:paraId="72DA3943" w14:textId="38D3A1DF" w:rsidR="008E7057" w:rsidRDefault="008E7057" w:rsidP="00EE4B5F">
      <w:pPr>
        <w:spacing w:after="0" w:line="240" w:lineRule="auto"/>
        <w:rPr>
          <w:rFonts w:ascii="Bookman Old Style" w:hAnsi="Bookman Old Style" w:cs="Arial"/>
          <w:sz w:val="24"/>
          <w:szCs w:val="24"/>
        </w:rPr>
      </w:pPr>
    </w:p>
    <w:p w14:paraId="29F5BC75" w14:textId="534BA32E" w:rsidR="008E7057" w:rsidRDefault="008E7057" w:rsidP="00EE4B5F">
      <w:pPr>
        <w:spacing w:after="0" w:line="240" w:lineRule="auto"/>
        <w:rPr>
          <w:rFonts w:ascii="Bookman Old Style" w:hAnsi="Bookman Old Style" w:cs="Arial"/>
          <w:sz w:val="24"/>
          <w:szCs w:val="24"/>
        </w:rPr>
      </w:pPr>
    </w:p>
    <w:p w14:paraId="17BFEAEA" w14:textId="38A3C642" w:rsidR="008E7057" w:rsidRDefault="008E7057" w:rsidP="00EE4B5F">
      <w:pPr>
        <w:spacing w:after="0" w:line="240" w:lineRule="auto"/>
        <w:rPr>
          <w:rFonts w:ascii="Bookman Old Style" w:hAnsi="Bookman Old Style" w:cs="Arial"/>
          <w:sz w:val="24"/>
          <w:szCs w:val="24"/>
        </w:rPr>
      </w:pPr>
    </w:p>
    <w:p w14:paraId="7DF9B51A" w14:textId="6FA5B28F" w:rsidR="008E7057" w:rsidRDefault="008E7057" w:rsidP="00EE4B5F">
      <w:pPr>
        <w:spacing w:after="0" w:line="240" w:lineRule="auto"/>
        <w:rPr>
          <w:rFonts w:ascii="Bookman Old Style" w:hAnsi="Bookman Old Style" w:cs="Arial"/>
          <w:sz w:val="24"/>
          <w:szCs w:val="24"/>
        </w:rPr>
      </w:pPr>
    </w:p>
    <w:p w14:paraId="42C00B90" w14:textId="5C8877A4" w:rsidR="008E7057" w:rsidRDefault="008E7057" w:rsidP="00EE4B5F">
      <w:pPr>
        <w:spacing w:after="0" w:line="240" w:lineRule="auto"/>
        <w:rPr>
          <w:rFonts w:ascii="Bookman Old Style" w:hAnsi="Bookman Old Style" w:cs="Arial"/>
          <w:sz w:val="24"/>
          <w:szCs w:val="24"/>
        </w:rPr>
      </w:pPr>
    </w:p>
    <w:p w14:paraId="7A62B0BB" w14:textId="3722F430" w:rsidR="008E7057" w:rsidRDefault="008E7057" w:rsidP="00EE4B5F">
      <w:pPr>
        <w:spacing w:after="0" w:line="240" w:lineRule="auto"/>
        <w:rPr>
          <w:rFonts w:ascii="Bookman Old Style" w:hAnsi="Bookman Old Style" w:cs="Arial"/>
          <w:sz w:val="24"/>
          <w:szCs w:val="24"/>
        </w:rPr>
      </w:pPr>
    </w:p>
    <w:p w14:paraId="52FEB1D3" w14:textId="0FF8C412" w:rsidR="008E7057" w:rsidRDefault="008E7057" w:rsidP="00EE4B5F">
      <w:pPr>
        <w:spacing w:after="0" w:line="240" w:lineRule="auto"/>
        <w:rPr>
          <w:rFonts w:ascii="Bookman Old Style" w:hAnsi="Bookman Old Style" w:cs="Arial"/>
          <w:sz w:val="24"/>
          <w:szCs w:val="24"/>
        </w:rPr>
      </w:pPr>
    </w:p>
    <w:p w14:paraId="5586A6E7" w14:textId="29BDC6E2" w:rsidR="008E7057" w:rsidRDefault="008E7057" w:rsidP="00EE4B5F">
      <w:pPr>
        <w:spacing w:after="0" w:line="240" w:lineRule="auto"/>
        <w:rPr>
          <w:rFonts w:ascii="Bookman Old Style" w:hAnsi="Bookman Old Style" w:cs="Arial"/>
          <w:sz w:val="24"/>
          <w:szCs w:val="24"/>
        </w:rPr>
      </w:pPr>
    </w:p>
    <w:p w14:paraId="70839335" w14:textId="02B3408F" w:rsidR="008E7057" w:rsidRDefault="008E7057" w:rsidP="00EE4B5F">
      <w:pPr>
        <w:spacing w:after="0" w:line="240" w:lineRule="auto"/>
        <w:rPr>
          <w:rFonts w:ascii="Bookman Old Style" w:hAnsi="Bookman Old Style" w:cs="Arial"/>
          <w:sz w:val="24"/>
          <w:szCs w:val="24"/>
        </w:rPr>
      </w:pPr>
    </w:p>
    <w:p w14:paraId="31C05B6F" w14:textId="3B806E9E" w:rsidR="008E7057" w:rsidRDefault="008E7057" w:rsidP="00EE4B5F">
      <w:pPr>
        <w:spacing w:after="0" w:line="240" w:lineRule="auto"/>
        <w:rPr>
          <w:rFonts w:ascii="Bookman Old Style" w:hAnsi="Bookman Old Style" w:cs="Arial"/>
          <w:sz w:val="24"/>
          <w:szCs w:val="24"/>
        </w:rPr>
      </w:pPr>
    </w:p>
    <w:p w14:paraId="49208435" w14:textId="7F7CB2CD" w:rsidR="008E7057" w:rsidRDefault="008E7057" w:rsidP="00EE4B5F">
      <w:pPr>
        <w:spacing w:after="0" w:line="240" w:lineRule="auto"/>
        <w:rPr>
          <w:rFonts w:ascii="Bookman Old Style" w:hAnsi="Bookman Old Style" w:cs="Arial"/>
          <w:sz w:val="24"/>
          <w:szCs w:val="24"/>
        </w:rPr>
      </w:pPr>
    </w:p>
    <w:p w14:paraId="6DE46299" w14:textId="6DA778CC" w:rsidR="008E7057" w:rsidRDefault="008E7057" w:rsidP="00EE4B5F">
      <w:pPr>
        <w:spacing w:after="0" w:line="240" w:lineRule="auto"/>
        <w:rPr>
          <w:rFonts w:ascii="Bookman Old Style" w:hAnsi="Bookman Old Style" w:cs="Arial"/>
          <w:sz w:val="24"/>
          <w:szCs w:val="24"/>
        </w:rPr>
      </w:pPr>
    </w:p>
    <w:p w14:paraId="4CD215A2" w14:textId="3294B481" w:rsidR="008E7057" w:rsidRDefault="008E7057" w:rsidP="00EE4B5F">
      <w:pPr>
        <w:spacing w:after="0" w:line="240" w:lineRule="auto"/>
        <w:rPr>
          <w:rFonts w:ascii="Bookman Old Style" w:hAnsi="Bookman Old Style" w:cs="Arial"/>
          <w:sz w:val="24"/>
          <w:szCs w:val="24"/>
        </w:rPr>
      </w:pPr>
    </w:p>
    <w:p w14:paraId="17D89AB8" w14:textId="55BD9076" w:rsidR="008E7057" w:rsidRDefault="008E7057" w:rsidP="00EE4B5F">
      <w:pPr>
        <w:spacing w:after="0" w:line="240" w:lineRule="auto"/>
        <w:jc w:val="center"/>
        <w:rPr>
          <w:rFonts w:ascii="Bookman Old Style" w:eastAsia="Times New Roman" w:hAnsi="Bookman Old Style" w:cs="Arial"/>
          <w:b/>
          <w:bCs/>
          <w:color w:val="000000"/>
          <w:sz w:val="24"/>
          <w:szCs w:val="24"/>
          <w:lang w:eastAsia="es-CO"/>
        </w:rPr>
      </w:pPr>
    </w:p>
    <w:p w14:paraId="645BDD5A" w14:textId="3347A169"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5E07F935" w14:textId="72F04BB4"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07953659" w14:textId="0252B4D9"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39F0AB5E" w14:textId="60EB1A61"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365FD4EE" w14:textId="15787233"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48C1C9CC" w14:textId="4D676496"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128AA14B" w14:textId="6B5A62B4"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058996E5" w14:textId="0A6E7A47"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4B55BA47" w14:textId="32D81062"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25F94A3B" w14:textId="67A18FF9"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3C1D3BCB" w14:textId="488BA9A5" w:rsidR="00EE4B5F"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30F8030C" w14:textId="77777777" w:rsidR="00EE4B5F" w:rsidRPr="008E7057" w:rsidRDefault="00EE4B5F" w:rsidP="00EE4B5F">
      <w:pPr>
        <w:spacing w:after="0" w:line="240" w:lineRule="auto"/>
        <w:jc w:val="center"/>
        <w:rPr>
          <w:rFonts w:ascii="Bookman Old Style" w:eastAsia="Times New Roman" w:hAnsi="Bookman Old Style" w:cs="Arial"/>
          <w:b/>
          <w:bCs/>
          <w:color w:val="000000"/>
          <w:sz w:val="24"/>
          <w:szCs w:val="24"/>
          <w:lang w:eastAsia="es-CO"/>
        </w:rPr>
      </w:pPr>
    </w:p>
    <w:p w14:paraId="444D6997" w14:textId="58745817" w:rsidR="008E7057" w:rsidRPr="008E7057" w:rsidRDefault="008E7057" w:rsidP="00EE4B5F">
      <w:pPr>
        <w:spacing w:after="0" w:line="240" w:lineRule="auto"/>
        <w:rPr>
          <w:rFonts w:ascii="Bookman Old Style" w:eastAsia="Times New Roman" w:hAnsi="Bookman Old Style" w:cs="Arial"/>
          <w:b/>
          <w:bCs/>
          <w:color w:val="000000"/>
          <w:sz w:val="24"/>
          <w:szCs w:val="24"/>
          <w:lang w:eastAsia="es-CO"/>
        </w:rPr>
      </w:pPr>
    </w:p>
    <w:p w14:paraId="47222773" w14:textId="56ED7CA8" w:rsidR="002115AD" w:rsidRPr="008E7057" w:rsidRDefault="002115AD" w:rsidP="00EE4B5F">
      <w:pPr>
        <w:spacing w:after="0" w:line="240" w:lineRule="auto"/>
        <w:jc w:val="center"/>
        <w:rPr>
          <w:rFonts w:ascii="Bookman Old Style" w:eastAsia="Times New Roman" w:hAnsi="Bookman Old Style" w:cs="Arial"/>
          <w:sz w:val="24"/>
          <w:szCs w:val="24"/>
          <w:lang w:eastAsia="es-CO"/>
        </w:rPr>
      </w:pPr>
      <w:r w:rsidRPr="008E7057">
        <w:rPr>
          <w:rFonts w:ascii="Bookman Old Style" w:eastAsia="Times New Roman" w:hAnsi="Bookman Old Style" w:cs="Arial"/>
          <w:b/>
          <w:bCs/>
          <w:color w:val="000000"/>
          <w:sz w:val="24"/>
          <w:szCs w:val="24"/>
          <w:lang w:eastAsia="es-CO"/>
        </w:rPr>
        <w:lastRenderedPageBreak/>
        <w:t xml:space="preserve">PROYECTO DE LEY </w:t>
      </w:r>
      <w:r w:rsidR="000D028B" w:rsidRPr="008E7057">
        <w:rPr>
          <w:rFonts w:ascii="Bookman Old Style" w:eastAsia="Times New Roman" w:hAnsi="Bookman Old Style" w:cs="Arial"/>
          <w:b/>
          <w:bCs/>
          <w:color w:val="000000"/>
          <w:sz w:val="24"/>
          <w:szCs w:val="24"/>
          <w:lang w:eastAsia="es-CO"/>
        </w:rPr>
        <w:t xml:space="preserve">ESTATUTARIA </w:t>
      </w:r>
      <w:r w:rsidRPr="008E7057">
        <w:rPr>
          <w:rFonts w:ascii="Bookman Old Style" w:eastAsia="Times New Roman" w:hAnsi="Bookman Old Style" w:cs="Arial"/>
          <w:b/>
          <w:bCs/>
          <w:color w:val="000000"/>
          <w:sz w:val="24"/>
          <w:szCs w:val="24"/>
          <w:lang w:eastAsia="es-CO"/>
        </w:rPr>
        <w:t>No____DE 202</w:t>
      </w:r>
      <w:r w:rsidR="00B03F4E" w:rsidRPr="008E7057">
        <w:rPr>
          <w:rFonts w:ascii="Bookman Old Style" w:eastAsia="Times New Roman" w:hAnsi="Bookman Old Style" w:cs="Arial"/>
          <w:b/>
          <w:bCs/>
          <w:color w:val="000000"/>
          <w:sz w:val="24"/>
          <w:szCs w:val="24"/>
          <w:lang w:eastAsia="es-CO"/>
        </w:rPr>
        <w:t>4</w:t>
      </w:r>
      <w:r w:rsidRPr="008E7057">
        <w:rPr>
          <w:rFonts w:ascii="Bookman Old Style" w:eastAsia="Times New Roman" w:hAnsi="Bookman Old Style" w:cs="Arial"/>
          <w:b/>
          <w:bCs/>
          <w:color w:val="000000"/>
          <w:sz w:val="24"/>
          <w:szCs w:val="24"/>
          <w:lang w:eastAsia="es-CO"/>
        </w:rPr>
        <w:t xml:space="preserve"> CÁMARA </w:t>
      </w:r>
    </w:p>
    <w:p w14:paraId="045049D6" w14:textId="77777777" w:rsidR="002115AD" w:rsidRPr="008E7057" w:rsidRDefault="002115AD" w:rsidP="00EE4B5F">
      <w:pPr>
        <w:spacing w:after="0" w:line="240" w:lineRule="auto"/>
        <w:jc w:val="both"/>
        <w:rPr>
          <w:rFonts w:ascii="Bookman Old Style" w:eastAsia="Times New Roman" w:hAnsi="Bookman Old Style" w:cs="Arial"/>
          <w:sz w:val="24"/>
          <w:szCs w:val="24"/>
          <w:lang w:eastAsia="es-CO"/>
        </w:rPr>
      </w:pPr>
      <w:r w:rsidRPr="008E7057">
        <w:rPr>
          <w:rFonts w:ascii="Bookman Old Style" w:eastAsia="Times New Roman" w:hAnsi="Bookman Old Style" w:cs="Arial"/>
          <w:b/>
          <w:bCs/>
          <w:color w:val="000000"/>
          <w:sz w:val="24"/>
          <w:szCs w:val="24"/>
          <w:lang w:eastAsia="es-CO"/>
        </w:rPr>
        <w:tab/>
      </w:r>
      <w:r w:rsidRPr="008E7057">
        <w:rPr>
          <w:rFonts w:ascii="Bookman Old Style" w:eastAsia="Times New Roman" w:hAnsi="Bookman Old Style" w:cs="Arial"/>
          <w:b/>
          <w:bCs/>
          <w:color w:val="000000"/>
          <w:sz w:val="24"/>
          <w:szCs w:val="24"/>
          <w:lang w:eastAsia="es-CO"/>
        </w:rPr>
        <w:tab/>
      </w:r>
      <w:r w:rsidRPr="008E7057">
        <w:rPr>
          <w:rFonts w:ascii="Bookman Old Style" w:eastAsia="Times New Roman" w:hAnsi="Bookman Old Style" w:cs="Arial"/>
          <w:b/>
          <w:bCs/>
          <w:color w:val="000000"/>
          <w:sz w:val="24"/>
          <w:szCs w:val="24"/>
          <w:lang w:eastAsia="es-CO"/>
        </w:rPr>
        <w:tab/>
      </w:r>
      <w:r w:rsidRPr="008E7057">
        <w:rPr>
          <w:rFonts w:ascii="Bookman Old Style" w:eastAsia="Times New Roman" w:hAnsi="Bookman Old Style" w:cs="Arial"/>
          <w:b/>
          <w:bCs/>
          <w:color w:val="000000"/>
          <w:sz w:val="24"/>
          <w:szCs w:val="24"/>
          <w:lang w:eastAsia="es-CO"/>
        </w:rPr>
        <w:tab/>
      </w:r>
    </w:p>
    <w:p w14:paraId="172D4F2A" w14:textId="77777777" w:rsidR="002115AD" w:rsidRPr="008E7057" w:rsidRDefault="002115AD" w:rsidP="00EE4B5F">
      <w:pPr>
        <w:spacing w:after="0" w:line="240" w:lineRule="auto"/>
        <w:jc w:val="both"/>
        <w:rPr>
          <w:rFonts w:ascii="Bookman Old Style" w:eastAsia="Times New Roman" w:hAnsi="Bookman Old Style" w:cs="Arial"/>
          <w:sz w:val="24"/>
          <w:szCs w:val="24"/>
          <w:lang w:eastAsia="es-CO"/>
        </w:rPr>
      </w:pPr>
      <w:r w:rsidRPr="008E7057">
        <w:rPr>
          <w:rFonts w:ascii="Bookman Old Style" w:eastAsia="Times New Roman" w:hAnsi="Bookman Old Style" w:cs="Arial"/>
          <w:b/>
          <w:bCs/>
          <w:color w:val="000000"/>
          <w:sz w:val="24"/>
          <w:szCs w:val="24"/>
          <w:lang w:eastAsia="es-CO"/>
        </w:rPr>
        <w:tab/>
      </w:r>
      <w:r w:rsidRPr="008E7057">
        <w:rPr>
          <w:rFonts w:ascii="Bookman Old Style" w:eastAsia="Times New Roman" w:hAnsi="Bookman Old Style" w:cs="Arial"/>
          <w:b/>
          <w:bCs/>
          <w:color w:val="000000"/>
          <w:sz w:val="24"/>
          <w:szCs w:val="24"/>
          <w:lang w:eastAsia="es-CO"/>
        </w:rPr>
        <w:tab/>
      </w:r>
      <w:r w:rsidRPr="008E7057">
        <w:rPr>
          <w:rFonts w:ascii="Bookman Old Style" w:eastAsia="Times New Roman" w:hAnsi="Bookman Old Style" w:cs="Arial"/>
          <w:b/>
          <w:bCs/>
          <w:color w:val="000000"/>
          <w:sz w:val="24"/>
          <w:szCs w:val="24"/>
          <w:lang w:eastAsia="es-CO"/>
        </w:rPr>
        <w:tab/>
      </w:r>
    </w:p>
    <w:p w14:paraId="777EB24B" w14:textId="65143ABA" w:rsidR="002403A3" w:rsidRPr="00EE4B5F" w:rsidRDefault="00EE4B5F" w:rsidP="00EE4B5F">
      <w:pPr>
        <w:spacing w:after="0" w:line="240" w:lineRule="auto"/>
        <w:jc w:val="center"/>
        <w:rPr>
          <w:rFonts w:ascii="Bookman Old Style" w:eastAsia="Times New Roman" w:hAnsi="Bookman Old Style" w:cs="Arial"/>
          <w:b/>
          <w:bCs/>
          <w:i/>
          <w:color w:val="000000"/>
          <w:sz w:val="24"/>
          <w:szCs w:val="24"/>
          <w:lang w:eastAsia="es-CO"/>
        </w:rPr>
      </w:pPr>
      <w:r>
        <w:rPr>
          <w:rFonts w:ascii="Bookman Old Style" w:eastAsia="Times New Roman" w:hAnsi="Bookman Old Style" w:cs="Arial"/>
          <w:b/>
          <w:bCs/>
          <w:i/>
          <w:color w:val="000000"/>
          <w:sz w:val="24"/>
          <w:szCs w:val="24"/>
          <w:lang w:eastAsia="es-CO"/>
        </w:rPr>
        <w:t>“P</w:t>
      </w:r>
      <w:r w:rsidRPr="00EE4B5F">
        <w:rPr>
          <w:rFonts w:ascii="Bookman Old Style" w:eastAsia="Times New Roman" w:hAnsi="Bookman Old Style" w:cs="Arial"/>
          <w:b/>
          <w:bCs/>
          <w:i/>
          <w:color w:val="000000"/>
          <w:sz w:val="24"/>
          <w:szCs w:val="24"/>
          <w:lang w:eastAsia="es-CO"/>
        </w:rPr>
        <w:t>or</w:t>
      </w:r>
      <w:r>
        <w:rPr>
          <w:rFonts w:ascii="Bookman Old Style" w:eastAsia="Times New Roman" w:hAnsi="Bookman Old Style" w:cs="Arial"/>
          <w:b/>
          <w:bCs/>
          <w:i/>
          <w:color w:val="000000"/>
          <w:sz w:val="24"/>
          <w:szCs w:val="24"/>
          <w:lang w:eastAsia="es-CO"/>
        </w:rPr>
        <w:t xml:space="preserve"> medio del cual se modifica la L</w:t>
      </w:r>
      <w:r w:rsidRPr="00EE4B5F">
        <w:rPr>
          <w:rFonts w:ascii="Bookman Old Style" w:eastAsia="Times New Roman" w:hAnsi="Bookman Old Style" w:cs="Arial"/>
          <w:b/>
          <w:bCs/>
          <w:i/>
          <w:color w:val="000000"/>
          <w:sz w:val="24"/>
          <w:szCs w:val="24"/>
          <w:lang w:eastAsia="es-CO"/>
        </w:rPr>
        <w:t xml:space="preserve">ey 2157 de 2021 para establecer un beneficio especial de exclusión del reporte negativo en las centrales de riesgos financieros para los deudores y </w:t>
      </w:r>
      <w:r w:rsidRPr="00EE4B5F">
        <w:rPr>
          <w:rFonts w:ascii="Bookman Old Style" w:eastAsia="Times New Roman" w:hAnsi="Bookman Old Style" w:cs="Arial"/>
          <w:b/>
          <w:bCs/>
          <w:i/>
          <w:color w:val="000000" w:themeColor="text1"/>
          <w:sz w:val="24"/>
          <w:szCs w:val="24"/>
          <w:lang w:eastAsia="es-CO"/>
        </w:rPr>
        <w:t xml:space="preserve">codeudores </w:t>
      </w:r>
      <w:r w:rsidRPr="00EE4B5F">
        <w:rPr>
          <w:rFonts w:ascii="Bookman Old Style" w:eastAsia="Times New Roman" w:hAnsi="Bookman Old Style" w:cs="Arial"/>
          <w:b/>
          <w:bCs/>
          <w:i/>
          <w:color w:val="000000"/>
          <w:sz w:val="24"/>
          <w:szCs w:val="24"/>
          <w:lang w:eastAsia="es-CO"/>
        </w:rPr>
        <w:t>de créditos educativos”</w:t>
      </w:r>
    </w:p>
    <w:p w14:paraId="5E1E77A0" w14:textId="77777777" w:rsidR="002115AD" w:rsidRPr="008E7057" w:rsidRDefault="002115AD" w:rsidP="00EE4B5F">
      <w:pPr>
        <w:spacing w:after="0" w:line="240" w:lineRule="auto"/>
        <w:rPr>
          <w:rFonts w:ascii="Bookman Old Style" w:eastAsia="Times New Roman" w:hAnsi="Bookman Old Style" w:cs="Arial"/>
          <w:sz w:val="24"/>
          <w:szCs w:val="24"/>
          <w:lang w:eastAsia="es-CO"/>
        </w:rPr>
      </w:pPr>
    </w:p>
    <w:p w14:paraId="601BBB25" w14:textId="163C7658" w:rsidR="002403A3" w:rsidRPr="008E7057" w:rsidRDefault="00EE4B5F" w:rsidP="00EE4B5F">
      <w:pPr>
        <w:spacing w:after="0" w:line="240" w:lineRule="auto"/>
        <w:jc w:val="center"/>
        <w:rPr>
          <w:rFonts w:ascii="Bookman Old Style" w:eastAsia="Times New Roman" w:hAnsi="Bookman Old Style" w:cs="Arial"/>
          <w:b/>
          <w:bCs/>
          <w:color w:val="000000"/>
          <w:sz w:val="24"/>
          <w:szCs w:val="24"/>
          <w:lang w:eastAsia="es-CO"/>
        </w:rPr>
      </w:pPr>
      <w:r w:rsidRPr="008E7057">
        <w:rPr>
          <w:rFonts w:ascii="Bookman Old Style" w:eastAsia="Times New Roman" w:hAnsi="Bookman Old Style" w:cs="Arial"/>
          <w:b/>
          <w:bCs/>
          <w:color w:val="000000"/>
          <w:sz w:val="24"/>
          <w:szCs w:val="24"/>
          <w:lang w:eastAsia="es-CO"/>
        </w:rPr>
        <w:t>EL CONGRESO DE COLOMBIA</w:t>
      </w:r>
      <w:r w:rsidR="002403A3" w:rsidRPr="008E7057">
        <w:rPr>
          <w:rFonts w:ascii="Bookman Old Style" w:eastAsia="Times New Roman" w:hAnsi="Bookman Old Style" w:cs="Arial"/>
          <w:b/>
          <w:bCs/>
          <w:color w:val="000000"/>
          <w:sz w:val="24"/>
          <w:szCs w:val="24"/>
          <w:lang w:eastAsia="es-CO"/>
        </w:rPr>
        <w:t xml:space="preserve">, </w:t>
      </w:r>
    </w:p>
    <w:p w14:paraId="1DA1F4C6" w14:textId="2894C7E4" w:rsidR="002115AD" w:rsidRPr="008E7057" w:rsidRDefault="002115AD" w:rsidP="00EE4B5F">
      <w:pPr>
        <w:spacing w:after="0" w:line="240" w:lineRule="auto"/>
        <w:rPr>
          <w:rFonts w:ascii="Bookman Old Style" w:eastAsia="Times New Roman" w:hAnsi="Bookman Old Style" w:cs="Arial"/>
          <w:sz w:val="24"/>
          <w:szCs w:val="24"/>
          <w:lang w:eastAsia="es-CO"/>
        </w:rPr>
      </w:pPr>
    </w:p>
    <w:p w14:paraId="69380AAC" w14:textId="77777777" w:rsidR="002115AD" w:rsidRPr="008E7057" w:rsidRDefault="002115AD" w:rsidP="00EE4B5F">
      <w:pPr>
        <w:spacing w:after="0" w:line="240" w:lineRule="auto"/>
        <w:jc w:val="center"/>
        <w:rPr>
          <w:rFonts w:ascii="Bookman Old Style" w:eastAsia="Times New Roman" w:hAnsi="Bookman Old Style" w:cs="Arial"/>
          <w:sz w:val="24"/>
          <w:szCs w:val="24"/>
          <w:lang w:eastAsia="es-CO"/>
        </w:rPr>
      </w:pPr>
      <w:r w:rsidRPr="008E7057">
        <w:rPr>
          <w:rFonts w:ascii="Bookman Old Style" w:eastAsia="Times New Roman" w:hAnsi="Bookman Old Style" w:cs="Arial"/>
          <w:b/>
          <w:bCs/>
          <w:color w:val="000000"/>
          <w:sz w:val="24"/>
          <w:szCs w:val="24"/>
          <w:lang w:eastAsia="es-CO"/>
        </w:rPr>
        <w:t>DECRETA:</w:t>
      </w:r>
    </w:p>
    <w:p w14:paraId="25FE51E9" w14:textId="77777777" w:rsidR="002115AD" w:rsidRPr="008E7057" w:rsidRDefault="002115AD" w:rsidP="00EE4B5F">
      <w:pPr>
        <w:spacing w:after="0" w:line="240" w:lineRule="auto"/>
        <w:rPr>
          <w:rFonts w:ascii="Bookman Old Style" w:eastAsia="Times New Roman" w:hAnsi="Bookman Old Style" w:cs="Arial"/>
          <w:sz w:val="24"/>
          <w:szCs w:val="24"/>
          <w:lang w:eastAsia="es-CO"/>
        </w:rPr>
      </w:pPr>
    </w:p>
    <w:p w14:paraId="73F9F106" w14:textId="44E55C0C" w:rsidR="00211E2E" w:rsidRPr="008E7057" w:rsidRDefault="002115AD" w:rsidP="00EE4B5F">
      <w:pPr>
        <w:spacing w:after="0" w:line="240" w:lineRule="auto"/>
        <w:jc w:val="both"/>
        <w:rPr>
          <w:rFonts w:ascii="Bookman Old Style" w:eastAsia="Times New Roman" w:hAnsi="Bookman Old Style" w:cs="Arial"/>
          <w:color w:val="000000"/>
          <w:sz w:val="24"/>
          <w:szCs w:val="24"/>
          <w:lang w:eastAsia="es-CO"/>
        </w:rPr>
      </w:pPr>
      <w:r w:rsidRPr="008E7057">
        <w:rPr>
          <w:rFonts w:ascii="Bookman Old Style" w:eastAsia="Times New Roman" w:hAnsi="Bookman Old Style" w:cs="Arial"/>
          <w:b/>
          <w:color w:val="000000"/>
          <w:sz w:val="24"/>
          <w:szCs w:val="24"/>
          <w:lang w:eastAsia="es-CO"/>
        </w:rPr>
        <w:t xml:space="preserve">Artículo 1: </w:t>
      </w:r>
      <w:r w:rsidRPr="008E7057">
        <w:rPr>
          <w:rFonts w:ascii="Bookman Old Style" w:eastAsia="Times New Roman" w:hAnsi="Bookman Old Style" w:cs="Arial"/>
          <w:b/>
          <w:bCs/>
          <w:color w:val="000000"/>
          <w:sz w:val="24"/>
          <w:szCs w:val="24"/>
          <w:lang w:eastAsia="es-CO"/>
        </w:rPr>
        <w:t>Objeto</w:t>
      </w:r>
      <w:r w:rsidR="002403A3" w:rsidRPr="008E7057">
        <w:rPr>
          <w:rFonts w:ascii="Bookman Old Style" w:eastAsia="Times New Roman" w:hAnsi="Bookman Old Style" w:cs="Arial"/>
          <w:color w:val="000000"/>
          <w:sz w:val="24"/>
          <w:szCs w:val="24"/>
          <w:lang w:eastAsia="es-CO"/>
        </w:rPr>
        <w:t xml:space="preserve">. </w:t>
      </w:r>
      <w:r w:rsidRPr="008E7057">
        <w:rPr>
          <w:rFonts w:ascii="Bookman Old Style" w:eastAsia="Times New Roman" w:hAnsi="Bookman Old Style" w:cs="Arial"/>
          <w:color w:val="000000"/>
          <w:sz w:val="24"/>
          <w:szCs w:val="24"/>
          <w:lang w:eastAsia="es-CO"/>
        </w:rPr>
        <w:t xml:space="preserve">La presente </w:t>
      </w:r>
      <w:r w:rsidR="00CC7601" w:rsidRPr="008E7057">
        <w:rPr>
          <w:rFonts w:ascii="Bookman Old Style" w:eastAsia="Times New Roman" w:hAnsi="Bookman Old Style" w:cs="Arial"/>
          <w:color w:val="000000"/>
          <w:sz w:val="24"/>
          <w:szCs w:val="24"/>
          <w:lang w:eastAsia="es-CO"/>
        </w:rPr>
        <w:t>L</w:t>
      </w:r>
      <w:r w:rsidRPr="008E7057">
        <w:rPr>
          <w:rFonts w:ascii="Bookman Old Style" w:eastAsia="Times New Roman" w:hAnsi="Bookman Old Style" w:cs="Arial"/>
          <w:color w:val="000000"/>
          <w:sz w:val="24"/>
          <w:szCs w:val="24"/>
          <w:lang w:eastAsia="es-CO"/>
        </w:rPr>
        <w:t>ey tiene como objet</w:t>
      </w:r>
      <w:r w:rsidR="0069440A" w:rsidRPr="008E7057">
        <w:rPr>
          <w:rFonts w:ascii="Bookman Old Style" w:eastAsia="Times New Roman" w:hAnsi="Bookman Old Style" w:cs="Arial"/>
          <w:color w:val="000000"/>
          <w:sz w:val="24"/>
          <w:szCs w:val="24"/>
          <w:lang w:eastAsia="es-CO"/>
        </w:rPr>
        <w:t>o incorpora</w:t>
      </w:r>
      <w:r w:rsidR="002735C7" w:rsidRPr="008E7057">
        <w:rPr>
          <w:rFonts w:ascii="Bookman Old Style" w:eastAsia="Times New Roman" w:hAnsi="Bookman Old Style" w:cs="Arial"/>
          <w:color w:val="000000"/>
          <w:sz w:val="24"/>
          <w:szCs w:val="24"/>
          <w:lang w:eastAsia="es-CO"/>
        </w:rPr>
        <w:t>r</w:t>
      </w:r>
      <w:r w:rsidR="0069440A" w:rsidRPr="008E7057">
        <w:rPr>
          <w:rFonts w:ascii="Bookman Old Style" w:eastAsia="Times New Roman" w:hAnsi="Bookman Old Style" w:cs="Arial"/>
          <w:color w:val="000000"/>
          <w:sz w:val="24"/>
          <w:szCs w:val="24"/>
          <w:lang w:eastAsia="es-CO"/>
        </w:rPr>
        <w:t xml:space="preserve"> </w:t>
      </w:r>
      <w:r w:rsidR="002735C7" w:rsidRPr="008E7057">
        <w:rPr>
          <w:rFonts w:ascii="Bookman Old Style" w:eastAsia="Times New Roman" w:hAnsi="Bookman Old Style" w:cs="Arial"/>
          <w:color w:val="000000"/>
          <w:sz w:val="24"/>
          <w:szCs w:val="24"/>
          <w:lang w:eastAsia="es-CO"/>
        </w:rPr>
        <w:t xml:space="preserve">un beneficio especial de exclusión </w:t>
      </w:r>
      <w:r w:rsidR="0069440A" w:rsidRPr="008E7057">
        <w:rPr>
          <w:rFonts w:ascii="Bookman Old Style" w:eastAsia="Times New Roman" w:hAnsi="Bookman Old Style" w:cs="Arial"/>
          <w:color w:val="000000"/>
          <w:sz w:val="24"/>
          <w:szCs w:val="24"/>
          <w:lang w:eastAsia="es-CO"/>
        </w:rPr>
        <w:t xml:space="preserve">del reporte negativo </w:t>
      </w:r>
      <w:r w:rsidR="002735C7" w:rsidRPr="008E7057">
        <w:rPr>
          <w:rFonts w:ascii="Bookman Old Style" w:eastAsia="Times New Roman" w:hAnsi="Bookman Old Style" w:cs="Arial"/>
          <w:color w:val="000000"/>
          <w:sz w:val="24"/>
          <w:szCs w:val="24"/>
          <w:lang w:eastAsia="es-CO"/>
        </w:rPr>
        <w:t xml:space="preserve">en centrales de riesgos financieros a los deudores </w:t>
      </w:r>
      <w:r w:rsidR="00CB0E87" w:rsidRPr="008E7057">
        <w:rPr>
          <w:rFonts w:ascii="Bookman Old Style" w:hAnsi="Bookman Old Style" w:cs="Arial"/>
          <w:color w:val="000000" w:themeColor="text1"/>
          <w:sz w:val="24"/>
          <w:szCs w:val="24"/>
          <w:shd w:val="clear" w:color="auto" w:fill="FFFFFF"/>
        </w:rPr>
        <w:t>y codeudores</w:t>
      </w:r>
      <w:r w:rsidR="00CB0E87" w:rsidRPr="008E7057">
        <w:rPr>
          <w:rFonts w:ascii="Bookman Old Style" w:eastAsia="Times New Roman" w:hAnsi="Bookman Old Style" w:cs="Arial"/>
          <w:color w:val="000000" w:themeColor="text1"/>
          <w:sz w:val="24"/>
          <w:szCs w:val="24"/>
          <w:lang w:eastAsia="es-CO"/>
        </w:rPr>
        <w:t xml:space="preserve"> </w:t>
      </w:r>
      <w:r w:rsidR="00CB0E87" w:rsidRPr="008E7057">
        <w:rPr>
          <w:rFonts w:ascii="Bookman Old Style" w:eastAsia="Times New Roman" w:hAnsi="Bookman Old Style" w:cs="Arial"/>
          <w:color w:val="000000"/>
          <w:sz w:val="24"/>
          <w:szCs w:val="24"/>
          <w:lang w:eastAsia="es-CO"/>
        </w:rPr>
        <w:t>de</w:t>
      </w:r>
      <w:r w:rsidR="002735C7" w:rsidRPr="008E7057">
        <w:rPr>
          <w:rFonts w:ascii="Bookman Old Style" w:eastAsia="Times New Roman" w:hAnsi="Bookman Old Style" w:cs="Arial"/>
          <w:color w:val="000000"/>
          <w:sz w:val="24"/>
          <w:szCs w:val="24"/>
          <w:lang w:eastAsia="es-CO"/>
        </w:rPr>
        <w:t xml:space="preserve"> los créditos educativos</w:t>
      </w:r>
      <w:r w:rsidR="00564364" w:rsidRPr="008E7057">
        <w:rPr>
          <w:rFonts w:ascii="Bookman Old Style" w:eastAsia="Times New Roman" w:hAnsi="Bookman Old Style" w:cs="Arial"/>
          <w:color w:val="000000"/>
          <w:sz w:val="24"/>
          <w:szCs w:val="24"/>
          <w:lang w:eastAsia="es-CO"/>
        </w:rPr>
        <w:t xml:space="preserve"> que manifiesten voluntad de pago</w:t>
      </w:r>
      <w:r w:rsidR="00CC7601" w:rsidRPr="008E7057">
        <w:rPr>
          <w:rFonts w:ascii="Bookman Old Style" w:eastAsia="Times New Roman" w:hAnsi="Bookman Old Style" w:cs="Arial"/>
          <w:color w:val="000000"/>
          <w:sz w:val="24"/>
          <w:szCs w:val="24"/>
          <w:lang w:eastAsia="es-CO"/>
        </w:rPr>
        <w:t xml:space="preserve">, con el fin de </w:t>
      </w:r>
      <w:r w:rsidR="002735C7" w:rsidRPr="008E7057">
        <w:rPr>
          <w:rFonts w:ascii="Bookman Old Style" w:eastAsia="Times New Roman" w:hAnsi="Bookman Old Style" w:cs="Arial"/>
          <w:color w:val="000000"/>
          <w:sz w:val="24"/>
          <w:szCs w:val="24"/>
          <w:lang w:eastAsia="es-CO"/>
        </w:rPr>
        <w:t>promover</w:t>
      </w:r>
      <w:r w:rsidR="0069440A" w:rsidRPr="008E7057">
        <w:rPr>
          <w:rFonts w:ascii="Bookman Old Style" w:eastAsia="Times New Roman" w:hAnsi="Bookman Old Style" w:cs="Arial"/>
          <w:color w:val="000000"/>
          <w:sz w:val="24"/>
          <w:szCs w:val="24"/>
          <w:lang w:eastAsia="es-CO"/>
        </w:rPr>
        <w:t xml:space="preserve"> </w:t>
      </w:r>
      <w:r w:rsidR="002735C7" w:rsidRPr="008E7057">
        <w:rPr>
          <w:rFonts w:ascii="Bookman Old Style" w:eastAsia="Times New Roman" w:hAnsi="Bookman Old Style" w:cs="Arial"/>
          <w:color w:val="000000"/>
          <w:sz w:val="24"/>
          <w:szCs w:val="24"/>
          <w:lang w:eastAsia="es-CO"/>
        </w:rPr>
        <w:t>su</w:t>
      </w:r>
      <w:r w:rsidR="0069440A" w:rsidRPr="008E7057">
        <w:rPr>
          <w:rFonts w:ascii="Bookman Old Style" w:eastAsia="Times New Roman" w:hAnsi="Bookman Old Style" w:cs="Arial"/>
          <w:color w:val="000000"/>
          <w:sz w:val="24"/>
          <w:szCs w:val="24"/>
          <w:lang w:eastAsia="es-CO"/>
        </w:rPr>
        <w:t xml:space="preserve"> desarrollo académico y profesional, </w:t>
      </w:r>
      <w:r w:rsidR="00BF724B" w:rsidRPr="008E7057">
        <w:rPr>
          <w:rFonts w:ascii="Bookman Old Style" w:eastAsia="Times New Roman" w:hAnsi="Bookman Old Style" w:cs="Arial"/>
          <w:color w:val="000000"/>
          <w:sz w:val="24"/>
          <w:szCs w:val="24"/>
          <w:lang w:eastAsia="es-CO"/>
        </w:rPr>
        <w:t>no</w:t>
      </w:r>
      <w:r w:rsidR="0069440A" w:rsidRPr="008E7057">
        <w:rPr>
          <w:rFonts w:ascii="Bookman Old Style" w:eastAsia="Times New Roman" w:hAnsi="Bookman Old Style" w:cs="Arial"/>
          <w:color w:val="000000"/>
          <w:sz w:val="24"/>
          <w:szCs w:val="24"/>
          <w:lang w:eastAsia="es-CO"/>
        </w:rPr>
        <w:t xml:space="preserve"> generar impactos adversos </w:t>
      </w:r>
      <w:r w:rsidR="00CB0E87" w:rsidRPr="008E7057">
        <w:rPr>
          <w:rFonts w:ascii="Bookman Old Style" w:eastAsia="Times New Roman" w:hAnsi="Bookman Old Style" w:cs="Arial"/>
          <w:color w:val="000000"/>
          <w:sz w:val="24"/>
          <w:szCs w:val="24"/>
          <w:lang w:eastAsia="es-CO"/>
        </w:rPr>
        <w:t xml:space="preserve">en su capacidad crediticia por esta tipología de obligaciones, </w:t>
      </w:r>
      <w:r w:rsidR="0069440A" w:rsidRPr="008E7057">
        <w:rPr>
          <w:rFonts w:ascii="Bookman Old Style" w:eastAsia="Times New Roman" w:hAnsi="Bookman Old Style" w:cs="Arial"/>
          <w:color w:val="000000"/>
          <w:sz w:val="24"/>
          <w:szCs w:val="24"/>
          <w:lang w:eastAsia="es-CO"/>
        </w:rPr>
        <w:t xml:space="preserve">contribuyendo así al fortalecimiento del acceso equitativo a la </w:t>
      </w:r>
      <w:r w:rsidR="002735C7" w:rsidRPr="008E7057">
        <w:rPr>
          <w:rFonts w:ascii="Bookman Old Style" w:eastAsia="Times New Roman" w:hAnsi="Bookman Old Style" w:cs="Arial"/>
          <w:color w:val="000000"/>
          <w:sz w:val="24"/>
          <w:szCs w:val="24"/>
          <w:lang w:eastAsia="es-CO"/>
        </w:rPr>
        <w:t>educación</w:t>
      </w:r>
      <w:r w:rsidR="00383C64" w:rsidRPr="008E7057">
        <w:rPr>
          <w:rFonts w:ascii="Bookman Old Style" w:eastAsia="Times New Roman" w:hAnsi="Bookman Old Style" w:cs="Arial"/>
          <w:color w:val="000000"/>
          <w:sz w:val="24"/>
          <w:szCs w:val="24"/>
          <w:lang w:eastAsia="es-CO"/>
        </w:rPr>
        <w:t xml:space="preserve"> y </w:t>
      </w:r>
      <w:r w:rsidR="00383C64" w:rsidRPr="008E7057">
        <w:rPr>
          <w:rFonts w:ascii="Bookman Old Style" w:hAnsi="Bookman Old Style" w:cs="Arial"/>
          <w:color w:val="000000"/>
          <w:sz w:val="24"/>
          <w:szCs w:val="24"/>
          <w:shd w:val="clear" w:color="auto" w:fill="FFFFFF"/>
        </w:rPr>
        <w:t>la continuidad de los procesos de formación.</w:t>
      </w:r>
    </w:p>
    <w:p w14:paraId="71514B87" w14:textId="77777777" w:rsidR="0069440A" w:rsidRPr="008E7057" w:rsidRDefault="0069440A" w:rsidP="00EE4B5F">
      <w:pPr>
        <w:spacing w:after="0" w:line="240" w:lineRule="auto"/>
        <w:jc w:val="both"/>
        <w:rPr>
          <w:rFonts w:ascii="Bookman Old Style" w:eastAsia="Times New Roman" w:hAnsi="Bookman Old Style" w:cs="Arial"/>
          <w:color w:val="000000"/>
          <w:sz w:val="24"/>
          <w:szCs w:val="24"/>
          <w:lang w:eastAsia="es-CO"/>
        </w:rPr>
      </w:pPr>
    </w:p>
    <w:p w14:paraId="28729790" w14:textId="23305734" w:rsidR="002403A3" w:rsidRPr="008E7057" w:rsidRDefault="002735C7" w:rsidP="00EE4B5F">
      <w:pPr>
        <w:spacing w:after="0" w:line="240" w:lineRule="auto"/>
        <w:contextualSpacing/>
        <w:jc w:val="both"/>
        <w:rPr>
          <w:rFonts w:ascii="Bookman Old Style" w:eastAsia="Times New Roman" w:hAnsi="Bookman Old Style" w:cs="Arial"/>
          <w:b/>
          <w:bCs/>
          <w:color w:val="000000" w:themeColor="text1"/>
          <w:sz w:val="24"/>
          <w:szCs w:val="24"/>
          <w:u w:val="single"/>
          <w:lang w:eastAsia="es-CO"/>
        </w:rPr>
      </w:pPr>
      <w:bookmarkStart w:id="0" w:name="_Hlk152407094"/>
      <w:r w:rsidRPr="008E7057">
        <w:rPr>
          <w:rFonts w:ascii="Bookman Old Style" w:eastAsia="Times New Roman" w:hAnsi="Bookman Old Style" w:cs="Arial"/>
          <w:b/>
          <w:bCs/>
          <w:color w:val="000000" w:themeColor="text1"/>
          <w:sz w:val="24"/>
          <w:szCs w:val="24"/>
          <w:lang w:eastAsia="es-CO"/>
        </w:rPr>
        <w:t>Artículo 2º.</w:t>
      </w:r>
      <w:r w:rsidRPr="008E7057">
        <w:rPr>
          <w:rFonts w:ascii="Bookman Old Style" w:eastAsia="Times New Roman" w:hAnsi="Bookman Old Style" w:cs="Arial"/>
          <w:color w:val="000000" w:themeColor="text1"/>
          <w:sz w:val="24"/>
          <w:szCs w:val="24"/>
          <w:lang w:eastAsia="es-CO"/>
        </w:rPr>
        <w:t xml:space="preserve"> </w:t>
      </w:r>
      <w:r w:rsidR="00B03F4E" w:rsidRPr="008E7057">
        <w:rPr>
          <w:rFonts w:ascii="Bookman Old Style" w:eastAsia="Times New Roman" w:hAnsi="Bookman Old Style" w:cs="Arial"/>
          <w:b/>
          <w:bCs/>
          <w:color w:val="000000" w:themeColor="text1"/>
          <w:sz w:val="24"/>
          <w:szCs w:val="24"/>
          <w:lang w:eastAsia="es-CO"/>
        </w:rPr>
        <w:t>Ámbito</w:t>
      </w:r>
      <w:r w:rsidRPr="008E7057">
        <w:rPr>
          <w:rFonts w:ascii="Bookman Old Style" w:eastAsia="Times New Roman" w:hAnsi="Bookman Old Style" w:cs="Arial"/>
          <w:b/>
          <w:bCs/>
          <w:color w:val="000000" w:themeColor="text1"/>
          <w:sz w:val="24"/>
          <w:szCs w:val="24"/>
          <w:lang w:eastAsia="es-CO"/>
        </w:rPr>
        <w:t xml:space="preserve"> de aplicación</w:t>
      </w:r>
      <w:r w:rsidRPr="008E7057">
        <w:rPr>
          <w:rFonts w:ascii="Bookman Old Style" w:eastAsia="Times New Roman" w:hAnsi="Bookman Old Style" w:cs="Arial"/>
          <w:color w:val="000000" w:themeColor="text1"/>
          <w:sz w:val="24"/>
          <w:szCs w:val="24"/>
          <w:lang w:eastAsia="es-CO"/>
        </w:rPr>
        <w:t xml:space="preserve">. </w:t>
      </w:r>
      <w:r w:rsidR="00BF724B" w:rsidRPr="008E7057">
        <w:rPr>
          <w:rFonts w:ascii="Bookman Old Style" w:eastAsia="Times New Roman" w:hAnsi="Bookman Old Style" w:cs="Arial"/>
          <w:color w:val="000000" w:themeColor="text1"/>
          <w:sz w:val="24"/>
          <w:szCs w:val="24"/>
          <w:lang w:eastAsia="es-CO"/>
        </w:rPr>
        <w:t xml:space="preserve">La presente </w:t>
      </w:r>
      <w:r w:rsidR="00CC7601" w:rsidRPr="008E7057">
        <w:rPr>
          <w:rFonts w:ascii="Bookman Old Style" w:eastAsia="Times New Roman" w:hAnsi="Bookman Old Style" w:cs="Arial"/>
          <w:color w:val="000000" w:themeColor="text1"/>
          <w:sz w:val="24"/>
          <w:szCs w:val="24"/>
          <w:lang w:eastAsia="es-CO"/>
        </w:rPr>
        <w:t>L</w:t>
      </w:r>
      <w:r w:rsidR="00BF724B" w:rsidRPr="008E7057">
        <w:rPr>
          <w:rFonts w:ascii="Bookman Old Style" w:eastAsia="Times New Roman" w:hAnsi="Bookman Old Style" w:cs="Arial"/>
          <w:color w:val="000000" w:themeColor="text1"/>
          <w:sz w:val="24"/>
          <w:szCs w:val="24"/>
          <w:lang w:eastAsia="es-CO"/>
        </w:rPr>
        <w:t xml:space="preserve">ey se </w:t>
      </w:r>
      <w:bookmarkEnd w:id="0"/>
      <w:r w:rsidR="00BF724B" w:rsidRPr="008E7057">
        <w:rPr>
          <w:rFonts w:ascii="Bookman Old Style" w:eastAsia="Times New Roman" w:hAnsi="Bookman Old Style" w:cs="Arial"/>
          <w:color w:val="000000" w:themeColor="text1"/>
          <w:sz w:val="24"/>
          <w:szCs w:val="24"/>
          <w:lang w:eastAsia="es-CO"/>
        </w:rPr>
        <w:t xml:space="preserve">aplica </w:t>
      </w:r>
      <w:bookmarkStart w:id="1" w:name="_Hlk152407225"/>
      <w:r w:rsidR="002115AD" w:rsidRPr="008E7057">
        <w:rPr>
          <w:rFonts w:ascii="Bookman Old Style" w:eastAsia="Times New Roman" w:hAnsi="Bookman Old Style" w:cs="Arial"/>
          <w:color w:val="000000" w:themeColor="text1"/>
          <w:sz w:val="24"/>
          <w:szCs w:val="24"/>
          <w:lang w:eastAsia="es-CO"/>
        </w:rPr>
        <w:t xml:space="preserve">a </w:t>
      </w:r>
      <w:r w:rsidR="00BF724B" w:rsidRPr="008E7057">
        <w:rPr>
          <w:rFonts w:ascii="Bookman Old Style" w:eastAsia="Times New Roman" w:hAnsi="Bookman Old Style" w:cs="Arial"/>
          <w:color w:val="000000" w:themeColor="text1"/>
          <w:sz w:val="24"/>
          <w:szCs w:val="24"/>
          <w:lang w:eastAsia="es-CO"/>
        </w:rPr>
        <w:t xml:space="preserve">todos </w:t>
      </w:r>
      <w:r w:rsidR="002403A3" w:rsidRPr="008E7057">
        <w:rPr>
          <w:rFonts w:ascii="Bookman Old Style" w:eastAsia="Times New Roman" w:hAnsi="Bookman Old Style" w:cs="Arial"/>
          <w:color w:val="000000" w:themeColor="text1"/>
          <w:sz w:val="24"/>
          <w:szCs w:val="24"/>
          <w:lang w:eastAsia="es-CO"/>
        </w:rPr>
        <w:t xml:space="preserve">los </w:t>
      </w:r>
      <w:r w:rsidR="00BF724B" w:rsidRPr="008E7057">
        <w:rPr>
          <w:rFonts w:ascii="Bookman Old Style" w:eastAsia="Times New Roman" w:hAnsi="Bookman Old Style" w:cs="Arial"/>
          <w:color w:val="000000" w:themeColor="text1"/>
          <w:sz w:val="24"/>
          <w:szCs w:val="24"/>
          <w:lang w:eastAsia="es-CO"/>
        </w:rPr>
        <w:t xml:space="preserve">consumidores </w:t>
      </w:r>
      <w:r w:rsidR="00CC7601" w:rsidRPr="008E7057">
        <w:rPr>
          <w:rFonts w:ascii="Bookman Old Style" w:eastAsia="Times New Roman" w:hAnsi="Bookman Old Style" w:cs="Arial"/>
          <w:color w:val="000000" w:themeColor="text1"/>
          <w:sz w:val="24"/>
          <w:szCs w:val="24"/>
          <w:lang w:eastAsia="es-CO"/>
        </w:rPr>
        <w:t xml:space="preserve">financieros </w:t>
      </w:r>
      <w:r w:rsidR="00BF724B" w:rsidRPr="008E7057">
        <w:rPr>
          <w:rFonts w:ascii="Bookman Old Style" w:eastAsia="Times New Roman" w:hAnsi="Bookman Old Style" w:cs="Arial"/>
          <w:color w:val="000000" w:themeColor="text1"/>
          <w:sz w:val="24"/>
          <w:szCs w:val="24"/>
          <w:lang w:eastAsia="es-CO"/>
        </w:rPr>
        <w:t>de</w:t>
      </w:r>
      <w:r w:rsidR="002115AD" w:rsidRPr="008E7057">
        <w:rPr>
          <w:rFonts w:ascii="Bookman Old Style" w:eastAsia="Times New Roman" w:hAnsi="Bookman Old Style" w:cs="Arial"/>
          <w:color w:val="000000" w:themeColor="text1"/>
          <w:sz w:val="24"/>
          <w:szCs w:val="24"/>
          <w:lang w:eastAsia="es-CO"/>
        </w:rPr>
        <w:t xml:space="preserve"> créditos </w:t>
      </w:r>
      <w:bookmarkEnd w:id="1"/>
      <w:r w:rsidR="002115AD" w:rsidRPr="008E7057">
        <w:rPr>
          <w:rFonts w:ascii="Bookman Old Style" w:eastAsia="Times New Roman" w:hAnsi="Bookman Old Style" w:cs="Arial"/>
          <w:color w:val="000000" w:themeColor="text1"/>
          <w:sz w:val="24"/>
          <w:szCs w:val="24"/>
          <w:lang w:eastAsia="es-CO"/>
        </w:rPr>
        <w:t>educativos</w:t>
      </w:r>
      <w:r w:rsidR="007123A5" w:rsidRPr="008E7057">
        <w:rPr>
          <w:rFonts w:ascii="Bookman Old Style" w:eastAsia="Times New Roman" w:hAnsi="Bookman Old Style" w:cs="Arial"/>
          <w:color w:val="000000" w:themeColor="text1"/>
          <w:sz w:val="24"/>
          <w:szCs w:val="24"/>
          <w:lang w:eastAsia="es-CO"/>
        </w:rPr>
        <w:t>,</w:t>
      </w:r>
      <w:r w:rsidR="007123A5" w:rsidRPr="008E7057">
        <w:rPr>
          <w:rFonts w:ascii="Bookman Old Style" w:hAnsi="Bookman Old Style" w:cs="Arial"/>
          <w:color w:val="000000" w:themeColor="text1"/>
          <w:sz w:val="24"/>
          <w:szCs w:val="24"/>
          <w:shd w:val="clear" w:color="auto" w:fill="FFFFFF"/>
        </w:rPr>
        <w:t xml:space="preserve"> deudores </w:t>
      </w:r>
      <w:bookmarkStart w:id="2" w:name="_Hlk152410872"/>
      <w:r w:rsidR="007123A5" w:rsidRPr="008E7057">
        <w:rPr>
          <w:rFonts w:ascii="Bookman Old Style" w:hAnsi="Bookman Old Style" w:cs="Arial"/>
          <w:color w:val="000000" w:themeColor="text1"/>
          <w:sz w:val="24"/>
          <w:szCs w:val="24"/>
          <w:shd w:val="clear" w:color="auto" w:fill="FFFFFF"/>
        </w:rPr>
        <w:t>y codeudores</w:t>
      </w:r>
      <w:bookmarkEnd w:id="2"/>
      <w:r w:rsidR="007123A5" w:rsidRPr="008E7057">
        <w:rPr>
          <w:rFonts w:ascii="Bookman Old Style" w:hAnsi="Bookman Old Style" w:cs="Arial"/>
          <w:color w:val="000000" w:themeColor="text1"/>
          <w:sz w:val="24"/>
          <w:szCs w:val="24"/>
          <w:shd w:val="clear" w:color="auto" w:fill="FFFFFF"/>
        </w:rPr>
        <w:t xml:space="preserve">, </w:t>
      </w:r>
      <w:r w:rsidR="007123A5" w:rsidRPr="008E7057">
        <w:rPr>
          <w:rFonts w:ascii="Bookman Old Style" w:eastAsia="Times New Roman" w:hAnsi="Bookman Old Style" w:cs="Arial"/>
          <w:color w:val="000000" w:themeColor="text1"/>
          <w:sz w:val="24"/>
          <w:szCs w:val="24"/>
          <w:lang w:eastAsia="es-CO"/>
        </w:rPr>
        <w:t>que</w:t>
      </w:r>
      <w:r w:rsidR="002115AD" w:rsidRPr="008E7057">
        <w:rPr>
          <w:rFonts w:ascii="Bookman Old Style" w:eastAsia="Times New Roman" w:hAnsi="Bookman Old Style" w:cs="Arial"/>
          <w:color w:val="000000" w:themeColor="text1"/>
          <w:sz w:val="24"/>
          <w:szCs w:val="24"/>
          <w:lang w:eastAsia="es-CO"/>
        </w:rPr>
        <w:t xml:space="preserve"> </w:t>
      </w:r>
      <w:bookmarkStart w:id="3" w:name="_Hlk152409110"/>
      <w:r w:rsidR="002403A3" w:rsidRPr="008E7057">
        <w:rPr>
          <w:rFonts w:ascii="Bookman Old Style" w:eastAsia="Times New Roman" w:hAnsi="Bookman Old Style" w:cs="Arial"/>
          <w:color w:val="000000" w:themeColor="text1"/>
          <w:sz w:val="24"/>
          <w:szCs w:val="24"/>
          <w:lang w:eastAsia="es-CO"/>
        </w:rPr>
        <w:t xml:space="preserve">por cualquier causa </w:t>
      </w:r>
      <w:r w:rsidR="00682495" w:rsidRPr="008E7057">
        <w:rPr>
          <w:rFonts w:ascii="Bookman Old Style" w:eastAsia="Times New Roman" w:hAnsi="Bookman Old Style" w:cs="Arial"/>
          <w:color w:val="000000" w:themeColor="text1"/>
          <w:sz w:val="24"/>
          <w:szCs w:val="24"/>
          <w:lang w:eastAsia="es-CO"/>
        </w:rPr>
        <w:t xml:space="preserve">presentan </w:t>
      </w:r>
      <w:r w:rsidR="002B0BAA" w:rsidRPr="008E7057">
        <w:rPr>
          <w:rFonts w:ascii="Bookman Old Style" w:hAnsi="Bookman Old Style" w:cs="Arial"/>
          <w:color w:val="000000" w:themeColor="text1"/>
          <w:sz w:val="24"/>
          <w:szCs w:val="24"/>
          <w:shd w:val="clear" w:color="auto" w:fill="FFFFFF"/>
        </w:rPr>
        <w:t>imposibilidad de pago</w:t>
      </w:r>
      <w:r w:rsidR="002B0BAA" w:rsidRPr="008E7057">
        <w:rPr>
          <w:rFonts w:ascii="Bookman Old Style" w:eastAsia="Times New Roman" w:hAnsi="Bookman Old Style" w:cs="Arial"/>
          <w:color w:val="000000" w:themeColor="text1"/>
          <w:lang w:eastAsia="es-CO"/>
        </w:rPr>
        <w:t xml:space="preserve"> </w:t>
      </w:r>
      <w:r w:rsidR="007123A5" w:rsidRPr="008E7057">
        <w:rPr>
          <w:rFonts w:ascii="Bookman Old Style" w:eastAsia="Times New Roman" w:hAnsi="Bookman Old Style" w:cs="Arial"/>
          <w:color w:val="000000" w:themeColor="text1"/>
          <w:sz w:val="24"/>
          <w:szCs w:val="24"/>
          <w:lang w:eastAsia="es-CO"/>
        </w:rPr>
        <w:t>en</w:t>
      </w:r>
      <w:r w:rsidR="00BF724B" w:rsidRPr="008E7057">
        <w:rPr>
          <w:rFonts w:ascii="Bookman Old Style" w:eastAsia="Times New Roman" w:hAnsi="Bookman Old Style" w:cs="Arial"/>
          <w:color w:val="000000" w:themeColor="text1"/>
          <w:sz w:val="24"/>
          <w:szCs w:val="24"/>
          <w:lang w:eastAsia="es-CO"/>
        </w:rPr>
        <w:t xml:space="preserve"> su</w:t>
      </w:r>
      <w:r w:rsidR="007123A5" w:rsidRPr="008E7057">
        <w:rPr>
          <w:rFonts w:ascii="Bookman Old Style" w:eastAsia="Times New Roman" w:hAnsi="Bookman Old Style" w:cs="Arial"/>
          <w:color w:val="000000" w:themeColor="text1"/>
          <w:sz w:val="24"/>
          <w:szCs w:val="24"/>
          <w:lang w:eastAsia="es-CO"/>
        </w:rPr>
        <w:t xml:space="preserve">s obligaciones crediticias </w:t>
      </w:r>
      <w:bookmarkEnd w:id="3"/>
      <w:r w:rsidR="007123A5" w:rsidRPr="008E7057">
        <w:rPr>
          <w:rFonts w:ascii="Bookman Old Style" w:hAnsi="Bookman Old Style" w:cs="Arial"/>
          <w:color w:val="000000" w:themeColor="text1"/>
          <w:sz w:val="24"/>
          <w:szCs w:val="24"/>
          <w:shd w:val="clear" w:color="auto" w:fill="FFFFFF"/>
        </w:rPr>
        <w:t xml:space="preserve">con el </w:t>
      </w:r>
      <w:r w:rsidR="00564364" w:rsidRPr="008E7057">
        <w:rPr>
          <w:rFonts w:ascii="Bookman Old Style" w:hAnsi="Bookman Old Style" w:cs="Arial"/>
          <w:color w:val="000000" w:themeColor="text1"/>
          <w:sz w:val="24"/>
          <w:szCs w:val="24"/>
          <w:shd w:val="clear" w:color="auto" w:fill="FFFFFF"/>
        </w:rPr>
        <w:t>Instituto Colombiano de Crédito Educativo y Estudios Técnicos en el Exterior – ICETEX, o quién haga sus veces,</w:t>
      </w:r>
      <w:r w:rsidR="007123A5" w:rsidRPr="008E7057">
        <w:rPr>
          <w:rFonts w:ascii="Bookman Old Style" w:hAnsi="Bookman Old Style" w:cs="Arial"/>
          <w:color w:val="000000" w:themeColor="text1"/>
          <w:sz w:val="24"/>
          <w:szCs w:val="24"/>
          <w:shd w:val="clear" w:color="auto" w:fill="FFFFFF"/>
        </w:rPr>
        <w:t xml:space="preserve"> o </w:t>
      </w:r>
      <w:r w:rsidR="00564364" w:rsidRPr="008E7057">
        <w:rPr>
          <w:rFonts w:ascii="Bookman Old Style" w:hAnsi="Bookman Old Style" w:cs="Arial"/>
          <w:color w:val="000000" w:themeColor="text1"/>
          <w:sz w:val="24"/>
          <w:szCs w:val="24"/>
          <w:shd w:val="clear" w:color="auto" w:fill="FFFFFF"/>
        </w:rPr>
        <w:t xml:space="preserve">con </w:t>
      </w:r>
      <w:r w:rsidR="007123A5" w:rsidRPr="008E7057">
        <w:rPr>
          <w:rFonts w:ascii="Bookman Old Style" w:hAnsi="Bookman Old Style" w:cs="Arial"/>
          <w:color w:val="000000" w:themeColor="text1"/>
          <w:sz w:val="24"/>
          <w:szCs w:val="24"/>
          <w:shd w:val="clear" w:color="auto" w:fill="FFFFFF"/>
        </w:rPr>
        <w:t>cualquier</w:t>
      </w:r>
      <w:r w:rsidR="00564364" w:rsidRPr="008E7057">
        <w:rPr>
          <w:rFonts w:ascii="Bookman Old Style" w:hAnsi="Bookman Old Style" w:cs="Arial"/>
          <w:color w:val="000000" w:themeColor="text1"/>
          <w:sz w:val="24"/>
          <w:szCs w:val="24"/>
          <w:shd w:val="clear" w:color="auto" w:fill="FFFFFF"/>
        </w:rPr>
        <w:t xml:space="preserve"> otra</w:t>
      </w:r>
      <w:r w:rsidR="007123A5" w:rsidRPr="008E7057">
        <w:rPr>
          <w:rFonts w:ascii="Bookman Old Style" w:hAnsi="Bookman Old Style" w:cs="Arial"/>
          <w:color w:val="000000" w:themeColor="text1"/>
          <w:sz w:val="24"/>
          <w:szCs w:val="24"/>
          <w:shd w:val="clear" w:color="auto" w:fill="FFFFFF"/>
        </w:rPr>
        <w:t xml:space="preserve"> </w:t>
      </w:r>
      <w:r w:rsidR="00CC7601" w:rsidRPr="008E7057">
        <w:rPr>
          <w:rFonts w:ascii="Bookman Old Style" w:hAnsi="Bookman Old Style" w:cs="Arial"/>
          <w:color w:val="000000" w:themeColor="text1"/>
          <w:sz w:val="24"/>
          <w:szCs w:val="24"/>
          <w:shd w:val="clear" w:color="auto" w:fill="FFFFFF"/>
        </w:rPr>
        <w:t>entidad financiera</w:t>
      </w:r>
      <w:r w:rsidR="00564364" w:rsidRPr="008E7057">
        <w:rPr>
          <w:rFonts w:ascii="Bookman Old Style" w:hAnsi="Bookman Old Style" w:cs="Arial"/>
          <w:color w:val="000000" w:themeColor="text1"/>
          <w:sz w:val="24"/>
          <w:szCs w:val="24"/>
          <w:shd w:val="clear" w:color="auto" w:fill="FFFFFF"/>
        </w:rPr>
        <w:t>,</w:t>
      </w:r>
      <w:r w:rsidR="00CC7601" w:rsidRPr="008E7057">
        <w:rPr>
          <w:rFonts w:ascii="Bookman Old Style" w:hAnsi="Bookman Old Style" w:cs="Arial"/>
          <w:color w:val="000000" w:themeColor="text1"/>
          <w:sz w:val="24"/>
          <w:szCs w:val="24"/>
          <w:shd w:val="clear" w:color="auto" w:fill="FFFFFF"/>
        </w:rPr>
        <w:t xml:space="preserve"> </w:t>
      </w:r>
      <w:r w:rsidR="007123A5" w:rsidRPr="008E7057">
        <w:rPr>
          <w:rFonts w:ascii="Bookman Old Style" w:eastAsia="Times New Roman" w:hAnsi="Bookman Old Style" w:cs="Arial"/>
          <w:color w:val="000000" w:themeColor="text1"/>
          <w:sz w:val="24"/>
          <w:szCs w:val="24"/>
          <w:lang w:eastAsia="es-CO"/>
        </w:rPr>
        <w:t>y</w:t>
      </w:r>
      <w:r w:rsidR="00682495" w:rsidRPr="008E7057">
        <w:rPr>
          <w:rFonts w:ascii="Bookman Old Style" w:eastAsia="Times New Roman" w:hAnsi="Bookman Old Style" w:cs="Arial"/>
          <w:color w:val="000000" w:themeColor="text1"/>
          <w:sz w:val="24"/>
          <w:szCs w:val="24"/>
          <w:lang w:eastAsia="es-CO"/>
        </w:rPr>
        <w:t xml:space="preserve"> se encuentren en mora</w:t>
      </w:r>
      <w:r w:rsidR="007123A5" w:rsidRPr="008E7057">
        <w:rPr>
          <w:rFonts w:ascii="Bookman Old Style" w:eastAsia="Times New Roman" w:hAnsi="Bookman Old Style" w:cs="Arial"/>
          <w:color w:val="000000" w:themeColor="text1"/>
          <w:sz w:val="24"/>
          <w:szCs w:val="24"/>
          <w:lang w:eastAsia="es-CO"/>
        </w:rPr>
        <w:t xml:space="preserve"> para su pago</w:t>
      </w:r>
      <w:r w:rsidR="00383C64" w:rsidRPr="008E7057">
        <w:rPr>
          <w:rFonts w:ascii="Bookman Old Style" w:eastAsia="Times New Roman" w:hAnsi="Bookman Old Style" w:cs="Arial"/>
          <w:color w:val="000000" w:themeColor="text1"/>
          <w:sz w:val="24"/>
          <w:szCs w:val="24"/>
          <w:lang w:eastAsia="es-CO"/>
        </w:rPr>
        <w:t>, pero</w:t>
      </w:r>
      <w:r w:rsidR="004A3308" w:rsidRPr="008E7057">
        <w:rPr>
          <w:rFonts w:ascii="Bookman Old Style" w:eastAsia="Times New Roman" w:hAnsi="Bookman Old Style" w:cs="Arial"/>
          <w:color w:val="000000" w:themeColor="text1"/>
          <w:sz w:val="24"/>
          <w:szCs w:val="24"/>
          <w:lang w:eastAsia="es-CO"/>
        </w:rPr>
        <w:t xml:space="preserve"> que manifiest</w:t>
      </w:r>
      <w:r w:rsidR="00564364" w:rsidRPr="008E7057">
        <w:rPr>
          <w:rFonts w:ascii="Bookman Old Style" w:eastAsia="Times New Roman" w:hAnsi="Bookman Old Style" w:cs="Arial"/>
          <w:color w:val="000000" w:themeColor="text1"/>
          <w:sz w:val="24"/>
          <w:szCs w:val="24"/>
          <w:lang w:eastAsia="es-CO"/>
        </w:rPr>
        <w:t>an voluntad de pago en el cumplimiento de sus obligaciones.</w:t>
      </w:r>
      <w:r w:rsidR="004A3308" w:rsidRPr="008E7057">
        <w:rPr>
          <w:rFonts w:ascii="Bookman Old Style" w:eastAsia="Times New Roman" w:hAnsi="Bookman Old Style" w:cs="Arial"/>
          <w:b/>
          <w:bCs/>
          <w:color w:val="000000" w:themeColor="text1"/>
          <w:sz w:val="24"/>
          <w:szCs w:val="24"/>
          <w:u w:val="single"/>
          <w:lang w:eastAsia="es-CO"/>
        </w:rPr>
        <w:t xml:space="preserve"> </w:t>
      </w:r>
    </w:p>
    <w:p w14:paraId="423C5834" w14:textId="77777777" w:rsidR="007123A5" w:rsidRPr="008E7057" w:rsidRDefault="007123A5" w:rsidP="00EE4B5F">
      <w:pPr>
        <w:spacing w:after="0" w:line="240" w:lineRule="auto"/>
        <w:jc w:val="both"/>
        <w:rPr>
          <w:rFonts w:ascii="Bookman Old Style" w:eastAsia="Times New Roman" w:hAnsi="Bookman Old Style" w:cs="Arial"/>
          <w:b/>
          <w:color w:val="000000"/>
          <w:sz w:val="24"/>
          <w:szCs w:val="24"/>
          <w:lang w:eastAsia="es-CO"/>
        </w:rPr>
      </w:pPr>
    </w:p>
    <w:p w14:paraId="3CF4AC76" w14:textId="3BAD6145" w:rsidR="002115AD" w:rsidRPr="008E7057" w:rsidRDefault="002115AD" w:rsidP="00EE4B5F">
      <w:pPr>
        <w:spacing w:after="0" w:line="240" w:lineRule="auto"/>
        <w:jc w:val="both"/>
        <w:rPr>
          <w:rFonts w:ascii="Bookman Old Style" w:eastAsia="Times New Roman" w:hAnsi="Bookman Old Style" w:cs="Arial"/>
          <w:sz w:val="24"/>
          <w:szCs w:val="24"/>
          <w:lang w:eastAsia="es-CO"/>
        </w:rPr>
      </w:pPr>
      <w:r w:rsidRPr="008E7057">
        <w:rPr>
          <w:rFonts w:ascii="Bookman Old Style" w:eastAsia="Times New Roman" w:hAnsi="Bookman Old Style" w:cs="Arial"/>
          <w:b/>
          <w:color w:val="000000"/>
          <w:sz w:val="24"/>
          <w:szCs w:val="24"/>
          <w:lang w:eastAsia="es-CO"/>
        </w:rPr>
        <w:t>Artículo 2:</w:t>
      </w:r>
      <w:r w:rsidRPr="008E7057">
        <w:rPr>
          <w:rFonts w:ascii="Bookman Old Style" w:eastAsia="Times New Roman" w:hAnsi="Bookman Old Style" w:cs="Arial"/>
          <w:color w:val="000000"/>
          <w:sz w:val="24"/>
          <w:szCs w:val="24"/>
          <w:lang w:eastAsia="es-CO"/>
        </w:rPr>
        <w:t xml:space="preserve"> </w:t>
      </w:r>
      <w:r w:rsidR="007123A5" w:rsidRPr="008E7057">
        <w:rPr>
          <w:rFonts w:ascii="Bookman Old Style" w:eastAsia="Times New Roman" w:hAnsi="Bookman Old Style" w:cs="Arial"/>
          <w:color w:val="000000"/>
          <w:sz w:val="24"/>
          <w:szCs w:val="24"/>
          <w:lang w:eastAsia="es-CO"/>
        </w:rPr>
        <w:t>Modifíquese</w:t>
      </w:r>
      <w:r w:rsidR="00BF724B" w:rsidRPr="008E7057">
        <w:rPr>
          <w:rFonts w:ascii="Bookman Old Style" w:eastAsia="Times New Roman" w:hAnsi="Bookman Old Style" w:cs="Arial"/>
          <w:color w:val="000000"/>
          <w:sz w:val="24"/>
          <w:szCs w:val="24"/>
          <w:lang w:eastAsia="es-CO"/>
        </w:rPr>
        <w:t xml:space="preserve"> el</w:t>
      </w:r>
      <w:r w:rsidR="00682495" w:rsidRPr="008E7057">
        <w:rPr>
          <w:rFonts w:ascii="Bookman Old Style" w:eastAsia="Times New Roman" w:hAnsi="Bookman Old Style" w:cs="Arial"/>
          <w:color w:val="000000"/>
          <w:sz w:val="24"/>
          <w:szCs w:val="24"/>
          <w:lang w:eastAsia="es-CO"/>
        </w:rPr>
        <w:t xml:space="preserve"> parágrafo</w:t>
      </w:r>
      <w:r w:rsidR="00BF724B" w:rsidRPr="008E7057">
        <w:rPr>
          <w:rFonts w:ascii="Bookman Old Style" w:eastAsia="Times New Roman" w:hAnsi="Bookman Old Style" w:cs="Arial"/>
          <w:color w:val="000000"/>
          <w:sz w:val="24"/>
          <w:szCs w:val="24"/>
          <w:lang w:eastAsia="es-CO"/>
        </w:rPr>
        <w:t xml:space="preserve"> </w:t>
      </w:r>
      <w:r w:rsidR="007123A5" w:rsidRPr="008E7057">
        <w:rPr>
          <w:rFonts w:ascii="Bookman Old Style" w:eastAsia="Times New Roman" w:hAnsi="Bookman Old Style" w:cs="Arial"/>
          <w:color w:val="000000"/>
          <w:sz w:val="24"/>
          <w:szCs w:val="24"/>
          <w:lang w:eastAsia="es-CO"/>
        </w:rPr>
        <w:t xml:space="preserve">4º del </w:t>
      </w:r>
      <w:r w:rsidR="00B03F4E" w:rsidRPr="008E7057">
        <w:rPr>
          <w:rFonts w:ascii="Bookman Old Style" w:eastAsia="Times New Roman" w:hAnsi="Bookman Old Style" w:cs="Arial"/>
          <w:color w:val="000000"/>
          <w:sz w:val="24"/>
          <w:szCs w:val="24"/>
          <w:lang w:eastAsia="es-CO"/>
        </w:rPr>
        <w:t>a</w:t>
      </w:r>
      <w:r w:rsidR="007123A5" w:rsidRPr="008E7057">
        <w:rPr>
          <w:rFonts w:ascii="Bookman Old Style" w:eastAsia="Times New Roman" w:hAnsi="Bookman Old Style" w:cs="Arial"/>
          <w:color w:val="000000"/>
          <w:sz w:val="24"/>
          <w:szCs w:val="24"/>
          <w:lang w:eastAsia="es-CO"/>
        </w:rPr>
        <w:t>rtículo</w:t>
      </w:r>
      <w:r w:rsidRPr="008E7057">
        <w:rPr>
          <w:rFonts w:ascii="Bookman Old Style" w:eastAsia="Times New Roman" w:hAnsi="Bookman Old Style" w:cs="Arial"/>
          <w:color w:val="000000"/>
          <w:sz w:val="24"/>
          <w:szCs w:val="24"/>
          <w:lang w:eastAsia="es-CO"/>
        </w:rPr>
        <w:t xml:space="preserve"> 9 de la Ley 2157 de 2021</w:t>
      </w:r>
      <w:r w:rsidR="00682495" w:rsidRPr="008E7057">
        <w:rPr>
          <w:rFonts w:ascii="Bookman Old Style" w:eastAsia="Times New Roman" w:hAnsi="Bookman Old Style" w:cs="Arial"/>
          <w:color w:val="000000"/>
          <w:sz w:val="24"/>
          <w:szCs w:val="24"/>
          <w:lang w:eastAsia="es-CO"/>
        </w:rPr>
        <w:t>, el cual quedará así:</w:t>
      </w:r>
    </w:p>
    <w:p w14:paraId="6A313A31" w14:textId="77777777" w:rsidR="0009704C" w:rsidRPr="008E7057" w:rsidRDefault="0009704C" w:rsidP="00EE4B5F">
      <w:pPr>
        <w:spacing w:after="0" w:line="240" w:lineRule="auto"/>
        <w:jc w:val="both"/>
        <w:rPr>
          <w:rFonts w:ascii="Bookman Old Style" w:eastAsia="Times New Roman" w:hAnsi="Bookman Old Style" w:cs="Arial"/>
          <w:color w:val="000000"/>
          <w:sz w:val="24"/>
          <w:szCs w:val="24"/>
          <w:lang w:eastAsia="es-CO"/>
        </w:rPr>
      </w:pPr>
    </w:p>
    <w:p w14:paraId="38A9243E" w14:textId="2D69B23F" w:rsidR="00211E2E" w:rsidRPr="008E7057" w:rsidRDefault="0009704C" w:rsidP="00EE4B5F">
      <w:pPr>
        <w:spacing w:after="0" w:line="240" w:lineRule="auto"/>
        <w:jc w:val="both"/>
        <w:rPr>
          <w:rFonts w:ascii="Bookman Old Style" w:eastAsia="Times New Roman" w:hAnsi="Bookman Old Style" w:cs="Arial"/>
          <w:color w:val="000000" w:themeColor="text1"/>
          <w:sz w:val="24"/>
          <w:szCs w:val="24"/>
          <w:lang w:eastAsia="es-CO"/>
        </w:rPr>
      </w:pPr>
      <w:r w:rsidRPr="008E7057">
        <w:rPr>
          <w:rStyle w:val="Textoennegrita"/>
          <w:rFonts w:ascii="Bookman Old Style" w:hAnsi="Bookman Old Style" w:cs="Arial"/>
          <w:color w:val="000000" w:themeColor="text1"/>
          <w:sz w:val="24"/>
          <w:szCs w:val="24"/>
          <w:shd w:val="clear" w:color="auto" w:fill="FFFFFF"/>
        </w:rPr>
        <w:t>PARÁGRAFO 4.</w:t>
      </w:r>
      <w:r w:rsidRPr="008E7057">
        <w:rPr>
          <w:rFonts w:ascii="Bookman Old Style" w:hAnsi="Bookman Old Style" w:cs="Arial"/>
          <w:color w:val="000000" w:themeColor="text1"/>
          <w:sz w:val="24"/>
          <w:szCs w:val="24"/>
          <w:shd w:val="clear" w:color="auto" w:fill="FFFFFF"/>
        </w:rPr>
        <w:t> </w:t>
      </w:r>
      <w:bookmarkStart w:id="4" w:name="_Hlk152408328"/>
      <w:r w:rsidRPr="008E7057">
        <w:rPr>
          <w:rFonts w:ascii="Bookman Old Style" w:hAnsi="Bookman Old Style" w:cs="Arial"/>
          <w:color w:val="000000" w:themeColor="text1"/>
          <w:sz w:val="24"/>
          <w:szCs w:val="24"/>
          <w:shd w:val="clear" w:color="auto" w:fill="FFFFFF"/>
        </w:rPr>
        <w:t xml:space="preserve">Los deudores y codeudores </w:t>
      </w:r>
      <w:r w:rsidR="00280D66" w:rsidRPr="008E7057">
        <w:rPr>
          <w:rFonts w:ascii="Bookman Old Style" w:hAnsi="Bookman Old Style" w:cs="Arial"/>
          <w:color w:val="000000" w:themeColor="text1"/>
          <w:sz w:val="24"/>
          <w:szCs w:val="24"/>
          <w:shd w:val="clear" w:color="auto" w:fill="FFFFFF"/>
        </w:rPr>
        <w:t xml:space="preserve">que a </w:t>
      </w:r>
      <w:r w:rsidR="00280D66" w:rsidRPr="008E7057">
        <w:rPr>
          <w:rFonts w:ascii="Bookman Old Style" w:eastAsia="Times New Roman" w:hAnsi="Bookman Old Style" w:cs="Arial"/>
          <w:color w:val="000000" w:themeColor="text1"/>
          <w:sz w:val="24"/>
          <w:szCs w:val="24"/>
          <w:lang w:eastAsia="es-CO"/>
        </w:rPr>
        <w:t>partir de la entrada en vigencia de la presente ley</w:t>
      </w:r>
      <w:r w:rsidR="00C671BE" w:rsidRPr="008E7057">
        <w:rPr>
          <w:rFonts w:ascii="Bookman Old Style" w:hAnsi="Bookman Old Style" w:cs="Arial"/>
          <w:color w:val="000000" w:themeColor="text1"/>
          <w:sz w:val="24"/>
          <w:szCs w:val="24"/>
          <w:shd w:val="clear" w:color="auto" w:fill="FFFFFF"/>
        </w:rPr>
        <w:t xml:space="preserve"> </w:t>
      </w:r>
      <w:r w:rsidR="002B0BAA" w:rsidRPr="008E7057">
        <w:rPr>
          <w:rFonts w:ascii="Bookman Old Style" w:hAnsi="Bookman Old Style" w:cs="Arial"/>
          <w:color w:val="000000" w:themeColor="text1"/>
          <w:sz w:val="24"/>
          <w:szCs w:val="24"/>
          <w:shd w:val="clear" w:color="auto" w:fill="FFFFFF"/>
        </w:rPr>
        <w:t>obtengan obligaciones</w:t>
      </w:r>
      <w:r w:rsidRPr="008E7057">
        <w:rPr>
          <w:rFonts w:ascii="Bookman Old Style" w:hAnsi="Bookman Old Style" w:cs="Arial"/>
          <w:color w:val="000000" w:themeColor="text1"/>
          <w:sz w:val="24"/>
          <w:szCs w:val="24"/>
          <w:shd w:val="clear" w:color="auto" w:fill="FFFFFF"/>
        </w:rPr>
        <w:t xml:space="preserve"> crediticias con </w:t>
      </w:r>
      <w:bookmarkEnd w:id="4"/>
      <w:r w:rsidR="00F508E5" w:rsidRPr="008E7057">
        <w:rPr>
          <w:rFonts w:ascii="Bookman Old Style" w:hAnsi="Bookman Old Style" w:cs="Arial"/>
          <w:color w:val="000000" w:themeColor="text1"/>
          <w:sz w:val="24"/>
          <w:szCs w:val="24"/>
          <w:shd w:val="clear" w:color="auto" w:fill="FFFFFF"/>
        </w:rPr>
        <w:t xml:space="preserve">Instituto Colombiano de Crédito Educativo y Estudios Técnicos en el Exterior – ICETEX, o quién haga sus veces, o con cualquier otra entidad financiera </w:t>
      </w:r>
      <w:r w:rsidR="00280D66" w:rsidRPr="008E7057">
        <w:rPr>
          <w:rFonts w:ascii="Bookman Old Style" w:hAnsi="Bookman Old Style" w:cs="Arial"/>
          <w:color w:val="000000" w:themeColor="text1"/>
          <w:sz w:val="24"/>
          <w:szCs w:val="24"/>
          <w:shd w:val="clear" w:color="auto" w:fill="FFFFFF"/>
        </w:rPr>
        <w:t xml:space="preserve">por </w:t>
      </w:r>
      <w:r w:rsidR="00F508E5" w:rsidRPr="008E7057">
        <w:rPr>
          <w:rFonts w:ascii="Bookman Old Style" w:hAnsi="Bookman Old Style" w:cs="Arial"/>
          <w:color w:val="000000" w:themeColor="text1"/>
          <w:sz w:val="24"/>
          <w:szCs w:val="24"/>
          <w:shd w:val="clear" w:color="auto" w:fill="FFFFFF"/>
        </w:rPr>
        <w:t xml:space="preserve">concepto de </w:t>
      </w:r>
      <w:r w:rsidR="00280D66" w:rsidRPr="008E7057">
        <w:rPr>
          <w:rFonts w:ascii="Bookman Old Style" w:hAnsi="Bookman Old Style" w:cs="Arial"/>
          <w:color w:val="000000" w:themeColor="text1"/>
          <w:sz w:val="24"/>
          <w:szCs w:val="24"/>
          <w:shd w:val="clear" w:color="auto" w:fill="FFFFFF"/>
        </w:rPr>
        <w:t>créditos educativos</w:t>
      </w:r>
      <w:r w:rsidR="002B0BAA" w:rsidRPr="008E7057">
        <w:rPr>
          <w:rFonts w:ascii="Bookman Old Style" w:hAnsi="Bookman Old Style" w:cs="Arial"/>
          <w:color w:val="000000" w:themeColor="text1"/>
          <w:sz w:val="24"/>
          <w:szCs w:val="24"/>
          <w:shd w:val="clear" w:color="auto" w:fill="FFFFFF"/>
        </w:rPr>
        <w:t xml:space="preserve"> y </w:t>
      </w:r>
      <w:r w:rsidR="00C671BE" w:rsidRPr="008E7057">
        <w:rPr>
          <w:rFonts w:ascii="Bookman Old Style" w:hAnsi="Bookman Old Style" w:cs="Arial"/>
          <w:color w:val="000000" w:themeColor="text1"/>
          <w:sz w:val="24"/>
          <w:szCs w:val="24"/>
          <w:shd w:val="clear" w:color="auto" w:fill="FFFFFF"/>
        </w:rPr>
        <w:t>se encuentren en mora para su pago</w:t>
      </w:r>
      <w:r w:rsidR="00211E2E" w:rsidRPr="008E7057">
        <w:rPr>
          <w:rFonts w:ascii="Bookman Old Style" w:hAnsi="Bookman Old Style" w:cs="Arial"/>
          <w:color w:val="000000" w:themeColor="text1"/>
          <w:sz w:val="24"/>
          <w:szCs w:val="24"/>
          <w:shd w:val="clear" w:color="auto" w:fill="FFFFFF"/>
        </w:rPr>
        <w:t xml:space="preserve">, pero </w:t>
      </w:r>
      <w:r w:rsidR="00F508E5" w:rsidRPr="008E7057">
        <w:rPr>
          <w:rFonts w:ascii="Bookman Old Style" w:hAnsi="Bookman Old Style" w:cs="Arial"/>
          <w:color w:val="000000" w:themeColor="text1"/>
          <w:sz w:val="24"/>
          <w:szCs w:val="24"/>
          <w:shd w:val="clear" w:color="auto" w:fill="FFFFFF"/>
        </w:rPr>
        <w:t>manifiesten su</w:t>
      </w:r>
      <w:r w:rsidR="00211E2E" w:rsidRPr="008E7057">
        <w:rPr>
          <w:rFonts w:ascii="Bookman Old Style" w:hAnsi="Bookman Old Style" w:cs="Arial"/>
          <w:color w:val="000000" w:themeColor="text1"/>
          <w:sz w:val="24"/>
          <w:szCs w:val="24"/>
          <w:shd w:val="clear" w:color="auto" w:fill="FFFFFF"/>
        </w:rPr>
        <w:t xml:space="preserve"> voluntad de </w:t>
      </w:r>
      <w:r w:rsidR="00564364" w:rsidRPr="008E7057">
        <w:rPr>
          <w:rFonts w:ascii="Bookman Old Style" w:hAnsi="Bookman Old Style" w:cs="Arial"/>
          <w:color w:val="000000" w:themeColor="text1"/>
          <w:sz w:val="24"/>
          <w:szCs w:val="24"/>
          <w:shd w:val="clear" w:color="auto" w:fill="FFFFFF"/>
        </w:rPr>
        <w:t>pago</w:t>
      </w:r>
      <w:r w:rsidR="00211E2E" w:rsidRPr="008E7057">
        <w:rPr>
          <w:rFonts w:ascii="Bookman Old Style" w:hAnsi="Bookman Old Style" w:cs="Arial"/>
          <w:color w:val="000000" w:themeColor="text1"/>
          <w:sz w:val="24"/>
          <w:szCs w:val="24"/>
          <w:shd w:val="clear" w:color="auto" w:fill="FFFFFF"/>
        </w:rPr>
        <w:t>, no</w:t>
      </w:r>
      <w:r w:rsidR="00280D66" w:rsidRPr="008E7057">
        <w:rPr>
          <w:rFonts w:ascii="Bookman Old Style" w:eastAsia="Times New Roman" w:hAnsi="Bookman Old Style" w:cs="Arial"/>
          <w:color w:val="000000" w:themeColor="text1"/>
          <w:sz w:val="24"/>
          <w:szCs w:val="24"/>
          <w:lang w:eastAsia="es-CO"/>
        </w:rPr>
        <w:t xml:space="preserve"> serán considerados sujetos de reporte negativo en las centrales de riesgos financieros. </w:t>
      </w:r>
    </w:p>
    <w:p w14:paraId="732721BB" w14:textId="77777777" w:rsidR="00211E2E" w:rsidRPr="008E7057" w:rsidRDefault="00211E2E" w:rsidP="00EE4B5F">
      <w:pPr>
        <w:spacing w:after="0" w:line="240" w:lineRule="auto"/>
        <w:jc w:val="both"/>
        <w:rPr>
          <w:rFonts w:ascii="Bookman Old Style" w:eastAsia="Times New Roman" w:hAnsi="Bookman Old Style" w:cs="Arial"/>
          <w:color w:val="000000"/>
          <w:sz w:val="24"/>
          <w:szCs w:val="24"/>
          <w:lang w:eastAsia="es-CO"/>
        </w:rPr>
      </w:pPr>
    </w:p>
    <w:p w14:paraId="2E555199" w14:textId="6532184F" w:rsidR="00C671BE" w:rsidRPr="008E7057" w:rsidRDefault="00280D66" w:rsidP="00EE4B5F">
      <w:pPr>
        <w:spacing w:after="0" w:line="240" w:lineRule="auto"/>
        <w:jc w:val="both"/>
        <w:rPr>
          <w:rFonts w:ascii="Bookman Old Style" w:eastAsia="Times New Roman" w:hAnsi="Bookman Old Style" w:cs="Arial"/>
          <w:color w:val="000000"/>
          <w:sz w:val="24"/>
          <w:szCs w:val="24"/>
          <w:lang w:eastAsia="es-CO"/>
        </w:rPr>
      </w:pPr>
      <w:r w:rsidRPr="008E7057">
        <w:rPr>
          <w:rFonts w:ascii="Bookman Old Style" w:eastAsia="Times New Roman" w:hAnsi="Bookman Old Style" w:cs="Arial"/>
          <w:color w:val="000000"/>
          <w:sz w:val="24"/>
          <w:szCs w:val="24"/>
          <w:lang w:eastAsia="es-CO"/>
        </w:rPr>
        <w:lastRenderedPageBreak/>
        <w:t xml:space="preserve">Lo anterior sin perjuicio </w:t>
      </w:r>
      <w:r w:rsidR="00C671BE" w:rsidRPr="008E7057">
        <w:rPr>
          <w:rFonts w:ascii="Bookman Old Style" w:eastAsia="Times New Roman" w:hAnsi="Bookman Old Style" w:cs="Arial"/>
          <w:color w:val="000000"/>
          <w:sz w:val="24"/>
          <w:szCs w:val="24"/>
          <w:lang w:eastAsia="es-CO"/>
        </w:rPr>
        <w:t xml:space="preserve">del derecho que tienen las entidades financieras de </w:t>
      </w:r>
      <w:r w:rsidR="0064431F" w:rsidRPr="008E7057">
        <w:rPr>
          <w:rFonts w:ascii="Bookman Old Style" w:eastAsia="Times New Roman" w:hAnsi="Bookman Old Style" w:cs="Arial"/>
          <w:color w:val="000000"/>
          <w:sz w:val="24"/>
          <w:szCs w:val="24"/>
          <w:lang w:eastAsia="es-CO"/>
        </w:rPr>
        <w:t xml:space="preserve">recurrir </w:t>
      </w:r>
      <w:r w:rsidR="004F0F4E" w:rsidRPr="008E7057">
        <w:rPr>
          <w:rFonts w:ascii="Bookman Old Style" w:eastAsia="Times New Roman" w:hAnsi="Bookman Old Style" w:cs="Arial"/>
          <w:color w:val="000000"/>
          <w:sz w:val="24"/>
          <w:szCs w:val="24"/>
          <w:lang w:eastAsia="es-CO"/>
        </w:rPr>
        <w:t>a los</w:t>
      </w:r>
      <w:r w:rsidRPr="008E7057">
        <w:rPr>
          <w:rFonts w:ascii="Bookman Old Style" w:eastAsia="Times New Roman" w:hAnsi="Bookman Old Style" w:cs="Arial"/>
          <w:color w:val="000000"/>
          <w:sz w:val="24"/>
          <w:szCs w:val="24"/>
          <w:lang w:eastAsia="es-CO"/>
        </w:rPr>
        <w:t xml:space="preserve"> instrumentos judiciales</w:t>
      </w:r>
      <w:r w:rsidR="0064431F" w:rsidRPr="008E7057">
        <w:rPr>
          <w:rFonts w:ascii="Bookman Old Style" w:eastAsia="Times New Roman" w:hAnsi="Bookman Old Style" w:cs="Arial"/>
          <w:color w:val="000000"/>
          <w:sz w:val="24"/>
          <w:szCs w:val="24"/>
          <w:lang w:eastAsia="es-CO"/>
        </w:rPr>
        <w:t xml:space="preserve"> ordinarios</w:t>
      </w:r>
      <w:r w:rsidRPr="008E7057">
        <w:rPr>
          <w:rFonts w:ascii="Bookman Old Style" w:eastAsia="Times New Roman" w:hAnsi="Bookman Old Style" w:cs="Arial"/>
          <w:color w:val="000000"/>
          <w:sz w:val="24"/>
          <w:szCs w:val="24"/>
          <w:lang w:eastAsia="es-CO"/>
        </w:rPr>
        <w:t xml:space="preserve"> que se tengan para la recuperación de la cartera en </w:t>
      </w:r>
      <w:r w:rsidR="00562AD7" w:rsidRPr="008E7057">
        <w:rPr>
          <w:rFonts w:ascii="Bookman Old Style" w:eastAsia="Times New Roman" w:hAnsi="Bookman Old Style" w:cs="Arial"/>
          <w:color w:val="000000"/>
          <w:sz w:val="24"/>
          <w:szCs w:val="24"/>
          <w:lang w:eastAsia="es-CO"/>
        </w:rPr>
        <w:t>mora y</w:t>
      </w:r>
      <w:r w:rsidR="00383C64" w:rsidRPr="008E7057">
        <w:rPr>
          <w:rFonts w:ascii="Bookman Old Style" w:eastAsia="Times New Roman" w:hAnsi="Bookman Old Style" w:cs="Arial"/>
          <w:color w:val="000000"/>
          <w:sz w:val="24"/>
          <w:szCs w:val="24"/>
          <w:lang w:eastAsia="es-CO"/>
        </w:rPr>
        <w:t xml:space="preserve"> evitar la cultura de no pago. </w:t>
      </w:r>
    </w:p>
    <w:p w14:paraId="338A7D9A" w14:textId="77777777" w:rsidR="00562AD7" w:rsidRPr="008E7057" w:rsidRDefault="00562AD7" w:rsidP="00EE4B5F">
      <w:pPr>
        <w:spacing w:after="0" w:line="240" w:lineRule="auto"/>
        <w:jc w:val="both"/>
        <w:rPr>
          <w:rFonts w:ascii="Bookman Old Style" w:eastAsia="Times New Roman" w:hAnsi="Bookman Old Style" w:cs="Arial"/>
          <w:color w:val="000000"/>
          <w:sz w:val="24"/>
          <w:szCs w:val="24"/>
          <w:lang w:eastAsia="es-CO"/>
        </w:rPr>
      </w:pPr>
    </w:p>
    <w:p w14:paraId="1996BC3A" w14:textId="29F40440" w:rsidR="00C671BE" w:rsidRPr="008E7057" w:rsidRDefault="00C671BE" w:rsidP="00EE4B5F">
      <w:pPr>
        <w:spacing w:line="240" w:lineRule="auto"/>
        <w:jc w:val="both"/>
        <w:rPr>
          <w:rFonts w:ascii="Bookman Old Style" w:eastAsia="Times New Roman" w:hAnsi="Bookman Old Style" w:cs="Arial"/>
          <w:bCs/>
          <w:color w:val="000000"/>
          <w:sz w:val="24"/>
          <w:szCs w:val="24"/>
          <w:lang w:eastAsia="es-CO"/>
        </w:rPr>
      </w:pPr>
      <w:r w:rsidRPr="008E7057">
        <w:rPr>
          <w:rFonts w:ascii="Bookman Old Style" w:eastAsia="Times New Roman" w:hAnsi="Bookman Old Style" w:cs="Arial"/>
          <w:bCs/>
          <w:color w:val="000000"/>
          <w:sz w:val="24"/>
          <w:szCs w:val="24"/>
          <w:lang w:eastAsia="es-CO"/>
        </w:rPr>
        <w:t xml:space="preserve">Los deudores y codeudores que tengan obligaciones crediticias con el Icetex, que paguen las cuotas vencidas o que extingan sus obligaciones objeto de reporte dentro de los doce (12) meses siguientes a la entrada en vigencia de la presente ley, el dato negativo les deberá ser retirado inmediatamente de los bancos de datos.  </w:t>
      </w:r>
    </w:p>
    <w:p w14:paraId="1A105759" w14:textId="09AFA5B9" w:rsidR="0069440A" w:rsidRPr="008E7057" w:rsidRDefault="002115AD" w:rsidP="00EE4B5F">
      <w:pPr>
        <w:spacing w:line="240" w:lineRule="auto"/>
        <w:jc w:val="both"/>
        <w:rPr>
          <w:rFonts w:ascii="Bookman Old Style" w:eastAsia="Times New Roman" w:hAnsi="Bookman Old Style" w:cs="Arial"/>
          <w:color w:val="000000"/>
          <w:sz w:val="24"/>
          <w:szCs w:val="24"/>
          <w:lang w:eastAsia="es-CO"/>
        </w:rPr>
      </w:pPr>
      <w:r w:rsidRPr="008E7057">
        <w:rPr>
          <w:rFonts w:ascii="Bookman Old Style" w:eastAsia="Times New Roman" w:hAnsi="Bookman Old Style" w:cs="Arial"/>
          <w:b/>
          <w:color w:val="000000"/>
          <w:sz w:val="24"/>
          <w:szCs w:val="24"/>
          <w:lang w:eastAsia="es-CO"/>
        </w:rPr>
        <w:t xml:space="preserve">Artículo </w:t>
      </w:r>
      <w:r w:rsidR="00211E2E" w:rsidRPr="008E7057">
        <w:rPr>
          <w:rFonts w:ascii="Bookman Old Style" w:eastAsia="Times New Roman" w:hAnsi="Bookman Old Style" w:cs="Arial"/>
          <w:b/>
          <w:color w:val="000000"/>
          <w:sz w:val="24"/>
          <w:szCs w:val="24"/>
          <w:lang w:eastAsia="es-CO"/>
        </w:rPr>
        <w:t xml:space="preserve">4º. </w:t>
      </w:r>
      <w:r w:rsidRPr="008E7057">
        <w:rPr>
          <w:rFonts w:ascii="Bookman Old Style" w:eastAsia="Times New Roman" w:hAnsi="Bookman Old Style" w:cs="Arial"/>
          <w:color w:val="000000"/>
          <w:sz w:val="24"/>
          <w:szCs w:val="24"/>
          <w:lang w:eastAsia="es-CO"/>
        </w:rPr>
        <w:t xml:space="preserve"> La presente Ley rige a partir de su sanción y publicación</w:t>
      </w:r>
      <w:r w:rsidR="000817C8" w:rsidRPr="008E7057">
        <w:rPr>
          <w:rFonts w:ascii="Bookman Old Style" w:eastAsia="Times New Roman" w:hAnsi="Bookman Old Style" w:cs="Arial"/>
          <w:color w:val="000000"/>
          <w:sz w:val="24"/>
          <w:szCs w:val="24"/>
          <w:lang w:eastAsia="es-CO"/>
        </w:rPr>
        <w:t>, y no tiene efectos retroactivos.</w:t>
      </w:r>
    </w:p>
    <w:p w14:paraId="42288B2F" w14:textId="7A95C963" w:rsidR="00644272" w:rsidRPr="008E7057" w:rsidRDefault="00644272" w:rsidP="00EE4B5F">
      <w:pPr>
        <w:spacing w:before="240" w:after="240" w:line="240" w:lineRule="auto"/>
        <w:rPr>
          <w:rFonts w:ascii="Bookman Old Style" w:hAnsi="Bookman Old Style" w:cs="Arial"/>
          <w:color w:val="000000"/>
          <w:sz w:val="24"/>
          <w:szCs w:val="24"/>
          <w:shd w:val="clear" w:color="auto" w:fill="FFFFFF"/>
        </w:rPr>
      </w:pPr>
      <w:r w:rsidRPr="008E7057">
        <w:rPr>
          <w:rFonts w:ascii="Bookman Old Style" w:hAnsi="Bookman Old Style" w:cs="Arial"/>
          <w:color w:val="000000"/>
          <w:sz w:val="24"/>
          <w:szCs w:val="24"/>
          <w:shd w:val="clear" w:color="auto" w:fill="FFFFFF"/>
        </w:rPr>
        <w:t>De</w:t>
      </w:r>
      <w:r w:rsidR="00C671BE" w:rsidRPr="008E7057">
        <w:rPr>
          <w:rFonts w:ascii="Bookman Old Style" w:hAnsi="Bookman Old Style" w:cs="Arial"/>
          <w:color w:val="000000"/>
          <w:sz w:val="24"/>
          <w:szCs w:val="24"/>
          <w:shd w:val="clear" w:color="auto" w:fill="FFFFFF"/>
        </w:rPr>
        <w:t xml:space="preserve"> los Honorables </w:t>
      </w:r>
      <w:r w:rsidRPr="008E7057">
        <w:rPr>
          <w:rFonts w:ascii="Bookman Old Style" w:hAnsi="Bookman Old Style" w:cs="Arial"/>
          <w:color w:val="000000"/>
          <w:sz w:val="24"/>
          <w:szCs w:val="24"/>
          <w:shd w:val="clear" w:color="auto" w:fill="FFFFFF"/>
        </w:rPr>
        <w:t>Congresistas,</w:t>
      </w:r>
    </w:p>
    <w:p w14:paraId="2E99992B" w14:textId="77777777" w:rsidR="00644272" w:rsidRPr="008E7057" w:rsidRDefault="00644272" w:rsidP="00EE4B5F">
      <w:pPr>
        <w:spacing w:before="240" w:after="240" w:line="240" w:lineRule="auto"/>
        <w:rPr>
          <w:rFonts w:ascii="Bookman Old Style" w:hAnsi="Bookman Old Style" w:cs="Arial"/>
          <w:color w:val="000000"/>
          <w:sz w:val="28"/>
          <w:szCs w:val="28"/>
          <w:shd w:val="clear" w:color="auto" w:fill="FFFFFF"/>
        </w:rPr>
      </w:pPr>
    </w:p>
    <w:p w14:paraId="47D2C9E9" w14:textId="77777777" w:rsidR="00644272" w:rsidRPr="008E7057" w:rsidRDefault="00644272" w:rsidP="00EE4B5F">
      <w:pPr>
        <w:spacing w:before="240" w:after="240" w:line="240" w:lineRule="auto"/>
        <w:contextualSpacing/>
        <w:rPr>
          <w:rFonts w:ascii="Bookman Old Style" w:hAnsi="Bookman Old Style" w:cs="Arial"/>
          <w:b/>
          <w:bCs/>
          <w:color w:val="000000"/>
          <w:sz w:val="24"/>
          <w:szCs w:val="24"/>
          <w:shd w:val="clear" w:color="auto" w:fill="FFFFFF"/>
        </w:rPr>
      </w:pPr>
    </w:p>
    <w:p w14:paraId="717D8449" w14:textId="7D0EA098" w:rsidR="00644272" w:rsidRPr="008E7057" w:rsidRDefault="00644272" w:rsidP="00EE4B5F">
      <w:pPr>
        <w:spacing w:before="240" w:after="240" w:line="240" w:lineRule="auto"/>
        <w:contextualSpacing/>
        <w:rPr>
          <w:rFonts w:ascii="Bookman Old Style" w:hAnsi="Bookman Old Style" w:cs="Arial"/>
          <w:b/>
          <w:bCs/>
          <w:color w:val="000000"/>
          <w:sz w:val="24"/>
          <w:szCs w:val="24"/>
          <w:shd w:val="clear" w:color="auto" w:fill="FFFFFF"/>
        </w:rPr>
      </w:pPr>
      <w:r w:rsidRPr="008E7057">
        <w:rPr>
          <w:rFonts w:ascii="Bookman Old Style" w:hAnsi="Bookman Old Style" w:cs="Arial"/>
          <w:b/>
          <w:bCs/>
          <w:color w:val="000000"/>
          <w:sz w:val="24"/>
          <w:szCs w:val="24"/>
          <w:shd w:val="clear" w:color="auto" w:fill="FFFFFF"/>
        </w:rPr>
        <w:t xml:space="preserve">GERMAN </w:t>
      </w:r>
      <w:r w:rsidR="00C671BE" w:rsidRPr="008E7057">
        <w:rPr>
          <w:rFonts w:ascii="Bookman Old Style" w:hAnsi="Bookman Old Style" w:cs="Arial"/>
          <w:b/>
          <w:bCs/>
          <w:color w:val="000000"/>
          <w:sz w:val="24"/>
          <w:szCs w:val="24"/>
          <w:shd w:val="clear" w:color="auto" w:fill="FFFFFF"/>
        </w:rPr>
        <w:t xml:space="preserve">ROGELIO </w:t>
      </w:r>
      <w:r w:rsidRPr="008E7057">
        <w:rPr>
          <w:rFonts w:ascii="Bookman Old Style" w:hAnsi="Bookman Old Style" w:cs="Arial"/>
          <w:b/>
          <w:bCs/>
          <w:color w:val="000000"/>
          <w:sz w:val="24"/>
          <w:szCs w:val="24"/>
          <w:shd w:val="clear" w:color="auto" w:fill="FFFFFF"/>
        </w:rPr>
        <w:t>ROZO ANIS</w:t>
      </w:r>
    </w:p>
    <w:p w14:paraId="2CEF2DC6" w14:textId="27C7CA10" w:rsidR="00644272" w:rsidRPr="008E7057" w:rsidRDefault="00644272" w:rsidP="00EE4B5F">
      <w:pPr>
        <w:spacing w:before="240" w:after="240" w:line="240" w:lineRule="auto"/>
        <w:contextualSpacing/>
        <w:rPr>
          <w:rFonts w:ascii="Bookman Old Style" w:hAnsi="Bookman Old Style" w:cs="Arial"/>
          <w:color w:val="000000"/>
          <w:sz w:val="24"/>
          <w:szCs w:val="24"/>
          <w:shd w:val="clear" w:color="auto" w:fill="FFFFFF"/>
        </w:rPr>
      </w:pPr>
      <w:r w:rsidRPr="008E7057">
        <w:rPr>
          <w:rFonts w:ascii="Bookman Old Style" w:hAnsi="Bookman Old Style" w:cs="Arial"/>
          <w:color w:val="000000"/>
          <w:sz w:val="24"/>
          <w:szCs w:val="24"/>
          <w:shd w:val="clear" w:color="auto" w:fill="FFFFFF"/>
        </w:rPr>
        <w:t>Representante a la Cámara</w:t>
      </w:r>
    </w:p>
    <w:p w14:paraId="235D089D" w14:textId="213E2576" w:rsidR="00644272" w:rsidRPr="008E7057" w:rsidRDefault="00644272" w:rsidP="00EE4B5F">
      <w:pPr>
        <w:spacing w:before="240" w:after="240" w:line="240" w:lineRule="auto"/>
        <w:contextualSpacing/>
        <w:rPr>
          <w:rFonts w:ascii="Bookman Old Style" w:eastAsia="Times New Roman" w:hAnsi="Bookman Old Style" w:cs="Arial"/>
          <w:b/>
          <w:bCs/>
          <w:color w:val="000000"/>
          <w:sz w:val="24"/>
          <w:szCs w:val="24"/>
          <w:lang w:eastAsia="es-CO"/>
        </w:rPr>
      </w:pPr>
      <w:r w:rsidRPr="008E7057">
        <w:rPr>
          <w:rFonts w:ascii="Bookman Old Style" w:hAnsi="Bookman Old Style" w:cs="Arial"/>
          <w:color w:val="000000"/>
          <w:sz w:val="24"/>
          <w:szCs w:val="24"/>
          <w:shd w:val="clear" w:color="auto" w:fill="FFFFFF"/>
        </w:rPr>
        <w:t>Departamento de Arauca</w:t>
      </w:r>
    </w:p>
    <w:p w14:paraId="0F667DC4" w14:textId="245D45BA" w:rsidR="00EE4B5F" w:rsidRDefault="00EE4B5F" w:rsidP="00EE4B5F">
      <w:pPr>
        <w:spacing w:after="0" w:line="240" w:lineRule="auto"/>
        <w:rPr>
          <w:rFonts w:ascii="Bookman Old Style" w:hAnsi="Bookman Old Style" w:cs="Arial"/>
          <w:sz w:val="24"/>
          <w:szCs w:val="24"/>
        </w:rPr>
      </w:pPr>
    </w:p>
    <w:p w14:paraId="47110475" w14:textId="1FF56EA8" w:rsidR="00EE4B5F" w:rsidRDefault="00EE4B5F" w:rsidP="00EE4B5F">
      <w:pPr>
        <w:spacing w:after="0" w:line="240" w:lineRule="auto"/>
        <w:rPr>
          <w:rFonts w:ascii="Bookman Old Style" w:hAnsi="Bookman Old Style" w:cs="Arial"/>
          <w:sz w:val="24"/>
          <w:szCs w:val="24"/>
        </w:rPr>
      </w:pPr>
    </w:p>
    <w:p w14:paraId="72E4DD3C" w14:textId="77777777" w:rsidR="00EE4B5F" w:rsidRDefault="00EE4B5F" w:rsidP="00EE4B5F">
      <w:pPr>
        <w:spacing w:after="0" w:line="240" w:lineRule="auto"/>
        <w:rPr>
          <w:rFonts w:ascii="Bookman Old Style" w:hAnsi="Bookman Old Style" w:cs="Arial"/>
          <w:sz w:val="24"/>
          <w:szCs w:val="24"/>
        </w:rPr>
      </w:pPr>
    </w:p>
    <w:p w14:paraId="510833BE" w14:textId="77777777" w:rsidR="00EE4B5F" w:rsidRDefault="00EE4B5F" w:rsidP="00EE4B5F">
      <w:pPr>
        <w:spacing w:after="0" w:line="240" w:lineRule="auto"/>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414"/>
        <w:gridCol w:w="4414"/>
      </w:tblGrid>
      <w:tr w:rsidR="00EE4B5F" w14:paraId="5BC7B045" w14:textId="77777777" w:rsidTr="00030DEE">
        <w:tc>
          <w:tcPr>
            <w:tcW w:w="4414" w:type="dxa"/>
          </w:tcPr>
          <w:p w14:paraId="42B5DE0F" w14:textId="77777777" w:rsidR="00EE4B5F" w:rsidRDefault="00EE4B5F" w:rsidP="00EE4B5F">
            <w:pPr>
              <w:rPr>
                <w:rFonts w:ascii="Bookman Old Style" w:hAnsi="Bookman Old Style" w:cs="Arial"/>
                <w:sz w:val="24"/>
                <w:szCs w:val="24"/>
              </w:rPr>
            </w:pPr>
          </w:p>
          <w:p w14:paraId="5614BDB7" w14:textId="77777777" w:rsidR="00EE4B5F" w:rsidRDefault="00EE4B5F" w:rsidP="00EE4B5F">
            <w:pPr>
              <w:rPr>
                <w:rFonts w:ascii="Bookman Old Style" w:hAnsi="Bookman Old Style" w:cs="Arial"/>
                <w:sz w:val="24"/>
                <w:szCs w:val="24"/>
              </w:rPr>
            </w:pPr>
          </w:p>
        </w:tc>
        <w:tc>
          <w:tcPr>
            <w:tcW w:w="4414" w:type="dxa"/>
          </w:tcPr>
          <w:p w14:paraId="74BEEE45" w14:textId="77777777" w:rsidR="00EE4B5F" w:rsidRDefault="00EE4B5F" w:rsidP="00EE4B5F">
            <w:pPr>
              <w:rPr>
                <w:rFonts w:ascii="Bookman Old Style" w:hAnsi="Bookman Old Style" w:cs="Arial"/>
                <w:sz w:val="24"/>
                <w:szCs w:val="24"/>
              </w:rPr>
            </w:pPr>
          </w:p>
        </w:tc>
      </w:tr>
      <w:tr w:rsidR="00EE4B5F" w14:paraId="3004133B" w14:textId="77777777" w:rsidTr="00030DEE">
        <w:tc>
          <w:tcPr>
            <w:tcW w:w="4414" w:type="dxa"/>
          </w:tcPr>
          <w:p w14:paraId="16C233CA" w14:textId="77777777" w:rsidR="00EE4B5F" w:rsidRDefault="00EE4B5F" w:rsidP="00EE4B5F">
            <w:pPr>
              <w:rPr>
                <w:rFonts w:ascii="Bookman Old Style" w:hAnsi="Bookman Old Style" w:cs="Arial"/>
                <w:sz w:val="24"/>
                <w:szCs w:val="24"/>
              </w:rPr>
            </w:pPr>
          </w:p>
          <w:p w14:paraId="3349955D" w14:textId="77777777" w:rsidR="00EE4B5F" w:rsidRDefault="00EE4B5F" w:rsidP="00EE4B5F">
            <w:pPr>
              <w:rPr>
                <w:rFonts w:ascii="Bookman Old Style" w:hAnsi="Bookman Old Style" w:cs="Arial"/>
                <w:sz w:val="24"/>
                <w:szCs w:val="24"/>
              </w:rPr>
            </w:pPr>
          </w:p>
        </w:tc>
        <w:tc>
          <w:tcPr>
            <w:tcW w:w="4414" w:type="dxa"/>
          </w:tcPr>
          <w:p w14:paraId="28F3E77B" w14:textId="77777777" w:rsidR="00EE4B5F" w:rsidRDefault="00EE4B5F" w:rsidP="00EE4B5F">
            <w:pPr>
              <w:rPr>
                <w:rFonts w:ascii="Bookman Old Style" w:hAnsi="Bookman Old Style" w:cs="Arial"/>
                <w:sz w:val="24"/>
                <w:szCs w:val="24"/>
              </w:rPr>
            </w:pPr>
          </w:p>
        </w:tc>
      </w:tr>
      <w:tr w:rsidR="00EE4B5F" w14:paraId="1F72B110" w14:textId="77777777" w:rsidTr="00030DEE">
        <w:tc>
          <w:tcPr>
            <w:tcW w:w="4414" w:type="dxa"/>
          </w:tcPr>
          <w:p w14:paraId="27628518" w14:textId="77777777" w:rsidR="00EE4B5F" w:rsidRDefault="00EE4B5F" w:rsidP="00EE4B5F">
            <w:pPr>
              <w:rPr>
                <w:rFonts w:ascii="Bookman Old Style" w:hAnsi="Bookman Old Style" w:cs="Arial"/>
                <w:sz w:val="24"/>
                <w:szCs w:val="24"/>
              </w:rPr>
            </w:pPr>
          </w:p>
          <w:p w14:paraId="0998A836" w14:textId="77777777" w:rsidR="00EE4B5F" w:rsidRDefault="00EE4B5F" w:rsidP="00EE4B5F">
            <w:pPr>
              <w:rPr>
                <w:rFonts w:ascii="Bookman Old Style" w:hAnsi="Bookman Old Style" w:cs="Arial"/>
                <w:sz w:val="24"/>
                <w:szCs w:val="24"/>
              </w:rPr>
            </w:pPr>
          </w:p>
        </w:tc>
        <w:tc>
          <w:tcPr>
            <w:tcW w:w="4414" w:type="dxa"/>
          </w:tcPr>
          <w:p w14:paraId="4079E5D3" w14:textId="77777777" w:rsidR="00EE4B5F" w:rsidRDefault="00EE4B5F" w:rsidP="00EE4B5F">
            <w:pPr>
              <w:rPr>
                <w:rFonts w:ascii="Bookman Old Style" w:hAnsi="Bookman Old Style" w:cs="Arial"/>
                <w:sz w:val="24"/>
                <w:szCs w:val="24"/>
              </w:rPr>
            </w:pPr>
          </w:p>
        </w:tc>
      </w:tr>
      <w:tr w:rsidR="00EE4B5F" w14:paraId="4B5758D5" w14:textId="77777777" w:rsidTr="00030DEE">
        <w:tc>
          <w:tcPr>
            <w:tcW w:w="4414" w:type="dxa"/>
          </w:tcPr>
          <w:p w14:paraId="0DFF6B63" w14:textId="77777777" w:rsidR="00EE4B5F" w:rsidRDefault="00EE4B5F" w:rsidP="00EE4B5F">
            <w:pPr>
              <w:rPr>
                <w:rFonts w:ascii="Bookman Old Style" w:hAnsi="Bookman Old Style" w:cs="Arial"/>
                <w:sz w:val="24"/>
                <w:szCs w:val="24"/>
              </w:rPr>
            </w:pPr>
          </w:p>
          <w:p w14:paraId="1AC76DC3" w14:textId="77777777" w:rsidR="00EE4B5F" w:rsidRDefault="00EE4B5F" w:rsidP="00EE4B5F">
            <w:pPr>
              <w:rPr>
                <w:rFonts w:ascii="Bookman Old Style" w:hAnsi="Bookman Old Style" w:cs="Arial"/>
                <w:sz w:val="24"/>
                <w:szCs w:val="24"/>
              </w:rPr>
            </w:pPr>
          </w:p>
        </w:tc>
        <w:tc>
          <w:tcPr>
            <w:tcW w:w="4414" w:type="dxa"/>
          </w:tcPr>
          <w:p w14:paraId="6FCA9F8A" w14:textId="77777777" w:rsidR="00EE4B5F" w:rsidRDefault="00EE4B5F" w:rsidP="00EE4B5F">
            <w:pPr>
              <w:rPr>
                <w:rFonts w:ascii="Bookman Old Style" w:hAnsi="Bookman Old Style" w:cs="Arial"/>
                <w:sz w:val="24"/>
                <w:szCs w:val="24"/>
              </w:rPr>
            </w:pPr>
          </w:p>
        </w:tc>
      </w:tr>
      <w:tr w:rsidR="00EE4B5F" w14:paraId="3FA41610" w14:textId="77777777" w:rsidTr="00030DEE">
        <w:tc>
          <w:tcPr>
            <w:tcW w:w="4414" w:type="dxa"/>
          </w:tcPr>
          <w:p w14:paraId="70F7CC33" w14:textId="77777777" w:rsidR="00EE4B5F" w:rsidRDefault="00EE4B5F" w:rsidP="00EE4B5F">
            <w:pPr>
              <w:rPr>
                <w:rFonts w:ascii="Bookman Old Style" w:hAnsi="Bookman Old Style" w:cs="Arial"/>
                <w:sz w:val="24"/>
                <w:szCs w:val="24"/>
              </w:rPr>
            </w:pPr>
          </w:p>
          <w:p w14:paraId="6D61C526" w14:textId="77777777" w:rsidR="00EE4B5F" w:rsidRDefault="00EE4B5F" w:rsidP="00EE4B5F">
            <w:pPr>
              <w:rPr>
                <w:rFonts w:ascii="Bookman Old Style" w:hAnsi="Bookman Old Style" w:cs="Arial"/>
                <w:sz w:val="24"/>
                <w:szCs w:val="24"/>
              </w:rPr>
            </w:pPr>
          </w:p>
        </w:tc>
        <w:tc>
          <w:tcPr>
            <w:tcW w:w="4414" w:type="dxa"/>
          </w:tcPr>
          <w:p w14:paraId="5AD53020" w14:textId="77777777" w:rsidR="00EE4B5F" w:rsidRDefault="00EE4B5F" w:rsidP="00EE4B5F">
            <w:pPr>
              <w:rPr>
                <w:rFonts w:ascii="Bookman Old Style" w:hAnsi="Bookman Old Style" w:cs="Arial"/>
                <w:sz w:val="24"/>
                <w:szCs w:val="24"/>
              </w:rPr>
            </w:pPr>
          </w:p>
        </w:tc>
      </w:tr>
      <w:tr w:rsidR="00EE4B5F" w14:paraId="615370CD" w14:textId="77777777" w:rsidTr="00030DEE">
        <w:tc>
          <w:tcPr>
            <w:tcW w:w="4414" w:type="dxa"/>
          </w:tcPr>
          <w:p w14:paraId="14EF46DF" w14:textId="77777777" w:rsidR="00EE4B5F" w:rsidRDefault="00EE4B5F" w:rsidP="00EE4B5F">
            <w:pPr>
              <w:rPr>
                <w:rFonts w:ascii="Bookman Old Style" w:hAnsi="Bookman Old Style" w:cs="Arial"/>
                <w:sz w:val="24"/>
                <w:szCs w:val="24"/>
              </w:rPr>
            </w:pPr>
          </w:p>
          <w:p w14:paraId="3A7E916F" w14:textId="77777777" w:rsidR="00EE4B5F" w:rsidRDefault="00EE4B5F" w:rsidP="00EE4B5F">
            <w:pPr>
              <w:rPr>
                <w:rFonts w:ascii="Bookman Old Style" w:hAnsi="Bookman Old Style" w:cs="Arial"/>
                <w:sz w:val="24"/>
                <w:szCs w:val="24"/>
              </w:rPr>
            </w:pPr>
          </w:p>
        </w:tc>
        <w:tc>
          <w:tcPr>
            <w:tcW w:w="4414" w:type="dxa"/>
          </w:tcPr>
          <w:p w14:paraId="249E208C" w14:textId="77777777" w:rsidR="00EE4B5F" w:rsidRDefault="00EE4B5F" w:rsidP="00EE4B5F">
            <w:pPr>
              <w:rPr>
                <w:rFonts w:ascii="Bookman Old Style" w:hAnsi="Bookman Old Style" w:cs="Arial"/>
                <w:sz w:val="24"/>
                <w:szCs w:val="24"/>
              </w:rPr>
            </w:pPr>
          </w:p>
        </w:tc>
      </w:tr>
      <w:tr w:rsidR="00EE4B5F" w14:paraId="089EDAA7" w14:textId="77777777" w:rsidTr="00030DEE">
        <w:tc>
          <w:tcPr>
            <w:tcW w:w="4414" w:type="dxa"/>
          </w:tcPr>
          <w:p w14:paraId="591B4F6C" w14:textId="77777777" w:rsidR="00EE4B5F" w:rsidRDefault="00EE4B5F" w:rsidP="00EE4B5F">
            <w:pPr>
              <w:rPr>
                <w:rFonts w:ascii="Bookman Old Style" w:hAnsi="Bookman Old Style" w:cs="Arial"/>
                <w:sz w:val="24"/>
                <w:szCs w:val="24"/>
              </w:rPr>
            </w:pPr>
          </w:p>
          <w:p w14:paraId="07C2D21B" w14:textId="77777777" w:rsidR="00EE4B5F" w:rsidRDefault="00EE4B5F" w:rsidP="00EE4B5F">
            <w:pPr>
              <w:rPr>
                <w:rFonts w:ascii="Bookman Old Style" w:hAnsi="Bookman Old Style" w:cs="Arial"/>
                <w:sz w:val="24"/>
                <w:szCs w:val="24"/>
              </w:rPr>
            </w:pPr>
          </w:p>
        </w:tc>
        <w:tc>
          <w:tcPr>
            <w:tcW w:w="4414" w:type="dxa"/>
          </w:tcPr>
          <w:p w14:paraId="5803108D" w14:textId="77777777" w:rsidR="00EE4B5F" w:rsidRDefault="00EE4B5F" w:rsidP="00EE4B5F">
            <w:pPr>
              <w:rPr>
                <w:rFonts w:ascii="Bookman Old Style" w:hAnsi="Bookman Old Style" w:cs="Arial"/>
                <w:sz w:val="24"/>
                <w:szCs w:val="24"/>
              </w:rPr>
            </w:pPr>
          </w:p>
        </w:tc>
      </w:tr>
      <w:tr w:rsidR="00EE4B5F" w14:paraId="5A5A8383" w14:textId="77777777" w:rsidTr="00030DEE">
        <w:tc>
          <w:tcPr>
            <w:tcW w:w="4414" w:type="dxa"/>
          </w:tcPr>
          <w:p w14:paraId="5136DB95" w14:textId="77777777" w:rsidR="00EE4B5F" w:rsidRDefault="00EE4B5F" w:rsidP="00EE4B5F">
            <w:pPr>
              <w:rPr>
                <w:rFonts w:ascii="Bookman Old Style" w:hAnsi="Bookman Old Style" w:cs="Arial"/>
                <w:sz w:val="24"/>
                <w:szCs w:val="24"/>
              </w:rPr>
            </w:pPr>
          </w:p>
          <w:p w14:paraId="4092D5B2" w14:textId="77777777" w:rsidR="00EE4B5F" w:rsidRDefault="00EE4B5F" w:rsidP="00EE4B5F">
            <w:pPr>
              <w:rPr>
                <w:rFonts w:ascii="Bookman Old Style" w:hAnsi="Bookman Old Style" w:cs="Arial"/>
                <w:sz w:val="24"/>
                <w:szCs w:val="24"/>
              </w:rPr>
            </w:pPr>
          </w:p>
        </w:tc>
        <w:tc>
          <w:tcPr>
            <w:tcW w:w="4414" w:type="dxa"/>
          </w:tcPr>
          <w:p w14:paraId="5C1CDD16" w14:textId="77777777" w:rsidR="00EE4B5F" w:rsidRDefault="00EE4B5F" w:rsidP="00EE4B5F">
            <w:pPr>
              <w:rPr>
                <w:rFonts w:ascii="Bookman Old Style" w:hAnsi="Bookman Old Style" w:cs="Arial"/>
                <w:sz w:val="24"/>
                <w:szCs w:val="24"/>
              </w:rPr>
            </w:pPr>
          </w:p>
        </w:tc>
      </w:tr>
    </w:tbl>
    <w:p w14:paraId="2EB1AF31" w14:textId="77777777" w:rsidR="00EE4B5F" w:rsidRDefault="00EE4B5F" w:rsidP="00EE4B5F">
      <w:pPr>
        <w:spacing w:line="240" w:lineRule="auto"/>
        <w:jc w:val="center"/>
        <w:rPr>
          <w:rFonts w:ascii="Bookman Old Style" w:eastAsia="Arial" w:hAnsi="Bookman Old Style" w:cs="Arial"/>
          <w:b/>
          <w:sz w:val="24"/>
          <w:szCs w:val="24"/>
        </w:rPr>
      </w:pPr>
    </w:p>
    <w:p w14:paraId="08B240D7" w14:textId="332BB453" w:rsidR="002115AD" w:rsidRPr="008E7057" w:rsidRDefault="00FB34EC" w:rsidP="00EE4B5F">
      <w:pPr>
        <w:spacing w:line="240" w:lineRule="auto"/>
        <w:jc w:val="center"/>
        <w:rPr>
          <w:rFonts w:ascii="Bookman Old Style" w:eastAsia="Arial" w:hAnsi="Bookman Old Style" w:cs="Arial"/>
          <w:b/>
          <w:sz w:val="24"/>
          <w:szCs w:val="24"/>
        </w:rPr>
      </w:pPr>
      <w:r w:rsidRPr="008E7057">
        <w:rPr>
          <w:rFonts w:ascii="Bookman Old Style" w:eastAsia="Arial" w:hAnsi="Bookman Old Style" w:cs="Arial"/>
          <w:b/>
          <w:sz w:val="24"/>
          <w:szCs w:val="24"/>
        </w:rPr>
        <w:lastRenderedPageBreak/>
        <w:t>EXPOSICIÓN DE MOTIVOS</w:t>
      </w:r>
    </w:p>
    <w:p w14:paraId="75976151" w14:textId="14B314E2" w:rsidR="00644272" w:rsidRPr="008E7057" w:rsidRDefault="00EE4B5F" w:rsidP="00EE4B5F">
      <w:pPr>
        <w:pStyle w:val="Sinespaciado"/>
        <w:jc w:val="both"/>
        <w:rPr>
          <w:rFonts w:ascii="Bookman Old Style" w:hAnsi="Bookman Old Style" w:cs="Arial"/>
          <w:sz w:val="24"/>
          <w:szCs w:val="24"/>
        </w:rPr>
      </w:pPr>
      <w:r>
        <w:rPr>
          <w:rFonts w:ascii="Bookman Old Style" w:hAnsi="Bookman Old Style" w:cs="Arial"/>
          <w:sz w:val="24"/>
          <w:szCs w:val="24"/>
        </w:rPr>
        <w:t>La presente L</w:t>
      </w:r>
      <w:r w:rsidR="006B0DE8" w:rsidRPr="008E7057">
        <w:rPr>
          <w:rFonts w:ascii="Bookman Old Style" w:hAnsi="Bookman Old Style" w:cs="Arial"/>
          <w:sz w:val="24"/>
          <w:szCs w:val="24"/>
        </w:rPr>
        <w:t xml:space="preserve">ey tiene como objetivo principal excluir del reporte en centrales de riesgos financieros a los </w:t>
      </w:r>
      <w:r w:rsidR="00562AD7" w:rsidRPr="008E7057">
        <w:rPr>
          <w:rFonts w:ascii="Bookman Old Style" w:hAnsi="Bookman Old Style" w:cs="Arial"/>
          <w:sz w:val="24"/>
          <w:szCs w:val="24"/>
        </w:rPr>
        <w:t xml:space="preserve">consumidores de </w:t>
      </w:r>
      <w:r w:rsidR="006B0DE8" w:rsidRPr="008E7057">
        <w:rPr>
          <w:rFonts w:ascii="Bookman Old Style" w:hAnsi="Bookman Old Style" w:cs="Arial"/>
          <w:sz w:val="24"/>
          <w:szCs w:val="24"/>
        </w:rPr>
        <w:t>créditos educativos otorgados, con el fin de promover el acceso a la educación y facilitar el desarrollo académico y profesional de la población.</w:t>
      </w:r>
      <w:r w:rsidR="00644272" w:rsidRPr="008E7057">
        <w:rPr>
          <w:rFonts w:ascii="Bookman Old Style" w:hAnsi="Bookman Old Style" w:cs="Arial"/>
          <w:sz w:val="24"/>
          <w:szCs w:val="24"/>
        </w:rPr>
        <w:t xml:space="preserve"> Para explicar este cometido, </w:t>
      </w:r>
      <w:r w:rsidR="004E5F30" w:rsidRPr="008E7057">
        <w:rPr>
          <w:rFonts w:ascii="Bookman Old Style" w:hAnsi="Bookman Old Style" w:cs="Arial"/>
          <w:sz w:val="24"/>
          <w:szCs w:val="24"/>
        </w:rPr>
        <w:t>se sugiere abordar el siguiente orden metodológico:</w:t>
      </w:r>
    </w:p>
    <w:p w14:paraId="4968E7D5" w14:textId="77777777" w:rsidR="004E5F30" w:rsidRPr="008E7057" w:rsidRDefault="004E5F30" w:rsidP="00EE4B5F">
      <w:pPr>
        <w:pStyle w:val="Sinespaciado"/>
        <w:jc w:val="both"/>
        <w:rPr>
          <w:rFonts w:ascii="Bookman Old Style" w:hAnsi="Bookman Old Style" w:cs="Arial"/>
          <w:sz w:val="24"/>
          <w:szCs w:val="24"/>
        </w:rPr>
      </w:pPr>
    </w:p>
    <w:p w14:paraId="0F793AC4" w14:textId="5F7AA051" w:rsidR="004E5F30" w:rsidRPr="008E7057" w:rsidRDefault="004E5F30" w:rsidP="00EE4B5F">
      <w:pPr>
        <w:pStyle w:val="Sinespaciado"/>
        <w:numPr>
          <w:ilvl w:val="0"/>
          <w:numId w:val="14"/>
        </w:numPr>
        <w:jc w:val="both"/>
        <w:rPr>
          <w:rFonts w:ascii="Bookman Old Style" w:hAnsi="Bookman Old Style" w:cs="Arial"/>
          <w:b/>
          <w:sz w:val="24"/>
          <w:szCs w:val="24"/>
        </w:rPr>
      </w:pPr>
      <w:r w:rsidRPr="008E7057">
        <w:rPr>
          <w:rFonts w:ascii="Bookman Old Style" w:hAnsi="Bookman Old Style" w:cs="Arial"/>
          <w:b/>
          <w:sz w:val="24"/>
          <w:szCs w:val="24"/>
        </w:rPr>
        <w:t xml:space="preserve"> ESTADO DEL A</w:t>
      </w:r>
      <w:r w:rsidR="00562AD7" w:rsidRPr="008E7057">
        <w:rPr>
          <w:rFonts w:ascii="Bookman Old Style" w:hAnsi="Bookman Old Style" w:cs="Arial"/>
          <w:b/>
          <w:sz w:val="24"/>
          <w:szCs w:val="24"/>
        </w:rPr>
        <w:t>RTE LEGISLATIVO DE LA PROPUESTA</w:t>
      </w:r>
    </w:p>
    <w:p w14:paraId="4219F90D" w14:textId="77777777" w:rsidR="00562AD7" w:rsidRPr="008E7057" w:rsidRDefault="00562AD7" w:rsidP="00EE4B5F">
      <w:pPr>
        <w:pStyle w:val="Sinespaciado"/>
        <w:jc w:val="both"/>
        <w:rPr>
          <w:rFonts w:ascii="Bookman Old Style" w:hAnsi="Bookman Old Style" w:cs="Arial"/>
          <w:b/>
          <w:sz w:val="24"/>
          <w:szCs w:val="24"/>
        </w:rPr>
      </w:pPr>
    </w:p>
    <w:p w14:paraId="5CF2EF45" w14:textId="291760A6" w:rsidR="004E5F30" w:rsidRPr="008E7057" w:rsidRDefault="00562AD7" w:rsidP="00EE4B5F">
      <w:pPr>
        <w:pStyle w:val="Sinespaciado"/>
        <w:jc w:val="both"/>
        <w:rPr>
          <w:rFonts w:ascii="Bookman Old Style" w:hAnsi="Bookman Old Style" w:cs="Arial"/>
          <w:b/>
          <w:sz w:val="24"/>
          <w:szCs w:val="24"/>
        </w:rPr>
      </w:pPr>
      <w:r w:rsidRPr="008E7057">
        <w:rPr>
          <w:rFonts w:ascii="Bookman Old Style" w:hAnsi="Bookman Old Style" w:cs="Arial"/>
          <w:b/>
          <w:sz w:val="24"/>
          <w:szCs w:val="24"/>
        </w:rPr>
        <w:t>1.1 Antecedentes legislativos</w:t>
      </w:r>
    </w:p>
    <w:p w14:paraId="4DD4DB4F" w14:textId="77777777" w:rsidR="00562AD7" w:rsidRPr="008E7057" w:rsidRDefault="00562AD7" w:rsidP="00EE4B5F">
      <w:pPr>
        <w:pStyle w:val="Sinespaciado"/>
        <w:jc w:val="both"/>
        <w:rPr>
          <w:rFonts w:ascii="Bookman Old Style" w:hAnsi="Bookman Old Style" w:cs="Arial"/>
          <w:b/>
          <w:sz w:val="24"/>
          <w:szCs w:val="24"/>
        </w:rPr>
      </w:pPr>
    </w:p>
    <w:p w14:paraId="30658D98" w14:textId="102BD318" w:rsidR="00644272" w:rsidRPr="008E7057" w:rsidRDefault="00644272" w:rsidP="00EE4B5F">
      <w:pPr>
        <w:spacing w:after="300" w:line="240" w:lineRule="auto"/>
        <w:jc w:val="both"/>
        <w:rPr>
          <w:rFonts w:ascii="Bookman Old Style" w:eastAsia="Times New Roman" w:hAnsi="Bookman Old Style" w:cs="Arial"/>
          <w:sz w:val="24"/>
          <w:szCs w:val="24"/>
          <w:lang w:eastAsia="es-CO"/>
        </w:rPr>
      </w:pPr>
      <w:r w:rsidRPr="008E7057">
        <w:rPr>
          <w:rFonts w:ascii="Bookman Old Style" w:eastAsia="Times New Roman" w:hAnsi="Bookman Old Style" w:cs="Arial"/>
          <w:color w:val="000000"/>
          <w:sz w:val="24"/>
          <w:szCs w:val="24"/>
          <w:lang w:eastAsia="es-CO"/>
        </w:rPr>
        <w:t xml:space="preserve">La aprobación </w:t>
      </w:r>
      <w:r w:rsidR="009F142E" w:rsidRPr="008E7057">
        <w:rPr>
          <w:rFonts w:ascii="Bookman Old Style" w:eastAsia="Times New Roman" w:hAnsi="Bookman Old Style" w:cs="Arial"/>
          <w:color w:val="000000"/>
          <w:sz w:val="24"/>
          <w:szCs w:val="24"/>
          <w:lang w:eastAsia="es-CO"/>
        </w:rPr>
        <w:t xml:space="preserve">en </w:t>
      </w:r>
      <w:r w:rsidRPr="008E7057">
        <w:rPr>
          <w:rFonts w:ascii="Bookman Old Style" w:eastAsia="Times New Roman" w:hAnsi="Bookman Old Style" w:cs="Arial"/>
          <w:color w:val="000000"/>
          <w:sz w:val="24"/>
          <w:szCs w:val="24"/>
          <w:lang w:eastAsia="es-CO"/>
        </w:rPr>
        <w:t>la</w:t>
      </w:r>
      <w:r w:rsidR="009F142E" w:rsidRPr="008E7057">
        <w:rPr>
          <w:rFonts w:ascii="Bookman Old Style" w:eastAsia="Times New Roman" w:hAnsi="Bookman Old Style" w:cs="Arial"/>
          <w:color w:val="000000"/>
          <w:sz w:val="24"/>
          <w:szCs w:val="24"/>
          <w:lang w:eastAsia="es-CO"/>
        </w:rPr>
        <w:t xml:space="preserve"> </w:t>
      </w:r>
      <w:r w:rsidRPr="008E7057">
        <w:rPr>
          <w:rFonts w:ascii="Bookman Old Style" w:eastAsia="Times New Roman" w:hAnsi="Bookman Old Style" w:cs="Arial"/>
          <w:color w:val="000000"/>
          <w:sz w:val="24"/>
          <w:szCs w:val="24"/>
          <w:lang w:eastAsia="es-CO"/>
        </w:rPr>
        <w:t xml:space="preserve">Cámara de Representantes del proyecto de </w:t>
      </w:r>
      <w:r w:rsidR="009F142E" w:rsidRPr="008E7057">
        <w:rPr>
          <w:rFonts w:ascii="Bookman Old Style" w:eastAsia="Times New Roman" w:hAnsi="Bookman Old Style" w:cs="Arial"/>
          <w:color w:val="000000"/>
          <w:sz w:val="24"/>
          <w:szCs w:val="24"/>
          <w:lang w:eastAsia="es-CO"/>
        </w:rPr>
        <w:t xml:space="preserve">Ley 125 de 2023 </w:t>
      </w:r>
      <w:r w:rsidR="00562AD7" w:rsidRPr="008E7057">
        <w:rPr>
          <w:rFonts w:ascii="Bookman Old Style" w:eastAsia="Times New Roman" w:hAnsi="Bookman Old Style" w:cs="Arial"/>
          <w:color w:val="000000"/>
          <w:sz w:val="24"/>
          <w:szCs w:val="24"/>
          <w:lang w:eastAsia="es-CO"/>
        </w:rPr>
        <w:t>'Borrón y Cuenta Nueva 2.0' marc</w:t>
      </w:r>
      <w:r w:rsidRPr="008E7057">
        <w:rPr>
          <w:rFonts w:ascii="Bookman Old Style" w:eastAsia="Times New Roman" w:hAnsi="Bookman Old Style" w:cs="Arial"/>
          <w:color w:val="000000"/>
          <w:sz w:val="24"/>
          <w:szCs w:val="24"/>
          <w:lang w:eastAsia="es-CO"/>
        </w:rPr>
        <w:t>a un hito en la búsqueda de fortalecer el sistema crediticio en Colombia. Este proyecto, derivado de la exitosa Ley de 'Borrón y Cuenta Nueva' vigente desde el 29 de octubre de 2021</w:t>
      </w:r>
      <w:r w:rsidR="00CC3FEF" w:rsidRPr="008E7057">
        <w:rPr>
          <w:rFonts w:ascii="Bookman Old Style" w:eastAsia="Times New Roman" w:hAnsi="Bookman Old Style" w:cs="Arial"/>
          <w:color w:val="000000"/>
          <w:sz w:val="24"/>
          <w:szCs w:val="24"/>
          <w:lang w:eastAsia="es-CO"/>
        </w:rPr>
        <w:t xml:space="preserve">, </w:t>
      </w:r>
      <w:r w:rsidRPr="008E7057">
        <w:rPr>
          <w:rFonts w:ascii="Bookman Old Style" w:eastAsia="Times New Roman" w:hAnsi="Bookman Old Style" w:cs="Arial"/>
          <w:color w:val="000000"/>
          <w:sz w:val="24"/>
          <w:szCs w:val="24"/>
          <w:lang w:eastAsia="es-CO"/>
        </w:rPr>
        <w:t>demuestra la voluntad del legislador de continuar desarrollando medidas que impacten positivamente en el acceso al crédito y en la situación financiera de los ciudadanos.</w:t>
      </w:r>
    </w:p>
    <w:p w14:paraId="42F5C5FA" w14:textId="2EC8C1B8" w:rsidR="00644272" w:rsidRPr="008E7057" w:rsidRDefault="00644272" w:rsidP="00EE4B5F">
      <w:pPr>
        <w:spacing w:before="300" w:after="300" w:line="240" w:lineRule="auto"/>
        <w:jc w:val="both"/>
        <w:rPr>
          <w:rFonts w:ascii="Bookman Old Style" w:eastAsia="Times New Roman" w:hAnsi="Bookman Old Style" w:cs="Arial"/>
          <w:sz w:val="24"/>
          <w:szCs w:val="24"/>
          <w:lang w:eastAsia="es-CO"/>
        </w:rPr>
      </w:pPr>
      <w:r w:rsidRPr="008E7057">
        <w:rPr>
          <w:rFonts w:ascii="Bookman Old Style" w:eastAsia="Times New Roman" w:hAnsi="Bookman Old Style" w:cs="Arial"/>
          <w:color w:val="000000"/>
          <w:sz w:val="24"/>
          <w:szCs w:val="24"/>
          <w:lang w:eastAsia="es-CO"/>
        </w:rPr>
        <w:t xml:space="preserve">El propósito fundamental del proyecto </w:t>
      </w:r>
      <w:r w:rsidRPr="008E7057">
        <w:rPr>
          <w:rFonts w:ascii="Bookman Old Style" w:eastAsia="Times New Roman" w:hAnsi="Bookman Old Style" w:cs="Arial"/>
          <w:sz w:val="24"/>
          <w:szCs w:val="24"/>
          <w:lang w:eastAsia="es-CO"/>
        </w:rPr>
        <w:t xml:space="preserve">fue </w:t>
      </w:r>
      <w:r w:rsidR="00562AD7" w:rsidRPr="008E7057">
        <w:rPr>
          <w:rFonts w:ascii="Bookman Old Style" w:eastAsia="Times New Roman" w:hAnsi="Bookman Old Style" w:cs="Arial"/>
          <w:color w:val="000000"/>
          <w:sz w:val="24"/>
          <w:szCs w:val="24"/>
          <w:lang w:eastAsia="es-CO"/>
        </w:rPr>
        <w:t>claro: M</w:t>
      </w:r>
      <w:r w:rsidRPr="008E7057">
        <w:rPr>
          <w:rFonts w:ascii="Bookman Old Style" w:eastAsia="Times New Roman" w:hAnsi="Bookman Old Style" w:cs="Arial"/>
          <w:color w:val="000000"/>
          <w:sz w:val="24"/>
          <w:szCs w:val="24"/>
          <w:lang w:eastAsia="es-CO"/>
        </w:rPr>
        <w:t>ejorar el historial crediticio de los colombianos para que puedan acceder a mayores oportunidades de financiamiento en el futuro. Esto no solo se traduce en una democratización del crédito, sino que también busca ser un catalizador para proyectos generadores de empleo, facilitadores del acceso a la vivienda, promotores de proyectos de construcción y, en última instancia, impulsores del crecimiento empresarial en el país.</w:t>
      </w:r>
    </w:p>
    <w:p w14:paraId="69B8E5C7" w14:textId="77777777" w:rsidR="00644272" w:rsidRPr="008E7057" w:rsidRDefault="00644272" w:rsidP="00EE4B5F">
      <w:pPr>
        <w:spacing w:before="300" w:after="300" w:line="240" w:lineRule="auto"/>
        <w:jc w:val="both"/>
        <w:rPr>
          <w:rFonts w:ascii="Bookman Old Style" w:eastAsia="Times New Roman" w:hAnsi="Bookman Old Style" w:cs="Arial"/>
          <w:sz w:val="24"/>
          <w:szCs w:val="24"/>
          <w:lang w:eastAsia="es-CO"/>
        </w:rPr>
      </w:pPr>
      <w:r w:rsidRPr="008E7057">
        <w:rPr>
          <w:rFonts w:ascii="Bookman Old Style" w:eastAsia="Times New Roman" w:hAnsi="Bookman Old Style" w:cs="Arial"/>
          <w:color w:val="000000"/>
          <w:sz w:val="24"/>
          <w:szCs w:val="24"/>
          <w:lang w:eastAsia="es-CO"/>
        </w:rPr>
        <w:t>El aspecto más destacado del proyecto es su propuesta de extender el régimen de transición y eliminar los reportes negativos de las centrales de riesgo para aquellos que paguen sus deudas dentro de los 12 meses del período de transición. Esta medida no solo simplifica el proceso, sino que también elimina barreras que podrían haber desincentivado a los deudores a regularizar su situación financiera. La eliminación automática de los reportes negativos, sin necesidad de una solicitud adicional, representa un cambio significativo y eficaz para cerca de seis millones de colombianos, ofreciéndoles una segunda oportunidad crediticia y la posibilidad de participar plenamente en la economía.</w:t>
      </w:r>
    </w:p>
    <w:p w14:paraId="7553FAF3" w14:textId="77777777" w:rsidR="00644272" w:rsidRPr="008E7057" w:rsidRDefault="00644272" w:rsidP="00EE4B5F">
      <w:pPr>
        <w:spacing w:before="300" w:after="0" w:line="240" w:lineRule="auto"/>
        <w:jc w:val="both"/>
        <w:rPr>
          <w:rFonts w:ascii="Bookman Old Style" w:eastAsia="Times New Roman" w:hAnsi="Bookman Old Style" w:cs="Arial"/>
          <w:sz w:val="24"/>
          <w:szCs w:val="24"/>
          <w:lang w:eastAsia="es-CO"/>
        </w:rPr>
      </w:pPr>
      <w:r w:rsidRPr="008E7057">
        <w:rPr>
          <w:rFonts w:ascii="Bookman Old Style" w:eastAsia="Times New Roman" w:hAnsi="Bookman Old Style" w:cs="Arial"/>
          <w:color w:val="000000"/>
          <w:sz w:val="24"/>
          <w:szCs w:val="24"/>
          <w:lang w:eastAsia="es-CO"/>
        </w:rPr>
        <w:t xml:space="preserve">Es importante destacar que esta iniciativa legislativa se inscribe en un marco más amplio de preocupación por la inclusión financiera y el bienestar económico de los ciudadanos. Al apoyar la eliminación de obstáculos </w:t>
      </w:r>
      <w:r w:rsidRPr="008E7057">
        <w:rPr>
          <w:rFonts w:ascii="Bookman Old Style" w:eastAsia="Times New Roman" w:hAnsi="Bookman Old Style" w:cs="Arial"/>
          <w:color w:val="000000"/>
          <w:sz w:val="24"/>
          <w:szCs w:val="24"/>
          <w:lang w:eastAsia="es-CO"/>
        </w:rPr>
        <w:lastRenderedPageBreak/>
        <w:t>financieros y alentar la participación activa en el sistema crediticio, el proyecto 'Borrón y Cuenta Nueva 2.0' no solo tiene un impacto inmediato en la vida de los individuos, sino que también contribuye al fortalecimiento general de la economía colombiana. </w:t>
      </w:r>
    </w:p>
    <w:p w14:paraId="31CF3F8E" w14:textId="668529F0" w:rsidR="00644272" w:rsidRPr="008E7057" w:rsidRDefault="00562AD7" w:rsidP="00EE4B5F">
      <w:pPr>
        <w:spacing w:before="300" w:after="0" w:line="240" w:lineRule="auto"/>
        <w:jc w:val="both"/>
        <w:rPr>
          <w:rFonts w:ascii="Bookman Old Style" w:eastAsia="Times New Roman" w:hAnsi="Bookman Old Style" w:cs="Arial"/>
          <w:sz w:val="24"/>
          <w:szCs w:val="24"/>
          <w:lang w:eastAsia="es-CO"/>
        </w:rPr>
      </w:pPr>
      <w:r w:rsidRPr="008E7057">
        <w:rPr>
          <w:rFonts w:ascii="Bookman Old Style" w:eastAsia="Times New Roman" w:hAnsi="Bookman Old Style" w:cs="Arial"/>
          <w:color w:val="000000"/>
          <w:sz w:val="24"/>
          <w:szCs w:val="24"/>
          <w:lang w:eastAsia="es-CO"/>
        </w:rPr>
        <w:t>Por otro lado, l</w:t>
      </w:r>
      <w:r w:rsidR="00644272" w:rsidRPr="008E7057">
        <w:rPr>
          <w:rFonts w:ascii="Bookman Old Style" w:eastAsia="Times New Roman" w:hAnsi="Bookman Old Style" w:cs="Arial"/>
          <w:color w:val="000000"/>
          <w:sz w:val="24"/>
          <w:szCs w:val="24"/>
          <w:lang w:eastAsia="es-CO"/>
        </w:rPr>
        <w:t>a referencia al Proyecto de Ley 246 de 2022 del Senado de la República, presentada por el Senador Alirio Barrera, que buscaba establecer amnistía de intereses y alivios económicos a los deudores del Instituto de Crédito Educativo y Estudios Técnicos en el Exterior "Mariano Ospina Pérez" (ICETEX), así como permitir la suscripción de acuerdos de pagos y dictar otras disposiciones sobre los fondos propios de entidades nacionales y territoriales de naturaleza pública, es relevante para contextualizar la preocupación legislativa hacia esta población específica.</w:t>
      </w:r>
    </w:p>
    <w:p w14:paraId="76C5E70D" w14:textId="0E70EDD1" w:rsidR="00644272" w:rsidRPr="008E7057" w:rsidRDefault="00562AD7" w:rsidP="00EE4B5F">
      <w:pPr>
        <w:spacing w:before="300" w:after="300" w:line="240" w:lineRule="auto"/>
        <w:jc w:val="both"/>
        <w:rPr>
          <w:rFonts w:ascii="Bookman Old Style" w:eastAsia="Times New Roman" w:hAnsi="Bookman Old Style" w:cs="Arial"/>
          <w:sz w:val="24"/>
          <w:szCs w:val="24"/>
          <w:u w:val="single"/>
          <w:lang w:eastAsia="es-CO"/>
        </w:rPr>
      </w:pPr>
      <w:r w:rsidRPr="008E7057">
        <w:rPr>
          <w:rFonts w:ascii="Bookman Old Style" w:eastAsia="Times New Roman" w:hAnsi="Bookman Old Style" w:cs="Arial"/>
          <w:color w:val="000000"/>
          <w:sz w:val="24"/>
          <w:szCs w:val="24"/>
          <w:u w:val="single"/>
          <w:lang w:eastAsia="es-CO"/>
        </w:rPr>
        <w:t>Aunque el proyecto de L</w:t>
      </w:r>
      <w:r w:rsidR="00644272" w:rsidRPr="008E7057">
        <w:rPr>
          <w:rFonts w:ascii="Bookman Old Style" w:eastAsia="Times New Roman" w:hAnsi="Bookman Old Style" w:cs="Arial"/>
          <w:color w:val="000000"/>
          <w:sz w:val="24"/>
          <w:szCs w:val="24"/>
          <w:u w:val="single"/>
          <w:lang w:eastAsia="es-CO"/>
        </w:rPr>
        <w:t>ey fue archivado por motivos de trámite, su existencia sugiere que la problemática de los deudores del ICETEX es un tema que ha captado la atención del órgano legislativo. La iniciativa buscaba brindar alivios económicos y opciones de acuerdos de pago, señalando una consideración por las dificultades financieras que pueden enfrentar los beneficiarios de créditos educativos.</w:t>
      </w:r>
    </w:p>
    <w:p w14:paraId="213DCDF8" w14:textId="77777777" w:rsidR="00644272" w:rsidRPr="008E7057" w:rsidRDefault="00644272" w:rsidP="00EE4B5F">
      <w:pPr>
        <w:spacing w:before="300" w:after="0" w:line="240" w:lineRule="auto"/>
        <w:jc w:val="both"/>
        <w:rPr>
          <w:rFonts w:ascii="Bookman Old Style" w:eastAsia="Times New Roman" w:hAnsi="Bookman Old Style" w:cs="Arial"/>
          <w:sz w:val="24"/>
          <w:szCs w:val="24"/>
          <w:lang w:eastAsia="es-CO"/>
        </w:rPr>
      </w:pPr>
      <w:r w:rsidRPr="008E7057">
        <w:rPr>
          <w:rFonts w:ascii="Bookman Old Style" w:eastAsia="Times New Roman" w:hAnsi="Bookman Old Style" w:cs="Arial"/>
          <w:color w:val="000000"/>
          <w:sz w:val="24"/>
          <w:szCs w:val="24"/>
          <w:lang w:eastAsia="es-CO"/>
        </w:rPr>
        <w:t>Este antecedente puede fortalecer el argumento sobre la preocupación del Congreso hacia los temas relacionados con el endeudamiento educativo y respalda la necesidad de medidas que faciliten el acceso al crédito y mitiguen las cargas financieras para aquellos que han accedido a préstamos educativos. Aunque el proyecto no llegó a ser aprobado, la discusión y presentación de iniciativas de este tipo reflejan una conciencia de la importancia de abordar cuestiones relacionadas con la deuda educativa en el ámbito legislativo.</w:t>
      </w:r>
    </w:p>
    <w:p w14:paraId="5B135A77" w14:textId="77777777" w:rsidR="00644272" w:rsidRPr="008E7057" w:rsidRDefault="00644272" w:rsidP="00EE4B5F">
      <w:pPr>
        <w:spacing w:line="240" w:lineRule="auto"/>
        <w:rPr>
          <w:rFonts w:ascii="Bookman Old Style" w:eastAsia="Arial" w:hAnsi="Bookman Old Style" w:cs="Arial"/>
          <w:b/>
          <w:sz w:val="24"/>
          <w:szCs w:val="24"/>
        </w:rPr>
      </w:pPr>
    </w:p>
    <w:p w14:paraId="74DC28EC" w14:textId="1F598DA2" w:rsidR="00644272" w:rsidRPr="008E7057" w:rsidRDefault="004E5F30" w:rsidP="00EE4B5F">
      <w:pPr>
        <w:pStyle w:val="Sinespaciado"/>
        <w:numPr>
          <w:ilvl w:val="0"/>
          <w:numId w:val="14"/>
        </w:numPr>
        <w:jc w:val="both"/>
        <w:rPr>
          <w:rFonts w:ascii="Bookman Old Style" w:hAnsi="Bookman Old Style" w:cs="Arial"/>
          <w:b/>
          <w:sz w:val="24"/>
          <w:szCs w:val="24"/>
        </w:rPr>
      </w:pPr>
      <w:r w:rsidRPr="008E7057">
        <w:rPr>
          <w:rFonts w:ascii="Bookman Old Style" w:hAnsi="Bookman Old Style" w:cs="Arial"/>
          <w:b/>
          <w:sz w:val="24"/>
          <w:szCs w:val="24"/>
        </w:rPr>
        <w:t xml:space="preserve"> JUSTIFICACIÓN DE LA IN</w:t>
      </w:r>
      <w:r w:rsidR="00F14BB0" w:rsidRPr="008E7057">
        <w:rPr>
          <w:rFonts w:ascii="Bookman Old Style" w:hAnsi="Bookman Old Style" w:cs="Arial"/>
          <w:b/>
          <w:sz w:val="24"/>
          <w:szCs w:val="24"/>
        </w:rPr>
        <w:t>I</w:t>
      </w:r>
      <w:r w:rsidRPr="008E7057">
        <w:rPr>
          <w:rFonts w:ascii="Bookman Old Style" w:hAnsi="Bookman Old Style" w:cs="Arial"/>
          <w:b/>
          <w:sz w:val="24"/>
          <w:szCs w:val="24"/>
        </w:rPr>
        <w:t>CI</w:t>
      </w:r>
      <w:r w:rsidR="00F14BB0" w:rsidRPr="008E7057">
        <w:rPr>
          <w:rFonts w:ascii="Bookman Old Style" w:hAnsi="Bookman Old Style" w:cs="Arial"/>
          <w:b/>
          <w:sz w:val="24"/>
          <w:szCs w:val="24"/>
        </w:rPr>
        <w:t>A</w:t>
      </w:r>
      <w:r w:rsidRPr="008E7057">
        <w:rPr>
          <w:rFonts w:ascii="Bookman Old Style" w:hAnsi="Bookman Old Style" w:cs="Arial"/>
          <w:b/>
          <w:sz w:val="24"/>
          <w:szCs w:val="24"/>
        </w:rPr>
        <w:t xml:space="preserve">TIVA </w:t>
      </w:r>
    </w:p>
    <w:p w14:paraId="1B041DFB" w14:textId="77777777" w:rsidR="004E5F30" w:rsidRPr="008E7057" w:rsidRDefault="004E5F30" w:rsidP="00EE4B5F">
      <w:pPr>
        <w:pStyle w:val="Sinespaciado"/>
        <w:jc w:val="both"/>
        <w:rPr>
          <w:rFonts w:ascii="Bookman Old Style" w:hAnsi="Bookman Old Style" w:cs="Arial"/>
          <w:sz w:val="24"/>
          <w:szCs w:val="24"/>
        </w:rPr>
      </w:pPr>
    </w:p>
    <w:p w14:paraId="0C47F92D" w14:textId="121963A8" w:rsidR="00662AAE" w:rsidRPr="008E7057" w:rsidRDefault="00562AD7" w:rsidP="00EE4B5F">
      <w:pPr>
        <w:pStyle w:val="Sinespaciado"/>
        <w:contextualSpacing/>
        <w:jc w:val="both"/>
        <w:rPr>
          <w:rFonts w:ascii="Bookman Old Style" w:hAnsi="Bookman Old Style" w:cs="Arial"/>
          <w:sz w:val="24"/>
          <w:szCs w:val="24"/>
        </w:rPr>
      </w:pPr>
      <w:r w:rsidRPr="008E7057">
        <w:rPr>
          <w:rFonts w:ascii="Bookman Old Style" w:hAnsi="Bookman Old Style" w:cs="Arial"/>
          <w:sz w:val="24"/>
          <w:szCs w:val="24"/>
        </w:rPr>
        <w:t>El presente</w:t>
      </w:r>
      <w:r w:rsidR="00662AAE" w:rsidRPr="008E7057">
        <w:rPr>
          <w:rFonts w:ascii="Bookman Old Style" w:hAnsi="Bookman Old Style" w:cs="Arial"/>
          <w:sz w:val="24"/>
          <w:szCs w:val="24"/>
        </w:rPr>
        <w:t xml:space="preserve"> proyecto de </w:t>
      </w:r>
      <w:r w:rsidRPr="008E7057">
        <w:rPr>
          <w:rFonts w:ascii="Bookman Old Style" w:hAnsi="Bookman Old Style" w:cs="Arial"/>
          <w:sz w:val="24"/>
          <w:szCs w:val="24"/>
        </w:rPr>
        <w:t>L</w:t>
      </w:r>
      <w:r w:rsidR="00662AAE" w:rsidRPr="008E7057">
        <w:rPr>
          <w:rFonts w:ascii="Bookman Old Style" w:hAnsi="Bookman Old Style" w:cs="Arial"/>
          <w:sz w:val="24"/>
          <w:szCs w:val="24"/>
        </w:rPr>
        <w:t>ey se sustenta en la premisa de que el acceso a la educación superior es un componente fundamental para el desarrollo individual y colectivo. La inclusión de los créditos educativos en los reportes de las centrales de riesgos financieros puede generar desincentivos para aquellos individuos que buscan financiamiento para sus estudios.</w:t>
      </w:r>
    </w:p>
    <w:p w14:paraId="657EDA1C" w14:textId="77777777" w:rsidR="00662AAE" w:rsidRPr="008E7057" w:rsidRDefault="00662AAE" w:rsidP="00EE4B5F">
      <w:pPr>
        <w:pStyle w:val="Sinespaciado"/>
        <w:contextualSpacing/>
        <w:jc w:val="both"/>
        <w:rPr>
          <w:rFonts w:ascii="Bookman Old Style" w:hAnsi="Bookman Old Style" w:cs="Arial"/>
          <w:sz w:val="24"/>
          <w:szCs w:val="24"/>
        </w:rPr>
      </w:pPr>
    </w:p>
    <w:p w14:paraId="4C89C4EF" w14:textId="77777777" w:rsidR="000D028B" w:rsidRPr="008E7057" w:rsidRDefault="00662AAE" w:rsidP="00EE4B5F">
      <w:pPr>
        <w:pStyle w:val="Sinespaciado"/>
        <w:contextualSpacing/>
        <w:jc w:val="both"/>
        <w:rPr>
          <w:rFonts w:ascii="Bookman Old Style" w:hAnsi="Bookman Old Style" w:cs="Arial"/>
          <w:sz w:val="24"/>
          <w:szCs w:val="24"/>
        </w:rPr>
      </w:pPr>
      <w:r w:rsidRPr="008E7057">
        <w:rPr>
          <w:rFonts w:ascii="Bookman Old Style" w:hAnsi="Bookman Old Style" w:cs="Arial"/>
          <w:sz w:val="24"/>
          <w:szCs w:val="24"/>
        </w:rPr>
        <w:t xml:space="preserve">La exclusión propuesta pretende mitigar esta barrera al crédito, permitiendo que los estudiantes accedan a financiamiento sin el temor de repercusiones negativas en su historial crediticio. Desde una perspectiva académica, esto </w:t>
      </w:r>
      <w:r w:rsidRPr="008E7057">
        <w:rPr>
          <w:rFonts w:ascii="Bookman Old Style" w:hAnsi="Bookman Old Style" w:cs="Arial"/>
          <w:sz w:val="24"/>
          <w:szCs w:val="24"/>
        </w:rPr>
        <w:lastRenderedPageBreak/>
        <w:t xml:space="preserve">no solo fomenta la equidad en el acceso a la educación superior, sino que también contribuye a la formación de una fuerza laboral más capacitada y especializada, fortaleciendo así el capital humano del país. </w:t>
      </w:r>
    </w:p>
    <w:p w14:paraId="3E6217C4" w14:textId="77777777" w:rsidR="000D028B" w:rsidRPr="008E7057" w:rsidRDefault="000D028B" w:rsidP="00EE4B5F">
      <w:pPr>
        <w:pStyle w:val="Sinespaciado"/>
        <w:contextualSpacing/>
        <w:jc w:val="both"/>
        <w:rPr>
          <w:rFonts w:ascii="Bookman Old Style" w:hAnsi="Bookman Old Style" w:cs="Arial"/>
          <w:sz w:val="24"/>
          <w:szCs w:val="24"/>
        </w:rPr>
      </w:pPr>
    </w:p>
    <w:p w14:paraId="6AF70791" w14:textId="77777777" w:rsidR="00562AD7" w:rsidRPr="008E7057" w:rsidRDefault="00662AAE" w:rsidP="00EE4B5F">
      <w:pPr>
        <w:pStyle w:val="Sinespaciado"/>
        <w:contextualSpacing/>
        <w:jc w:val="both"/>
        <w:rPr>
          <w:rFonts w:ascii="Bookman Old Style" w:hAnsi="Bookman Old Style" w:cs="Arial"/>
          <w:sz w:val="24"/>
          <w:szCs w:val="24"/>
        </w:rPr>
      </w:pPr>
      <w:r w:rsidRPr="008E7057">
        <w:rPr>
          <w:rFonts w:ascii="Bookman Old Style" w:hAnsi="Bookman Old Style" w:cs="Arial"/>
          <w:sz w:val="24"/>
          <w:szCs w:val="24"/>
        </w:rPr>
        <w:t>En este contexto, la medida propuesta se alinea con los principios de desarrollo académico, profesional y social, promoviendo un entorno propicio para el progreso educativo y la mejora del capital humano en la sociedad.</w:t>
      </w:r>
    </w:p>
    <w:p w14:paraId="6E79031E" w14:textId="7310EA3C" w:rsidR="00CC3FEF" w:rsidRPr="008E7057" w:rsidRDefault="009F26AE" w:rsidP="00EE4B5F">
      <w:pPr>
        <w:pStyle w:val="Sinespaciado"/>
        <w:contextualSpacing/>
        <w:jc w:val="both"/>
        <w:rPr>
          <w:rFonts w:ascii="Bookman Old Style" w:hAnsi="Bookman Old Style" w:cs="Arial"/>
          <w:sz w:val="24"/>
          <w:szCs w:val="24"/>
        </w:rPr>
      </w:pPr>
      <w:r w:rsidRPr="008E7057">
        <w:rPr>
          <w:rFonts w:ascii="Bookman Old Style" w:hAnsi="Bookman Old Style" w:cs="Arial"/>
          <w:sz w:val="24"/>
          <w:szCs w:val="24"/>
        </w:rPr>
        <w:br/>
      </w:r>
      <w:r w:rsidRPr="008E7057">
        <w:rPr>
          <w:rFonts w:ascii="Bookman Old Style" w:hAnsi="Bookman Old Style" w:cs="Arial"/>
          <w:bCs/>
          <w:sz w:val="24"/>
          <w:szCs w:val="24"/>
        </w:rPr>
        <w:t>Este proyecto de ley se justifica en consonancia con la Ley 2157 de 2021, que establece</w:t>
      </w:r>
      <w:r w:rsidR="00A56649" w:rsidRPr="008E7057">
        <w:rPr>
          <w:rFonts w:ascii="Bookman Old Style" w:hAnsi="Bookman Old Style" w:cs="Arial"/>
          <w:bCs/>
          <w:sz w:val="24"/>
          <w:szCs w:val="24"/>
        </w:rPr>
        <w:t xml:space="preserve"> en su artículo 3</w:t>
      </w:r>
      <w:r w:rsidR="00A56649" w:rsidRPr="008E7057">
        <w:rPr>
          <w:rStyle w:val="Refdenotaalpie"/>
          <w:rFonts w:ascii="Bookman Old Style" w:hAnsi="Bookman Old Style" w:cs="Arial"/>
          <w:bCs/>
          <w:sz w:val="24"/>
          <w:szCs w:val="24"/>
        </w:rPr>
        <w:footnoteReference w:id="1"/>
      </w:r>
      <w:r w:rsidRPr="008E7057">
        <w:rPr>
          <w:rFonts w:ascii="Bookman Old Style" w:hAnsi="Bookman Old Style" w:cs="Arial"/>
          <w:bCs/>
          <w:sz w:val="24"/>
          <w:szCs w:val="24"/>
        </w:rPr>
        <w:t xml:space="preserve"> que la información negativa de los titulares de deuda debe ser reportada a las centrales de riesgo hasta un máximo de dieciocho (18) meses después de la constitución en mora del titular</w:t>
      </w:r>
      <w:r w:rsidRPr="008E7057">
        <w:rPr>
          <w:rFonts w:ascii="Bookman Old Style" w:hAnsi="Bookman Old Style" w:cs="Arial"/>
          <w:sz w:val="24"/>
          <w:szCs w:val="24"/>
        </w:rPr>
        <w:t xml:space="preserve">. </w:t>
      </w:r>
    </w:p>
    <w:p w14:paraId="56BD4071" w14:textId="77777777" w:rsidR="00CC3FEF" w:rsidRPr="008E7057" w:rsidRDefault="00CC3FEF" w:rsidP="00EE4B5F">
      <w:pPr>
        <w:pStyle w:val="Sinespaciado"/>
        <w:contextualSpacing/>
        <w:jc w:val="both"/>
        <w:rPr>
          <w:rFonts w:ascii="Bookman Old Style" w:hAnsi="Bookman Old Style" w:cs="Arial"/>
          <w:sz w:val="24"/>
          <w:szCs w:val="24"/>
        </w:rPr>
      </w:pPr>
    </w:p>
    <w:p w14:paraId="7CAB4467" w14:textId="77777777" w:rsidR="000D028B" w:rsidRPr="008E7057" w:rsidRDefault="009F26AE" w:rsidP="00EE4B5F">
      <w:pPr>
        <w:pStyle w:val="Sinespaciado"/>
        <w:contextualSpacing/>
        <w:jc w:val="both"/>
        <w:rPr>
          <w:rFonts w:ascii="Bookman Old Style" w:hAnsi="Bookman Old Style" w:cs="Arial"/>
          <w:sz w:val="24"/>
          <w:szCs w:val="24"/>
          <w:u w:val="single"/>
        </w:rPr>
      </w:pPr>
      <w:r w:rsidRPr="008E7057">
        <w:rPr>
          <w:rFonts w:ascii="Bookman Old Style" w:hAnsi="Bookman Old Style" w:cs="Arial"/>
          <w:sz w:val="24"/>
          <w:szCs w:val="24"/>
        </w:rPr>
        <w:t xml:space="preserve">La modificación propuesta busca alinear esta disposición legal con la necesidad de excluir específicamente los créditos educativos del reporte en centrales de riesgo financiero. </w:t>
      </w:r>
      <w:r w:rsidRPr="008E7057">
        <w:rPr>
          <w:rFonts w:ascii="Bookman Old Style" w:hAnsi="Bookman Old Style" w:cs="Arial"/>
          <w:sz w:val="24"/>
          <w:szCs w:val="24"/>
          <w:u w:val="single"/>
        </w:rPr>
        <w:t xml:space="preserve">Dicha exclusión se basa en la comprensión de que los créditos educativos representan una categoría única de endeudamiento, cuyas características y condiciones particulares deben ser consideradas para promover el acceso a la educación y no desincentivar la búsqueda de financiamiento para fines académicos. </w:t>
      </w:r>
    </w:p>
    <w:p w14:paraId="3C601F5B" w14:textId="77777777" w:rsidR="000D028B" w:rsidRPr="008E7057" w:rsidRDefault="000D028B" w:rsidP="00EE4B5F">
      <w:pPr>
        <w:pStyle w:val="Sinespaciado"/>
        <w:contextualSpacing/>
        <w:jc w:val="both"/>
        <w:rPr>
          <w:rFonts w:ascii="Bookman Old Style" w:hAnsi="Bookman Old Style" w:cs="Arial"/>
          <w:sz w:val="24"/>
          <w:szCs w:val="24"/>
          <w:u w:val="single"/>
        </w:rPr>
      </w:pPr>
    </w:p>
    <w:p w14:paraId="6BB7F53E" w14:textId="4A13DCD2" w:rsidR="009F26AE" w:rsidRPr="008E7057" w:rsidRDefault="009F26AE" w:rsidP="00EE4B5F">
      <w:pPr>
        <w:pStyle w:val="Sinespaciado"/>
        <w:contextualSpacing/>
        <w:jc w:val="both"/>
        <w:rPr>
          <w:rFonts w:ascii="Bookman Old Style" w:hAnsi="Bookman Old Style" w:cs="Arial"/>
          <w:sz w:val="24"/>
          <w:szCs w:val="24"/>
          <w:u w:val="single"/>
        </w:rPr>
      </w:pPr>
      <w:r w:rsidRPr="008E7057">
        <w:rPr>
          <w:rFonts w:ascii="Bookman Old Style" w:hAnsi="Bookman Old Style" w:cs="Arial"/>
          <w:sz w:val="24"/>
          <w:szCs w:val="24"/>
          <w:u w:val="single"/>
        </w:rPr>
        <w:t>La presente iniciativa busca, por lo tanto, garantizar la coherencia normativa y la protección de los derechos de los ciudadanos en el ámbito educativo y financiero.</w:t>
      </w:r>
    </w:p>
    <w:p w14:paraId="5564330B" w14:textId="6773FFE1" w:rsidR="000A1979" w:rsidRPr="008E7057" w:rsidRDefault="000A1979" w:rsidP="00EE4B5F">
      <w:pPr>
        <w:pStyle w:val="Sinespaciado"/>
        <w:jc w:val="both"/>
        <w:rPr>
          <w:rFonts w:ascii="Bookman Old Style" w:hAnsi="Bookman Old Style" w:cs="Arial"/>
          <w:b/>
          <w:sz w:val="24"/>
          <w:szCs w:val="24"/>
        </w:rPr>
      </w:pPr>
    </w:p>
    <w:p w14:paraId="238E6726" w14:textId="32D2C3B0" w:rsidR="001530AD" w:rsidRPr="008E7057" w:rsidRDefault="001530AD" w:rsidP="00EE4B5F">
      <w:pPr>
        <w:pStyle w:val="Sinespaciado"/>
        <w:numPr>
          <w:ilvl w:val="0"/>
          <w:numId w:val="14"/>
        </w:numPr>
        <w:tabs>
          <w:tab w:val="left" w:pos="142"/>
        </w:tabs>
        <w:jc w:val="center"/>
        <w:rPr>
          <w:rFonts w:ascii="Bookman Old Style" w:hAnsi="Bookman Old Style" w:cs="Arial"/>
          <w:b/>
          <w:color w:val="000000" w:themeColor="text1"/>
          <w:sz w:val="24"/>
          <w:szCs w:val="24"/>
        </w:rPr>
      </w:pPr>
      <w:r w:rsidRPr="008E7057">
        <w:rPr>
          <w:rFonts w:ascii="Bookman Old Style" w:hAnsi="Bookman Old Style" w:cs="Arial"/>
          <w:b/>
          <w:color w:val="000000" w:themeColor="text1"/>
          <w:sz w:val="24"/>
          <w:szCs w:val="24"/>
        </w:rPr>
        <w:t>CONTENIDO DEL PROYECTO DE LEY</w:t>
      </w:r>
    </w:p>
    <w:p w14:paraId="4751BC5D" w14:textId="77777777" w:rsidR="001530AD" w:rsidRPr="008E7057" w:rsidRDefault="001530AD" w:rsidP="00EE4B5F">
      <w:pPr>
        <w:pStyle w:val="Sinespaciado"/>
        <w:jc w:val="both"/>
        <w:rPr>
          <w:rFonts w:ascii="Bookman Old Style" w:hAnsi="Bookman Old Style" w:cs="Arial"/>
          <w:b/>
          <w:color w:val="FF0000"/>
          <w:sz w:val="24"/>
          <w:szCs w:val="24"/>
        </w:rPr>
      </w:pPr>
    </w:p>
    <w:p w14:paraId="23BC1756" w14:textId="16FB56EC" w:rsidR="00850700" w:rsidRPr="008E7057" w:rsidRDefault="00D434DA" w:rsidP="00EE4B5F">
      <w:pPr>
        <w:spacing w:line="240" w:lineRule="auto"/>
        <w:jc w:val="both"/>
        <w:rPr>
          <w:rFonts w:ascii="Bookman Old Style" w:hAnsi="Bookman Old Style" w:cs="Arial"/>
          <w:b/>
          <w:bCs/>
          <w:sz w:val="24"/>
          <w:szCs w:val="24"/>
        </w:rPr>
      </w:pPr>
      <w:r w:rsidRPr="008E7057">
        <w:rPr>
          <w:rFonts w:ascii="Bookman Old Style" w:hAnsi="Bookman Old Style" w:cs="Arial"/>
          <w:b/>
          <w:bCs/>
          <w:sz w:val="24"/>
          <w:szCs w:val="24"/>
        </w:rPr>
        <w:t xml:space="preserve">3.1 </w:t>
      </w:r>
      <w:r w:rsidR="00850700" w:rsidRPr="008E7057">
        <w:rPr>
          <w:rFonts w:ascii="Bookman Old Style" w:hAnsi="Bookman Old Style" w:cs="Arial"/>
          <w:b/>
          <w:bCs/>
          <w:sz w:val="24"/>
          <w:szCs w:val="24"/>
        </w:rPr>
        <w:t>Objeto</w:t>
      </w:r>
    </w:p>
    <w:p w14:paraId="01D7F8D8" w14:textId="30FAC003" w:rsidR="00850700" w:rsidRPr="008E7057" w:rsidRDefault="00850700" w:rsidP="00EE4B5F">
      <w:pPr>
        <w:spacing w:line="240" w:lineRule="auto"/>
        <w:jc w:val="both"/>
        <w:rPr>
          <w:rFonts w:ascii="Bookman Old Style" w:hAnsi="Bookman Old Style" w:cs="Arial"/>
          <w:sz w:val="24"/>
          <w:szCs w:val="24"/>
        </w:rPr>
      </w:pPr>
      <w:r w:rsidRPr="008E7057">
        <w:rPr>
          <w:rFonts w:ascii="Bookman Old Style" w:hAnsi="Bookman Old Style" w:cs="Arial"/>
          <w:sz w:val="24"/>
          <w:szCs w:val="24"/>
        </w:rPr>
        <w:t xml:space="preserve">Este artículo establece el propósito </w:t>
      </w:r>
      <w:r w:rsidR="000D028B" w:rsidRPr="008E7057">
        <w:rPr>
          <w:rFonts w:ascii="Bookman Old Style" w:hAnsi="Bookman Old Style" w:cs="Arial"/>
          <w:sz w:val="24"/>
          <w:szCs w:val="24"/>
        </w:rPr>
        <w:t>u</w:t>
      </w:r>
      <w:r w:rsidRPr="008E7057">
        <w:rPr>
          <w:rFonts w:ascii="Bookman Old Style" w:hAnsi="Bookman Old Style" w:cs="Arial"/>
          <w:sz w:val="24"/>
          <w:szCs w:val="24"/>
        </w:rPr>
        <w:t xml:space="preserve"> objetivo de la </w:t>
      </w:r>
      <w:r w:rsidR="000D028B" w:rsidRPr="008E7057">
        <w:rPr>
          <w:rFonts w:ascii="Bookman Old Style" w:hAnsi="Bookman Old Style" w:cs="Arial"/>
          <w:sz w:val="24"/>
          <w:szCs w:val="24"/>
        </w:rPr>
        <w:t>L</w:t>
      </w:r>
      <w:r w:rsidR="00D434DA" w:rsidRPr="008E7057">
        <w:rPr>
          <w:rFonts w:ascii="Bookman Old Style" w:hAnsi="Bookman Old Style" w:cs="Arial"/>
          <w:sz w:val="24"/>
          <w:szCs w:val="24"/>
        </w:rPr>
        <w:t>ey. En este caso, la L</w:t>
      </w:r>
      <w:r w:rsidRPr="008E7057">
        <w:rPr>
          <w:rFonts w:ascii="Bookman Old Style" w:hAnsi="Bookman Old Style" w:cs="Arial"/>
          <w:sz w:val="24"/>
          <w:szCs w:val="24"/>
        </w:rPr>
        <w:t xml:space="preserve">ey tiene como finalidad principal la incorporación de un beneficio especial que excluye a los deudores y codeudores de créditos educativos del reporte negativo en centrales de riesgos financieros. La intención es promover el desarrollo académico y profesional de estos individuos, evitando impactos adversos en su capacidad crediticia. La medida busca contribuir al acceso </w:t>
      </w:r>
      <w:r w:rsidRPr="008E7057">
        <w:rPr>
          <w:rFonts w:ascii="Bookman Old Style" w:hAnsi="Bookman Old Style" w:cs="Arial"/>
          <w:sz w:val="24"/>
          <w:szCs w:val="24"/>
        </w:rPr>
        <w:lastRenderedPageBreak/>
        <w:t>equitativo a la educación y garantizar la continuidad de los procesos de formación.</w:t>
      </w:r>
    </w:p>
    <w:p w14:paraId="55721C3B" w14:textId="2D86566C" w:rsidR="00850700" w:rsidRPr="008E7057" w:rsidRDefault="00D434DA" w:rsidP="00EE4B5F">
      <w:pPr>
        <w:spacing w:line="240" w:lineRule="auto"/>
        <w:jc w:val="both"/>
        <w:rPr>
          <w:rFonts w:ascii="Bookman Old Style" w:hAnsi="Bookman Old Style" w:cs="Arial"/>
          <w:b/>
          <w:bCs/>
          <w:sz w:val="24"/>
          <w:szCs w:val="24"/>
        </w:rPr>
      </w:pPr>
      <w:r w:rsidRPr="008E7057">
        <w:rPr>
          <w:rFonts w:ascii="Bookman Old Style" w:hAnsi="Bookman Old Style" w:cs="Arial"/>
          <w:b/>
          <w:bCs/>
          <w:sz w:val="24"/>
          <w:szCs w:val="24"/>
        </w:rPr>
        <w:t xml:space="preserve">3.2 </w:t>
      </w:r>
      <w:r w:rsidR="000D028B" w:rsidRPr="008E7057">
        <w:rPr>
          <w:rFonts w:ascii="Bookman Old Style" w:hAnsi="Bookman Old Style" w:cs="Arial"/>
          <w:b/>
          <w:bCs/>
          <w:sz w:val="24"/>
          <w:szCs w:val="24"/>
        </w:rPr>
        <w:t xml:space="preserve">Ámbito </w:t>
      </w:r>
      <w:r w:rsidR="00850700" w:rsidRPr="008E7057">
        <w:rPr>
          <w:rFonts w:ascii="Bookman Old Style" w:hAnsi="Bookman Old Style" w:cs="Arial"/>
          <w:b/>
          <w:bCs/>
          <w:sz w:val="24"/>
          <w:szCs w:val="24"/>
        </w:rPr>
        <w:t>de aplicación</w:t>
      </w:r>
    </w:p>
    <w:p w14:paraId="3C21A661" w14:textId="17716836" w:rsidR="00CC3FEF" w:rsidRPr="008E7057" w:rsidRDefault="00850700" w:rsidP="00EE4B5F">
      <w:pPr>
        <w:spacing w:line="240" w:lineRule="auto"/>
        <w:jc w:val="both"/>
        <w:rPr>
          <w:rFonts w:ascii="Bookman Old Style" w:hAnsi="Bookman Old Style" w:cs="Arial"/>
          <w:sz w:val="24"/>
          <w:szCs w:val="24"/>
        </w:rPr>
      </w:pPr>
      <w:r w:rsidRPr="008E7057">
        <w:rPr>
          <w:rFonts w:ascii="Bookman Old Style" w:hAnsi="Bookman Old Style" w:cs="Arial"/>
          <w:sz w:val="24"/>
          <w:szCs w:val="24"/>
        </w:rPr>
        <w:t>Este ar</w:t>
      </w:r>
      <w:r w:rsidR="00D434DA" w:rsidRPr="008E7057">
        <w:rPr>
          <w:rFonts w:ascii="Bookman Old Style" w:hAnsi="Bookman Old Style" w:cs="Arial"/>
          <w:sz w:val="24"/>
          <w:szCs w:val="24"/>
        </w:rPr>
        <w:t>tículo define el alcance de la Ley. Indica que la L</w:t>
      </w:r>
      <w:r w:rsidRPr="008E7057">
        <w:rPr>
          <w:rFonts w:ascii="Bookman Old Style" w:hAnsi="Bookman Old Style" w:cs="Arial"/>
          <w:sz w:val="24"/>
          <w:szCs w:val="24"/>
        </w:rPr>
        <w:t xml:space="preserve">ey se aplica a todos los consumidores de créditos educativos, tanto deudores como codeudores, que, por cualquier razón, enfrenten dificultades para cumplir con sus obligaciones crediticias con el lcetex o cualquier </w:t>
      </w:r>
      <w:r w:rsidR="00D434DA" w:rsidRPr="008E7057">
        <w:rPr>
          <w:rFonts w:ascii="Bookman Old Style" w:hAnsi="Bookman Old Style" w:cs="Arial"/>
          <w:sz w:val="24"/>
          <w:szCs w:val="24"/>
        </w:rPr>
        <w:t xml:space="preserve">entidad financiera </w:t>
      </w:r>
      <w:r w:rsidRPr="008E7057">
        <w:rPr>
          <w:rFonts w:ascii="Bookman Old Style" w:hAnsi="Bookman Old Style" w:cs="Arial"/>
          <w:sz w:val="24"/>
          <w:szCs w:val="24"/>
        </w:rPr>
        <w:t xml:space="preserve">y estén en mora, pero con </w:t>
      </w:r>
      <w:r w:rsidR="00D434DA" w:rsidRPr="008E7057">
        <w:rPr>
          <w:rFonts w:ascii="Bookman Old Style" w:hAnsi="Bookman Old Style" w:cs="Arial"/>
          <w:sz w:val="24"/>
          <w:szCs w:val="24"/>
        </w:rPr>
        <w:t xml:space="preserve">manifiesten voluntad de pago ante la entidad acreedora. </w:t>
      </w:r>
    </w:p>
    <w:p w14:paraId="66A78AE4" w14:textId="299DEC60" w:rsidR="00850700" w:rsidRPr="008E7057" w:rsidRDefault="00D434DA" w:rsidP="00EE4B5F">
      <w:pPr>
        <w:spacing w:line="240" w:lineRule="auto"/>
        <w:jc w:val="both"/>
        <w:rPr>
          <w:rFonts w:ascii="Bookman Old Style" w:hAnsi="Bookman Old Style" w:cs="Arial"/>
          <w:b/>
          <w:bCs/>
          <w:sz w:val="24"/>
          <w:szCs w:val="24"/>
        </w:rPr>
      </w:pPr>
      <w:r w:rsidRPr="008E7057">
        <w:rPr>
          <w:rFonts w:ascii="Bookman Old Style" w:hAnsi="Bookman Old Style" w:cs="Arial"/>
          <w:b/>
          <w:bCs/>
          <w:sz w:val="24"/>
          <w:szCs w:val="24"/>
        </w:rPr>
        <w:t xml:space="preserve">3.3 </w:t>
      </w:r>
      <w:r w:rsidR="00850700" w:rsidRPr="008E7057">
        <w:rPr>
          <w:rFonts w:ascii="Bookman Old Style" w:hAnsi="Bookman Old Style" w:cs="Arial"/>
          <w:b/>
          <w:bCs/>
          <w:sz w:val="24"/>
          <w:szCs w:val="24"/>
        </w:rPr>
        <w:t>Modificación del párrafo 4 del Artículo 9 de la Ley 2157 de 2021</w:t>
      </w:r>
    </w:p>
    <w:p w14:paraId="59644F5F" w14:textId="594E41F7" w:rsidR="00850700" w:rsidRPr="008E7057" w:rsidRDefault="00850700" w:rsidP="00EE4B5F">
      <w:pPr>
        <w:spacing w:line="240" w:lineRule="auto"/>
        <w:jc w:val="both"/>
        <w:rPr>
          <w:rFonts w:ascii="Bookman Old Style" w:hAnsi="Bookman Old Style" w:cs="Arial"/>
          <w:sz w:val="24"/>
          <w:szCs w:val="24"/>
        </w:rPr>
      </w:pPr>
      <w:r w:rsidRPr="008E7057">
        <w:rPr>
          <w:rFonts w:ascii="Bookman Old Style" w:hAnsi="Bookman Old Style" w:cs="Arial"/>
          <w:sz w:val="24"/>
          <w:szCs w:val="24"/>
        </w:rPr>
        <w:t xml:space="preserve">El párrafo 4 del Artículo 9 de la Ley 2157 de 2021 se ajusta para establecer que los deudores y codeudores que adquieran obligaciones crediticias con el lcetex o </w:t>
      </w:r>
      <w:r w:rsidR="00D434DA" w:rsidRPr="008E7057">
        <w:rPr>
          <w:rFonts w:ascii="Bookman Old Style" w:hAnsi="Bookman Old Style" w:cs="Arial"/>
          <w:sz w:val="24"/>
          <w:szCs w:val="24"/>
        </w:rPr>
        <w:t xml:space="preserve">cualquier entidad financiera, </w:t>
      </w:r>
      <w:r w:rsidRPr="008E7057">
        <w:rPr>
          <w:rFonts w:ascii="Bookman Old Style" w:hAnsi="Bookman Old Style" w:cs="Arial"/>
          <w:sz w:val="24"/>
          <w:szCs w:val="24"/>
        </w:rPr>
        <w:t>a partir de la entrada en</w:t>
      </w:r>
      <w:r w:rsidR="00D434DA" w:rsidRPr="008E7057">
        <w:rPr>
          <w:rFonts w:ascii="Bookman Old Style" w:hAnsi="Bookman Old Style" w:cs="Arial"/>
          <w:sz w:val="24"/>
          <w:szCs w:val="24"/>
        </w:rPr>
        <w:t xml:space="preserve"> vigencia de la presente L</w:t>
      </w:r>
      <w:r w:rsidRPr="008E7057">
        <w:rPr>
          <w:rFonts w:ascii="Bookman Old Style" w:hAnsi="Bookman Old Style" w:cs="Arial"/>
          <w:sz w:val="24"/>
          <w:szCs w:val="24"/>
        </w:rPr>
        <w:t>ey y presen</w:t>
      </w:r>
      <w:r w:rsidR="00D434DA" w:rsidRPr="008E7057">
        <w:rPr>
          <w:rFonts w:ascii="Bookman Old Style" w:hAnsi="Bookman Old Style" w:cs="Arial"/>
          <w:sz w:val="24"/>
          <w:szCs w:val="24"/>
        </w:rPr>
        <w:t>ten dificultades de pago, pero d</w:t>
      </w:r>
      <w:r w:rsidRPr="008E7057">
        <w:rPr>
          <w:rFonts w:ascii="Bookman Old Style" w:hAnsi="Bookman Old Style" w:cs="Arial"/>
          <w:sz w:val="24"/>
          <w:szCs w:val="24"/>
        </w:rPr>
        <w:t>emuestren voluntad de cumplimiento, no serán sujetos de reporte negativo en las centrales de riesgos financieros. No obstante, se destaca que esto no impide recurrir a los instrumentos judiciales ordinarios para la recuperación de la cartera en mora, con el fin de evitar una cultura de no pago.</w:t>
      </w:r>
    </w:p>
    <w:p w14:paraId="3A1FF32D" w14:textId="4444F864" w:rsidR="00850700" w:rsidRPr="008E7057" w:rsidRDefault="00D434DA" w:rsidP="00EE4B5F">
      <w:pPr>
        <w:spacing w:line="240" w:lineRule="auto"/>
        <w:jc w:val="both"/>
        <w:rPr>
          <w:rFonts w:ascii="Bookman Old Style" w:hAnsi="Bookman Old Style" w:cs="Arial"/>
          <w:b/>
          <w:bCs/>
          <w:sz w:val="24"/>
          <w:szCs w:val="24"/>
        </w:rPr>
      </w:pPr>
      <w:r w:rsidRPr="008E7057">
        <w:rPr>
          <w:rFonts w:ascii="Bookman Old Style" w:hAnsi="Bookman Old Style" w:cs="Arial"/>
          <w:b/>
          <w:bCs/>
          <w:sz w:val="24"/>
          <w:szCs w:val="24"/>
        </w:rPr>
        <w:t xml:space="preserve">3.4 </w:t>
      </w:r>
      <w:r w:rsidR="00850700" w:rsidRPr="008E7057">
        <w:rPr>
          <w:rFonts w:ascii="Bookman Old Style" w:hAnsi="Bookman Old Style" w:cs="Arial"/>
          <w:b/>
          <w:bCs/>
          <w:sz w:val="24"/>
          <w:szCs w:val="24"/>
        </w:rPr>
        <w:t>Vigencia y no retroactividad</w:t>
      </w:r>
    </w:p>
    <w:p w14:paraId="76C0DC69" w14:textId="7DF8C73B" w:rsidR="00850700" w:rsidRPr="008E7057" w:rsidRDefault="00850700" w:rsidP="00EE4B5F">
      <w:pPr>
        <w:spacing w:line="240" w:lineRule="auto"/>
        <w:jc w:val="both"/>
        <w:rPr>
          <w:rFonts w:ascii="Bookman Old Style" w:hAnsi="Bookman Old Style" w:cs="Arial"/>
          <w:sz w:val="24"/>
          <w:szCs w:val="24"/>
        </w:rPr>
      </w:pPr>
      <w:r w:rsidRPr="008E7057">
        <w:rPr>
          <w:rFonts w:ascii="Bookman Old Style" w:hAnsi="Bookman Old Style" w:cs="Arial"/>
          <w:sz w:val="24"/>
          <w:szCs w:val="24"/>
        </w:rPr>
        <w:t>El último artículo establece la fecha de entrada en vigencia de la ley, indicando que comenzará a regir a partir de su sanción y publicación. Además, se aclara que la ley no tendrá efectos retroactivos, lo que significa que lo</w:t>
      </w:r>
      <w:r w:rsidR="000817C8" w:rsidRPr="008E7057">
        <w:rPr>
          <w:rFonts w:ascii="Bookman Old Style" w:hAnsi="Bookman Old Style" w:cs="Arial"/>
          <w:sz w:val="24"/>
          <w:szCs w:val="24"/>
        </w:rPr>
        <w:t>s beneficiarios de la presente L</w:t>
      </w:r>
      <w:r w:rsidRPr="008E7057">
        <w:rPr>
          <w:rFonts w:ascii="Bookman Old Style" w:hAnsi="Bookman Old Style" w:cs="Arial"/>
          <w:sz w:val="24"/>
          <w:szCs w:val="24"/>
        </w:rPr>
        <w:t xml:space="preserve">ey serán los estudiantes que adquieran créditos educativos a partir de la entrada en vigencia y los estudiantes que se encuentren reportados en las centrales de riesgos por incumplimiento, se regirán por </w:t>
      </w:r>
      <w:r w:rsidR="000817C8" w:rsidRPr="008E7057">
        <w:rPr>
          <w:rFonts w:ascii="Bookman Old Style" w:hAnsi="Bookman Old Style" w:cs="Arial"/>
          <w:sz w:val="24"/>
          <w:szCs w:val="24"/>
        </w:rPr>
        <w:t>las prerrogativas establecida</w:t>
      </w:r>
      <w:r w:rsidRPr="008E7057">
        <w:rPr>
          <w:rFonts w:ascii="Bookman Old Style" w:hAnsi="Bookman Old Style" w:cs="Arial"/>
          <w:sz w:val="24"/>
          <w:szCs w:val="24"/>
        </w:rPr>
        <w:t xml:space="preserve"> en la Ley 2157 de 2021. </w:t>
      </w:r>
    </w:p>
    <w:p w14:paraId="149DA94D" w14:textId="77777777" w:rsidR="001530AD" w:rsidRPr="008E7057" w:rsidRDefault="001530AD" w:rsidP="00EE4B5F">
      <w:pPr>
        <w:pStyle w:val="Sinespaciado"/>
        <w:jc w:val="both"/>
        <w:rPr>
          <w:rFonts w:ascii="Bookman Old Style" w:hAnsi="Bookman Old Style" w:cs="Arial"/>
          <w:b/>
          <w:sz w:val="24"/>
          <w:szCs w:val="24"/>
        </w:rPr>
      </w:pPr>
    </w:p>
    <w:p w14:paraId="527C7111" w14:textId="426CF093" w:rsidR="00F14BB0" w:rsidRPr="008E7057" w:rsidRDefault="001530AD" w:rsidP="00EE4B5F">
      <w:pPr>
        <w:pStyle w:val="Sinespaciado"/>
        <w:numPr>
          <w:ilvl w:val="0"/>
          <w:numId w:val="12"/>
        </w:numPr>
        <w:jc w:val="center"/>
        <w:rPr>
          <w:rFonts w:ascii="Bookman Old Style" w:hAnsi="Bookman Old Style" w:cs="Arial"/>
          <w:b/>
          <w:sz w:val="24"/>
          <w:szCs w:val="24"/>
        </w:rPr>
      </w:pPr>
      <w:r w:rsidRPr="008E7057">
        <w:rPr>
          <w:rFonts w:ascii="Bookman Old Style" w:hAnsi="Bookman Old Style" w:cs="Arial"/>
          <w:b/>
          <w:sz w:val="24"/>
          <w:szCs w:val="24"/>
        </w:rPr>
        <w:t xml:space="preserve"> </w:t>
      </w:r>
      <w:r w:rsidR="00F14BB0" w:rsidRPr="008E7057">
        <w:rPr>
          <w:rFonts w:ascii="Bookman Old Style" w:hAnsi="Bookman Old Style" w:cs="Arial"/>
          <w:b/>
          <w:sz w:val="24"/>
          <w:szCs w:val="24"/>
        </w:rPr>
        <w:t>VARIABLES A CONSIDERAR EN EL PROYECTO DE LEY</w:t>
      </w:r>
    </w:p>
    <w:p w14:paraId="00C6141D" w14:textId="77777777" w:rsidR="00F14BB0" w:rsidRPr="008E7057" w:rsidRDefault="00F14BB0" w:rsidP="00EE4B5F">
      <w:pPr>
        <w:pStyle w:val="Sinespaciado"/>
        <w:rPr>
          <w:rFonts w:ascii="Bookman Old Style" w:hAnsi="Bookman Old Style" w:cs="Arial"/>
          <w:b/>
          <w:sz w:val="24"/>
          <w:szCs w:val="24"/>
        </w:rPr>
      </w:pPr>
    </w:p>
    <w:p w14:paraId="3C9C06C4" w14:textId="1B7BAF2D" w:rsidR="00A56649" w:rsidRPr="008E7057" w:rsidRDefault="000817C8" w:rsidP="00EE4B5F">
      <w:pPr>
        <w:pStyle w:val="Sinespaciado"/>
        <w:rPr>
          <w:rFonts w:ascii="Bookman Old Style" w:hAnsi="Bookman Old Style" w:cs="Arial"/>
          <w:b/>
          <w:sz w:val="24"/>
          <w:szCs w:val="24"/>
        </w:rPr>
      </w:pPr>
      <w:r w:rsidRPr="008E7057">
        <w:rPr>
          <w:rFonts w:ascii="Bookman Old Style" w:hAnsi="Bookman Old Style" w:cs="Arial"/>
          <w:b/>
          <w:sz w:val="24"/>
          <w:szCs w:val="24"/>
        </w:rPr>
        <w:t>4. 1 Riesgo crediticio:</w:t>
      </w:r>
    </w:p>
    <w:p w14:paraId="0EF02565" w14:textId="2DD7400D" w:rsidR="00A1422E" w:rsidRPr="008E7057" w:rsidRDefault="00A1422E" w:rsidP="00EE4B5F">
      <w:pPr>
        <w:pStyle w:val="Sinespaciado"/>
        <w:jc w:val="both"/>
        <w:rPr>
          <w:rFonts w:ascii="Bookman Old Style" w:hAnsi="Bookman Old Style" w:cs="Arial"/>
          <w:b/>
          <w:sz w:val="24"/>
          <w:szCs w:val="24"/>
        </w:rPr>
      </w:pPr>
    </w:p>
    <w:p w14:paraId="35C0FA94" w14:textId="7A5B5867" w:rsidR="00A1422E" w:rsidRPr="008E7057" w:rsidRDefault="00A1422E"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 xml:space="preserve">Es conveniente mencionar que </w:t>
      </w:r>
      <w:r w:rsidR="00576190" w:rsidRPr="008E7057">
        <w:rPr>
          <w:rFonts w:ascii="Bookman Old Style" w:hAnsi="Bookman Old Style" w:cs="Arial"/>
          <w:sz w:val="24"/>
          <w:szCs w:val="24"/>
        </w:rPr>
        <w:t>e</w:t>
      </w:r>
      <w:r w:rsidR="000A1979" w:rsidRPr="008E7057">
        <w:rPr>
          <w:rFonts w:ascii="Bookman Old Style" w:hAnsi="Bookman Old Style" w:cs="Arial"/>
          <w:sz w:val="24"/>
          <w:szCs w:val="24"/>
        </w:rPr>
        <w:t>l riesgo crediticio según señala Ms. Félix Campoverde</w:t>
      </w:r>
      <w:r w:rsidR="000A1979" w:rsidRPr="008E7057">
        <w:rPr>
          <w:rStyle w:val="Refdenotaalpie"/>
          <w:rFonts w:ascii="Bookman Old Style" w:hAnsi="Bookman Old Style" w:cs="Arial"/>
          <w:sz w:val="24"/>
          <w:szCs w:val="24"/>
        </w:rPr>
        <w:footnoteReference w:id="2"/>
      </w:r>
      <w:r w:rsidR="000A1979" w:rsidRPr="008E7057">
        <w:rPr>
          <w:rFonts w:ascii="Bookman Old Style" w:hAnsi="Bookman Old Style" w:cs="Arial"/>
          <w:sz w:val="24"/>
          <w:szCs w:val="24"/>
        </w:rPr>
        <w:t xml:space="preserve"> viene a ser “la posibilidad de pérdida debido al incumplimiento del prestatario o la contraparte en operaciones directas, indirectas o de derivados que conlleva el no pago, el pago parcial o la falta de oportunidad en el pago de las obligaciones pactadas</w:t>
      </w:r>
      <w:r w:rsidR="000817C8" w:rsidRPr="008E7057">
        <w:rPr>
          <w:rFonts w:ascii="Bookman Old Style" w:hAnsi="Bookman Old Style" w:cs="Arial"/>
          <w:sz w:val="24"/>
          <w:szCs w:val="24"/>
        </w:rPr>
        <w:t>”</w:t>
      </w:r>
      <w:r w:rsidR="000A1979" w:rsidRPr="008E7057">
        <w:rPr>
          <w:rFonts w:ascii="Bookman Old Style" w:hAnsi="Bookman Old Style" w:cs="Arial"/>
          <w:sz w:val="24"/>
          <w:szCs w:val="24"/>
        </w:rPr>
        <w:t>.</w:t>
      </w:r>
    </w:p>
    <w:p w14:paraId="32B42C73" w14:textId="451A00C2" w:rsidR="00A1422E" w:rsidRPr="008E7057" w:rsidRDefault="00A1422E" w:rsidP="00EE4B5F">
      <w:pPr>
        <w:pStyle w:val="Sinespaciado"/>
        <w:jc w:val="both"/>
        <w:rPr>
          <w:rFonts w:ascii="Bookman Old Style" w:hAnsi="Bookman Old Style" w:cs="Arial"/>
          <w:sz w:val="24"/>
          <w:szCs w:val="24"/>
        </w:rPr>
      </w:pPr>
    </w:p>
    <w:p w14:paraId="569A70D2" w14:textId="77777777" w:rsidR="000817C8" w:rsidRPr="008E7057" w:rsidRDefault="000A1979" w:rsidP="00EE4B5F">
      <w:pPr>
        <w:pStyle w:val="Sinespaciado"/>
        <w:ind w:left="720"/>
        <w:jc w:val="both"/>
        <w:rPr>
          <w:rFonts w:ascii="Bookman Old Style" w:hAnsi="Bookman Old Style" w:cs="Arial"/>
          <w:sz w:val="24"/>
          <w:szCs w:val="24"/>
        </w:rPr>
      </w:pPr>
      <w:r w:rsidRPr="008E7057">
        <w:rPr>
          <w:rFonts w:ascii="Bookman Old Style" w:hAnsi="Bookman Old Style" w:cs="Arial"/>
          <w:sz w:val="24"/>
          <w:szCs w:val="24"/>
        </w:rPr>
        <w:t>“</w:t>
      </w:r>
      <w:r w:rsidRPr="008E7057">
        <w:rPr>
          <w:rFonts w:ascii="Bookman Old Style" w:hAnsi="Bookman Old Style" w:cs="Arial"/>
          <w:i/>
          <w:iCs/>
          <w:sz w:val="24"/>
          <w:szCs w:val="24"/>
        </w:rPr>
        <w:t>El riesgo de crédito es la posibilidad de pérdida económica derivada del incumplimiento de las obligaciones asumidas por las contrapartes de un contrato. El concepto se relaciona a instituciones financieras y bancos, pero se puede extender a empresas, mercados financieros y organismos de otros sectores.”</w:t>
      </w:r>
      <w:r w:rsidRPr="008E7057">
        <w:rPr>
          <w:rFonts w:ascii="Bookman Old Style" w:hAnsi="Bookman Old Style" w:cs="Arial"/>
          <w:sz w:val="24"/>
          <w:szCs w:val="24"/>
        </w:rPr>
        <w:t xml:space="preserve"> </w:t>
      </w:r>
    </w:p>
    <w:p w14:paraId="24128919" w14:textId="77777777" w:rsidR="000817C8" w:rsidRPr="008E7057" w:rsidRDefault="000817C8" w:rsidP="00EE4B5F">
      <w:pPr>
        <w:pStyle w:val="Sinespaciado"/>
        <w:jc w:val="both"/>
        <w:rPr>
          <w:rFonts w:ascii="Bookman Old Style" w:hAnsi="Bookman Old Style" w:cs="Arial"/>
          <w:sz w:val="24"/>
          <w:szCs w:val="24"/>
        </w:rPr>
      </w:pPr>
    </w:p>
    <w:p w14:paraId="119BE92C" w14:textId="7DE70E0A" w:rsidR="00A1422E" w:rsidRPr="008E7057" w:rsidRDefault="000A1979"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Por ejemplo, el emisor de un bono puede no pagar el capital y los intereses a tiempo incumpliendo el contrato y generando una pérdida para el inversor. En este sentido, los bonos gubernamentales tienen mucho menor riesgo que los bonos emitidos por empresas, pues ante dificultades, el gobierno puede recuperarse mucho más fácilmente que una empresa.</w:t>
      </w:r>
    </w:p>
    <w:p w14:paraId="74DEA386" w14:textId="1AD4C26F" w:rsidR="000A1979" w:rsidRPr="008E7057" w:rsidRDefault="000A1979" w:rsidP="00EE4B5F">
      <w:pPr>
        <w:pStyle w:val="Sinespaciado"/>
        <w:jc w:val="both"/>
        <w:rPr>
          <w:rFonts w:ascii="Bookman Old Style" w:hAnsi="Bookman Old Style" w:cs="Arial"/>
          <w:sz w:val="24"/>
          <w:szCs w:val="24"/>
        </w:rPr>
      </w:pPr>
    </w:p>
    <w:p w14:paraId="6F33E9A6" w14:textId="2935548F" w:rsidR="000A1979" w:rsidRPr="008E7057" w:rsidRDefault="000A1979" w:rsidP="00EE4B5F">
      <w:pPr>
        <w:pStyle w:val="Sinespaciado"/>
        <w:jc w:val="both"/>
        <w:rPr>
          <w:rFonts w:ascii="Bookman Old Style" w:hAnsi="Bookman Old Style" w:cs="Arial"/>
          <w:b/>
          <w:sz w:val="24"/>
          <w:szCs w:val="24"/>
        </w:rPr>
      </w:pPr>
      <w:r w:rsidRPr="008E7057">
        <w:rPr>
          <w:rFonts w:ascii="Bookman Old Style" w:hAnsi="Bookman Old Style" w:cs="Arial"/>
          <w:sz w:val="24"/>
          <w:szCs w:val="24"/>
        </w:rPr>
        <w:t xml:space="preserve">En consecuencia, para Armando Villacorta el riesgo crediticio aparece si las promesas de pago futuro no son cumplidas de acuerdo a lo pactado. Las pérdidas pueden tener carácter total o parcial: el principal del préstamo o de los intereses o moras. </w:t>
      </w:r>
      <w:r w:rsidRPr="008E7057">
        <w:rPr>
          <w:rFonts w:ascii="Bookman Old Style" w:hAnsi="Bookman Old Style" w:cs="Arial"/>
          <w:b/>
          <w:sz w:val="24"/>
          <w:szCs w:val="24"/>
        </w:rPr>
        <w:t>Esto conlleva a la necesidad del Banco de hacer un seguimiento muy cercano de los negocios y personas a quienes se les ha prestado dinero.</w:t>
      </w:r>
    </w:p>
    <w:p w14:paraId="7DF9BC0D" w14:textId="70B03136" w:rsidR="008173E8" w:rsidRPr="008E7057" w:rsidRDefault="008173E8" w:rsidP="00EE4B5F">
      <w:pPr>
        <w:pStyle w:val="Sinespaciado"/>
        <w:jc w:val="both"/>
        <w:rPr>
          <w:rFonts w:ascii="Bookman Old Style" w:hAnsi="Bookman Old Style" w:cs="Arial"/>
          <w:b/>
          <w:sz w:val="24"/>
          <w:szCs w:val="24"/>
        </w:rPr>
      </w:pPr>
    </w:p>
    <w:p w14:paraId="2E283C0A" w14:textId="2827D34E" w:rsidR="008173E8" w:rsidRPr="008E7057" w:rsidRDefault="001530AD" w:rsidP="00EE4B5F">
      <w:pPr>
        <w:pStyle w:val="Sinespaciado"/>
        <w:jc w:val="both"/>
        <w:rPr>
          <w:rFonts w:ascii="Bookman Old Style" w:hAnsi="Bookman Old Style" w:cs="Arial"/>
          <w:b/>
          <w:sz w:val="24"/>
          <w:szCs w:val="24"/>
        </w:rPr>
      </w:pPr>
      <w:r w:rsidRPr="008E7057">
        <w:rPr>
          <w:rFonts w:ascii="Bookman Old Style" w:hAnsi="Bookman Old Style" w:cs="Arial"/>
          <w:b/>
          <w:sz w:val="24"/>
          <w:szCs w:val="24"/>
        </w:rPr>
        <w:t>4</w:t>
      </w:r>
      <w:r w:rsidR="00217D79" w:rsidRPr="008E7057">
        <w:rPr>
          <w:rFonts w:ascii="Bookman Old Style" w:hAnsi="Bookman Old Style" w:cs="Arial"/>
          <w:b/>
          <w:sz w:val="24"/>
          <w:szCs w:val="24"/>
        </w:rPr>
        <w:t xml:space="preserve">.1.1 </w:t>
      </w:r>
      <w:r w:rsidR="008173E8" w:rsidRPr="008E7057">
        <w:rPr>
          <w:rFonts w:ascii="Bookman Old Style" w:hAnsi="Bookman Old Style" w:cs="Arial"/>
          <w:b/>
          <w:sz w:val="24"/>
          <w:szCs w:val="24"/>
        </w:rPr>
        <w:t>Riesgo Crediticio en Colombia:</w:t>
      </w:r>
    </w:p>
    <w:p w14:paraId="094D0688" w14:textId="3C26B8C5" w:rsidR="000A1979" w:rsidRPr="008E7057" w:rsidRDefault="000A1979" w:rsidP="00EE4B5F">
      <w:pPr>
        <w:pStyle w:val="Sinespaciado"/>
        <w:jc w:val="both"/>
        <w:rPr>
          <w:rFonts w:ascii="Bookman Old Style" w:hAnsi="Bookman Old Style" w:cs="Arial"/>
          <w:b/>
          <w:sz w:val="24"/>
          <w:szCs w:val="24"/>
        </w:rPr>
      </w:pPr>
    </w:p>
    <w:p w14:paraId="03A28ED2" w14:textId="54948033" w:rsidR="000A1979" w:rsidRPr="008E7057" w:rsidRDefault="000817C8"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En Colombia e</w:t>
      </w:r>
      <w:r w:rsidR="000A1979" w:rsidRPr="008E7057">
        <w:rPr>
          <w:rFonts w:ascii="Bookman Old Style" w:hAnsi="Bookman Old Style" w:cs="Arial"/>
          <w:sz w:val="24"/>
          <w:szCs w:val="24"/>
        </w:rPr>
        <w:t>l Sistema de Administración de Riesgo Crediticio es el conjunto de políticas, procedimientos, normas y metodologías de medición de los riesgos que rigen y controlan los procesos de crédito y cobranza de las entidades vigiladas por la Superintendencia Financiera de Colombia. El SARC contiene políticas y procedimientos claros y precisos que definen los criterios y la forma mediante la cual la entidad evalúa, asume, califica, controla y cubre su riesgo crediticio. El SARC es reglamentado para todas las entidades financieras bajo vigilancia de la Superintendencia Financiera, con el fin de que todas las instituciones tengan una infraestructura tecnológica y los sistemas necesarios para garantizar la adecuada administración de crédito.</w:t>
      </w:r>
    </w:p>
    <w:p w14:paraId="64A646FB" w14:textId="348B3349" w:rsidR="000A1979" w:rsidRPr="008E7057" w:rsidRDefault="000A1979" w:rsidP="00EE4B5F">
      <w:pPr>
        <w:pStyle w:val="Sinespaciado"/>
        <w:jc w:val="both"/>
        <w:rPr>
          <w:rFonts w:ascii="Bookman Old Style" w:hAnsi="Bookman Old Style" w:cs="Arial"/>
          <w:sz w:val="24"/>
          <w:szCs w:val="24"/>
        </w:rPr>
      </w:pPr>
    </w:p>
    <w:p w14:paraId="443ABE98" w14:textId="1341AB26" w:rsidR="008173E8" w:rsidRPr="008E7057" w:rsidRDefault="008173E8"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Según la Superintendencia Financiera, el riesgo es definido como “La posibilidad de que una entidad incurra en pérdidas y se disminuya el valor de sus activos (Circular Bási</w:t>
      </w:r>
      <w:r w:rsidR="000817C8" w:rsidRPr="008E7057">
        <w:rPr>
          <w:rFonts w:ascii="Bookman Old Style" w:hAnsi="Bookman Old Style" w:cs="Arial"/>
          <w:sz w:val="24"/>
          <w:szCs w:val="24"/>
        </w:rPr>
        <w:t>ca Contable y Financiera, 1995)</w:t>
      </w:r>
      <w:r w:rsidRPr="008E7057">
        <w:rPr>
          <w:rFonts w:ascii="Bookman Old Style" w:hAnsi="Bookman Old Style" w:cs="Arial"/>
          <w:sz w:val="24"/>
          <w:szCs w:val="24"/>
        </w:rPr>
        <w:t>”</w:t>
      </w:r>
      <w:r w:rsidR="000817C8" w:rsidRPr="008E7057">
        <w:rPr>
          <w:rFonts w:ascii="Bookman Old Style" w:hAnsi="Bookman Old Style" w:cs="Arial"/>
          <w:sz w:val="24"/>
          <w:szCs w:val="24"/>
        </w:rPr>
        <w:t>.</w:t>
      </w:r>
      <w:r w:rsidRPr="008E7057">
        <w:rPr>
          <w:rFonts w:ascii="Bookman Old Style" w:hAnsi="Bookman Old Style" w:cs="Arial"/>
          <w:sz w:val="24"/>
          <w:szCs w:val="24"/>
        </w:rPr>
        <w:t xml:space="preserve"> Ello implica que se tomen medidas que sirvan de pilar y base para que una entidad determine si hay sinergia entre la capacidad de pago del deudor y la posibilidad de pérdida de los dineros prestados por la entidad</w:t>
      </w:r>
      <w:r w:rsidR="000817C8" w:rsidRPr="008E7057">
        <w:rPr>
          <w:rFonts w:ascii="Bookman Old Style" w:hAnsi="Bookman Old Style" w:cs="Arial"/>
          <w:sz w:val="24"/>
          <w:szCs w:val="24"/>
        </w:rPr>
        <w:t>.</w:t>
      </w:r>
    </w:p>
    <w:p w14:paraId="73F5547D" w14:textId="4D1D37E5" w:rsidR="008173E8" w:rsidRPr="008E7057" w:rsidRDefault="008173E8"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lastRenderedPageBreak/>
        <w:t>De allí surge entonces la necesidad de las entidades financieras de contar con determinada información de sus posibles clientes y futuros deudores, para realizar un estudio minucioso y efectivo en donde se vea reflejado el propósito de prevención de riesgo para las entidades y la oportunidad de crecimiento para los usuarios. Ello teniendo en cuenta que el riesgo no sólo debe evaluarse al principio, sino en todo el proceso de crédito, vigencia, modificaciones y culminación.</w:t>
      </w:r>
    </w:p>
    <w:p w14:paraId="74F61E89" w14:textId="20FE5F83" w:rsidR="008173E8" w:rsidRPr="008E7057" w:rsidRDefault="008173E8" w:rsidP="00EE4B5F">
      <w:pPr>
        <w:pStyle w:val="Sinespaciado"/>
        <w:jc w:val="both"/>
        <w:rPr>
          <w:rFonts w:ascii="Bookman Old Style" w:hAnsi="Bookman Old Style" w:cs="Arial"/>
          <w:sz w:val="24"/>
          <w:szCs w:val="24"/>
        </w:rPr>
      </w:pPr>
    </w:p>
    <w:p w14:paraId="59A2F43D" w14:textId="292062F9" w:rsidR="008173E8" w:rsidRPr="008E7057" w:rsidRDefault="008173E8" w:rsidP="00EE4B5F">
      <w:pPr>
        <w:pStyle w:val="Sinespaciado"/>
        <w:rPr>
          <w:rFonts w:ascii="Bookman Old Style" w:hAnsi="Bookman Old Style" w:cs="Arial"/>
          <w:sz w:val="24"/>
          <w:szCs w:val="24"/>
        </w:rPr>
      </w:pPr>
      <w:r w:rsidRPr="008E7057">
        <w:rPr>
          <w:rFonts w:ascii="Bookman Old Style" w:hAnsi="Bookman Old Style" w:cs="Arial"/>
          <w:sz w:val="24"/>
          <w:szCs w:val="24"/>
        </w:rPr>
        <w:t>Así mismo la Superintendencia define parámetros transversales que permiten:</w:t>
      </w:r>
    </w:p>
    <w:p w14:paraId="000DB2DC" w14:textId="187E818D" w:rsidR="008173E8" w:rsidRPr="008E7057" w:rsidRDefault="008173E8" w:rsidP="00EE4B5F">
      <w:pPr>
        <w:pStyle w:val="Sinespaciado"/>
        <w:rPr>
          <w:rFonts w:ascii="Bookman Old Style" w:hAnsi="Bookman Old Style" w:cs="Arial"/>
          <w:sz w:val="24"/>
          <w:szCs w:val="24"/>
        </w:rPr>
      </w:pPr>
    </w:p>
    <w:p w14:paraId="483CC1E2" w14:textId="5ABB6159" w:rsidR="008173E8" w:rsidRPr="008E7057" w:rsidRDefault="00217D79" w:rsidP="00EE4B5F">
      <w:pPr>
        <w:pStyle w:val="Sinespaciado"/>
        <w:ind w:left="720" w:right="616"/>
        <w:jc w:val="both"/>
        <w:rPr>
          <w:rFonts w:ascii="Bookman Old Style" w:hAnsi="Bookman Old Style" w:cs="Arial"/>
        </w:rPr>
      </w:pPr>
      <w:r w:rsidRPr="008E7057">
        <w:rPr>
          <w:rFonts w:ascii="Bookman Old Style" w:hAnsi="Bookman Old Style" w:cs="Arial"/>
          <w:i/>
        </w:rPr>
        <w:t>“…</w:t>
      </w:r>
      <w:r w:rsidR="008173E8" w:rsidRPr="008E7057">
        <w:rPr>
          <w:rFonts w:ascii="Bookman Old Style" w:hAnsi="Bookman Old Style" w:cs="Arial"/>
          <w:i/>
        </w:rPr>
        <w:t>la adopción de mejores prácticas en materia de gestión y análisis de riesgos, requerimientos prudenciales, supervisión tanto de las entidades del sistema financiero como de los conglomerados financieros, mecanismos de resolución, racionalización y mejoramiento de requerimientos y condiciones que incentiven el acceso al mercado de valores (para la promoción del mercado de valores del público en general), permitiendo la reducción de los costos de la industria, estimulando la bancarización</w:t>
      </w:r>
      <w:r w:rsidRPr="008E7057">
        <w:rPr>
          <w:rFonts w:ascii="Bookman Old Style" w:hAnsi="Bookman Old Style" w:cs="Arial"/>
          <w:i/>
        </w:rPr>
        <w:t>…”</w:t>
      </w:r>
      <w:r w:rsidR="000823C4" w:rsidRPr="008E7057">
        <w:rPr>
          <w:rStyle w:val="Refdenotaalpie"/>
          <w:rFonts w:ascii="Bookman Old Style" w:hAnsi="Bookman Old Style" w:cs="Arial"/>
          <w:i/>
        </w:rPr>
        <w:footnoteReference w:id="3"/>
      </w:r>
    </w:p>
    <w:p w14:paraId="7BA391CC" w14:textId="4CB48855" w:rsidR="008173E8" w:rsidRPr="008E7057" w:rsidRDefault="008173E8" w:rsidP="00EE4B5F">
      <w:pPr>
        <w:pStyle w:val="Sinespaciado"/>
        <w:jc w:val="both"/>
        <w:rPr>
          <w:rFonts w:ascii="Bookman Old Style" w:hAnsi="Bookman Old Style" w:cs="Arial"/>
        </w:rPr>
      </w:pPr>
    </w:p>
    <w:p w14:paraId="44DEFA39" w14:textId="588C7ECF" w:rsidR="000823C4" w:rsidRPr="008E7057" w:rsidRDefault="000823C4"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 xml:space="preserve">Bajo la premisa anterior, se crea entonces el Sistema de Administración de Riesgo (SARC) a través del cual se establecen parámetros mínimos de evaluación del riesgo, permitiendo estudiar, segmentar, ponderar y decidir sobre la toma de un riesgo de acuerdo a unos criterios previamente definidos. Está reglamentado desde 1995 a través de la Circular básica contable y financiera - Capítulo II, y es emitido y actualizado por la Superintendencia Financiera de Colombia.  </w:t>
      </w:r>
    </w:p>
    <w:p w14:paraId="20E9AF9B" w14:textId="40029012" w:rsidR="000823C4" w:rsidRPr="008E7057" w:rsidRDefault="000823C4" w:rsidP="00EE4B5F">
      <w:pPr>
        <w:pStyle w:val="Sinespaciado"/>
        <w:jc w:val="both"/>
        <w:rPr>
          <w:rFonts w:ascii="Bookman Old Style" w:hAnsi="Bookman Old Style" w:cs="Arial"/>
          <w:sz w:val="24"/>
          <w:szCs w:val="24"/>
        </w:rPr>
      </w:pPr>
    </w:p>
    <w:p w14:paraId="3D5DD64F" w14:textId="5C8DDE68" w:rsidR="000823C4" w:rsidRPr="008E7057" w:rsidRDefault="000823C4"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Dentro de las consideraciones generales de la circular, están señaladas las entidades que deben cumplir obligatoriamente el SARC, así: “(...) establecimientos bancarios, corporaciones financieras, compañías de financiamiento, cooperativas financieras, organismos cooperativos de grado superior y todas aquellas entidades vigiladas por la SFC que dentro de su objeto social principal se encuentren autorizadas para otorgar crédito (Circular Básica Contable y Financiera, 1995).” Ello implica que transversalmente existen unas políticas obligatorias que deben tenerse en cuenta para llevar a cabo procesos de viabilidad o inviabilidad crediticia por parte de todas las entidades vigiladas por la Superintendencia Financiera.</w:t>
      </w:r>
    </w:p>
    <w:p w14:paraId="55BF91E7" w14:textId="77777777" w:rsidR="000823C4" w:rsidRPr="008E7057" w:rsidRDefault="000823C4" w:rsidP="00EE4B5F">
      <w:pPr>
        <w:pStyle w:val="Sinespaciado"/>
        <w:jc w:val="both"/>
        <w:rPr>
          <w:rFonts w:ascii="Bookman Old Style" w:hAnsi="Bookman Old Style" w:cs="Arial"/>
          <w:sz w:val="24"/>
          <w:szCs w:val="24"/>
        </w:rPr>
      </w:pPr>
    </w:p>
    <w:p w14:paraId="01EAE7EF" w14:textId="03D1A03F" w:rsidR="000A1979" w:rsidRPr="008E7057" w:rsidRDefault="000A1979"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lastRenderedPageBreak/>
        <w:t xml:space="preserve">Dentro de este sistema </w:t>
      </w:r>
      <w:r w:rsidR="00165444" w:rsidRPr="008E7057">
        <w:rPr>
          <w:rFonts w:ascii="Bookman Old Style" w:hAnsi="Bookman Old Style" w:cs="Arial"/>
          <w:sz w:val="24"/>
          <w:szCs w:val="24"/>
        </w:rPr>
        <w:t xml:space="preserve">“La Superintendencia Financiera de Colombia a través del concepto 2017064309-001 señala que deben tenerse en cuenta otro tipo de factores adicionales para determinar si una persona es viable económicamente para respaldar una deuda: “(...) </w:t>
      </w:r>
      <w:r w:rsidR="00165444" w:rsidRPr="008E7057">
        <w:rPr>
          <w:rFonts w:ascii="Bookman Old Style" w:hAnsi="Bookman Old Style" w:cs="Arial"/>
          <w:b/>
          <w:bCs/>
          <w:sz w:val="24"/>
          <w:szCs w:val="24"/>
          <w:u w:val="single"/>
        </w:rPr>
        <w:t>el reporte negativo ante las centrales de riesgo no puede ser en ninguno de los casos el único criterio para otorgar o no un crédito, ese análisis debe venir acompañado del estudio de otras variables</w:t>
      </w:r>
      <w:r w:rsidR="00165444" w:rsidRPr="008E7057">
        <w:rPr>
          <w:rFonts w:ascii="Bookman Old Style" w:hAnsi="Bookman Old Style" w:cs="Arial"/>
          <w:sz w:val="24"/>
          <w:szCs w:val="24"/>
        </w:rPr>
        <w:t>”</w:t>
      </w:r>
      <w:r w:rsidR="003F74F9" w:rsidRPr="008E7057">
        <w:rPr>
          <w:rStyle w:val="Refdenotaalpie"/>
          <w:rFonts w:ascii="Bookman Old Style" w:hAnsi="Bookman Old Style" w:cs="Arial"/>
          <w:sz w:val="24"/>
          <w:szCs w:val="24"/>
        </w:rPr>
        <w:footnoteReference w:id="4"/>
      </w:r>
      <w:r w:rsidR="00112929" w:rsidRPr="008E7057">
        <w:rPr>
          <w:rFonts w:ascii="Bookman Old Style" w:hAnsi="Bookman Old Style" w:cs="Arial"/>
          <w:sz w:val="24"/>
          <w:szCs w:val="24"/>
        </w:rPr>
        <w:t>(El subrayado es del suscrito)</w:t>
      </w:r>
    </w:p>
    <w:p w14:paraId="207AF629" w14:textId="77777777" w:rsidR="000823C4" w:rsidRPr="008E7057" w:rsidRDefault="000823C4" w:rsidP="00EE4B5F">
      <w:pPr>
        <w:pStyle w:val="Sinespaciado"/>
        <w:jc w:val="both"/>
        <w:rPr>
          <w:rFonts w:ascii="Bookman Old Style" w:hAnsi="Bookman Old Style" w:cs="Arial"/>
          <w:sz w:val="24"/>
          <w:szCs w:val="24"/>
        </w:rPr>
      </w:pPr>
    </w:p>
    <w:p w14:paraId="15E74A8C" w14:textId="0B2D4576" w:rsidR="003F74F9" w:rsidRPr="008E7057" w:rsidRDefault="00CB4DF4"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Así, e</w:t>
      </w:r>
      <w:r w:rsidR="008173E8" w:rsidRPr="008E7057">
        <w:rPr>
          <w:rFonts w:ascii="Bookman Old Style" w:hAnsi="Bookman Old Style" w:cs="Arial"/>
          <w:sz w:val="24"/>
          <w:szCs w:val="24"/>
        </w:rPr>
        <w:t>n un proceso de análisis crediticio se valoran elementos tanto cualitativos como cuantitativos, relacionados especialmente con la capacidad de pago del sujeto de crédito, la coyuntura del negocio y del sector; al igual que las posibles garantías y el historial financiero del sujeto.</w:t>
      </w:r>
    </w:p>
    <w:p w14:paraId="07185DBB" w14:textId="78470F5F" w:rsidR="00B16E9A" w:rsidRPr="008E7057" w:rsidRDefault="00B16E9A" w:rsidP="00EE4B5F">
      <w:pPr>
        <w:pStyle w:val="Sinespaciado"/>
        <w:jc w:val="both"/>
        <w:rPr>
          <w:rFonts w:ascii="Bookman Old Style" w:hAnsi="Bookman Old Style" w:cs="Arial"/>
          <w:sz w:val="24"/>
          <w:szCs w:val="24"/>
        </w:rPr>
      </w:pPr>
    </w:p>
    <w:p w14:paraId="13607891" w14:textId="0E1A77C2" w:rsidR="008173E8" w:rsidRPr="008E7057" w:rsidRDefault="008173E8" w:rsidP="00EE4B5F">
      <w:pPr>
        <w:pStyle w:val="Sinespaciado"/>
        <w:jc w:val="both"/>
        <w:rPr>
          <w:rFonts w:ascii="Bookman Old Style" w:hAnsi="Bookman Old Style" w:cs="Arial"/>
          <w:sz w:val="24"/>
          <w:szCs w:val="24"/>
        </w:rPr>
      </w:pPr>
      <w:r w:rsidRPr="008E7057">
        <w:rPr>
          <w:rFonts w:ascii="Bookman Old Style" w:hAnsi="Bookman Old Style" w:cs="Arial"/>
          <w:b/>
          <w:sz w:val="24"/>
          <w:szCs w:val="24"/>
        </w:rPr>
        <w:t>Sin embargo, lo que realmente sucede en el proceso y análisis de las entidades f</w:t>
      </w:r>
      <w:r w:rsidR="000817C8" w:rsidRPr="008E7057">
        <w:rPr>
          <w:rFonts w:ascii="Bookman Old Style" w:hAnsi="Bookman Old Style" w:cs="Arial"/>
          <w:b/>
          <w:sz w:val="24"/>
          <w:szCs w:val="24"/>
        </w:rPr>
        <w:t>inancieras es que el factor de h</w:t>
      </w:r>
      <w:r w:rsidRPr="008E7057">
        <w:rPr>
          <w:rFonts w:ascii="Bookman Old Style" w:hAnsi="Bookman Old Style" w:cs="Arial"/>
          <w:b/>
          <w:sz w:val="24"/>
          <w:szCs w:val="24"/>
        </w:rPr>
        <w:t>istorial crediticio tiene un valor suficiente como para imposibilitar el acceso a otros créditos</w:t>
      </w:r>
      <w:r w:rsidRPr="008E7057">
        <w:rPr>
          <w:rFonts w:ascii="Bookman Old Style" w:hAnsi="Bookman Old Style" w:cs="Arial"/>
          <w:sz w:val="24"/>
          <w:szCs w:val="24"/>
        </w:rPr>
        <w:t>, como por ejemplo vivienda, afectando el desarrollo de una vida digna de las personas.</w:t>
      </w:r>
    </w:p>
    <w:p w14:paraId="117431EF" w14:textId="499A11F3" w:rsidR="000823C4" w:rsidRPr="008E7057" w:rsidRDefault="000823C4" w:rsidP="00EE4B5F">
      <w:pPr>
        <w:pStyle w:val="Sinespaciado"/>
        <w:jc w:val="both"/>
        <w:rPr>
          <w:rFonts w:ascii="Bookman Old Style" w:hAnsi="Bookman Old Style" w:cs="Arial"/>
          <w:sz w:val="24"/>
          <w:szCs w:val="24"/>
        </w:rPr>
      </w:pPr>
    </w:p>
    <w:p w14:paraId="36AF6CC5" w14:textId="679C922C" w:rsidR="000823C4" w:rsidRPr="008E7057" w:rsidRDefault="000823C4" w:rsidP="00EE4B5F">
      <w:pPr>
        <w:pStyle w:val="Sinespaciado"/>
        <w:jc w:val="both"/>
        <w:rPr>
          <w:rFonts w:ascii="Bookman Old Style" w:hAnsi="Bookman Old Style" w:cs="Arial"/>
          <w:b/>
          <w:sz w:val="24"/>
          <w:szCs w:val="24"/>
          <w:u w:val="single"/>
        </w:rPr>
      </w:pPr>
      <w:r w:rsidRPr="008E7057">
        <w:rPr>
          <w:rFonts w:ascii="Bookman Old Style" w:hAnsi="Bookman Old Style" w:cs="Arial"/>
          <w:b/>
          <w:sz w:val="24"/>
          <w:szCs w:val="24"/>
          <w:u w:val="single"/>
        </w:rPr>
        <w:t xml:space="preserve"> Así, resulta de vital importancia tanto para las entidades como para las personas, que existan igualdad de oportunidades para poder acceder al sector financiero y ello implica que deban tenerse criterios de evaluación objetivos, pertinentes y asequibles, en donde no solamente la empresa pueda delimitar el riesgo crediticio, sino que también se </w:t>
      </w:r>
      <w:r w:rsidR="00B16E9A" w:rsidRPr="008E7057">
        <w:rPr>
          <w:rFonts w:ascii="Bookman Old Style" w:hAnsi="Bookman Old Style" w:cs="Arial"/>
          <w:b/>
          <w:sz w:val="24"/>
          <w:szCs w:val="24"/>
          <w:u w:val="single"/>
        </w:rPr>
        <w:t>les</w:t>
      </w:r>
      <w:r w:rsidRPr="008E7057">
        <w:rPr>
          <w:rFonts w:ascii="Bookman Old Style" w:hAnsi="Bookman Old Style" w:cs="Arial"/>
          <w:b/>
          <w:sz w:val="24"/>
          <w:szCs w:val="24"/>
          <w:u w:val="single"/>
        </w:rPr>
        <w:t xml:space="preserve"> permita a todas las personas acceder al mer</w:t>
      </w:r>
      <w:r w:rsidR="00B16E9A" w:rsidRPr="008E7057">
        <w:rPr>
          <w:rFonts w:ascii="Bookman Old Style" w:hAnsi="Bookman Old Style" w:cs="Arial"/>
          <w:b/>
          <w:sz w:val="24"/>
          <w:szCs w:val="24"/>
          <w:u w:val="single"/>
        </w:rPr>
        <w:t xml:space="preserve">cado sin tantas restricciones. </w:t>
      </w:r>
      <w:r w:rsidR="00AB12FD" w:rsidRPr="008E7057">
        <w:rPr>
          <w:rStyle w:val="Refdenotaalpie"/>
          <w:rFonts w:ascii="Bookman Old Style" w:hAnsi="Bookman Old Style" w:cs="Arial"/>
          <w:b/>
          <w:sz w:val="24"/>
          <w:szCs w:val="24"/>
          <w:u w:val="single"/>
        </w:rPr>
        <w:footnoteReference w:id="5"/>
      </w:r>
    </w:p>
    <w:p w14:paraId="0A8BDF27" w14:textId="32FC94A4" w:rsidR="00AB12FD" w:rsidRPr="008E7057" w:rsidRDefault="00AB12FD" w:rsidP="00EE4B5F">
      <w:pPr>
        <w:pStyle w:val="Sinespaciado"/>
        <w:jc w:val="both"/>
        <w:rPr>
          <w:rFonts w:ascii="Bookman Old Style" w:hAnsi="Bookman Old Style" w:cs="Arial"/>
          <w:b/>
          <w:sz w:val="24"/>
          <w:szCs w:val="24"/>
          <w:u w:val="single"/>
        </w:rPr>
      </w:pPr>
    </w:p>
    <w:p w14:paraId="1EDF1745" w14:textId="2642BEDC" w:rsidR="00AB12FD" w:rsidRPr="008E7057" w:rsidRDefault="00AB12FD"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Si bien una de las preocupaciones de las entidades f</w:t>
      </w:r>
      <w:r w:rsidR="000817C8" w:rsidRPr="008E7057">
        <w:rPr>
          <w:rFonts w:ascii="Bookman Old Style" w:hAnsi="Bookman Old Style" w:cs="Arial"/>
          <w:sz w:val="24"/>
          <w:szCs w:val="24"/>
        </w:rPr>
        <w:t>inancieras emana del factor de no pag</w:t>
      </w:r>
      <w:r w:rsidR="0018711C" w:rsidRPr="008E7057">
        <w:rPr>
          <w:rFonts w:ascii="Bookman Old Style" w:hAnsi="Bookman Old Style" w:cs="Arial"/>
          <w:sz w:val="24"/>
          <w:szCs w:val="24"/>
        </w:rPr>
        <w:t>o</w:t>
      </w:r>
      <w:r w:rsidR="000817C8" w:rsidRPr="008E7057">
        <w:rPr>
          <w:rFonts w:ascii="Bookman Old Style" w:hAnsi="Bookman Old Style" w:cs="Arial"/>
          <w:sz w:val="24"/>
          <w:szCs w:val="24"/>
        </w:rPr>
        <w:t>,</w:t>
      </w:r>
      <w:r w:rsidRPr="008E7057">
        <w:rPr>
          <w:rFonts w:ascii="Bookman Old Style" w:hAnsi="Bookman Old Style" w:cs="Arial"/>
          <w:sz w:val="24"/>
          <w:szCs w:val="24"/>
        </w:rPr>
        <w:t xml:space="preserve"> no sólo debe tenerse en cuenta el historial crediticio de la persona porque pese a ello, está adquiriendo un bien/servicio que constituye un derecho, sino además deben estudiarse de manera global todos los factores que constituyen la capacidad de pago de una persona.</w:t>
      </w:r>
    </w:p>
    <w:p w14:paraId="3BC31C9E" w14:textId="54D26474" w:rsidR="000823C4" w:rsidRPr="008E7057" w:rsidRDefault="000823C4" w:rsidP="00EE4B5F">
      <w:pPr>
        <w:pStyle w:val="Sinespaciado"/>
        <w:jc w:val="both"/>
        <w:rPr>
          <w:rFonts w:ascii="Bookman Old Style" w:hAnsi="Bookman Old Style" w:cs="Arial"/>
          <w:b/>
          <w:sz w:val="24"/>
          <w:szCs w:val="24"/>
          <w:u w:val="single"/>
        </w:rPr>
      </w:pPr>
    </w:p>
    <w:p w14:paraId="26648A5D" w14:textId="0E94A927" w:rsidR="00DB3945" w:rsidRPr="008E7057" w:rsidRDefault="00DB3945"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La corte constitucional en su sentencia T-068 de 2012 establece que el Estado tiene un rol en el acceso inmediato a la educación. Acceso que no debería verse afectado por el registro a centrales de riesgo financiero cuando no se da el pago de un crédito educativo.</w:t>
      </w:r>
    </w:p>
    <w:p w14:paraId="782A00D3" w14:textId="7E6E9FAD" w:rsidR="00DB3945" w:rsidRPr="008E7057" w:rsidRDefault="00DB3945" w:rsidP="00EE4B5F">
      <w:pPr>
        <w:pStyle w:val="Sinespaciado"/>
        <w:jc w:val="both"/>
        <w:rPr>
          <w:rFonts w:ascii="Bookman Old Style" w:hAnsi="Bookman Old Style" w:cs="Arial"/>
          <w:sz w:val="24"/>
          <w:szCs w:val="24"/>
        </w:rPr>
      </w:pPr>
    </w:p>
    <w:p w14:paraId="74F0A7F4" w14:textId="52DE6B5E" w:rsidR="00DB3945" w:rsidRPr="008E7057" w:rsidRDefault="00DB3945" w:rsidP="00EE4B5F">
      <w:pPr>
        <w:pStyle w:val="Sinespaciado"/>
        <w:ind w:left="720" w:right="616"/>
        <w:rPr>
          <w:rFonts w:ascii="Bookman Old Style" w:hAnsi="Bookman Old Style" w:cs="Arial"/>
          <w:i/>
          <w:sz w:val="24"/>
          <w:szCs w:val="24"/>
        </w:rPr>
      </w:pPr>
      <w:r w:rsidRPr="008E7057">
        <w:rPr>
          <w:rFonts w:ascii="Bookman Old Style" w:hAnsi="Bookman Old Style" w:cs="Arial"/>
          <w:i/>
          <w:sz w:val="24"/>
          <w:szCs w:val="24"/>
        </w:rPr>
        <w:lastRenderedPageBreak/>
        <w:t>"</w:t>
      </w:r>
      <w:r w:rsidRPr="008E7057">
        <w:rPr>
          <w:rFonts w:ascii="Bookman Old Style" w:hAnsi="Bookman Old Style" w:cs="Arial"/>
          <w:bCs/>
          <w:i/>
          <w:sz w:val="24"/>
          <w:szCs w:val="24"/>
        </w:rPr>
        <w:t>Su goce efectivo está a cargo del Estado, lo que significa que, si bien éste no tiene una obligación directa de procurar el acceso inmediato de todas las personas a la educación superior, sí significa que no queda eximido de su responsabilidad de procurar el acceso progresivo de las personas al sistema educativo</w:t>
      </w:r>
      <w:r w:rsidRPr="008E7057">
        <w:rPr>
          <w:rFonts w:ascii="Bookman Old Style" w:hAnsi="Bookman Old Style" w:cs="Arial"/>
          <w:i/>
          <w:sz w:val="24"/>
          <w:szCs w:val="24"/>
        </w:rPr>
        <w:t>"</w:t>
      </w:r>
      <w:r w:rsidR="000817C8" w:rsidRPr="008E7057">
        <w:rPr>
          <w:rFonts w:ascii="Bookman Old Style" w:hAnsi="Bookman Old Style" w:cs="Arial"/>
          <w:i/>
          <w:sz w:val="24"/>
          <w:szCs w:val="24"/>
        </w:rPr>
        <w:t>.</w:t>
      </w:r>
      <w:r w:rsidRPr="008E7057">
        <w:rPr>
          <w:rStyle w:val="Refdenotaalpie"/>
          <w:rFonts w:ascii="Bookman Old Style" w:hAnsi="Bookman Old Style" w:cs="Arial"/>
          <w:i/>
          <w:sz w:val="24"/>
          <w:szCs w:val="24"/>
        </w:rPr>
        <w:footnoteReference w:id="6"/>
      </w:r>
    </w:p>
    <w:p w14:paraId="0B13EB2E" w14:textId="77777777" w:rsidR="00DB3945" w:rsidRPr="008E7057" w:rsidRDefault="00DB3945" w:rsidP="00EE4B5F">
      <w:pPr>
        <w:pStyle w:val="Sinespaciado"/>
        <w:jc w:val="both"/>
        <w:rPr>
          <w:rFonts w:ascii="Bookman Old Style" w:hAnsi="Bookman Old Style" w:cs="Arial"/>
          <w:sz w:val="24"/>
          <w:szCs w:val="24"/>
        </w:rPr>
      </w:pPr>
    </w:p>
    <w:p w14:paraId="145A144D" w14:textId="439F776E" w:rsidR="00DB3945" w:rsidRPr="008E7057" w:rsidRDefault="00DB3945" w:rsidP="00EE4B5F">
      <w:pPr>
        <w:pStyle w:val="Sinespaciado"/>
        <w:jc w:val="both"/>
        <w:rPr>
          <w:rFonts w:ascii="Bookman Old Style" w:hAnsi="Bookman Old Style" w:cs="Arial"/>
          <w:b/>
          <w:sz w:val="24"/>
          <w:szCs w:val="24"/>
        </w:rPr>
      </w:pPr>
      <w:r w:rsidRPr="008E7057">
        <w:rPr>
          <w:rFonts w:ascii="Bookman Old Style" w:hAnsi="Bookman Old Style" w:cs="Arial"/>
          <w:sz w:val="24"/>
          <w:szCs w:val="24"/>
        </w:rPr>
        <w:t>También debe tenerse en cuenta que los derechos que tienen las personas frente a las entidades financieras y que, de la actuación de las segundas, emane la materialización de un derecho fundamental</w:t>
      </w:r>
      <w:r w:rsidRPr="008E7057">
        <w:rPr>
          <w:rFonts w:ascii="Bookman Old Style" w:hAnsi="Bookman Old Style" w:cs="Arial"/>
          <w:b/>
          <w:sz w:val="24"/>
          <w:szCs w:val="24"/>
        </w:rPr>
        <w:t>: la labor de las entidades financieras resulta de vital importancia ya que permite el acceso continuo, oportuno y regular de la comunidad a algunos derechos que les son inherentes y que en definitiva requieren de la intermediación de estas para materializarlos.</w:t>
      </w:r>
    </w:p>
    <w:p w14:paraId="57B5931F" w14:textId="6BD9F622" w:rsidR="00DB3945" w:rsidRPr="008E7057" w:rsidRDefault="00DB3945" w:rsidP="00EE4B5F">
      <w:pPr>
        <w:pStyle w:val="Sinespaciado"/>
        <w:jc w:val="both"/>
        <w:rPr>
          <w:rFonts w:ascii="Bookman Old Style" w:hAnsi="Bookman Old Style" w:cs="Arial"/>
          <w:b/>
          <w:sz w:val="24"/>
          <w:szCs w:val="24"/>
        </w:rPr>
      </w:pPr>
    </w:p>
    <w:p w14:paraId="23C46972" w14:textId="7F8C2938" w:rsidR="00DB3945" w:rsidRPr="008E7057" w:rsidRDefault="00DB3945"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Lo anterior implica que para las entidades financieras resulta necesario valerse de mecanismos que le permitan prever y mitigar riesgos crediticios en el desarrollo de sus funciones. Uno de estos mecanismos es la información recopilada en centrales de riesgo. Esta permite dilucidar el nivel de riesgo que representan los solicitantes. De acuerdo con lo establecido por la Superintendencia de Industria y Comercio, mediante la Cartilla de la Ley 1266 de 2008, las centrales de riesgo recolectan la información sobre el comportamiento financiero de los ciudadanos, a fin de realizar un estudio más certero y fiable sobre el crédito que pueden otorgar y su posible comportamiento:</w:t>
      </w:r>
    </w:p>
    <w:p w14:paraId="3F164B32" w14:textId="554F8EC3" w:rsidR="00DB3945" w:rsidRPr="008E7057" w:rsidRDefault="00DB3945" w:rsidP="00EE4B5F">
      <w:pPr>
        <w:pStyle w:val="Sinespaciado"/>
        <w:jc w:val="both"/>
        <w:rPr>
          <w:rFonts w:ascii="Bookman Old Style" w:hAnsi="Bookman Old Style" w:cs="Arial"/>
          <w:sz w:val="24"/>
          <w:szCs w:val="24"/>
        </w:rPr>
      </w:pPr>
    </w:p>
    <w:p w14:paraId="6824A142" w14:textId="35A70856" w:rsidR="00DB3945" w:rsidRPr="008E7057" w:rsidRDefault="0018711C" w:rsidP="00EE4B5F">
      <w:pPr>
        <w:pStyle w:val="Sinespaciado"/>
        <w:ind w:left="720"/>
        <w:jc w:val="both"/>
        <w:rPr>
          <w:rFonts w:ascii="Bookman Old Style" w:hAnsi="Bookman Old Style" w:cs="Arial"/>
          <w:i/>
          <w:sz w:val="24"/>
          <w:szCs w:val="24"/>
        </w:rPr>
      </w:pPr>
      <w:r w:rsidRPr="008E7057">
        <w:rPr>
          <w:rFonts w:ascii="Bookman Old Style" w:hAnsi="Bookman Old Style" w:cs="Arial"/>
          <w:i/>
          <w:sz w:val="24"/>
          <w:szCs w:val="24"/>
        </w:rPr>
        <w:t>“</w:t>
      </w:r>
      <w:r w:rsidR="00DB3945" w:rsidRPr="008E7057">
        <w:rPr>
          <w:rFonts w:ascii="Bookman Old Style" w:hAnsi="Bookman Old Style" w:cs="Arial"/>
          <w:i/>
          <w:sz w:val="24"/>
          <w:szCs w:val="24"/>
        </w:rPr>
        <w:t>El reporte de crédito es una herramienta útil para que las entidades que otorgan crédito conozcan la capacidad de pago de sus clientes potenciales y en esa medida, cuenten con un instrumento que les permita evitar que ese crédito se le otorgue a personas que tienen más posibilidades de incumplir el pago de sus obligaciones. En la medida en que los recursos escasos se entreguen a personas con buenos historiales de cumplimiento de sus obligaciones, se protege el ahorro público</w:t>
      </w:r>
      <w:r w:rsidRPr="008E7057">
        <w:rPr>
          <w:rFonts w:ascii="Bookman Old Style" w:hAnsi="Bookman Old Style" w:cs="Arial"/>
          <w:i/>
          <w:sz w:val="24"/>
          <w:szCs w:val="24"/>
        </w:rPr>
        <w:t>”</w:t>
      </w:r>
      <w:r w:rsidR="00DB3945" w:rsidRPr="008E7057">
        <w:rPr>
          <w:rFonts w:ascii="Bookman Old Style" w:hAnsi="Bookman Old Style" w:cs="Arial"/>
          <w:i/>
          <w:sz w:val="24"/>
          <w:szCs w:val="24"/>
        </w:rPr>
        <w:t>.</w:t>
      </w:r>
    </w:p>
    <w:p w14:paraId="5F59F0A1" w14:textId="18713B0A" w:rsidR="00DB3945" w:rsidRPr="008E7057" w:rsidRDefault="00DB3945" w:rsidP="00EE4B5F">
      <w:pPr>
        <w:pStyle w:val="Sinespaciado"/>
        <w:ind w:left="720"/>
        <w:jc w:val="both"/>
        <w:rPr>
          <w:rFonts w:ascii="Bookman Old Style" w:hAnsi="Bookman Old Style" w:cs="Arial"/>
          <w:i/>
          <w:sz w:val="24"/>
          <w:szCs w:val="24"/>
        </w:rPr>
      </w:pPr>
    </w:p>
    <w:p w14:paraId="4AF2AD59" w14:textId="71BAEB41" w:rsidR="00DB3945" w:rsidRPr="008E7057" w:rsidRDefault="00DB3945" w:rsidP="00EE4B5F">
      <w:pPr>
        <w:pStyle w:val="Sinespaciado"/>
        <w:jc w:val="both"/>
        <w:rPr>
          <w:rFonts w:ascii="Bookman Old Style" w:hAnsi="Bookman Old Style" w:cs="Arial"/>
          <w:sz w:val="24"/>
          <w:szCs w:val="24"/>
        </w:rPr>
      </w:pPr>
      <w:r w:rsidRPr="008E7057">
        <w:rPr>
          <w:rFonts w:ascii="Bookman Old Style" w:hAnsi="Bookman Old Style" w:cs="Arial"/>
          <w:b/>
          <w:sz w:val="24"/>
          <w:szCs w:val="24"/>
        </w:rPr>
        <w:t>Pero precisamente este factor se está convirtiendo en un determinante al momento de aprobar o rechazar una solicitud de crédito: en el momento en que una persona que tiene castigada la cartera por mora (sin importar si dicha deuda está saldada o no</w:t>
      </w:r>
      <w:r w:rsidR="008B79F3" w:rsidRPr="008E7057">
        <w:rPr>
          <w:rFonts w:ascii="Bookman Old Style" w:hAnsi="Bookman Old Style" w:cs="Arial"/>
          <w:b/>
          <w:sz w:val="24"/>
          <w:szCs w:val="24"/>
        </w:rPr>
        <w:t>), acude</w:t>
      </w:r>
      <w:r w:rsidRPr="008E7057">
        <w:rPr>
          <w:rFonts w:ascii="Bookman Old Style" w:hAnsi="Bookman Old Style" w:cs="Arial"/>
          <w:b/>
          <w:sz w:val="24"/>
          <w:szCs w:val="24"/>
        </w:rPr>
        <w:t xml:space="preserve"> al sistema financiero a fin de obtener un crédito hipotecario, seguramente </w:t>
      </w:r>
      <w:r w:rsidRPr="008E7057">
        <w:rPr>
          <w:rFonts w:ascii="Bookman Old Style" w:hAnsi="Bookman Old Style" w:cs="Arial"/>
          <w:b/>
          <w:sz w:val="24"/>
          <w:szCs w:val="24"/>
        </w:rPr>
        <w:lastRenderedPageBreak/>
        <w:t>obtendrá una respuesta negativa.</w:t>
      </w:r>
      <w:r w:rsidRPr="008E7057">
        <w:rPr>
          <w:rFonts w:ascii="Bookman Old Style" w:hAnsi="Bookman Old Style" w:cs="Arial"/>
          <w:sz w:val="24"/>
          <w:szCs w:val="24"/>
        </w:rPr>
        <w:t xml:space="preserve"> Pese a que la Superintendencia ha recalcado la importancia de hacer un estudio global de la capacidad financiera del usuario, </w:t>
      </w:r>
      <w:r w:rsidRPr="008E7057">
        <w:rPr>
          <w:rFonts w:ascii="Bookman Old Style" w:hAnsi="Bookman Old Style" w:cs="Arial"/>
          <w:sz w:val="24"/>
          <w:szCs w:val="24"/>
          <w:u w:val="single"/>
        </w:rPr>
        <w:t>las entidades orientan su decisión de acuerdo con la información que exista en centrales de riesgo, sin tener en cuenta las circunstancias y la situación real y actual de la persona; un reporte negativo no necesariamente es fiel reflejo de la situación financiera de una persona</w:t>
      </w:r>
      <w:r w:rsidRPr="008E7057">
        <w:rPr>
          <w:rFonts w:ascii="Bookman Old Style" w:hAnsi="Bookman Old Style" w:cs="Arial"/>
          <w:sz w:val="24"/>
          <w:szCs w:val="24"/>
        </w:rPr>
        <w:t>. Frente a la libertad que tienen las entidades para escoger el usuario que tomará el servicio, la Corte Constitucional, en sentencia T-592-03 ha señalado que:</w:t>
      </w:r>
    </w:p>
    <w:p w14:paraId="2D38F053" w14:textId="7C685E90" w:rsidR="00DB3945" w:rsidRPr="008E7057" w:rsidRDefault="00DB3945" w:rsidP="00EE4B5F">
      <w:pPr>
        <w:pStyle w:val="Sinespaciado"/>
        <w:ind w:left="720"/>
        <w:jc w:val="both"/>
        <w:rPr>
          <w:rFonts w:ascii="Bookman Old Style" w:hAnsi="Bookman Old Style" w:cs="Arial"/>
          <w:sz w:val="24"/>
          <w:szCs w:val="24"/>
        </w:rPr>
      </w:pPr>
    </w:p>
    <w:p w14:paraId="4B00C647" w14:textId="579C6379" w:rsidR="00DB3945" w:rsidRPr="008E7057" w:rsidRDefault="0018711C" w:rsidP="00EE4B5F">
      <w:pPr>
        <w:pStyle w:val="Sinespaciado"/>
        <w:ind w:left="720"/>
        <w:jc w:val="both"/>
        <w:rPr>
          <w:rFonts w:ascii="Bookman Old Style" w:hAnsi="Bookman Old Style" w:cs="Arial"/>
          <w:i/>
          <w:sz w:val="24"/>
          <w:szCs w:val="24"/>
        </w:rPr>
      </w:pPr>
      <w:r w:rsidRPr="008E7057">
        <w:rPr>
          <w:rFonts w:ascii="Bookman Old Style" w:hAnsi="Bookman Old Style" w:cs="Arial"/>
          <w:i/>
          <w:sz w:val="24"/>
          <w:szCs w:val="24"/>
        </w:rPr>
        <w:t>“</w:t>
      </w:r>
      <w:r w:rsidR="00DB3945" w:rsidRPr="008E7057">
        <w:rPr>
          <w:rFonts w:ascii="Bookman Old Style" w:hAnsi="Bookman Old Style" w:cs="Arial"/>
          <w:i/>
          <w:sz w:val="24"/>
          <w:szCs w:val="24"/>
        </w:rPr>
        <w:t xml:space="preserve">Es cierto que las entidades financieras deben velar por su solvencia y solidez, de modo que tendrían la proclividad de contratar exclusivamente con quienes demuestren mejor situación patrimonial, mayores garantías de cumplimiento y mejores hábitos de pago, pero dado el carácter público del servicio que prestan les corresponde no descartar los criterios subjetivos en la selección de riesgos, porque son éstos los que les permiten atender las expectativas específicas y los intereses concretos de los usuarios del servicio que están llamados a prestar. </w:t>
      </w:r>
      <w:r w:rsidR="00DB3945" w:rsidRPr="008E7057">
        <w:rPr>
          <w:rStyle w:val="Refdenotaalpie"/>
          <w:rFonts w:ascii="Bookman Old Style" w:hAnsi="Bookman Old Style" w:cs="Arial"/>
          <w:i/>
          <w:sz w:val="24"/>
          <w:szCs w:val="24"/>
        </w:rPr>
        <w:footnoteReference w:id="7"/>
      </w:r>
      <w:r w:rsidRPr="008E7057">
        <w:rPr>
          <w:rFonts w:ascii="Bookman Old Style" w:hAnsi="Bookman Old Style" w:cs="Arial"/>
          <w:i/>
          <w:sz w:val="24"/>
          <w:szCs w:val="24"/>
        </w:rPr>
        <w:t>”</w:t>
      </w:r>
    </w:p>
    <w:p w14:paraId="44B6058E" w14:textId="15FFFF51" w:rsidR="00643F65" w:rsidRPr="008E7057" w:rsidRDefault="00643F65" w:rsidP="00EE4B5F">
      <w:pPr>
        <w:pStyle w:val="Sinespaciado"/>
        <w:jc w:val="both"/>
        <w:rPr>
          <w:rFonts w:ascii="Bookman Old Style" w:hAnsi="Bookman Old Style" w:cs="Arial"/>
          <w:i/>
          <w:sz w:val="24"/>
          <w:szCs w:val="24"/>
        </w:rPr>
      </w:pPr>
    </w:p>
    <w:p w14:paraId="18F27B07" w14:textId="0FF7C6C1" w:rsidR="00643F65" w:rsidRPr="008E7057" w:rsidRDefault="00643F65"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De este modo, los datos que reposan en centrales de riesgo sobre la solvencia económica de una persona deben servir de referencia para adecuar las condiciones del crédito más no para negar el acceso al sistema financiero. La Corte precisa que, en aras de ofrecer soluciones que permitan el acceso de todas las personas a un crédito de vivienda debe hacerse un esfuerzo adicional al momento de hacer el estudio, dado que la viabilidad del negocio no puede depender solamente de un reporte en centrales de riesgo:</w:t>
      </w:r>
    </w:p>
    <w:p w14:paraId="63928714" w14:textId="25A10CF3" w:rsidR="00643F65" w:rsidRPr="008E7057" w:rsidRDefault="00643F65" w:rsidP="00EE4B5F">
      <w:pPr>
        <w:pStyle w:val="Sinespaciado"/>
        <w:jc w:val="both"/>
        <w:rPr>
          <w:rFonts w:ascii="Bookman Old Style" w:hAnsi="Bookman Old Style" w:cs="Arial"/>
          <w:sz w:val="24"/>
          <w:szCs w:val="24"/>
        </w:rPr>
      </w:pPr>
    </w:p>
    <w:p w14:paraId="519F984F" w14:textId="016FE163" w:rsidR="00643F65" w:rsidRPr="008E7057" w:rsidRDefault="0018711C" w:rsidP="00EE4B5F">
      <w:pPr>
        <w:pStyle w:val="Sinespaciado"/>
        <w:ind w:left="720"/>
        <w:jc w:val="both"/>
        <w:rPr>
          <w:rFonts w:ascii="Bookman Old Style" w:hAnsi="Bookman Old Style" w:cs="Arial"/>
          <w:i/>
          <w:sz w:val="24"/>
          <w:szCs w:val="24"/>
        </w:rPr>
      </w:pPr>
      <w:r w:rsidRPr="008E7057">
        <w:rPr>
          <w:rFonts w:ascii="Bookman Old Style" w:hAnsi="Bookman Old Style" w:cs="Arial"/>
          <w:i/>
          <w:sz w:val="24"/>
          <w:szCs w:val="24"/>
        </w:rPr>
        <w:t>“</w:t>
      </w:r>
      <w:r w:rsidR="00643F65" w:rsidRPr="008E7057">
        <w:rPr>
          <w:rFonts w:ascii="Bookman Old Style" w:hAnsi="Bookman Old Style" w:cs="Arial"/>
          <w:i/>
          <w:sz w:val="24"/>
          <w:szCs w:val="24"/>
        </w:rPr>
        <w:t>(…) los datos personales que registran las centrales de riesgo no comportan sanciones de ningún tipo para sus titulares, y que, por consiguiente tales reportes, con independencia de su sentido, no dan lugar a la exclusión de sus titulares de la actividad económica</w:t>
      </w:r>
      <w:r w:rsidR="00643F65" w:rsidRPr="008E7057">
        <w:rPr>
          <w:rStyle w:val="Refdenotaalpie"/>
          <w:rFonts w:ascii="Bookman Old Style" w:hAnsi="Bookman Old Style" w:cs="Arial"/>
          <w:i/>
          <w:sz w:val="24"/>
          <w:szCs w:val="24"/>
        </w:rPr>
        <w:footnoteReference w:id="8"/>
      </w:r>
      <w:r w:rsidRPr="008E7057">
        <w:rPr>
          <w:rFonts w:ascii="Bookman Old Style" w:hAnsi="Bookman Old Style" w:cs="Arial"/>
          <w:i/>
          <w:sz w:val="24"/>
          <w:szCs w:val="24"/>
        </w:rPr>
        <w:t>”.</w:t>
      </w:r>
    </w:p>
    <w:p w14:paraId="3C1BBD1B" w14:textId="77777777" w:rsidR="00643F65" w:rsidRPr="008E7057" w:rsidRDefault="00643F65" w:rsidP="00EE4B5F">
      <w:pPr>
        <w:pStyle w:val="Sinespaciado"/>
        <w:ind w:left="1440"/>
        <w:jc w:val="both"/>
        <w:rPr>
          <w:rFonts w:ascii="Bookman Old Style" w:hAnsi="Bookman Old Style" w:cs="Arial"/>
          <w:i/>
          <w:sz w:val="24"/>
          <w:szCs w:val="24"/>
        </w:rPr>
      </w:pPr>
    </w:p>
    <w:p w14:paraId="41C3596E" w14:textId="01B8546E" w:rsidR="00643F65" w:rsidRPr="008E7057" w:rsidRDefault="0018711C"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Asi</w:t>
      </w:r>
      <w:r w:rsidR="00643F65" w:rsidRPr="008E7057">
        <w:rPr>
          <w:rFonts w:ascii="Bookman Old Style" w:hAnsi="Bookman Old Style" w:cs="Arial"/>
          <w:sz w:val="24"/>
          <w:szCs w:val="24"/>
        </w:rPr>
        <w:t>mismo, las penalidades por pagos en mora resultan ser una brecha que deben afrontar las personas que desean adquirir una vivienda</w:t>
      </w:r>
      <w:r w:rsidR="00643F65" w:rsidRPr="008E7057">
        <w:rPr>
          <w:rFonts w:ascii="Bookman Old Style" w:hAnsi="Bookman Old Style" w:cs="Arial"/>
          <w:b/>
          <w:sz w:val="24"/>
          <w:szCs w:val="24"/>
        </w:rPr>
        <w:t>. Es decir, no basta con el hecho de estar reportado, sino que adicionalmente se penaliza por determinado tiempo el historial crediticio de la persona, incluso, si esta ya ha saldado la deuda.</w:t>
      </w:r>
      <w:r w:rsidR="00643F65" w:rsidRPr="008E7057">
        <w:rPr>
          <w:rFonts w:ascii="Bookman Old Style" w:hAnsi="Bookman Old Style" w:cs="Arial"/>
          <w:sz w:val="24"/>
          <w:szCs w:val="24"/>
        </w:rPr>
        <w:t xml:space="preserve"> </w:t>
      </w:r>
    </w:p>
    <w:p w14:paraId="1B9CFE70" w14:textId="70D9D3D8" w:rsidR="0056530C" w:rsidRPr="008E7057" w:rsidRDefault="0056530C" w:rsidP="00EE4B5F">
      <w:pPr>
        <w:pStyle w:val="Sinespaciado"/>
        <w:jc w:val="both"/>
        <w:rPr>
          <w:rFonts w:ascii="Bookman Old Style" w:hAnsi="Bookman Old Style" w:cs="Arial"/>
          <w:sz w:val="24"/>
          <w:szCs w:val="24"/>
        </w:rPr>
      </w:pPr>
    </w:p>
    <w:p w14:paraId="52EE8898" w14:textId="3D67922A" w:rsidR="008E7057" w:rsidRPr="008E7057" w:rsidRDefault="008E7057" w:rsidP="00EE4B5F">
      <w:pPr>
        <w:pStyle w:val="Sinespaciado"/>
        <w:numPr>
          <w:ilvl w:val="0"/>
          <w:numId w:val="14"/>
        </w:numPr>
        <w:jc w:val="center"/>
        <w:rPr>
          <w:rFonts w:ascii="Bookman Old Style" w:hAnsi="Bookman Old Style" w:cs="Arial"/>
          <w:b/>
          <w:sz w:val="24"/>
          <w:szCs w:val="24"/>
        </w:rPr>
      </w:pPr>
      <w:r w:rsidRPr="008E7057">
        <w:rPr>
          <w:rFonts w:ascii="Bookman Old Style" w:hAnsi="Bookman Old Style" w:cs="Arial"/>
          <w:b/>
          <w:sz w:val="24"/>
          <w:szCs w:val="24"/>
        </w:rPr>
        <w:lastRenderedPageBreak/>
        <w:t>ALCANCE DE LOS CRÉDITOS EDUCATIVOS</w:t>
      </w:r>
    </w:p>
    <w:p w14:paraId="23FB1366" w14:textId="77777777" w:rsidR="008E7057" w:rsidRPr="008E7057" w:rsidRDefault="008E7057" w:rsidP="00EE4B5F">
      <w:pPr>
        <w:pStyle w:val="Sinespaciado"/>
        <w:rPr>
          <w:rFonts w:ascii="Bookman Old Style" w:hAnsi="Bookman Old Style" w:cs="Arial"/>
          <w:sz w:val="24"/>
          <w:szCs w:val="24"/>
        </w:rPr>
      </w:pPr>
    </w:p>
    <w:p w14:paraId="72240445" w14:textId="77777777" w:rsidR="008E7057" w:rsidRPr="008E7057" w:rsidRDefault="008E7057" w:rsidP="00EE4B5F">
      <w:pPr>
        <w:pStyle w:val="Sinespaciado"/>
        <w:contextualSpacing/>
        <w:jc w:val="both"/>
        <w:rPr>
          <w:rFonts w:ascii="Bookman Old Style" w:hAnsi="Bookman Old Style" w:cs="Arial"/>
          <w:b/>
          <w:sz w:val="24"/>
          <w:szCs w:val="24"/>
        </w:rPr>
      </w:pPr>
      <w:r w:rsidRPr="008E7057">
        <w:rPr>
          <w:rFonts w:ascii="Bookman Old Style" w:hAnsi="Bookman Old Style" w:cs="Arial"/>
          <w:sz w:val="24"/>
          <w:szCs w:val="24"/>
        </w:rPr>
        <w:t xml:space="preserve">Para dar una idea del número de personas que actualmente se benefician de créditos educativos se puede mirar el número de beneficiarios del ICETEX que es la entidad responsable por el mayor número de créditos de este tipo. </w:t>
      </w:r>
      <w:r w:rsidRPr="008E7057">
        <w:rPr>
          <w:rFonts w:ascii="Bookman Old Style" w:hAnsi="Bookman Old Style" w:cs="Arial"/>
          <w:b/>
          <w:sz w:val="24"/>
          <w:szCs w:val="24"/>
        </w:rPr>
        <w:t>Al cierre de la vigencia 2023, los beneficiarios activos se ubicaron en 929.077, de los cuales 417.530 corresponden a créditos educativos, 507.643 a beneficiarios de los diferentes Fondos en Administración y 3.904 a estudiantes que se encuentran en programas de internacionalización.</w:t>
      </w:r>
      <w:r w:rsidRPr="008E7057">
        <w:rPr>
          <w:rStyle w:val="Refdenotaalpie"/>
          <w:rFonts w:ascii="Bookman Old Style" w:hAnsi="Bookman Old Style" w:cs="Arial"/>
          <w:b/>
          <w:sz w:val="24"/>
          <w:szCs w:val="24"/>
        </w:rPr>
        <w:footnoteReference w:id="9"/>
      </w:r>
    </w:p>
    <w:p w14:paraId="6AC4D18F" w14:textId="77777777" w:rsidR="008E7057" w:rsidRPr="008E7057" w:rsidRDefault="008E7057" w:rsidP="00EE4B5F">
      <w:pPr>
        <w:pStyle w:val="Sinespaciado"/>
        <w:jc w:val="both"/>
        <w:rPr>
          <w:rFonts w:ascii="Bookman Old Style" w:hAnsi="Bookman Old Style" w:cs="Arial"/>
          <w:b/>
          <w:sz w:val="24"/>
          <w:szCs w:val="24"/>
        </w:rPr>
      </w:pPr>
    </w:p>
    <w:p w14:paraId="1BA85CF4" w14:textId="77777777" w:rsidR="008E7057" w:rsidRPr="008E7057" w:rsidRDefault="008E7057" w:rsidP="00EE4B5F">
      <w:pPr>
        <w:pStyle w:val="Sinespaciado"/>
        <w:jc w:val="center"/>
        <w:rPr>
          <w:rFonts w:ascii="Bookman Old Style" w:hAnsi="Bookman Old Style" w:cs="Arial"/>
          <w:b/>
          <w:sz w:val="24"/>
          <w:szCs w:val="24"/>
        </w:rPr>
      </w:pPr>
      <w:r w:rsidRPr="008E7057">
        <w:rPr>
          <w:rFonts w:ascii="Bookman Old Style" w:hAnsi="Bookman Old Style" w:cs="Arial"/>
          <w:b/>
          <w:sz w:val="24"/>
          <w:szCs w:val="24"/>
        </w:rPr>
        <w:t>Gráfica 1. Evolución total beneficiarios activos agosto 2018 – 2023</w:t>
      </w:r>
    </w:p>
    <w:p w14:paraId="2502B5D0" w14:textId="77777777" w:rsidR="008E7057" w:rsidRPr="008E7057" w:rsidRDefault="008E7057" w:rsidP="00EE4B5F">
      <w:pPr>
        <w:pStyle w:val="Sinespaciado"/>
        <w:jc w:val="both"/>
        <w:rPr>
          <w:rFonts w:ascii="Bookman Old Style" w:hAnsi="Bookman Old Style" w:cs="Arial"/>
          <w:sz w:val="24"/>
          <w:szCs w:val="24"/>
        </w:rPr>
      </w:pPr>
      <w:r w:rsidRPr="008E7057">
        <w:rPr>
          <w:rFonts w:ascii="Bookman Old Style" w:hAnsi="Bookman Old Style" w:cs="Arial"/>
          <w:noProof/>
          <w:sz w:val="24"/>
          <w:szCs w:val="24"/>
          <w:lang w:eastAsia="es-CO"/>
        </w:rPr>
        <w:drawing>
          <wp:inline distT="0" distB="0" distL="0" distR="0" wp14:anchorId="2CE5147D" wp14:editId="6B4FCCCF">
            <wp:extent cx="5525135" cy="28962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5135" cy="2896235"/>
                    </a:xfrm>
                    <a:prstGeom prst="rect">
                      <a:avLst/>
                    </a:prstGeom>
                    <a:noFill/>
                  </pic:spPr>
                </pic:pic>
              </a:graphicData>
            </a:graphic>
          </wp:inline>
        </w:drawing>
      </w:r>
    </w:p>
    <w:p w14:paraId="7405B6BD" w14:textId="77777777" w:rsidR="008E7057" w:rsidRPr="008E7057" w:rsidRDefault="008E7057" w:rsidP="00EE4B5F">
      <w:pPr>
        <w:pStyle w:val="Sinespaciado"/>
        <w:jc w:val="center"/>
        <w:rPr>
          <w:rFonts w:ascii="Bookman Old Style" w:hAnsi="Bookman Old Style" w:cs="Arial"/>
          <w:sz w:val="24"/>
          <w:szCs w:val="24"/>
        </w:rPr>
      </w:pPr>
      <w:r w:rsidRPr="008E7057">
        <w:rPr>
          <w:rFonts w:ascii="Bookman Old Style" w:hAnsi="Bookman Old Style" w:cs="Arial"/>
          <w:b/>
          <w:sz w:val="24"/>
          <w:szCs w:val="24"/>
        </w:rPr>
        <w:t xml:space="preserve">Fuente: </w:t>
      </w:r>
      <w:r w:rsidRPr="008E7057">
        <w:rPr>
          <w:rFonts w:ascii="Bookman Old Style" w:hAnsi="Bookman Old Style" w:cs="Arial"/>
          <w:sz w:val="24"/>
          <w:szCs w:val="24"/>
        </w:rPr>
        <w:t>Oficina Asesora de Planeación</w:t>
      </w:r>
      <w:r w:rsidRPr="008E7057">
        <w:rPr>
          <w:rFonts w:ascii="Bookman Old Style" w:hAnsi="Bookman Old Style" w:cs="Arial"/>
          <w:b/>
          <w:sz w:val="24"/>
          <w:szCs w:val="24"/>
        </w:rPr>
        <w:t>-</w:t>
      </w:r>
      <w:r w:rsidRPr="008E7057">
        <w:rPr>
          <w:rFonts w:ascii="Bookman Old Style" w:hAnsi="Bookman Old Style" w:cs="Arial"/>
          <w:sz w:val="24"/>
          <w:szCs w:val="24"/>
        </w:rPr>
        <w:t>ICETEX</w:t>
      </w:r>
    </w:p>
    <w:p w14:paraId="1A406A1F" w14:textId="77777777" w:rsidR="008E7057" w:rsidRPr="008E7057" w:rsidRDefault="008E7057" w:rsidP="00EE4B5F">
      <w:pPr>
        <w:pStyle w:val="Sinespaciado"/>
        <w:jc w:val="both"/>
        <w:rPr>
          <w:rFonts w:ascii="Bookman Old Style" w:hAnsi="Bookman Old Style" w:cs="Arial"/>
          <w:b/>
          <w:sz w:val="24"/>
          <w:szCs w:val="24"/>
        </w:rPr>
      </w:pPr>
    </w:p>
    <w:p w14:paraId="3433EBAC" w14:textId="77777777" w:rsidR="008E7057" w:rsidRPr="008E7057" w:rsidRDefault="008E705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Además, durante la vigencia 2023, se adjudicaron 56.009 nuevos créditos en las diferentes líneas por un valor $531.746 millones. El 91% del total de estudiantes beneficiados en este periodo, pertenecen a los estratos 1, 2 y 3, lo que muestra el enfoque social del Icetex y el uso masivo de este tipo de financiación para el desarrollo profesional de la población colombiana. La distribución de estos beneficiarios corresponde a 57% para mujeres y 43% para hombres.</w:t>
      </w:r>
    </w:p>
    <w:p w14:paraId="46E4F91B" w14:textId="77777777" w:rsidR="008E7057" w:rsidRPr="008E7057" w:rsidRDefault="008E7057" w:rsidP="00EE4B5F">
      <w:pPr>
        <w:pStyle w:val="Sinespaciado"/>
        <w:jc w:val="both"/>
        <w:rPr>
          <w:rFonts w:ascii="Bookman Old Style" w:hAnsi="Bookman Old Style" w:cs="Arial"/>
          <w:sz w:val="24"/>
          <w:szCs w:val="24"/>
        </w:rPr>
      </w:pPr>
    </w:p>
    <w:p w14:paraId="59354F8F" w14:textId="77777777" w:rsidR="008E7057" w:rsidRPr="008E7057" w:rsidRDefault="008E7057" w:rsidP="00EE4B5F">
      <w:pPr>
        <w:pStyle w:val="Sinespaciado"/>
        <w:jc w:val="center"/>
        <w:rPr>
          <w:rFonts w:ascii="Bookman Old Style" w:hAnsi="Bookman Old Style" w:cs="Arial"/>
          <w:sz w:val="24"/>
          <w:szCs w:val="24"/>
        </w:rPr>
      </w:pPr>
      <w:r w:rsidRPr="008E7057">
        <w:rPr>
          <w:rFonts w:ascii="Bookman Old Style" w:hAnsi="Bookman Old Style" w:cs="Arial"/>
          <w:b/>
          <w:sz w:val="24"/>
          <w:szCs w:val="24"/>
        </w:rPr>
        <w:t>Gráfica 2.</w:t>
      </w:r>
      <w:r w:rsidRPr="008E7057">
        <w:rPr>
          <w:rFonts w:ascii="Bookman Old Style" w:hAnsi="Bookman Old Style" w:cs="Arial"/>
          <w:sz w:val="24"/>
          <w:szCs w:val="24"/>
        </w:rPr>
        <w:t xml:space="preserve"> Créditos girados de pregrado por estrato – vigencia 2023</w:t>
      </w:r>
    </w:p>
    <w:p w14:paraId="6D39F71D" w14:textId="77777777" w:rsidR="008E7057" w:rsidRPr="008E7057" w:rsidRDefault="008E7057" w:rsidP="00EE4B5F">
      <w:pPr>
        <w:pStyle w:val="Sinespaciado"/>
        <w:jc w:val="both"/>
        <w:rPr>
          <w:rFonts w:ascii="Bookman Old Style" w:hAnsi="Bookman Old Style" w:cs="Arial"/>
          <w:sz w:val="24"/>
          <w:szCs w:val="24"/>
        </w:rPr>
      </w:pPr>
      <w:r w:rsidRPr="008E7057">
        <w:rPr>
          <w:rFonts w:ascii="Bookman Old Style" w:hAnsi="Bookman Old Style" w:cs="Arial"/>
          <w:noProof/>
          <w:sz w:val="24"/>
          <w:szCs w:val="24"/>
          <w:lang w:eastAsia="es-CO"/>
        </w:rPr>
        <w:lastRenderedPageBreak/>
        <w:drawing>
          <wp:inline distT="0" distB="0" distL="0" distR="0" wp14:anchorId="6F711363" wp14:editId="6001B646">
            <wp:extent cx="5582285" cy="26765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2285" cy="2676525"/>
                    </a:xfrm>
                    <a:prstGeom prst="rect">
                      <a:avLst/>
                    </a:prstGeom>
                    <a:noFill/>
                  </pic:spPr>
                </pic:pic>
              </a:graphicData>
            </a:graphic>
          </wp:inline>
        </w:drawing>
      </w:r>
    </w:p>
    <w:p w14:paraId="63CA0F64" w14:textId="77777777" w:rsidR="008E7057" w:rsidRPr="008E7057" w:rsidRDefault="008E7057" w:rsidP="00EE4B5F">
      <w:pPr>
        <w:pStyle w:val="Sinespaciado"/>
        <w:jc w:val="center"/>
        <w:rPr>
          <w:rFonts w:ascii="Bookman Old Style" w:hAnsi="Bookman Old Style" w:cs="Arial"/>
          <w:sz w:val="24"/>
          <w:szCs w:val="24"/>
        </w:rPr>
      </w:pPr>
      <w:r w:rsidRPr="008E7057">
        <w:rPr>
          <w:rFonts w:ascii="Bookman Old Style" w:hAnsi="Bookman Old Style" w:cs="Arial"/>
          <w:b/>
          <w:sz w:val="24"/>
          <w:szCs w:val="24"/>
        </w:rPr>
        <w:t xml:space="preserve">Fuente: </w:t>
      </w:r>
      <w:r w:rsidRPr="008E7057">
        <w:rPr>
          <w:rFonts w:ascii="Bookman Old Style" w:hAnsi="Bookman Old Style" w:cs="Arial"/>
          <w:sz w:val="24"/>
          <w:szCs w:val="24"/>
        </w:rPr>
        <w:t>Oficina Asesora de Planeación</w:t>
      </w:r>
      <w:r w:rsidRPr="008E7057">
        <w:rPr>
          <w:rFonts w:ascii="Bookman Old Style" w:hAnsi="Bookman Old Style" w:cs="Arial"/>
          <w:b/>
          <w:sz w:val="24"/>
          <w:szCs w:val="24"/>
        </w:rPr>
        <w:t>-</w:t>
      </w:r>
      <w:r w:rsidRPr="008E7057">
        <w:rPr>
          <w:rFonts w:ascii="Bookman Old Style" w:hAnsi="Bookman Old Style" w:cs="Arial"/>
          <w:sz w:val="24"/>
          <w:szCs w:val="24"/>
        </w:rPr>
        <w:t>ICETEX</w:t>
      </w:r>
    </w:p>
    <w:p w14:paraId="59BD52E8" w14:textId="77777777" w:rsidR="008E7057" w:rsidRPr="008E7057" w:rsidRDefault="008E7057" w:rsidP="00EE4B5F">
      <w:pPr>
        <w:pStyle w:val="Sinespaciado"/>
        <w:jc w:val="both"/>
        <w:rPr>
          <w:rFonts w:ascii="Bookman Old Style" w:hAnsi="Bookman Old Style" w:cs="Arial"/>
          <w:sz w:val="24"/>
          <w:szCs w:val="24"/>
        </w:rPr>
      </w:pPr>
    </w:p>
    <w:p w14:paraId="4F22777B" w14:textId="77777777" w:rsidR="008E7057" w:rsidRPr="008E7057" w:rsidRDefault="008E705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Del total de los giros en la modalidad de líneas de pregrado, el 31% fue destinado a población vulnerable, en donde 14.084 beneficiarios tienen una sola condición de vulnerabilidad y 2.448 usuarios presentan más de una condición.</w:t>
      </w:r>
    </w:p>
    <w:p w14:paraId="784E846B" w14:textId="77777777" w:rsidR="008E7057" w:rsidRPr="008E7057" w:rsidRDefault="008E7057" w:rsidP="00EE4B5F">
      <w:pPr>
        <w:pStyle w:val="Sinespaciado"/>
        <w:jc w:val="both"/>
        <w:rPr>
          <w:rFonts w:ascii="Bookman Old Style" w:hAnsi="Bookman Old Style" w:cs="Arial"/>
          <w:sz w:val="24"/>
          <w:szCs w:val="24"/>
        </w:rPr>
      </w:pPr>
    </w:p>
    <w:p w14:paraId="773AFBCC" w14:textId="77777777" w:rsidR="008E7057" w:rsidRPr="008E7057" w:rsidRDefault="008E705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Por otra parte, con corte al 31 de diciembre de 2023 el ICETEX tiene en su registro 47.943 créditos en mora que ya cumplen las condiciones para que sus deudores sean reportados a centrales de riesgo financiero por tener una cartera con mora mayor a 90 días.</w:t>
      </w:r>
      <w:r w:rsidRPr="008E7057">
        <w:rPr>
          <w:rFonts w:ascii="Bookman Old Style" w:hAnsi="Bookman Old Style" w:cs="Arial"/>
          <w:b/>
          <w:sz w:val="24"/>
          <w:szCs w:val="24"/>
        </w:rPr>
        <w:t xml:space="preserve"> </w:t>
      </w:r>
    </w:p>
    <w:p w14:paraId="2CDAB5ED" w14:textId="77777777" w:rsidR="008E7057" w:rsidRPr="008E7057" w:rsidRDefault="008E7057" w:rsidP="00EE4B5F">
      <w:pPr>
        <w:pStyle w:val="Sinespaciado"/>
        <w:jc w:val="center"/>
        <w:rPr>
          <w:rFonts w:ascii="Bookman Old Style" w:hAnsi="Bookman Old Style" w:cs="Arial"/>
          <w:b/>
          <w:sz w:val="24"/>
          <w:szCs w:val="24"/>
        </w:rPr>
      </w:pPr>
    </w:p>
    <w:p w14:paraId="5D81FF77" w14:textId="110B87D9" w:rsidR="008E7057" w:rsidRDefault="008E7057" w:rsidP="00EE4B5F">
      <w:pPr>
        <w:pStyle w:val="Sinespaciado"/>
        <w:jc w:val="center"/>
        <w:rPr>
          <w:rFonts w:ascii="Bookman Old Style" w:hAnsi="Bookman Old Style" w:cs="Arial"/>
          <w:b/>
          <w:sz w:val="24"/>
          <w:szCs w:val="24"/>
        </w:rPr>
      </w:pPr>
      <w:r w:rsidRPr="008E7057">
        <w:rPr>
          <w:rFonts w:ascii="Bookman Old Style" w:hAnsi="Bookman Old Style" w:cs="Arial"/>
          <w:b/>
          <w:sz w:val="24"/>
          <w:szCs w:val="24"/>
        </w:rPr>
        <w:t xml:space="preserve">Tabla 1. </w:t>
      </w:r>
      <w:r w:rsidRPr="006D5EFC">
        <w:rPr>
          <w:rFonts w:ascii="Bookman Old Style" w:hAnsi="Bookman Old Style" w:cs="Arial"/>
          <w:sz w:val="24"/>
          <w:szCs w:val="24"/>
        </w:rPr>
        <w:t xml:space="preserve">Acuerdos de pago </w:t>
      </w:r>
      <w:r w:rsidR="006D5EFC">
        <w:rPr>
          <w:rFonts w:ascii="Bookman Old Style" w:hAnsi="Bookman Old Style" w:cs="Arial"/>
          <w:sz w:val="24"/>
          <w:szCs w:val="24"/>
        </w:rPr>
        <w:t xml:space="preserve">de </w:t>
      </w:r>
      <w:r w:rsidRPr="006D5EFC">
        <w:rPr>
          <w:rFonts w:ascii="Bookman Old Style" w:hAnsi="Bookman Old Style" w:cs="Arial"/>
          <w:sz w:val="24"/>
          <w:szCs w:val="24"/>
        </w:rPr>
        <w:t>cartera ICETEX con mora mayor a 90 días</w:t>
      </w:r>
    </w:p>
    <w:p w14:paraId="4EC816FA" w14:textId="77777777" w:rsidR="006D5EFC" w:rsidRPr="008E7057" w:rsidRDefault="006D5EFC" w:rsidP="00EE4B5F">
      <w:pPr>
        <w:pStyle w:val="Sinespaciado"/>
        <w:jc w:val="center"/>
        <w:rPr>
          <w:rFonts w:ascii="Bookman Old Style" w:hAnsi="Bookman Old Style" w:cs="Arial"/>
          <w:sz w:val="24"/>
          <w:szCs w:val="24"/>
        </w:rPr>
      </w:pPr>
    </w:p>
    <w:p w14:paraId="5F32652D" w14:textId="50985AF2" w:rsidR="008E7057" w:rsidRDefault="008E7057" w:rsidP="00EE4B5F">
      <w:pPr>
        <w:pStyle w:val="Sinespaciado"/>
        <w:jc w:val="center"/>
        <w:rPr>
          <w:rFonts w:ascii="Bookman Old Style" w:hAnsi="Bookman Old Style" w:cs="Arial"/>
          <w:sz w:val="24"/>
          <w:szCs w:val="24"/>
        </w:rPr>
      </w:pPr>
      <w:r w:rsidRPr="008E7057">
        <w:rPr>
          <w:rFonts w:ascii="Bookman Old Style" w:hAnsi="Bookman Old Style" w:cs="Arial"/>
          <w:noProof/>
          <w:sz w:val="24"/>
          <w:szCs w:val="24"/>
          <w:lang w:eastAsia="es-CO"/>
        </w:rPr>
        <w:drawing>
          <wp:inline distT="0" distB="0" distL="0" distR="0" wp14:anchorId="3CBA7844" wp14:editId="58A4A490">
            <wp:extent cx="5334744" cy="752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4744" cy="752580"/>
                    </a:xfrm>
                    <a:prstGeom prst="rect">
                      <a:avLst/>
                    </a:prstGeom>
                  </pic:spPr>
                </pic:pic>
              </a:graphicData>
            </a:graphic>
          </wp:inline>
        </w:drawing>
      </w:r>
    </w:p>
    <w:p w14:paraId="7FE5DFDC" w14:textId="77777777" w:rsidR="006D5EFC" w:rsidRPr="008E7057" w:rsidRDefault="006D5EFC" w:rsidP="00EE4B5F">
      <w:pPr>
        <w:pStyle w:val="Sinespaciado"/>
        <w:jc w:val="center"/>
        <w:rPr>
          <w:rFonts w:ascii="Bookman Old Style" w:hAnsi="Bookman Old Style" w:cs="Arial"/>
          <w:sz w:val="24"/>
          <w:szCs w:val="24"/>
        </w:rPr>
      </w:pPr>
    </w:p>
    <w:p w14:paraId="2B604D3C" w14:textId="7EC25AA4" w:rsidR="008E7057" w:rsidRPr="008E7057" w:rsidRDefault="008E7057" w:rsidP="00EE4B5F">
      <w:pPr>
        <w:pStyle w:val="Sinespaciado"/>
        <w:jc w:val="center"/>
        <w:rPr>
          <w:rFonts w:ascii="Bookman Old Style" w:hAnsi="Bookman Old Style" w:cs="Arial"/>
          <w:sz w:val="18"/>
          <w:szCs w:val="24"/>
        </w:rPr>
      </w:pPr>
      <w:r w:rsidRPr="008E7057">
        <w:rPr>
          <w:rFonts w:ascii="Bookman Old Style" w:hAnsi="Bookman Old Style" w:cs="Arial"/>
          <w:sz w:val="18"/>
          <w:szCs w:val="24"/>
        </w:rPr>
        <w:t>Fuente: Informe de gestión 2023 del ICETEX</w:t>
      </w:r>
    </w:p>
    <w:p w14:paraId="287FC121" w14:textId="77777777" w:rsidR="008E7057" w:rsidRPr="008E7057" w:rsidRDefault="008E7057" w:rsidP="00EE4B5F">
      <w:pPr>
        <w:pStyle w:val="Sinespaciado"/>
        <w:jc w:val="center"/>
        <w:rPr>
          <w:rFonts w:ascii="Bookman Old Style" w:hAnsi="Bookman Old Style" w:cs="Arial"/>
          <w:b/>
          <w:sz w:val="24"/>
          <w:szCs w:val="24"/>
        </w:rPr>
      </w:pPr>
    </w:p>
    <w:p w14:paraId="306D88AB" w14:textId="3E5003A0" w:rsidR="00634FEA" w:rsidRPr="006D5EFC" w:rsidRDefault="008E7057" w:rsidP="00EE4B5F">
      <w:pPr>
        <w:pStyle w:val="Sinespaciado"/>
        <w:jc w:val="both"/>
        <w:rPr>
          <w:rFonts w:ascii="Bookman Old Style" w:hAnsi="Bookman Old Style" w:cs="Arial"/>
          <w:b/>
          <w:sz w:val="24"/>
          <w:szCs w:val="24"/>
        </w:rPr>
      </w:pPr>
      <w:r w:rsidRPr="008E7057">
        <w:rPr>
          <w:rFonts w:ascii="Bookman Old Style" w:hAnsi="Bookman Old Style" w:cs="Arial"/>
          <w:b/>
          <w:sz w:val="24"/>
          <w:szCs w:val="24"/>
        </w:rPr>
        <w:t>Esto representa un daño significativo a la vida crediticia y financiera de casi 50.000 colombianos que buscan desarrollar sus proyectos de vida mediante la inversión en su educación personal y por lo tanto termina convirtiendo el ejercicio del derecho a la educación en castigo financiero severo a los ciudadanos colombianos.</w:t>
      </w:r>
    </w:p>
    <w:p w14:paraId="6F2B2D53" w14:textId="3050EF03" w:rsidR="002115AD" w:rsidRPr="008E7057" w:rsidRDefault="002115AD" w:rsidP="00EE4B5F">
      <w:pPr>
        <w:pStyle w:val="Sinespaciado"/>
        <w:numPr>
          <w:ilvl w:val="0"/>
          <w:numId w:val="12"/>
        </w:numPr>
        <w:jc w:val="center"/>
        <w:rPr>
          <w:rFonts w:ascii="Bookman Old Style" w:hAnsi="Bookman Old Style" w:cs="Arial"/>
          <w:b/>
          <w:sz w:val="24"/>
          <w:szCs w:val="24"/>
        </w:rPr>
      </w:pPr>
      <w:r w:rsidRPr="008E7057">
        <w:rPr>
          <w:rFonts w:ascii="Bookman Old Style" w:hAnsi="Bookman Old Style" w:cs="Arial"/>
          <w:b/>
          <w:sz w:val="24"/>
          <w:szCs w:val="24"/>
        </w:rPr>
        <w:lastRenderedPageBreak/>
        <w:t>IMPACTO FISCAL DE LA INICIATIVA:</w:t>
      </w:r>
    </w:p>
    <w:p w14:paraId="24CE6AF4" w14:textId="66D416D8" w:rsidR="002115AD" w:rsidRPr="008E7057" w:rsidRDefault="002115AD" w:rsidP="00EE4B5F">
      <w:pPr>
        <w:pStyle w:val="Sinespaciado"/>
        <w:jc w:val="both"/>
        <w:rPr>
          <w:rFonts w:ascii="Bookman Old Style" w:hAnsi="Bookman Old Style" w:cs="Arial"/>
          <w:sz w:val="24"/>
          <w:szCs w:val="24"/>
        </w:rPr>
      </w:pPr>
    </w:p>
    <w:p w14:paraId="74343CA0" w14:textId="45694D88" w:rsidR="008E7057" w:rsidRPr="008E7057" w:rsidRDefault="008E7057" w:rsidP="00EE4B5F">
      <w:pPr>
        <w:pBdr>
          <w:top w:val="nil"/>
          <w:left w:val="nil"/>
          <w:bottom w:val="nil"/>
          <w:right w:val="nil"/>
          <w:between w:val="nil"/>
        </w:pBdr>
        <w:spacing w:line="240" w:lineRule="auto"/>
        <w:jc w:val="both"/>
        <w:rPr>
          <w:rFonts w:ascii="Bookman Old Style" w:eastAsia="Arial" w:hAnsi="Bookman Old Style" w:cs="Arial"/>
          <w:color w:val="000000"/>
        </w:rPr>
      </w:pPr>
      <w:r w:rsidRPr="008E7057">
        <w:rPr>
          <w:rFonts w:ascii="Bookman Old Style" w:eastAsia="Arial" w:hAnsi="Bookman Old Style" w:cs="Arial"/>
          <w:color w:val="000000"/>
        </w:rPr>
        <w:t xml:space="preserve">Respecto del concepto impacto fiscal que los proyectos de ley pudieran generar, la Corte ha dicho: </w:t>
      </w:r>
    </w:p>
    <w:p w14:paraId="025B7FA7" w14:textId="701FB240" w:rsidR="008E7057" w:rsidRPr="008E7057" w:rsidRDefault="008E7057" w:rsidP="00EE4B5F">
      <w:pPr>
        <w:pBdr>
          <w:top w:val="nil"/>
          <w:left w:val="nil"/>
          <w:bottom w:val="nil"/>
          <w:right w:val="nil"/>
          <w:between w:val="nil"/>
        </w:pBdr>
        <w:spacing w:line="240" w:lineRule="auto"/>
        <w:ind w:left="720"/>
        <w:jc w:val="both"/>
        <w:rPr>
          <w:rFonts w:ascii="Bookman Old Style" w:eastAsia="Arial" w:hAnsi="Bookman Old Style" w:cs="Arial"/>
          <w:i/>
          <w:color w:val="000000"/>
        </w:rPr>
      </w:pPr>
      <w:r w:rsidRPr="008E7057">
        <w:rPr>
          <w:rFonts w:ascii="Bookman Old Style" w:eastAsia="Arial" w:hAnsi="Bookman Old Style" w:cs="Arial"/>
          <w:i/>
          <w:color w:val="000000"/>
        </w:rPr>
        <w:t xml:space="preserve">“Las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w:t>
      </w:r>
    </w:p>
    <w:p w14:paraId="365EE440" w14:textId="142C552D" w:rsidR="008E7057" w:rsidRPr="008E7057" w:rsidRDefault="008E7057" w:rsidP="00EE4B5F">
      <w:pPr>
        <w:pBdr>
          <w:top w:val="nil"/>
          <w:left w:val="nil"/>
          <w:bottom w:val="nil"/>
          <w:right w:val="nil"/>
          <w:between w:val="nil"/>
        </w:pBdr>
        <w:spacing w:line="240" w:lineRule="auto"/>
        <w:ind w:left="720"/>
        <w:jc w:val="both"/>
        <w:rPr>
          <w:rFonts w:ascii="Bookman Old Style" w:eastAsia="Arial" w:hAnsi="Bookman Old Style" w:cs="Arial"/>
          <w:color w:val="000000"/>
        </w:rPr>
      </w:pPr>
      <w:r w:rsidRPr="008E7057">
        <w:rPr>
          <w:rFonts w:ascii="Bookman Old Style" w:eastAsia="Arial" w:hAnsi="Bookman Old Style" w:cs="Arial"/>
          <w:i/>
          <w:color w:val="000000"/>
        </w:rPr>
        <w:t xml:space="preserve">Lo anterior,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haya valorado, mediante las herramientas que tiene a su alcance, la compatibilidad entre los gastos que genera la iniciativa legislativa y las proyecciones de la política económica trazada por el Gobierno. (…). El artículo 7º de la Ley 819/03 no puede interpretarse de modo tal que la falta de concurrencia del Ministerio de Hacienda y Crédito Público dentro del proceso legislativo, afecte la validez constitucional del trámite respectivo”. </w:t>
      </w:r>
      <w:r w:rsidRPr="008E7057">
        <w:rPr>
          <w:rFonts w:ascii="Bookman Old Style" w:eastAsia="Arial" w:hAnsi="Bookman Old Style" w:cs="Arial"/>
          <w:color w:val="000000"/>
        </w:rPr>
        <w:t xml:space="preserve">(Sentencia C-315 de 2008). </w:t>
      </w:r>
    </w:p>
    <w:p w14:paraId="1F9E925E" w14:textId="514FF1CA" w:rsidR="008E7057" w:rsidRPr="008E7057" w:rsidRDefault="008E7057" w:rsidP="00EE4B5F">
      <w:pPr>
        <w:pBdr>
          <w:top w:val="nil"/>
          <w:left w:val="nil"/>
          <w:bottom w:val="nil"/>
          <w:right w:val="nil"/>
          <w:between w:val="nil"/>
        </w:pBdr>
        <w:spacing w:line="240" w:lineRule="auto"/>
        <w:jc w:val="both"/>
        <w:rPr>
          <w:rFonts w:ascii="Bookman Old Style" w:eastAsia="Arial" w:hAnsi="Bookman Old Style" w:cs="Arial"/>
          <w:color w:val="000000"/>
        </w:rPr>
      </w:pPr>
      <w:r w:rsidRPr="008E7057">
        <w:rPr>
          <w:rFonts w:ascii="Bookman Old Style" w:eastAsia="Arial" w:hAnsi="Bookman Old Style" w:cs="Arial"/>
          <w:color w:val="000000"/>
        </w:rPr>
        <w:t xml:space="preserve">Como lo ha resaltado la Corte, si bien compete a los miembros del Congreso la responsabilidad de estimar y tomar en cuenta el esfuerzo fiscal que el proyecto bajo estudio puede implicar para el erario público, es claro que es el Poder Ejecutivo, y al interior de aquel,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w:t>
      </w:r>
    </w:p>
    <w:p w14:paraId="5BDA8D6B" w14:textId="2B2FF46E" w:rsidR="00CF6FE0" w:rsidRPr="006D5EFC" w:rsidRDefault="008E7057" w:rsidP="006D5EFC">
      <w:pPr>
        <w:pBdr>
          <w:top w:val="nil"/>
          <w:left w:val="nil"/>
          <w:bottom w:val="nil"/>
          <w:right w:val="nil"/>
          <w:between w:val="nil"/>
        </w:pBdr>
        <w:spacing w:line="240" w:lineRule="auto"/>
        <w:jc w:val="both"/>
        <w:rPr>
          <w:rFonts w:ascii="Bookman Old Style" w:eastAsia="Arial" w:hAnsi="Bookman Old Style" w:cs="Arial"/>
          <w:color w:val="000000"/>
        </w:rPr>
      </w:pPr>
      <w:r w:rsidRPr="008E7057">
        <w:rPr>
          <w:rFonts w:ascii="Bookman Old Style" w:eastAsia="Arial" w:hAnsi="Bookman Old Style" w:cs="Arial"/>
          <w:color w:val="000000"/>
        </w:rPr>
        <w:lastRenderedPageBreak/>
        <w:t>Sin embargo, frente a las disposiciones propuestas en el presente proyecto de Ley, consideramos que las mismas no generan un impacto fiscal adicional, pues en las mismas no existe la ordenación de gastos ni la generación de beneficios tributarios.</w:t>
      </w:r>
    </w:p>
    <w:p w14:paraId="682C4C10" w14:textId="77777777" w:rsidR="0031152B" w:rsidRPr="008E7057" w:rsidRDefault="0031152B" w:rsidP="00EE4B5F">
      <w:pPr>
        <w:pStyle w:val="Sinespaciado"/>
        <w:jc w:val="both"/>
        <w:rPr>
          <w:rFonts w:ascii="Bookman Old Style" w:hAnsi="Bookman Old Style" w:cs="Arial"/>
          <w:sz w:val="24"/>
          <w:szCs w:val="24"/>
        </w:rPr>
      </w:pPr>
    </w:p>
    <w:p w14:paraId="6A2076F8" w14:textId="5721CA89" w:rsidR="0031152B" w:rsidRPr="008E7057" w:rsidRDefault="0031152B" w:rsidP="00EE4B5F">
      <w:pPr>
        <w:pStyle w:val="Sinespaciado"/>
        <w:numPr>
          <w:ilvl w:val="0"/>
          <w:numId w:val="12"/>
        </w:numPr>
        <w:jc w:val="center"/>
        <w:rPr>
          <w:rFonts w:ascii="Bookman Old Style" w:hAnsi="Bookman Old Style" w:cs="Arial"/>
          <w:b/>
          <w:bCs/>
          <w:sz w:val="24"/>
          <w:szCs w:val="24"/>
        </w:rPr>
      </w:pPr>
      <w:r w:rsidRPr="008E7057">
        <w:rPr>
          <w:rFonts w:ascii="Bookman Old Style" w:hAnsi="Bookman Old Style" w:cs="Arial"/>
          <w:b/>
          <w:bCs/>
          <w:sz w:val="24"/>
          <w:szCs w:val="24"/>
        </w:rPr>
        <w:t>CONFLICTO DE INTERESES</w:t>
      </w:r>
    </w:p>
    <w:p w14:paraId="4663C87B" w14:textId="7D0EE0EF" w:rsidR="00103CC7" w:rsidRPr="008E7057" w:rsidRDefault="00103CC7" w:rsidP="00EE4B5F">
      <w:pPr>
        <w:pStyle w:val="Sinespaciado"/>
        <w:jc w:val="both"/>
        <w:rPr>
          <w:rFonts w:ascii="Bookman Old Style" w:hAnsi="Bookman Old Style" w:cs="Arial"/>
          <w:b/>
          <w:bCs/>
          <w:sz w:val="24"/>
          <w:szCs w:val="24"/>
        </w:rPr>
      </w:pPr>
    </w:p>
    <w:p w14:paraId="2673253C" w14:textId="77777777" w:rsidR="008E7057" w:rsidRPr="008E7057" w:rsidRDefault="00103CC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 xml:space="preserve">El artículo 3 de la Ley 2003, promulgada el 19 de noviembre de 2019, introduce una modificación al artículo 291 de la Ley 5 de 1992. </w:t>
      </w:r>
    </w:p>
    <w:p w14:paraId="781467CE" w14:textId="77777777" w:rsidR="008E7057" w:rsidRPr="008E7057" w:rsidRDefault="008E7057" w:rsidP="00EE4B5F">
      <w:pPr>
        <w:pStyle w:val="Sinespaciado"/>
        <w:jc w:val="both"/>
        <w:rPr>
          <w:rFonts w:ascii="Bookman Old Style" w:hAnsi="Bookman Old Style" w:cs="Arial"/>
          <w:sz w:val="24"/>
          <w:szCs w:val="24"/>
        </w:rPr>
      </w:pPr>
    </w:p>
    <w:p w14:paraId="2DA9B912" w14:textId="31296BCB" w:rsidR="008E7057" w:rsidRPr="008E7057" w:rsidRDefault="00103CC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Esta modificación establece que los autores y ponentes de proyectos de ley deben incluir en la sección de justificación de sus propuestas un apartado en el cual se detalle las situaciones o incidentes que pudieran dar lugar a conflictos de interés para los miembros del Congreso durante el proceso de debate y votación de dichas iniciativas legislativas.</w:t>
      </w:r>
    </w:p>
    <w:p w14:paraId="1D19100F" w14:textId="6589C399" w:rsidR="008E7057" w:rsidRPr="008E7057" w:rsidRDefault="008E7057" w:rsidP="00EE4B5F">
      <w:pPr>
        <w:pStyle w:val="Sinespaciado"/>
        <w:jc w:val="both"/>
        <w:rPr>
          <w:rFonts w:ascii="Bookman Old Style" w:hAnsi="Bookman Old Style" w:cs="Arial"/>
          <w:sz w:val="24"/>
          <w:szCs w:val="24"/>
        </w:rPr>
      </w:pPr>
    </w:p>
    <w:p w14:paraId="552D0434" w14:textId="77777777" w:rsidR="008E7057" w:rsidRPr="008E7057" w:rsidRDefault="008E7057" w:rsidP="00EE4B5F">
      <w:pPr>
        <w:spacing w:line="240" w:lineRule="auto"/>
        <w:jc w:val="both"/>
        <w:rPr>
          <w:rFonts w:ascii="Bookman Old Style" w:eastAsia="Arial" w:hAnsi="Bookman Old Style" w:cs="Arial"/>
          <w:sz w:val="24"/>
          <w:szCs w:val="24"/>
        </w:rPr>
      </w:pPr>
      <w:r w:rsidRPr="008E7057">
        <w:rPr>
          <w:rFonts w:ascii="Bookman Old Style" w:eastAsia="Arial" w:hAnsi="Bookman Old Style" w:cs="Arial"/>
          <w:sz w:val="24"/>
          <w:szCs w:val="24"/>
        </w:rPr>
        <w:t>En este sentido, con el fin de ilustrar en el análisis frente a los posibles impedimentos que podrían derivar en conflictos de intereses producto de la actividad legislativa realizada, se citarán textualmente los criterios determinados en el artículo 1 de la ley 2003 de 2019:</w:t>
      </w:r>
    </w:p>
    <w:p w14:paraId="3B071F40" w14:textId="77777777" w:rsidR="008E7057" w:rsidRPr="008E7057" w:rsidRDefault="008E7057" w:rsidP="00EE4B5F">
      <w:pPr>
        <w:spacing w:before="280" w:after="280" w:line="240" w:lineRule="auto"/>
        <w:ind w:firstLine="708"/>
        <w:jc w:val="both"/>
        <w:rPr>
          <w:rFonts w:ascii="Bookman Old Style" w:eastAsia="Arial" w:hAnsi="Bookman Old Style" w:cs="Arial"/>
          <w:i/>
          <w:sz w:val="24"/>
          <w:szCs w:val="24"/>
        </w:rPr>
      </w:pPr>
      <w:r w:rsidRPr="008E7057">
        <w:rPr>
          <w:rFonts w:ascii="Bookman Old Style" w:eastAsia="Arial" w:hAnsi="Bookman Old Style" w:cs="Arial"/>
          <w:b/>
          <w:i/>
          <w:sz w:val="24"/>
          <w:szCs w:val="24"/>
        </w:rPr>
        <w:t>“ARTÍCULO 1o.</w:t>
      </w:r>
      <w:r w:rsidRPr="008E7057">
        <w:rPr>
          <w:rFonts w:ascii="Bookman Old Style" w:eastAsia="Arial" w:hAnsi="Bookman Old Style" w:cs="Arial"/>
          <w:i/>
          <w:sz w:val="24"/>
          <w:szCs w:val="24"/>
        </w:rPr>
        <w:t> El artículo </w:t>
      </w:r>
      <w:hyperlink r:id="rId11" w:anchor="286">
        <w:r w:rsidRPr="008E7057">
          <w:rPr>
            <w:rFonts w:ascii="Bookman Old Style" w:eastAsia="Arial" w:hAnsi="Bookman Old Style" w:cs="Arial"/>
            <w:i/>
            <w:sz w:val="24"/>
            <w:szCs w:val="24"/>
          </w:rPr>
          <w:t>286</w:t>
        </w:r>
      </w:hyperlink>
      <w:r w:rsidRPr="008E7057">
        <w:rPr>
          <w:rFonts w:ascii="Bookman Old Style" w:eastAsia="Arial" w:hAnsi="Bookman Old Style" w:cs="Arial"/>
          <w:i/>
          <w:sz w:val="24"/>
          <w:szCs w:val="24"/>
        </w:rPr>
        <w:t> de la Ley 5 de 1992 quedará así:</w:t>
      </w:r>
    </w:p>
    <w:p w14:paraId="1B46A45B"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b/>
          <w:i/>
          <w:sz w:val="24"/>
          <w:szCs w:val="24"/>
        </w:rPr>
        <w:t>Artículo </w:t>
      </w:r>
      <w:hyperlink r:id="rId12" w:anchor="286">
        <w:r w:rsidRPr="008E7057">
          <w:rPr>
            <w:rFonts w:ascii="Bookman Old Style" w:eastAsia="Arial" w:hAnsi="Bookman Old Style" w:cs="Arial"/>
            <w:b/>
            <w:i/>
            <w:sz w:val="24"/>
            <w:szCs w:val="24"/>
          </w:rPr>
          <w:t>286</w:t>
        </w:r>
      </w:hyperlink>
      <w:r w:rsidRPr="008E7057">
        <w:rPr>
          <w:rFonts w:ascii="Bookman Old Style" w:eastAsia="Arial" w:hAnsi="Bookman Old Style" w:cs="Arial"/>
          <w:b/>
          <w:i/>
          <w:sz w:val="24"/>
          <w:szCs w:val="24"/>
        </w:rPr>
        <w:t>. Régimen de conflicto de interés de los congresistas.</w:t>
      </w:r>
      <w:r w:rsidRPr="008E7057">
        <w:rPr>
          <w:rFonts w:ascii="Bookman Old Style" w:eastAsia="Arial" w:hAnsi="Bookman Old Style" w:cs="Arial"/>
          <w:i/>
          <w:sz w:val="24"/>
          <w:szCs w:val="24"/>
        </w:rPr>
        <w:t> Todos los congresistas deberán declarar los conflictos de intereses que pudieran surgir en ejercicio de sus funciones.</w:t>
      </w:r>
    </w:p>
    <w:p w14:paraId="001C0331"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Se entiende como conflicto de interés una situación donde la discusión o votación de un proyecto de ley o acto legislativo o artículo, pueda resultar en un beneficio particular, actual y directo a favor del congresista.</w:t>
      </w:r>
    </w:p>
    <w:p w14:paraId="4DB310E5"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99BED78"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b) Beneficio actual: aquel que efectivamente se configura en las circunstancias presentes y existentes al momento en el que el congresista participa de la decisión.</w:t>
      </w:r>
    </w:p>
    <w:p w14:paraId="1DF1F960"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lastRenderedPageBreak/>
        <w:t>c) Beneficio directo: aquel que se produzca de forma específica respecto del congresista, de su cónyuge, compañero o compañera permanente, o parientes dentro del segundo grado de consanguinidad, segundo de afinidad o primero civil.</w:t>
      </w:r>
    </w:p>
    <w:p w14:paraId="66F8971D"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Para todos los efectos se entiende que no hay conflicto de interés en las siguientes circunstancias:</w:t>
      </w:r>
    </w:p>
    <w:p w14:paraId="69CA1910"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09305960"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b) Cuando el beneficio podría o no configurarse para el congresista en el futuro.</w:t>
      </w:r>
    </w:p>
    <w:p w14:paraId="1EE17432"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A335E1B"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FAE17A3"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e) &lt;Literal INEXEQUIBLE&gt;</w:t>
      </w:r>
    </w:p>
    <w:p w14:paraId="44CD9C49"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i/>
          <w:sz w:val="24"/>
          <w:szCs w:val="24"/>
        </w:rPr>
        <w:t>f) Cuando el congresista participa en la elección de otros servidores públicos mediante el voto secreto. Se exceptúan los casos en que se presenten inhabilidades referidas al parentesco con los candidatos.</w:t>
      </w:r>
    </w:p>
    <w:p w14:paraId="1EF16EB8"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b/>
          <w:i/>
          <w:sz w:val="24"/>
          <w:szCs w:val="24"/>
        </w:rPr>
        <w:t>PARÁGRAFO 1o.</w:t>
      </w:r>
      <w:r w:rsidRPr="008E7057">
        <w:rPr>
          <w:rFonts w:ascii="Bookman Old Style" w:eastAsia="Arial" w:hAnsi="Bookman Old Style" w:cs="Arial"/>
          <w:i/>
          <w:sz w:val="24"/>
          <w:szCs w:val="24"/>
        </w:rPr>
        <w:t> Entiéndase por conflicto de interés moral aquel que presentan los congresistas cuando por razones de conciencia se quieran apartar de la discusión y votación del proyecto.</w:t>
      </w:r>
    </w:p>
    <w:p w14:paraId="2F314649"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b/>
          <w:i/>
          <w:sz w:val="24"/>
          <w:szCs w:val="24"/>
        </w:rPr>
        <w:t>PARÁGRAFO 2o.</w:t>
      </w:r>
      <w:r w:rsidRPr="008E7057">
        <w:rPr>
          <w:rFonts w:ascii="Bookman Old Style" w:eastAsia="Arial" w:hAnsi="Bookman Old Style" w:cs="Arial"/>
          <w:i/>
          <w:sz w:val="24"/>
          <w:szCs w:val="24"/>
        </w:rPr>
        <w:t> Cuando se trate de funciones judiciales, disciplinarias o fiscales de los congresistas, sobre conflicto de interés se aplicará la norma especial que rige ese tipo de investigación.</w:t>
      </w:r>
    </w:p>
    <w:p w14:paraId="10623644" w14:textId="77777777" w:rsidR="008E7057" w:rsidRPr="008E7057" w:rsidRDefault="008E7057" w:rsidP="00EE4B5F">
      <w:pPr>
        <w:spacing w:before="280" w:after="280" w:line="240" w:lineRule="auto"/>
        <w:ind w:left="708"/>
        <w:jc w:val="both"/>
        <w:rPr>
          <w:rFonts w:ascii="Bookman Old Style" w:eastAsia="Arial" w:hAnsi="Bookman Old Style" w:cs="Arial"/>
          <w:i/>
          <w:sz w:val="24"/>
          <w:szCs w:val="24"/>
        </w:rPr>
      </w:pPr>
      <w:r w:rsidRPr="008E7057">
        <w:rPr>
          <w:rFonts w:ascii="Bookman Old Style" w:eastAsia="Arial" w:hAnsi="Bookman Old Style" w:cs="Arial"/>
          <w:b/>
          <w:i/>
          <w:sz w:val="24"/>
          <w:szCs w:val="24"/>
        </w:rPr>
        <w:lastRenderedPageBreak/>
        <w:t>PARÁGRAFO 3o.</w:t>
      </w:r>
      <w:r w:rsidRPr="008E7057">
        <w:rPr>
          <w:rFonts w:ascii="Bookman Old Style" w:eastAsia="Arial" w:hAnsi="Bookman Old Style" w:cs="Arial"/>
          <w:i/>
          <w:sz w:val="24"/>
          <w:szCs w:val="24"/>
        </w:rPr>
        <w:t> Igualmente se aplicará el régimen de conflicto de intereses para todos y cada uno de los actores que presenten, discutan o participen de cualquier iniciativa legislativa, conforme al artículo </w:t>
      </w:r>
      <w:hyperlink r:id="rId13" w:anchor="140">
        <w:r w:rsidRPr="008E7057">
          <w:rPr>
            <w:rFonts w:ascii="Bookman Old Style" w:eastAsia="Arial" w:hAnsi="Bookman Old Style" w:cs="Arial"/>
            <w:i/>
            <w:sz w:val="24"/>
            <w:szCs w:val="24"/>
          </w:rPr>
          <w:t>140</w:t>
        </w:r>
      </w:hyperlink>
      <w:r w:rsidRPr="008E7057">
        <w:rPr>
          <w:rFonts w:ascii="Bookman Old Style" w:eastAsia="Arial" w:hAnsi="Bookman Old Style" w:cs="Arial"/>
          <w:i/>
          <w:sz w:val="24"/>
          <w:szCs w:val="24"/>
        </w:rPr>
        <w:t> de la Ley 5 de 1992 (…)”.</w:t>
      </w:r>
    </w:p>
    <w:p w14:paraId="6CC81EC3" w14:textId="4B9B6FB8" w:rsidR="008E7057" w:rsidRPr="008E7057" w:rsidRDefault="008E7057" w:rsidP="00EE4B5F">
      <w:pPr>
        <w:pStyle w:val="Sinespaciado"/>
        <w:jc w:val="both"/>
        <w:rPr>
          <w:rFonts w:ascii="Bookman Old Style" w:hAnsi="Bookman Old Style" w:cs="Arial"/>
          <w:sz w:val="24"/>
          <w:szCs w:val="24"/>
        </w:rPr>
      </w:pPr>
    </w:p>
    <w:p w14:paraId="16D09F56" w14:textId="47E7DA05" w:rsidR="008E7057" w:rsidRPr="008E7057" w:rsidRDefault="00103CC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 xml:space="preserve">En este contexto y en estricto cumplimiento de la legislación vigente, en mi calidad de autor de este </w:t>
      </w:r>
      <w:r w:rsidR="008E7057" w:rsidRPr="008E7057">
        <w:rPr>
          <w:rFonts w:ascii="Bookman Old Style" w:hAnsi="Bookman Old Style" w:cs="Arial"/>
          <w:sz w:val="24"/>
          <w:szCs w:val="24"/>
        </w:rPr>
        <w:t>proyecto, considero que</w:t>
      </w:r>
      <w:r w:rsidRPr="008E7057">
        <w:rPr>
          <w:rFonts w:ascii="Bookman Old Style" w:hAnsi="Bookman Old Style" w:cs="Arial"/>
          <w:sz w:val="24"/>
          <w:szCs w:val="24"/>
        </w:rPr>
        <w:t xml:space="preserve"> este no genera conflictos de interés con el suscrito. Esto se debe a que se trata de una iniciativa de interés general, aplicable de manera equitativa a todos, que puede coincidir con los intereses de los electores en su conjunto. </w:t>
      </w:r>
    </w:p>
    <w:p w14:paraId="5082F288" w14:textId="77777777" w:rsidR="008E7057" w:rsidRPr="008E7057" w:rsidRDefault="008E7057" w:rsidP="00EE4B5F">
      <w:pPr>
        <w:pStyle w:val="Sinespaciado"/>
        <w:jc w:val="both"/>
        <w:rPr>
          <w:rFonts w:ascii="Bookman Old Style" w:hAnsi="Bookman Old Style" w:cs="Arial"/>
          <w:sz w:val="24"/>
          <w:szCs w:val="24"/>
        </w:rPr>
      </w:pPr>
    </w:p>
    <w:p w14:paraId="5778A724" w14:textId="77777777" w:rsidR="008E7057" w:rsidRPr="008E7057" w:rsidRDefault="00103CC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 xml:space="preserve">En otras palabras, no se presenta una situación específica que resulte en un beneficio personal ni se percibe un beneficio actual en las circunstancias actuales. </w:t>
      </w:r>
    </w:p>
    <w:p w14:paraId="03ED414D" w14:textId="77777777" w:rsidR="008E7057" w:rsidRPr="008E7057" w:rsidRDefault="008E7057" w:rsidP="00EE4B5F">
      <w:pPr>
        <w:pStyle w:val="Sinespaciado"/>
        <w:jc w:val="both"/>
        <w:rPr>
          <w:rFonts w:ascii="Bookman Old Style" w:hAnsi="Bookman Old Style" w:cs="Arial"/>
          <w:sz w:val="24"/>
          <w:szCs w:val="24"/>
        </w:rPr>
      </w:pPr>
    </w:p>
    <w:p w14:paraId="5178B966" w14:textId="75B3A3B8" w:rsidR="008E7057" w:rsidRPr="008E7057" w:rsidRDefault="00103CC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 xml:space="preserve">Además, no existe la posibilidad de un beneficio directo que pueda beneficiar de manera específica al congresista, a sus cónyuges, parejas permanentes o parientes hasta el segundo grado de parentesco por consanguinidad, afinidad o civil. </w:t>
      </w:r>
    </w:p>
    <w:p w14:paraId="079CD31E" w14:textId="265BD062" w:rsidR="008E7057" w:rsidRPr="008E7057" w:rsidRDefault="008E7057" w:rsidP="00EE4B5F">
      <w:pPr>
        <w:pStyle w:val="Sinespaciado"/>
        <w:jc w:val="both"/>
        <w:rPr>
          <w:rFonts w:ascii="Bookman Old Style" w:hAnsi="Bookman Old Style" w:cs="Arial"/>
          <w:sz w:val="24"/>
          <w:szCs w:val="24"/>
        </w:rPr>
      </w:pPr>
    </w:p>
    <w:p w14:paraId="2B561911" w14:textId="27355B0F" w:rsidR="008E7057" w:rsidRPr="008E7057" w:rsidRDefault="008E705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Sin perjuicio de lo anterior, se debe tener en cuenta que la descripción de los posibles conflictos de interés que se puedan presentar frente al trámite del presente proyecto de ley, no exime del deber del Congresista que, en su esfera privada, identifique causales adicionales que a su juicio considere pertinentes y exponerlas durante el trámite correspondiente.</w:t>
      </w:r>
    </w:p>
    <w:p w14:paraId="4019C624" w14:textId="77777777" w:rsidR="008E7057" w:rsidRPr="008E7057" w:rsidRDefault="008E7057" w:rsidP="00EE4B5F">
      <w:pPr>
        <w:pStyle w:val="Sinespaciado"/>
        <w:jc w:val="both"/>
        <w:rPr>
          <w:rFonts w:ascii="Bookman Old Style" w:hAnsi="Bookman Old Style" w:cs="Arial"/>
          <w:sz w:val="24"/>
          <w:szCs w:val="24"/>
        </w:rPr>
      </w:pPr>
    </w:p>
    <w:p w14:paraId="4336BA67" w14:textId="55219460" w:rsidR="00EE4B5F" w:rsidRPr="00373637" w:rsidRDefault="00103CC7" w:rsidP="00EE4B5F">
      <w:pPr>
        <w:pStyle w:val="Sinespaciado"/>
        <w:jc w:val="both"/>
        <w:rPr>
          <w:rFonts w:ascii="Bookman Old Style" w:hAnsi="Bookman Old Style" w:cs="Arial"/>
          <w:b/>
          <w:bCs/>
          <w:sz w:val="24"/>
          <w:szCs w:val="24"/>
        </w:rPr>
      </w:pPr>
      <w:r w:rsidRPr="008E7057">
        <w:rPr>
          <w:rFonts w:ascii="Bookman Old Style" w:hAnsi="Bookman Old Style" w:cs="Arial"/>
          <w:sz w:val="24"/>
          <w:szCs w:val="24"/>
        </w:rPr>
        <w:t xml:space="preserve">En estos términos dejo a consideración del Congreso de la República esta iniciativa para que sea discutida, mejorada y aprobada en beneficio de los colombianas y colombianas que ven afectada su vida crediticia por el hecho de buscar dignificación en el estudio superior. </w:t>
      </w:r>
    </w:p>
    <w:p w14:paraId="1BBF41A1" w14:textId="77777777" w:rsidR="00EE4B5F" w:rsidRPr="008E7057" w:rsidRDefault="00EE4B5F" w:rsidP="00EE4B5F">
      <w:pPr>
        <w:pStyle w:val="Sinespaciado"/>
        <w:jc w:val="both"/>
        <w:rPr>
          <w:rFonts w:ascii="Bookman Old Style" w:hAnsi="Bookman Old Style" w:cs="Arial"/>
          <w:sz w:val="24"/>
          <w:szCs w:val="24"/>
        </w:rPr>
      </w:pPr>
    </w:p>
    <w:p w14:paraId="52879D9C" w14:textId="77777777" w:rsidR="008E7057" w:rsidRPr="008E7057" w:rsidRDefault="008E7057" w:rsidP="00EE4B5F">
      <w:pPr>
        <w:pStyle w:val="Sinespaciado"/>
        <w:numPr>
          <w:ilvl w:val="0"/>
          <w:numId w:val="12"/>
        </w:numPr>
        <w:jc w:val="center"/>
        <w:rPr>
          <w:rFonts w:ascii="Bookman Old Style" w:hAnsi="Bookman Old Style" w:cs="Arial"/>
          <w:b/>
          <w:sz w:val="24"/>
          <w:szCs w:val="24"/>
        </w:rPr>
      </w:pPr>
      <w:r w:rsidRPr="008E7057">
        <w:rPr>
          <w:rFonts w:ascii="Bookman Old Style" w:hAnsi="Bookman Old Style" w:cs="Arial"/>
          <w:b/>
          <w:sz w:val="24"/>
          <w:szCs w:val="24"/>
        </w:rPr>
        <w:t>CONCLUSIONES</w:t>
      </w:r>
    </w:p>
    <w:p w14:paraId="37B6447C" w14:textId="77777777" w:rsidR="008E7057" w:rsidRPr="008E7057" w:rsidRDefault="008E7057" w:rsidP="00EE4B5F">
      <w:pPr>
        <w:pStyle w:val="Sinespaciado"/>
        <w:jc w:val="both"/>
        <w:rPr>
          <w:rFonts w:ascii="Bookman Old Style" w:hAnsi="Bookman Old Style" w:cs="Arial"/>
          <w:sz w:val="24"/>
          <w:szCs w:val="24"/>
        </w:rPr>
      </w:pPr>
    </w:p>
    <w:p w14:paraId="666E2894" w14:textId="30BEDE60" w:rsidR="008E7057" w:rsidRPr="008E7057" w:rsidRDefault="008E7057"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Excluir a los deudores de créditos educativos del reporte a centrales de riesgo financiero conlleva varias ventajas, que pueden incluir:</w:t>
      </w:r>
    </w:p>
    <w:p w14:paraId="13F70163" w14:textId="6E5873DE" w:rsidR="008E7057" w:rsidRPr="008E7057" w:rsidRDefault="008E7057" w:rsidP="00EE4B5F">
      <w:pPr>
        <w:pStyle w:val="Sinespaciado"/>
        <w:jc w:val="both"/>
        <w:rPr>
          <w:rFonts w:ascii="Bookman Old Style" w:hAnsi="Bookman Old Style" w:cs="Arial"/>
          <w:sz w:val="24"/>
          <w:szCs w:val="24"/>
        </w:rPr>
      </w:pPr>
    </w:p>
    <w:p w14:paraId="2B17A64F" w14:textId="79210D58" w:rsidR="008E7057" w:rsidRDefault="008E7057" w:rsidP="00EE4B5F">
      <w:pPr>
        <w:pStyle w:val="Sinespaciado"/>
        <w:jc w:val="both"/>
        <w:rPr>
          <w:rFonts w:ascii="Bookman Old Style" w:hAnsi="Bookman Old Style" w:cs="Arial"/>
          <w:sz w:val="24"/>
          <w:szCs w:val="24"/>
        </w:rPr>
      </w:pPr>
    </w:p>
    <w:p w14:paraId="0409F384" w14:textId="0CCFBCE3" w:rsidR="00373637" w:rsidRDefault="00373637" w:rsidP="00EE4B5F">
      <w:pPr>
        <w:pStyle w:val="Sinespaciado"/>
        <w:jc w:val="both"/>
        <w:rPr>
          <w:rFonts w:ascii="Bookman Old Style" w:hAnsi="Bookman Old Style" w:cs="Arial"/>
          <w:sz w:val="24"/>
          <w:szCs w:val="24"/>
        </w:rPr>
      </w:pPr>
    </w:p>
    <w:p w14:paraId="188E1135" w14:textId="176E0B33" w:rsidR="00373637" w:rsidRDefault="00373637" w:rsidP="00EE4B5F">
      <w:pPr>
        <w:pStyle w:val="Sinespaciado"/>
        <w:jc w:val="both"/>
        <w:rPr>
          <w:rFonts w:ascii="Bookman Old Style" w:hAnsi="Bookman Old Style" w:cs="Arial"/>
          <w:sz w:val="24"/>
          <w:szCs w:val="24"/>
        </w:rPr>
      </w:pPr>
    </w:p>
    <w:p w14:paraId="73B065C3" w14:textId="77777777" w:rsidR="00373637" w:rsidRPr="008E7057" w:rsidRDefault="00373637" w:rsidP="00EE4B5F">
      <w:pPr>
        <w:pStyle w:val="Sinespaciado"/>
        <w:jc w:val="both"/>
        <w:rPr>
          <w:rFonts w:ascii="Bookman Old Style" w:hAnsi="Bookman Old Style" w:cs="Arial"/>
          <w:sz w:val="24"/>
          <w:szCs w:val="24"/>
        </w:rPr>
      </w:pPr>
    </w:p>
    <w:p w14:paraId="4553F7CB" w14:textId="77777777" w:rsidR="008E7057" w:rsidRPr="008E7057" w:rsidRDefault="008E7057" w:rsidP="00EE4B5F">
      <w:pPr>
        <w:pStyle w:val="Sinespaciado"/>
        <w:numPr>
          <w:ilvl w:val="0"/>
          <w:numId w:val="8"/>
        </w:numPr>
        <w:jc w:val="both"/>
        <w:rPr>
          <w:rFonts w:ascii="Bookman Old Style" w:hAnsi="Bookman Old Style" w:cs="Arial"/>
          <w:sz w:val="24"/>
          <w:szCs w:val="24"/>
        </w:rPr>
      </w:pPr>
      <w:bookmarkStart w:id="5" w:name="_Hlk152406971"/>
      <w:r w:rsidRPr="008E7057">
        <w:rPr>
          <w:rFonts w:ascii="Bookman Old Style" w:hAnsi="Bookman Old Style" w:cs="Arial"/>
          <w:b/>
          <w:bCs/>
          <w:sz w:val="24"/>
          <w:szCs w:val="24"/>
        </w:rPr>
        <w:lastRenderedPageBreak/>
        <w:t>Fomento del Acceso a la Educación:</w:t>
      </w:r>
    </w:p>
    <w:p w14:paraId="41561172" w14:textId="77777777" w:rsidR="008E7057" w:rsidRPr="008E7057" w:rsidRDefault="008E7057" w:rsidP="00EE4B5F">
      <w:pPr>
        <w:pStyle w:val="Sinespaciado"/>
        <w:numPr>
          <w:ilvl w:val="1"/>
          <w:numId w:val="8"/>
        </w:numPr>
        <w:jc w:val="both"/>
        <w:rPr>
          <w:rFonts w:ascii="Bookman Old Style" w:hAnsi="Bookman Old Style" w:cs="Arial"/>
          <w:sz w:val="24"/>
          <w:szCs w:val="24"/>
        </w:rPr>
      </w:pPr>
      <w:r w:rsidRPr="008E7057">
        <w:rPr>
          <w:rFonts w:ascii="Bookman Old Style" w:hAnsi="Bookman Old Style" w:cs="Arial"/>
          <w:sz w:val="24"/>
          <w:szCs w:val="24"/>
        </w:rPr>
        <w:t>Proporciona un ambiente más favorable para que los individuos busquen y obtengan créditos educativos sin temor a afectar su historial crediticio.</w:t>
      </w:r>
    </w:p>
    <w:p w14:paraId="1DE80F11" w14:textId="530DFB2E" w:rsidR="008E7057" w:rsidRPr="008E7057" w:rsidRDefault="008E7057" w:rsidP="00EE4B5F">
      <w:pPr>
        <w:pStyle w:val="Sinespaciado"/>
        <w:numPr>
          <w:ilvl w:val="1"/>
          <w:numId w:val="8"/>
        </w:numPr>
        <w:jc w:val="both"/>
        <w:rPr>
          <w:rFonts w:ascii="Bookman Old Style" w:hAnsi="Bookman Old Style" w:cs="Arial"/>
          <w:sz w:val="24"/>
          <w:szCs w:val="24"/>
        </w:rPr>
      </w:pPr>
      <w:r w:rsidRPr="008E7057">
        <w:rPr>
          <w:rFonts w:ascii="Bookman Old Style" w:hAnsi="Bookman Old Style" w:cs="Arial"/>
          <w:sz w:val="24"/>
          <w:szCs w:val="24"/>
        </w:rPr>
        <w:t>Estimula la inclusión financiera al hacer que la educación sea más accesible y menos intimidante desde el punto de vista crediticio.</w:t>
      </w:r>
    </w:p>
    <w:p w14:paraId="5A6A07EC" w14:textId="77777777" w:rsidR="008E7057" w:rsidRPr="008E7057" w:rsidRDefault="008E7057" w:rsidP="00EE4B5F">
      <w:pPr>
        <w:pStyle w:val="Sinespaciado"/>
        <w:ind w:left="1440"/>
        <w:jc w:val="both"/>
        <w:rPr>
          <w:rFonts w:ascii="Bookman Old Style" w:hAnsi="Bookman Old Style" w:cs="Arial"/>
          <w:sz w:val="24"/>
          <w:szCs w:val="24"/>
        </w:rPr>
      </w:pPr>
    </w:p>
    <w:p w14:paraId="6A96D20B" w14:textId="77777777" w:rsidR="008E7057" w:rsidRPr="008E7057" w:rsidRDefault="008E7057" w:rsidP="00EE4B5F">
      <w:pPr>
        <w:pStyle w:val="Sinespaciado"/>
        <w:numPr>
          <w:ilvl w:val="0"/>
          <w:numId w:val="8"/>
        </w:numPr>
        <w:jc w:val="both"/>
        <w:rPr>
          <w:rFonts w:ascii="Bookman Old Style" w:hAnsi="Bookman Old Style" w:cs="Arial"/>
          <w:sz w:val="24"/>
          <w:szCs w:val="24"/>
        </w:rPr>
      </w:pPr>
      <w:r w:rsidRPr="008E7057">
        <w:rPr>
          <w:rFonts w:ascii="Bookman Old Style" w:hAnsi="Bookman Old Style" w:cs="Arial"/>
          <w:b/>
          <w:bCs/>
          <w:sz w:val="24"/>
          <w:szCs w:val="24"/>
        </w:rPr>
        <w:t>Estímulo al Desarrollo Profesional:</w:t>
      </w:r>
    </w:p>
    <w:p w14:paraId="3704EC27" w14:textId="44EA3408" w:rsidR="008E7057" w:rsidRPr="008E7057" w:rsidRDefault="008E7057" w:rsidP="00EE4B5F">
      <w:pPr>
        <w:pStyle w:val="Sinespaciado"/>
        <w:numPr>
          <w:ilvl w:val="1"/>
          <w:numId w:val="8"/>
        </w:numPr>
        <w:jc w:val="both"/>
        <w:rPr>
          <w:rFonts w:ascii="Bookman Old Style" w:hAnsi="Bookman Old Style" w:cs="Arial"/>
          <w:sz w:val="24"/>
          <w:szCs w:val="24"/>
        </w:rPr>
      </w:pPr>
      <w:r w:rsidRPr="008E7057">
        <w:rPr>
          <w:rFonts w:ascii="Bookman Old Style" w:hAnsi="Bookman Old Style" w:cs="Arial"/>
          <w:sz w:val="24"/>
          <w:szCs w:val="24"/>
        </w:rPr>
        <w:t>Permite a los prestatarios concentrarse en su desarrollo académico y profesional sin la preocupación constante por el impacto negativo en su historial crediticio.</w:t>
      </w:r>
    </w:p>
    <w:p w14:paraId="67DAE19C" w14:textId="77777777" w:rsidR="008E7057" w:rsidRPr="008E7057" w:rsidRDefault="008E7057" w:rsidP="00EE4B5F">
      <w:pPr>
        <w:pStyle w:val="Sinespaciado"/>
        <w:ind w:left="1440"/>
        <w:jc w:val="both"/>
        <w:rPr>
          <w:rFonts w:ascii="Bookman Old Style" w:hAnsi="Bookman Old Style" w:cs="Arial"/>
          <w:sz w:val="24"/>
          <w:szCs w:val="24"/>
        </w:rPr>
      </w:pPr>
    </w:p>
    <w:p w14:paraId="52E46D2F" w14:textId="77777777" w:rsidR="008E7057" w:rsidRPr="008E7057" w:rsidRDefault="008E7057" w:rsidP="00EE4B5F">
      <w:pPr>
        <w:pStyle w:val="Sinespaciado"/>
        <w:numPr>
          <w:ilvl w:val="0"/>
          <w:numId w:val="8"/>
        </w:numPr>
        <w:jc w:val="both"/>
        <w:rPr>
          <w:rFonts w:ascii="Bookman Old Style" w:hAnsi="Bookman Old Style" w:cs="Arial"/>
          <w:sz w:val="24"/>
          <w:szCs w:val="24"/>
        </w:rPr>
      </w:pPr>
      <w:r w:rsidRPr="008E7057">
        <w:rPr>
          <w:rFonts w:ascii="Bookman Old Style" w:hAnsi="Bookman Old Style" w:cs="Arial"/>
          <w:b/>
          <w:bCs/>
          <w:sz w:val="24"/>
          <w:szCs w:val="24"/>
        </w:rPr>
        <w:t>Fomento de la Movilidad Social:</w:t>
      </w:r>
    </w:p>
    <w:p w14:paraId="203D75D3" w14:textId="77777777" w:rsidR="008E7057" w:rsidRPr="008E7057" w:rsidRDefault="008E7057" w:rsidP="00EE4B5F">
      <w:pPr>
        <w:pStyle w:val="Sinespaciado"/>
        <w:numPr>
          <w:ilvl w:val="1"/>
          <w:numId w:val="8"/>
        </w:numPr>
        <w:jc w:val="both"/>
        <w:rPr>
          <w:rFonts w:ascii="Bookman Old Style" w:hAnsi="Bookman Old Style" w:cs="Arial"/>
          <w:sz w:val="24"/>
          <w:szCs w:val="24"/>
        </w:rPr>
      </w:pPr>
      <w:r w:rsidRPr="008E7057">
        <w:rPr>
          <w:rFonts w:ascii="Bookman Old Style" w:hAnsi="Bookman Old Style" w:cs="Arial"/>
          <w:sz w:val="24"/>
          <w:szCs w:val="24"/>
        </w:rPr>
        <w:t>Facilita la movilidad social al eliminar barreras financieras para la educación superior, permitiendo a los individuos mejorar su situación socioeconómica sin el peso constante de las deudas educativas en su historial crediticio.</w:t>
      </w:r>
    </w:p>
    <w:p w14:paraId="70DDD9A5" w14:textId="77777777" w:rsidR="008E7057" w:rsidRPr="008E7057" w:rsidRDefault="008E7057" w:rsidP="00EE4B5F">
      <w:pPr>
        <w:pStyle w:val="Sinespaciado"/>
        <w:ind w:left="1440"/>
        <w:jc w:val="both"/>
        <w:rPr>
          <w:rFonts w:ascii="Bookman Old Style" w:hAnsi="Bookman Old Style" w:cs="Arial"/>
          <w:sz w:val="24"/>
          <w:szCs w:val="24"/>
        </w:rPr>
      </w:pPr>
    </w:p>
    <w:p w14:paraId="09F37F6A" w14:textId="77777777" w:rsidR="008E7057" w:rsidRPr="008E7057" w:rsidRDefault="008E7057" w:rsidP="00EE4B5F">
      <w:pPr>
        <w:pStyle w:val="Sinespaciado"/>
        <w:numPr>
          <w:ilvl w:val="0"/>
          <w:numId w:val="8"/>
        </w:numPr>
        <w:jc w:val="both"/>
        <w:rPr>
          <w:rFonts w:ascii="Bookman Old Style" w:hAnsi="Bookman Old Style" w:cs="Arial"/>
          <w:sz w:val="24"/>
          <w:szCs w:val="24"/>
        </w:rPr>
      </w:pPr>
      <w:r w:rsidRPr="008E7057">
        <w:rPr>
          <w:rFonts w:ascii="Bookman Old Style" w:hAnsi="Bookman Old Style" w:cs="Arial"/>
          <w:b/>
          <w:bCs/>
          <w:sz w:val="24"/>
          <w:szCs w:val="24"/>
        </w:rPr>
        <w:t>Incentivo a la Innovación Educativa:</w:t>
      </w:r>
    </w:p>
    <w:p w14:paraId="5D6BAB58" w14:textId="77777777" w:rsidR="008E7057" w:rsidRPr="008E7057" w:rsidRDefault="008E7057" w:rsidP="00EE4B5F">
      <w:pPr>
        <w:pStyle w:val="Sinespaciado"/>
        <w:numPr>
          <w:ilvl w:val="1"/>
          <w:numId w:val="8"/>
        </w:numPr>
        <w:jc w:val="both"/>
        <w:rPr>
          <w:rFonts w:ascii="Bookman Old Style" w:hAnsi="Bookman Old Style" w:cs="Arial"/>
          <w:sz w:val="24"/>
          <w:szCs w:val="24"/>
        </w:rPr>
      </w:pPr>
      <w:r w:rsidRPr="008E7057">
        <w:rPr>
          <w:rFonts w:ascii="Bookman Old Style" w:hAnsi="Bookman Old Style" w:cs="Arial"/>
          <w:sz w:val="24"/>
          <w:szCs w:val="24"/>
        </w:rPr>
        <w:t>Estimula la innovación en programas educativos al hacer que los préstamos para la educación sean más atractivos, lo que podría llevar a una mayor diversificación y calidad en la oferta educativa.</w:t>
      </w:r>
    </w:p>
    <w:p w14:paraId="069944C3" w14:textId="77777777" w:rsidR="008E7057" w:rsidRPr="008E7057" w:rsidRDefault="008E7057" w:rsidP="00EE4B5F">
      <w:pPr>
        <w:pStyle w:val="Sinespaciado"/>
        <w:ind w:left="1440"/>
        <w:jc w:val="both"/>
        <w:rPr>
          <w:rFonts w:ascii="Bookman Old Style" w:hAnsi="Bookman Old Style" w:cs="Arial"/>
          <w:sz w:val="24"/>
          <w:szCs w:val="24"/>
        </w:rPr>
      </w:pPr>
    </w:p>
    <w:p w14:paraId="40EF8EA2" w14:textId="77777777" w:rsidR="008E7057" w:rsidRPr="008E7057" w:rsidRDefault="008E7057" w:rsidP="00EE4B5F">
      <w:pPr>
        <w:pStyle w:val="Sinespaciado"/>
        <w:numPr>
          <w:ilvl w:val="0"/>
          <w:numId w:val="8"/>
        </w:numPr>
        <w:jc w:val="both"/>
        <w:rPr>
          <w:rFonts w:ascii="Bookman Old Style" w:hAnsi="Bookman Old Style" w:cs="Arial"/>
          <w:sz w:val="24"/>
          <w:szCs w:val="24"/>
        </w:rPr>
      </w:pPr>
      <w:r w:rsidRPr="008E7057">
        <w:rPr>
          <w:rFonts w:ascii="Bookman Old Style" w:hAnsi="Bookman Old Style" w:cs="Arial"/>
          <w:b/>
          <w:bCs/>
          <w:sz w:val="24"/>
          <w:szCs w:val="24"/>
        </w:rPr>
        <w:t>Contribución a una Sociedad Más Educada:</w:t>
      </w:r>
    </w:p>
    <w:p w14:paraId="413FB39E" w14:textId="77777777" w:rsidR="008E7057" w:rsidRPr="008E7057" w:rsidRDefault="008E7057" w:rsidP="00EE4B5F">
      <w:pPr>
        <w:pStyle w:val="Sinespaciado"/>
        <w:numPr>
          <w:ilvl w:val="1"/>
          <w:numId w:val="8"/>
        </w:numPr>
        <w:jc w:val="both"/>
        <w:rPr>
          <w:rFonts w:ascii="Bookman Old Style" w:hAnsi="Bookman Old Style" w:cs="Arial"/>
          <w:sz w:val="24"/>
          <w:szCs w:val="24"/>
        </w:rPr>
      </w:pPr>
      <w:r w:rsidRPr="008E7057">
        <w:rPr>
          <w:rFonts w:ascii="Bookman Old Style" w:hAnsi="Bookman Old Style" w:cs="Arial"/>
          <w:sz w:val="24"/>
          <w:szCs w:val="24"/>
        </w:rPr>
        <w:t>Promueve una sociedad más educada al eliminar obstáculos financieros para la obtención de títulos académicos, beneficiando a la comunidad en general con una fuerza laboral más capacitada.</w:t>
      </w:r>
    </w:p>
    <w:p w14:paraId="43DA9B46" w14:textId="77777777" w:rsidR="008E7057" w:rsidRPr="008E7057" w:rsidRDefault="008E7057" w:rsidP="00EE4B5F">
      <w:pPr>
        <w:pStyle w:val="Sinespaciado"/>
        <w:numPr>
          <w:ilvl w:val="0"/>
          <w:numId w:val="8"/>
        </w:numPr>
        <w:jc w:val="both"/>
        <w:rPr>
          <w:rFonts w:ascii="Bookman Old Style" w:hAnsi="Bookman Old Style" w:cs="Arial"/>
          <w:sz w:val="24"/>
          <w:szCs w:val="24"/>
        </w:rPr>
      </w:pPr>
      <w:r w:rsidRPr="008E7057">
        <w:rPr>
          <w:rFonts w:ascii="Bookman Old Style" w:hAnsi="Bookman Old Style" w:cs="Arial"/>
          <w:b/>
          <w:bCs/>
          <w:sz w:val="24"/>
          <w:szCs w:val="24"/>
        </w:rPr>
        <w:t>Reducción de Estrés Financiero:</w:t>
      </w:r>
    </w:p>
    <w:bookmarkEnd w:id="5"/>
    <w:p w14:paraId="3483B555" w14:textId="05FCF1E9" w:rsidR="008E7057" w:rsidRPr="008E7057" w:rsidRDefault="008E7057" w:rsidP="00EE4B5F">
      <w:pPr>
        <w:pStyle w:val="Sinespaciado"/>
        <w:numPr>
          <w:ilvl w:val="1"/>
          <w:numId w:val="8"/>
        </w:numPr>
        <w:jc w:val="both"/>
        <w:rPr>
          <w:rFonts w:ascii="Bookman Old Style" w:hAnsi="Bookman Old Style" w:cs="Arial"/>
          <w:sz w:val="24"/>
          <w:szCs w:val="24"/>
        </w:rPr>
      </w:pPr>
      <w:r w:rsidRPr="008E7057">
        <w:rPr>
          <w:rFonts w:ascii="Bookman Old Style" w:hAnsi="Bookman Old Style" w:cs="Arial"/>
          <w:sz w:val="24"/>
          <w:szCs w:val="24"/>
        </w:rPr>
        <w:t>Alivio del estrés financiero para los prestatarios, permitiéndoles centrarse en su desarrollo profesional y personal sin la constante preocupación por el impacto crediticio.</w:t>
      </w:r>
    </w:p>
    <w:p w14:paraId="53D91AEF" w14:textId="77777777" w:rsidR="008E7057" w:rsidRPr="008E7057" w:rsidRDefault="008E7057" w:rsidP="00EE4B5F">
      <w:pPr>
        <w:pStyle w:val="Sinespaciado"/>
        <w:ind w:left="1440"/>
        <w:jc w:val="both"/>
        <w:rPr>
          <w:rFonts w:ascii="Bookman Old Style" w:hAnsi="Bookman Old Style" w:cs="Arial"/>
          <w:sz w:val="24"/>
          <w:szCs w:val="24"/>
        </w:rPr>
      </w:pPr>
    </w:p>
    <w:p w14:paraId="3BD03CBF" w14:textId="77777777" w:rsidR="008E7057" w:rsidRPr="008E7057" w:rsidRDefault="008E7057" w:rsidP="00EE4B5F">
      <w:pPr>
        <w:pStyle w:val="Sinespaciado"/>
        <w:numPr>
          <w:ilvl w:val="0"/>
          <w:numId w:val="8"/>
        </w:numPr>
        <w:jc w:val="both"/>
        <w:rPr>
          <w:rFonts w:ascii="Bookman Old Style" w:hAnsi="Bookman Old Style" w:cs="Arial"/>
          <w:sz w:val="24"/>
          <w:szCs w:val="24"/>
        </w:rPr>
      </w:pPr>
      <w:r w:rsidRPr="008E7057">
        <w:rPr>
          <w:rFonts w:ascii="Bookman Old Style" w:hAnsi="Bookman Old Style" w:cs="Arial"/>
          <w:b/>
          <w:bCs/>
          <w:sz w:val="24"/>
          <w:szCs w:val="24"/>
        </w:rPr>
        <w:t>Construcción de una Cultura Financiera Positiva:</w:t>
      </w:r>
    </w:p>
    <w:p w14:paraId="3EB72E13" w14:textId="4AEB31DE" w:rsidR="008E7057" w:rsidRPr="008E7057" w:rsidRDefault="008E7057" w:rsidP="00EE4B5F">
      <w:pPr>
        <w:pStyle w:val="Sinespaciado"/>
        <w:numPr>
          <w:ilvl w:val="1"/>
          <w:numId w:val="8"/>
        </w:numPr>
        <w:jc w:val="both"/>
        <w:rPr>
          <w:rFonts w:ascii="Bookman Old Style" w:hAnsi="Bookman Old Style" w:cs="Arial"/>
          <w:sz w:val="24"/>
          <w:szCs w:val="24"/>
        </w:rPr>
      </w:pPr>
      <w:r w:rsidRPr="008E7057">
        <w:rPr>
          <w:rFonts w:ascii="Bookman Old Style" w:hAnsi="Bookman Old Style" w:cs="Arial"/>
          <w:sz w:val="24"/>
          <w:szCs w:val="24"/>
        </w:rPr>
        <w:t>Contribuye a la construcción de una cultura financiera positiva al desvincular el proceso educativo del estigma asociado a los informes negativos en las centrales de riesgo.</w:t>
      </w:r>
    </w:p>
    <w:p w14:paraId="3BE4F2D5" w14:textId="77777777" w:rsidR="008E7057" w:rsidRPr="008E7057" w:rsidRDefault="008E7057" w:rsidP="00EE4B5F">
      <w:pPr>
        <w:pStyle w:val="Sinespaciado"/>
        <w:ind w:left="1440"/>
        <w:jc w:val="both"/>
        <w:rPr>
          <w:rFonts w:ascii="Bookman Old Style" w:hAnsi="Bookman Old Style" w:cs="Arial"/>
          <w:sz w:val="24"/>
          <w:szCs w:val="24"/>
        </w:rPr>
      </w:pPr>
    </w:p>
    <w:p w14:paraId="146F5BB5" w14:textId="77777777" w:rsidR="008E7057" w:rsidRPr="008E7057" w:rsidRDefault="008E7057" w:rsidP="00EE4B5F">
      <w:pPr>
        <w:pStyle w:val="Sinespaciado"/>
        <w:numPr>
          <w:ilvl w:val="0"/>
          <w:numId w:val="8"/>
        </w:numPr>
        <w:jc w:val="both"/>
        <w:rPr>
          <w:rFonts w:ascii="Bookman Old Style" w:hAnsi="Bookman Old Style" w:cs="Arial"/>
          <w:sz w:val="24"/>
          <w:szCs w:val="24"/>
        </w:rPr>
      </w:pPr>
      <w:r w:rsidRPr="008E7057">
        <w:rPr>
          <w:rFonts w:ascii="Bookman Old Style" w:hAnsi="Bookman Old Style" w:cs="Arial"/>
          <w:b/>
          <w:bCs/>
          <w:sz w:val="24"/>
          <w:szCs w:val="24"/>
        </w:rPr>
        <w:t>Estímulo a la Innovación Crediticia:</w:t>
      </w:r>
    </w:p>
    <w:p w14:paraId="0F1DE934" w14:textId="77777777" w:rsidR="008E7057" w:rsidRPr="008E7057" w:rsidRDefault="008E7057" w:rsidP="00EE4B5F">
      <w:pPr>
        <w:pStyle w:val="Sinespaciado"/>
        <w:numPr>
          <w:ilvl w:val="1"/>
          <w:numId w:val="8"/>
        </w:numPr>
        <w:jc w:val="both"/>
        <w:rPr>
          <w:rFonts w:ascii="Bookman Old Style" w:hAnsi="Bookman Old Style" w:cs="Arial"/>
          <w:sz w:val="24"/>
          <w:szCs w:val="24"/>
        </w:rPr>
      </w:pPr>
      <w:r w:rsidRPr="008E7057">
        <w:rPr>
          <w:rFonts w:ascii="Bookman Old Style" w:hAnsi="Bookman Old Style" w:cs="Arial"/>
          <w:sz w:val="24"/>
          <w:szCs w:val="24"/>
        </w:rPr>
        <w:lastRenderedPageBreak/>
        <w:t>Puede motivar a las instituciones financieras a desarrollar productos crediticios específicos y más flexibles para la financiación educativa, fomentando la innovación en el sector financiero.</w:t>
      </w:r>
    </w:p>
    <w:p w14:paraId="09881715" w14:textId="77777777" w:rsidR="008E7057" w:rsidRPr="008E7057" w:rsidRDefault="008E7057" w:rsidP="00EE4B5F">
      <w:pPr>
        <w:pStyle w:val="Sinespaciado"/>
        <w:jc w:val="both"/>
        <w:rPr>
          <w:rFonts w:ascii="Bookman Old Style" w:hAnsi="Bookman Old Style" w:cs="Arial"/>
          <w:b/>
          <w:sz w:val="24"/>
          <w:szCs w:val="24"/>
        </w:rPr>
      </w:pPr>
    </w:p>
    <w:p w14:paraId="44A03E6C" w14:textId="77777777" w:rsidR="008E7057" w:rsidRPr="008E7057" w:rsidRDefault="008E7057" w:rsidP="00EE4B5F">
      <w:pPr>
        <w:pStyle w:val="Sinespaciado"/>
        <w:jc w:val="both"/>
        <w:rPr>
          <w:rFonts w:ascii="Bookman Old Style" w:hAnsi="Bookman Old Style" w:cs="Arial"/>
          <w:sz w:val="24"/>
          <w:szCs w:val="24"/>
        </w:rPr>
      </w:pPr>
    </w:p>
    <w:p w14:paraId="6F4EF7D2" w14:textId="7FD4611B" w:rsidR="0031152B" w:rsidRPr="008E7057" w:rsidRDefault="00373637" w:rsidP="00EE4B5F">
      <w:pPr>
        <w:pStyle w:val="Sinespaciado"/>
        <w:jc w:val="both"/>
        <w:rPr>
          <w:rFonts w:ascii="Bookman Old Style" w:hAnsi="Bookman Old Style" w:cs="Arial"/>
          <w:sz w:val="24"/>
          <w:szCs w:val="24"/>
        </w:rPr>
      </w:pPr>
      <w:r>
        <w:rPr>
          <w:rFonts w:ascii="Bookman Old Style" w:hAnsi="Bookman Old Style" w:cs="Arial"/>
          <w:sz w:val="24"/>
          <w:szCs w:val="24"/>
        </w:rPr>
        <w:t xml:space="preserve">Cordialmente, </w:t>
      </w:r>
      <w:bookmarkStart w:id="6" w:name="_GoBack"/>
      <w:bookmarkEnd w:id="6"/>
    </w:p>
    <w:p w14:paraId="5435AB7E" w14:textId="77777777" w:rsidR="0031152B" w:rsidRPr="008E7057" w:rsidRDefault="0031152B" w:rsidP="00EE4B5F">
      <w:pPr>
        <w:pStyle w:val="Sinespaciado"/>
        <w:jc w:val="both"/>
        <w:rPr>
          <w:rFonts w:ascii="Bookman Old Style" w:hAnsi="Bookman Old Style" w:cs="Arial"/>
          <w:sz w:val="24"/>
          <w:szCs w:val="24"/>
        </w:rPr>
      </w:pPr>
    </w:p>
    <w:p w14:paraId="015901F9" w14:textId="77777777" w:rsidR="0031152B" w:rsidRPr="008E7057" w:rsidRDefault="0031152B" w:rsidP="00EE4B5F">
      <w:pPr>
        <w:pStyle w:val="Sinespaciado"/>
        <w:jc w:val="both"/>
        <w:rPr>
          <w:rFonts w:ascii="Bookman Old Style" w:hAnsi="Bookman Old Style" w:cs="Arial"/>
          <w:sz w:val="24"/>
          <w:szCs w:val="24"/>
        </w:rPr>
      </w:pPr>
    </w:p>
    <w:p w14:paraId="6D49D889" w14:textId="77777777" w:rsidR="0031152B" w:rsidRPr="008E7057" w:rsidRDefault="0031152B" w:rsidP="00EE4B5F">
      <w:pPr>
        <w:pStyle w:val="Sinespaciado"/>
        <w:jc w:val="both"/>
        <w:rPr>
          <w:rFonts w:ascii="Bookman Old Style" w:hAnsi="Bookman Old Style" w:cs="Arial"/>
          <w:sz w:val="24"/>
          <w:szCs w:val="24"/>
        </w:rPr>
      </w:pPr>
    </w:p>
    <w:p w14:paraId="6BF3C42B" w14:textId="229BFBB4" w:rsidR="0031152B" w:rsidRPr="00EE4B5F" w:rsidRDefault="0031152B" w:rsidP="00EE4B5F">
      <w:pPr>
        <w:pStyle w:val="Sinespaciado"/>
        <w:jc w:val="both"/>
        <w:rPr>
          <w:rFonts w:ascii="Bookman Old Style" w:hAnsi="Bookman Old Style" w:cs="Arial"/>
          <w:b/>
          <w:sz w:val="24"/>
          <w:szCs w:val="24"/>
        </w:rPr>
      </w:pPr>
      <w:r w:rsidRPr="00EE4B5F">
        <w:rPr>
          <w:rFonts w:ascii="Bookman Old Style" w:hAnsi="Bookman Old Style" w:cs="Arial"/>
          <w:b/>
          <w:sz w:val="24"/>
          <w:szCs w:val="24"/>
        </w:rPr>
        <w:t>GERMÁN</w:t>
      </w:r>
      <w:r w:rsidR="00EE4B5F" w:rsidRPr="00EE4B5F">
        <w:rPr>
          <w:rFonts w:ascii="Bookman Old Style" w:hAnsi="Bookman Old Style" w:cs="Arial"/>
          <w:b/>
          <w:sz w:val="24"/>
          <w:szCs w:val="24"/>
        </w:rPr>
        <w:t xml:space="preserve"> ROGELIO</w:t>
      </w:r>
      <w:r w:rsidRPr="00EE4B5F">
        <w:rPr>
          <w:rFonts w:ascii="Bookman Old Style" w:hAnsi="Bookman Old Style" w:cs="Arial"/>
          <w:b/>
          <w:sz w:val="24"/>
          <w:szCs w:val="24"/>
        </w:rPr>
        <w:t xml:space="preserve"> ROZO ANIS</w:t>
      </w:r>
    </w:p>
    <w:p w14:paraId="3A0C70BB" w14:textId="67AE9380" w:rsidR="0031152B" w:rsidRPr="008E7057" w:rsidRDefault="0031152B"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Representante a la Cámara</w:t>
      </w:r>
    </w:p>
    <w:p w14:paraId="32F49B32" w14:textId="19804DED" w:rsidR="0031152B" w:rsidRDefault="0031152B" w:rsidP="00EE4B5F">
      <w:pPr>
        <w:pStyle w:val="Sinespaciado"/>
        <w:jc w:val="both"/>
        <w:rPr>
          <w:rFonts w:ascii="Bookman Old Style" w:hAnsi="Bookman Old Style" w:cs="Arial"/>
          <w:sz w:val="24"/>
          <w:szCs w:val="24"/>
        </w:rPr>
      </w:pPr>
      <w:r w:rsidRPr="008E7057">
        <w:rPr>
          <w:rFonts w:ascii="Bookman Old Style" w:hAnsi="Bookman Old Style" w:cs="Arial"/>
          <w:sz w:val="24"/>
          <w:szCs w:val="24"/>
        </w:rPr>
        <w:t>Departamento de Arauca</w:t>
      </w:r>
    </w:p>
    <w:p w14:paraId="6A3A3AD6" w14:textId="56F0175B" w:rsidR="00EE4B5F" w:rsidRDefault="00EE4B5F" w:rsidP="00EE4B5F">
      <w:pPr>
        <w:pStyle w:val="Sinespaciado"/>
        <w:jc w:val="both"/>
        <w:rPr>
          <w:rFonts w:ascii="Bookman Old Style" w:hAnsi="Bookman Old Style" w:cs="Arial"/>
          <w:sz w:val="24"/>
          <w:szCs w:val="24"/>
        </w:rPr>
      </w:pPr>
    </w:p>
    <w:p w14:paraId="53BCE250" w14:textId="1042F241" w:rsidR="00EE4B5F" w:rsidRDefault="00EE4B5F" w:rsidP="00EE4B5F">
      <w:pPr>
        <w:pStyle w:val="Sinespaciado"/>
        <w:jc w:val="both"/>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414"/>
        <w:gridCol w:w="4414"/>
      </w:tblGrid>
      <w:tr w:rsidR="00EE4B5F" w14:paraId="7DB7BD10" w14:textId="77777777" w:rsidTr="00030DEE">
        <w:tc>
          <w:tcPr>
            <w:tcW w:w="4414" w:type="dxa"/>
          </w:tcPr>
          <w:p w14:paraId="068AAF48" w14:textId="77777777" w:rsidR="00EE4B5F" w:rsidRDefault="00EE4B5F" w:rsidP="00EE4B5F">
            <w:pPr>
              <w:rPr>
                <w:rFonts w:ascii="Bookman Old Style" w:hAnsi="Bookman Old Style" w:cs="Arial"/>
                <w:sz w:val="24"/>
                <w:szCs w:val="24"/>
              </w:rPr>
            </w:pPr>
          </w:p>
          <w:p w14:paraId="11730BD7" w14:textId="77777777" w:rsidR="00EE4B5F" w:rsidRDefault="00EE4B5F" w:rsidP="00EE4B5F">
            <w:pPr>
              <w:rPr>
                <w:rFonts w:ascii="Bookman Old Style" w:hAnsi="Bookman Old Style" w:cs="Arial"/>
                <w:sz w:val="24"/>
                <w:szCs w:val="24"/>
              </w:rPr>
            </w:pPr>
          </w:p>
        </w:tc>
        <w:tc>
          <w:tcPr>
            <w:tcW w:w="4414" w:type="dxa"/>
          </w:tcPr>
          <w:p w14:paraId="0599F0CE" w14:textId="77777777" w:rsidR="00EE4B5F" w:rsidRDefault="00EE4B5F" w:rsidP="00EE4B5F">
            <w:pPr>
              <w:rPr>
                <w:rFonts w:ascii="Bookman Old Style" w:hAnsi="Bookman Old Style" w:cs="Arial"/>
                <w:sz w:val="24"/>
                <w:szCs w:val="24"/>
              </w:rPr>
            </w:pPr>
          </w:p>
        </w:tc>
      </w:tr>
      <w:tr w:rsidR="00EE4B5F" w14:paraId="548D3E2E" w14:textId="77777777" w:rsidTr="00030DEE">
        <w:tc>
          <w:tcPr>
            <w:tcW w:w="4414" w:type="dxa"/>
          </w:tcPr>
          <w:p w14:paraId="0CDD11CA" w14:textId="77777777" w:rsidR="00EE4B5F" w:rsidRDefault="00EE4B5F" w:rsidP="00EE4B5F">
            <w:pPr>
              <w:rPr>
                <w:rFonts w:ascii="Bookman Old Style" w:hAnsi="Bookman Old Style" w:cs="Arial"/>
                <w:sz w:val="24"/>
                <w:szCs w:val="24"/>
              </w:rPr>
            </w:pPr>
          </w:p>
          <w:p w14:paraId="18003958" w14:textId="77777777" w:rsidR="00EE4B5F" w:rsidRDefault="00EE4B5F" w:rsidP="00EE4B5F">
            <w:pPr>
              <w:rPr>
                <w:rFonts w:ascii="Bookman Old Style" w:hAnsi="Bookman Old Style" w:cs="Arial"/>
                <w:sz w:val="24"/>
                <w:szCs w:val="24"/>
              </w:rPr>
            </w:pPr>
          </w:p>
        </w:tc>
        <w:tc>
          <w:tcPr>
            <w:tcW w:w="4414" w:type="dxa"/>
          </w:tcPr>
          <w:p w14:paraId="5BA498F8" w14:textId="77777777" w:rsidR="00EE4B5F" w:rsidRDefault="00EE4B5F" w:rsidP="00EE4B5F">
            <w:pPr>
              <w:rPr>
                <w:rFonts w:ascii="Bookman Old Style" w:hAnsi="Bookman Old Style" w:cs="Arial"/>
                <w:sz w:val="24"/>
                <w:szCs w:val="24"/>
              </w:rPr>
            </w:pPr>
          </w:p>
        </w:tc>
      </w:tr>
      <w:tr w:rsidR="00EE4B5F" w14:paraId="1EF8A2E4" w14:textId="77777777" w:rsidTr="00030DEE">
        <w:tc>
          <w:tcPr>
            <w:tcW w:w="4414" w:type="dxa"/>
          </w:tcPr>
          <w:p w14:paraId="49974D9E" w14:textId="77777777" w:rsidR="00EE4B5F" w:rsidRDefault="00EE4B5F" w:rsidP="00EE4B5F">
            <w:pPr>
              <w:rPr>
                <w:rFonts w:ascii="Bookman Old Style" w:hAnsi="Bookman Old Style" w:cs="Arial"/>
                <w:sz w:val="24"/>
                <w:szCs w:val="24"/>
              </w:rPr>
            </w:pPr>
          </w:p>
          <w:p w14:paraId="4C89773F" w14:textId="77777777" w:rsidR="00EE4B5F" w:rsidRDefault="00EE4B5F" w:rsidP="00EE4B5F">
            <w:pPr>
              <w:rPr>
                <w:rFonts w:ascii="Bookman Old Style" w:hAnsi="Bookman Old Style" w:cs="Arial"/>
                <w:sz w:val="24"/>
                <w:szCs w:val="24"/>
              </w:rPr>
            </w:pPr>
          </w:p>
        </w:tc>
        <w:tc>
          <w:tcPr>
            <w:tcW w:w="4414" w:type="dxa"/>
          </w:tcPr>
          <w:p w14:paraId="50B0855A" w14:textId="77777777" w:rsidR="00EE4B5F" w:rsidRDefault="00EE4B5F" w:rsidP="00EE4B5F">
            <w:pPr>
              <w:rPr>
                <w:rFonts w:ascii="Bookman Old Style" w:hAnsi="Bookman Old Style" w:cs="Arial"/>
                <w:sz w:val="24"/>
                <w:szCs w:val="24"/>
              </w:rPr>
            </w:pPr>
          </w:p>
        </w:tc>
      </w:tr>
      <w:tr w:rsidR="00EE4B5F" w14:paraId="67690BAA" w14:textId="77777777" w:rsidTr="00030DEE">
        <w:tc>
          <w:tcPr>
            <w:tcW w:w="4414" w:type="dxa"/>
          </w:tcPr>
          <w:p w14:paraId="438DCC76" w14:textId="77777777" w:rsidR="00EE4B5F" w:rsidRDefault="00EE4B5F" w:rsidP="00EE4B5F">
            <w:pPr>
              <w:rPr>
                <w:rFonts w:ascii="Bookman Old Style" w:hAnsi="Bookman Old Style" w:cs="Arial"/>
                <w:sz w:val="24"/>
                <w:szCs w:val="24"/>
              </w:rPr>
            </w:pPr>
          </w:p>
          <w:p w14:paraId="31E99738" w14:textId="77777777" w:rsidR="00EE4B5F" w:rsidRDefault="00EE4B5F" w:rsidP="00EE4B5F">
            <w:pPr>
              <w:rPr>
                <w:rFonts w:ascii="Bookman Old Style" w:hAnsi="Bookman Old Style" w:cs="Arial"/>
                <w:sz w:val="24"/>
                <w:szCs w:val="24"/>
              </w:rPr>
            </w:pPr>
          </w:p>
        </w:tc>
        <w:tc>
          <w:tcPr>
            <w:tcW w:w="4414" w:type="dxa"/>
          </w:tcPr>
          <w:p w14:paraId="695B1CB4" w14:textId="77777777" w:rsidR="00EE4B5F" w:rsidRDefault="00EE4B5F" w:rsidP="00EE4B5F">
            <w:pPr>
              <w:rPr>
                <w:rFonts w:ascii="Bookman Old Style" w:hAnsi="Bookman Old Style" w:cs="Arial"/>
                <w:sz w:val="24"/>
                <w:szCs w:val="24"/>
              </w:rPr>
            </w:pPr>
          </w:p>
        </w:tc>
      </w:tr>
      <w:tr w:rsidR="00EE4B5F" w14:paraId="24E9121F" w14:textId="77777777" w:rsidTr="00030DEE">
        <w:tc>
          <w:tcPr>
            <w:tcW w:w="4414" w:type="dxa"/>
          </w:tcPr>
          <w:p w14:paraId="43F176A3" w14:textId="77777777" w:rsidR="00EE4B5F" w:rsidRDefault="00EE4B5F" w:rsidP="00EE4B5F">
            <w:pPr>
              <w:rPr>
                <w:rFonts w:ascii="Bookman Old Style" w:hAnsi="Bookman Old Style" w:cs="Arial"/>
                <w:sz w:val="24"/>
                <w:szCs w:val="24"/>
              </w:rPr>
            </w:pPr>
          </w:p>
          <w:p w14:paraId="21612B0D" w14:textId="77777777" w:rsidR="00EE4B5F" w:rsidRDefault="00EE4B5F" w:rsidP="00EE4B5F">
            <w:pPr>
              <w:rPr>
                <w:rFonts w:ascii="Bookman Old Style" w:hAnsi="Bookman Old Style" w:cs="Arial"/>
                <w:sz w:val="24"/>
                <w:szCs w:val="24"/>
              </w:rPr>
            </w:pPr>
          </w:p>
        </w:tc>
        <w:tc>
          <w:tcPr>
            <w:tcW w:w="4414" w:type="dxa"/>
          </w:tcPr>
          <w:p w14:paraId="27BD516A" w14:textId="77777777" w:rsidR="00EE4B5F" w:rsidRDefault="00EE4B5F" w:rsidP="00EE4B5F">
            <w:pPr>
              <w:rPr>
                <w:rFonts w:ascii="Bookman Old Style" w:hAnsi="Bookman Old Style" w:cs="Arial"/>
                <w:sz w:val="24"/>
                <w:szCs w:val="24"/>
              </w:rPr>
            </w:pPr>
          </w:p>
        </w:tc>
      </w:tr>
      <w:tr w:rsidR="00EE4B5F" w14:paraId="3B2D12F9" w14:textId="77777777" w:rsidTr="00030DEE">
        <w:tc>
          <w:tcPr>
            <w:tcW w:w="4414" w:type="dxa"/>
          </w:tcPr>
          <w:p w14:paraId="1C68F519" w14:textId="77777777" w:rsidR="00EE4B5F" w:rsidRDefault="00EE4B5F" w:rsidP="00EE4B5F">
            <w:pPr>
              <w:rPr>
                <w:rFonts w:ascii="Bookman Old Style" w:hAnsi="Bookman Old Style" w:cs="Arial"/>
                <w:sz w:val="24"/>
                <w:szCs w:val="24"/>
              </w:rPr>
            </w:pPr>
          </w:p>
          <w:p w14:paraId="018F7EA7" w14:textId="77777777" w:rsidR="00EE4B5F" w:rsidRDefault="00EE4B5F" w:rsidP="00EE4B5F">
            <w:pPr>
              <w:rPr>
                <w:rFonts w:ascii="Bookman Old Style" w:hAnsi="Bookman Old Style" w:cs="Arial"/>
                <w:sz w:val="24"/>
                <w:szCs w:val="24"/>
              </w:rPr>
            </w:pPr>
          </w:p>
        </w:tc>
        <w:tc>
          <w:tcPr>
            <w:tcW w:w="4414" w:type="dxa"/>
          </w:tcPr>
          <w:p w14:paraId="78FA737A" w14:textId="77777777" w:rsidR="00EE4B5F" w:rsidRDefault="00EE4B5F" w:rsidP="00EE4B5F">
            <w:pPr>
              <w:rPr>
                <w:rFonts w:ascii="Bookman Old Style" w:hAnsi="Bookman Old Style" w:cs="Arial"/>
                <w:sz w:val="24"/>
                <w:szCs w:val="24"/>
              </w:rPr>
            </w:pPr>
          </w:p>
        </w:tc>
      </w:tr>
      <w:tr w:rsidR="00EE4B5F" w14:paraId="05382781" w14:textId="77777777" w:rsidTr="00030DEE">
        <w:tc>
          <w:tcPr>
            <w:tcW w:w="4414" w:type="dxa"/>
          </w:tcPr>
          <w:p w14:paraId="4B3D9F04" w14:textId="77777777" w:rsidR="00EE4B5F" w:rsidRDefault="00EE4B5F" w:rsidP="00EE4B5F">
            <w:pPr>
              <w:rPr>
                <w:rFonts w:ascii="Bookman Old Style" w:hAnsi="Bookman Old Style" w:cs="Arial"/>
                <w:sz w:val="24"/>
                <w:szCs w:val="24"/>
              </w:rPr>
            </w:pPr>
          </w:p>
          <w:p w14:paraId="160A3E03" w14:textId="77777777" w:rsidR="00EE4B5F" w:rsidRDefault="00EE4B5F" w:rsidP="00EE4B5F">
            <w:pPr>
              <w:rPr>
                <w:rFonts w:ascii="Bookman Old Style" w:hAnsi="Bookman Old Style" w:cs="Arial"/>
                <w:sz w:val="24"/>
                <w:szCs w:val="24"/>
              </w:rPr>
            </w:pPr>
          </w:p>
        </w:tc>
        <w:tc>
          <w:tcPr>
            <w:tcW w:w="4414" w:type="dxa"/>
          </w:tcPr>
          <w:p w14:paraId="21F9BF99" w14:textId="77777777" w:rsidR="00EE4B5F" w:rsidRDefault="00EE4B5F" w:rsidP="00EE4B5F">
            <w:pPr>
              <w:rPr>
                <w:rFonts w:ascii="Bookman Old Style" w:hAnsi="Bookman Old Style" w:cs="Arial"/>
                <w:sz w:val="24"/>
                <w:szCs w:val="24"/>
              </w:rPr>
            </w:pPr>
          </w:p>
        </w:tc>
      </w:tr>
      <w:tr w:rsidR="00EE4B5F" w14:paraId="1D3F957B" w14:textId="77777777" w:rsidTr="00030DEE">
        <w:tc>
          <w:tcPr>
            <w:tcW w:w="4414" w:type="dxa"/>
          </w:tcPr>
          <w:p w14:paraId="565027F3" w14:textId="77777777" w:rsidR="00EE4B5F" w:rsidRDefault="00EE4B5F" w:rsidP="00EE4B5F">
            <w:pPr>
              <w:rPr>
                <w:rFonts w:ascii="Bookman Old Style" w:hAnsi="Bookman Old Style" w:cs="Arial"/>
                <w:sz w:val="24"/>
                <w:szCs w:val="24"/>
              </w:rPr>
            </w:pPr>
          </w:p>
          <w:p w14:paraId="5C1975EF" w14:textId="77777777" w:rsidR="00EE4B5F" w:rsidRDefault="00EE4B5F" w:rsidP="00EE4B5F">
            <w:pPr>
              <w:rPr>
                <w:rFonts w:ascii="Bookman Old Style" w:hAnsi="Bookman Old Style" w:cs="Arial"/>
                <w:sz w:val="24"/>
                <w:szCs w:val="24"/>
              </w:rPr>
            </w:pPr>
          </w:p>
        </w:tc>
        <w:tc>
          <w:tcPr>
            <w:tcW w:w="4414" w:type="dxa"/>
          </w:tcPr>
          <w:p w14:paraId="57CE37CD" w14:textId="77777777" w:rsidR="00EE4B5F" w:rsidRDefault="00EE4B5F" w:rsidP="00EE4B5F">
            <w:pPr>
              <w:rPr>
                <w:rFonts w:ascii="Bookman Old Style" w:hAnsi="Bookman Old Style" w:cs="Arial"/>
                <w:sz w:val="24"/>
                <w:szCs w:val="24"/>
              </w:rPr>
            </w:pPr>
          </w:p>
        </w:tc>
      </w:tr>
    </w:tbl>
    <w:p w14:paraId="73545D42" w14:textId="77777777" w:rsidR="00EE4B5F" w:rsidRPr="008E7057" w:rsidRDefault="00EE4B5F" w:rsidP="00EE4B5F">
      <w:pPr>
        <w:pStyle w:val="Sinespaciado"/>
        <w:jc w:val="both"/>
        <w:rPr>
          <w:rFonts w:ascii="Bookman Old Style" w:hAnsi="Bookman Old Style" w:cs="Arial"/>
          <w:sz w:val="24"/>
          <w:szCs w:val="24"/>
        </w:rPr>
      </w:pPr>
    </w:p>
    <w:sectPr w:rsidR="00EE4B5F" w:rsidRPr="008E7057">
      <w:headerReference w:type="default" r:id="rId14"/>
      <w:footerReference w:type="default" r:id="rId15"/>
      <w:pgSz w:w="12240" w:h="15840"/>
      <w:pgMar w:top="180" w:right="1701" w:bottom="1134" w:left="1701" w:header="1149" w:footer="82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E3F5D" w14:textId="77777777" w:rsidR="0045091E" w:rsidRDefault="0045091E">
      <w:pPr>
        <w:spacing w:after="0" w:line="240" w:lineRule="auto"/>
      </w:pPr>
      <w:r>
        <w:separator/>
      </w:r>
    </w:p>
  </w:endnote>
  <w:endnote w:type="continuationSeparator" w:id="0">
    <w:p w14:paraId="77F5E44D" w14:textId="77777777" w:rsidR="0045091E" w:rsidRDefault="0045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w:altName w:val="Segoe UI Light"/>
    <w:charset w:val="B1"/>
    <w:family w:val="swiss"/>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F7009" w14:textId="77777777" w:rsidR="00DC50CF" w:rsidRDefault="00FB34EC">
    <w:pPr>
      <w:pBdr>
        <w:top w:val="nil"/>
        <w:left w:val="nil"/>
        <w:bottom w:val="nil"/>
        <w:right w:val="nil"/>
        <w:between w:val="nil"/>
      </w:pBdr>
      <w:tabs>
        <w:tab w:val="center" w:pos="4419"/>
        <w:tab w:val="right" w:pos="8838"/>
      </w:tabs>
      <w:spacing w:after="0" w:line="240" w:lineRule="auto"/>
      <w:jc w:val="center"/>
      <w:rPr>
        <w:color w:val="000000"/>
      </w:rPr>
    </w:pPr>
    <w:r>
      <w:rPr>
        <w:noProof/>
        <w:color w:val="000000"/>
        <w:sz w:val="16"/>
        <w:szCs w:val="16"/>
        <w:lang w:eastAsia="es-CO"/>
      </w:rPr>
      <w:drawing>
        <wp:inline distT="0" distB="0" distL="0" distR="0" wp14:anchorId="6514EBCF" wp14:editId="6EA754F7">
          <wp:extent cx="3117850" cy="2667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7850" cy="266700"/>
                  </a:xfrm>
                  <a:prstGeom prst="rect">
                    <a:avLst/>
                  </a:prstGeom>
                  <a:ln/>
                </pic:spPr>
              </pic:pic>
            </a:graphicData>
          </a:graphic>
        </wp:inline>
      </w:drawing>
    </w:r>
  </w:p>
  <w:p w14:paraId="5689F65D" w14:textId="77777777" w:rsidR="00DC50CF" w:rsidRDefault="00FB34EC">
    <w:pPr>
      <w:tabs>
        <w:tab w:val="center" w:pos="4419"/>
        <w:tab w:val="right" w:pos="8838"/>
      </w:tabs>
      <w:spacing w:after="0" w:line="240" w:lineRule="auto"/>
      <w:jc w:val="center"/>
      <w:rPr>
        <w:rFonts w:ascii="Gill Sans" w:eastAsia="Gill Sans" w:hAnsi="Gill Sans" w:cs="Gill Sans"/>
        <w:sz w:val="16"/>
        <w:szCs w:val="16"/>
      </w:rPr>
    </w:pPr>
    <w:r>
      <w:rPr>
        <w:rFonts w:ascii="Gill Sans" w:eastAsia="Gill Sans" w:hAnsi="Gill Sans" w:cs="Gill Sans"/>
        <w:sz w:val="16"/>
        <w:szCs w:val="16"/>
      </w:rPr>
      <w:t>Carrera 7 No. 8-68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9F863" w14:textId="77777777" w:rsidR="0045091E" w:rsidRDefault="0045091E">
      <w:pPr>
        <w:spacing w:after="0" w:line="240" w:lineRule="auto"/>
      </w:pPr>
      <w:r>
        <w:separator/>
      </w:r>
    </w:p>
  </w:footnote>
  <w:footnote w:type="continuationSeparator" w:id="0">
    <w:p w14:paraId="77354945" w14:textId="77777777" w:rsidR="0045091E" w:rsidRDefault="0045091E">
      <w:pPr>
        <w:spacing w:after="0" w:line="240" w:lineRule="auto"/>
      </w:pPr>
      <w:r>
        <w:continuationSeparator/>
      </w:r>
    </w:p>
  </w:footnote>
  <w:footnote w:id="1">
    <w:p w14:paraId="492238F6" w14:textId="0934E10C" w:rsidR="00A56649" w:rsidRPr="00B16E9A" w:rsidRDefault="00A56649">
      <w:pPr>
        <w:pStyle w:val="Textonotapie"/>
        <w:rPr>
          <w:rFonts w:ascii="Arial" w:hAnsi="Arial" w:cs="Arial"/>
          <w:szCs w:val="20"/>
          <w:lang w:val="es-MX"/>
        </w:rPr>
      </w:pPr>
      <w:r w:rsidRPr="00B16E9A">
        <w:rPr>
          <w:rStyle w:val="Refdenotaalpie"/>
          <w:rFonts w:ascii="Arial" w:hAnsi="Arial" w:cs="Arial"/>
          <w:szCs w:val="20"/>
        </w:rPr>
        <w:footnoteRef/>
      </w:r>
      <w:r w:rsidRPr="00B16E9A">
        <w:rPr>
          <w:rFonts w:ascii="Arial" w:hAnsi="Arial" w:cs="Arial"/>
          <w:szCs w:val="20"/>
        </w:rPr>
        <w:t xml:space="preserve"> </w:t>
      </w:r>
      <w:r w:rsidRPr="00B16E9A">
        <w:rPr>
          <w:rFonts w:ascii="Arial" w:hAnsi="Arial" w:cs="Arial"/>
          <w:szCs w:val="20"/>
          <w:lang w:val="es-MX"/>
        </w:rPr>
        <w:t xml:space="preserve">Ley 2157 de 2021. Se debe mencionar que en el artículo 3 de esta ley </w:t>
      </w:r>
      <w:r w:rsidRPr="00B16E9A">
        <w:rPr>
          <w:rFonts w:ascii="Arial" w:hAnsi="Arial" w:cs="Arial"/>
          <w:szCs w:val="20"/>
          <w:lang w:val="es-CO"/>
        </w:rPr>
        <w:t>se menciona que las obligaciones inferiores o iguales al (15 %) ce un (1) salario mínimo legal mensual vigente, el dato negativo por obligaciones que se han constituido en mora solo será reportado después de cumplirse con al menos dos comunicaciones, ambas en días diferentes. Y debe mediar entre la última comunicación y reporte, 20 días calendario.</w:t>
      </w:r>
    </w:p>
  </w:footnote>
  <w:footnote w:id="2">
    <w:p w14:paraId="1CE52A9B" w14:textId="2918981A" w:rsidR="000A1979" w:rsidRPr="00B16E9A" w:rsidRDefault="000A1979">
      <w:pPr>
        <w:pStyle w:val="Textonotapie"/>
        <w:rPr>
          <w:rFonts w:ascii="Arial" w:hAnsi="Arial" w:cs="Arial"/>
          <w:szCs w:val="20"/>
          <w:lang w:val="es-CO"/>
        </w:rPr>
      </w:pPr>
      <w:r w:rsidRPr="00B16E9A">
        <w:rPr>
          <w:rStyle w:val="Refdenotaalpie"/>
          <w:rFonts w:ascii="Arial" w:hAnsi="Arial" w:cs="Arial"/>
          <w:szCs w:val="20"/>
        </w:rPr>
        <w:footnoteRef/>
      </w:r>
      <w:r w:rsidRPr="00B16E9A">
        <w:rPr>
          <w:rFonts w:ascii="Arial" w:hAnsi="Arial" w:cs="Arial"/>
          <w:szCs w:val="20"/>
        </w:rPr>
        <w:t xml:space="preserve">  Campoverde, Félix. </w:t>
      </w:r>
      <w:r w:rsidRPr="00B16E9A">
        <w:rPr>
          <w:rFonts w:ascii="Arial" w:hAnsi="Arial" w:cs="Arial"/>
          <w:szCs w:val="20"/>
          <w:lang w:val="es-CO"/>
        </w:rPr>
        <w:t>la gestión empresarial en tiempos de turbulencia financiera. (2008)</w:t>
      </w:r>
    </w:p>
  </w:footnote>
  <w:footnote w:id="3">
    <w:p w14:paraId="7D09C1CF" w14:textId="763DF660" w:rsidR="000823C4" w:rsidRPr="00B16E9A" w:rsidRDefault="000823C4" w:rsidP="000823C4">
      <w:pPr>
        <w:pStyle w:val="Textonotapie"/>
        <w:rPr>
          <w:rFonts w:ascii="Arial" w:hAnsi="Arial" w:cs="Arial"/>
          <w:szCs w:val="20"/>
        </w:rPr>
      </w:pPr>
      <w:r w:rsidRPr="00B16E9A">
        <w:rPr>
          <w:rStyle w:val="Refdenotaalpie"/>
          <w:rFonts w:ascii="Arial" w:hAnsi="Arial" w:cs="Arial"/>
          <w:szCs w:val="20"/>
        </w:rPr>
        <w:footnoteRef/>
      </w:r>
      <w:r w:rsidRPr="00B16E9A">
        <w:rPr>
          <w:rFonts w:ascii="Arial" w:hAnsi="Arial" w:cs="Arial"/>
          <w:szCs w:val="20"/>
        </w:rPr>
        <w:t xml:space="preserve"> (Superintendencia Financiera de Colombia, 2019).</w:t>
      </w:r>
    </w:p>
  </w:footnote>
  <w:footnote w:id="4">
    <w:p w14:paraId="1C77490B" w14:textId="7774B205" w:rsidR="003F74F9" w:rsidRPr="000817C8" w:rsidRDefault="003F74F9">
      <w:pPr>
        <w:pStyle w:val="Textonotapie"/>
        <w:rPr>
          <w:rFonts w:ascii="Arial" w:hAnsi="Arial" w:cs="Arial"/>
          <w:szCs w:val="20"/>
          <w:lang w:val="es-CO"/>
        </w:rPr>
      </w:pPr>
      <w:r w:rsidRPr="00B16E9A">
        <w:rPr>
          <w:rStyle w:val="Refdenotaalpie"/>
          <w:rFonts w:ascii="Arial" w:hAnsi="Arial" w:cs="Arial"/>
          <w:szCs w:val="20"/>
        </w:rPr>
        <w:footnoteRef/>
      </w:r>
      <w:r w:rsidRPr="00B16E9A">
        <w:rPr>
          <w:rFonts w:ascii="Arial" w:hAnsi="Arial" w:cs="Arial"/>
          <w:szCs w:val="20"/>
        </w:rPr>
        <w:t xml:space="preserve"> </w:t>
      </w:r>
      <w:r w:rsidRPr="00B16E9A">
        <w:rPr>
          <w:rFonts w:ascii="Arial" w:hAnsi="Arial" w:cs="Arial"/>
          <w:bCs/>
          <w:szCs w:val="20"/>
          <w:lang w:val="es-CO"/>
        </w:rPr>
        <w:t>Concepto 2017064309-001 de Superin</w:t>
      </w:r>
      <w:r w:rsidR="000817C8">
        <w:rPr>
          <w:rFonts w:ascii="Arial" w:hAnsi="Arial" w:cs="Arial"/>
          <w:bCs/>
          <w:szCs w:val="20"/>
          <w:lang w:val="es-CO"/>
        </w:rPr>
        <w:t>tendencia Financiera, de 14 de j</w:t>
      </w:r>
      <w:r w:rsidRPr="00B16E9A">
        <w:rPr>
          <w:rFonts w:ascii="Arial" w:hAnsi="Arial" w:cs="Arial"/>
          <w:bCs/>
          <w:szCs w:val="20"/>
          <w:lang w:val="es-CO"/>
        </w:rPr>
        <w:t>unio de 2017</w:t>
      </w:r>
    </w:p>
  </w:footnote>
  <w:footnote w:id="5">
    <w:p w14:paraId="7A64FD0A" w14:textId="2245B2D0" w:rsidR="00AB12FD" w:rsidRPr="00B16E9A" w:rsidRDefault="00AB12FD">
      <w:pPr>
        <w:pStyle w:val="Textonotapie"/>
        <w:rPr>
          <w:rFonts w:ascii="Arial" w:hAnsi="Arial" w:cs="Arial"/>
          <w:szCs w:val="20"/>
          <w:lang w:val="es-CO"/>
        </w:rPr>
      </w:pPr>
      <w:r w:rsidRPr="00B16E9A">
        <w:rPr>
          <w:rStyle w:val="Refdenotaalpie"/>
          <w:rFonts w:ascii="Arial" w:hAnsi="Arial" w:cs="Arial"/>
          <w:szCs w:val="20"/>
        </w:rPr>
        <w:footnoteRef/>
      </w:r>
      <w:r w:rsidRPr="00B16E9A">
        <w:rPr>
          <w:rFonts w:ascii="Arial" w:hAnsi="Arial" w:cs="Arial"/>
          <w:szCs w:val="20"/>
        </w:rPr>
        <w:t xml:space="preserve"> </w:t>
      </w:r>
      <w:r w:rsidR="00B16E9A" w:rsidRPr="00B16E9A">
        <w:rPr>
          <w:rFonts w:ascii="Arial" w:hAnsi="Arial" w:cs="Arial"/>
          <w:szCs w:val="20"/>
          <w:lang w:val="es-CO"/>
        </w:rPr>
        <w:t>Granda Rodríguez, Manuela Andrea</w:t>
      </w:r>
      <w:r w:rsidR="00B16E9A">
        <w:rPr>
          <w:rFonts w:ascii="Arial" w:hAnsi="Arial" w:cs="Arial"/>
          <w:szCs w:val="20"/>
          <w:lang w:val="es-CO"/>
        </w:rPr>
        <w:t xml:space="preserve">. (2020) </w:t>
      </w:r>
      <w:r w:rsidR="00B16E9A" w:rsidRPr="00B16E9A">
        <w:rPr>
          <w:rFonts w:ascii="Arial" w:hAnsi="Arial" w:cs="Arial"/>
          <w:szCs w:val="20"/>
          <w:lang w:val="es-CO"/>
        </w:rPr>
        <w:t>Determinantes del riesgo de incumplimiento en créditos educativos: un análisis para Colombia</w:t>
      </w:r>
      <w:r w:rsidR="00B16E9A">
        <w:rPr>
          <w:rFonts w:ascii="Arial" w:hAnsi="Arial" w:cs="Arial"/>
          <w:szCs w:val="20"/>
          <w:lang w:val="es-CO"/>
        </w:rPr>
        <w:t>.</w:t>
      </w:r>
    </w:p>
  </w:footnote>
  <w:footnote w:id="6">
    <w:p w14:paraId="390E8F8D" w14:textId="4C6B275A" w:rsidR="00DB3945" w:rsidRPr="00B16E9A" w:rsidRDefault="00DB3945" w:rsidP="00DB3945">
      <w:pPr>
        <w:pStyle w:val="Textonotapie"/>
        <w:rPr>
          <w:rFonts w:ascii="Arial" w:hAnsi="Arial" w:cs="Arial"/>
          <w:szCs w:val="20"/>
          <w:lang w:val="es-MX"/>
        </w:rPr>
      </w:pPr>
      <w:r w:rsidRPr="00B16E9A">
        <w:rPr>
          <w:rStyle w:val="Refdenotaalpie"/>
          <w:rFonts w:ascii="Arial" w:hAnsi="Arial" w:cs="Arial"/>
          <w:szCs w:val="20"/>
        </w:rPr>
        <w:footnoteRef/>
      </w:r>
      <w:r w:rsidRPr="00B16E9A">
        <w:rPr>
          <w:rFonts w:ascii="Arial" w:hAnsi="Arial" w:cs="Arial"/>
          <w:szCs w:val="20"/>
        </w:rPr>
        <w:t xml:space="preserve"> sentencia T-068 de la Corte Constitucional.</w:t>
      </w:r>
    </w:p>
  </w:footnote>
  <w:footnote w:id="7">
    <w:p w14:paraId="581CC262" w14:textId="7D721454" w:rsidR="00DB3945" w:rsidRPr="00B16E9A" w:rsidRDefault="00DB3945">
      <w:pPr>
        <w:pStyle w:val="Textonotapie"/>
        <w:rPr>
          <w:rFonts w:ascii="Arial" w:hAnsi="Arial" w:cs="Arial"/>
          <w:szCs w:val="20"/>
          <w:lang w:val="es-MX"/>
        </w:rPr>
      </w:pPr>
      <w:r w:rsidRPr="00B16E9A">
        <w:rPr>
          <w:rStyle w:val="Refdenotaalpie"/>
          <w:rFonts w:ascii="Arial" w:hAnsi="Arial" w:cs="Arial"/>
          <w:szCs w:val="20"/>
        </w:rPr>
        <w:footnoteRef/>
      </w:r>
      <w:r w:rsidRPr="00B16E9A">
        <w:rPr>
          <w:rFonts w:ascii="Arial" w:hAnsi="Arial" w:cs="Arial"/>
          <w:szCs w:val="20"/>
        </w:rPr>
        <w:t xml:space="preserve"> </w:t>
      </w:r>
      <w:r w:rsidRPr="00B16E9A">
        <w:rPr>
          <w:rFonts w:ascii="Arial" w:hAnsi="Arial" w:cs="Arial"/>
          <w:szCs w:val="20"/>
          <w:lang w:val="es-CO"/>
        </w:rPr>
        <w:t>Corte Constitucional, Sala octava de r</w:t>
      </w:r>
      <w:r w:rsidR="0018711C">
        <w:rPr>
          <w:rFonts w:ascii="Arial" w:hAnsi="Arial" w:cs="Arial"/>
          <w:szCs w:val="20"/>
          <w:lang w:val="es-CO"/>
        </w:rPr>
        <w:t>evisión, Sentencia T 592 de 2003</w:t>
      </w:r>
    </w:p>
  </w:footnote>
  <w:footnote w:id="8">
    <w:p w14:paraId="1BB564C4" w14:textId="1E534A02" w:rsidR="00643F65" w:rsidRPr="00B16E9A" w:rsidRDefault="00643F65">
      <w:pPr>
        <w:pStyle w:val="Textonotapie"/>
        <w:rPr>
          <w:rFonts w:ascii="Arial" w:hAnsi="Arial" w:cs="Arial"/>
          <w:szCs w:val="20"/>
          <w:lang w:val="es-MX"/>
        </w:rPr>
      </w:pPr>
      <w:r w:rsidRPr="00B16E9A">
        <w:rPr>
          <w:rStyle w:val="Refdenotaalpie"/>
          <w:rFonts w:ascii="Arial" w:hAnsi="Arial" w:cs="Arial"/>
          <w:szCs w:val="20"/>
        </w:rPr>
        <w:footnoteRef/>
      </w:r>
      <w:r w:rsidRPr="00B16E9A">
        <w:rPr>
          <w:rFonts w:ascii="Arial" w:hAnsi="Arial" w:cs="Arial"/>
          <w:szCs w:val="20"/>
        </w:rPr>
        <w:t xml:space="preserve"> Corte Constitucional, Sala octa</w:t>
      </w:r>
      <w:r w:rsidR="0018711C">
        <w:rPr>
          <w:rFonts w:ascii="Arial" w:hAnsi="Arial" w:cs="Arial"/>
          <w:szCs w:val="20"/>
        </w:rPr>
        <w:t>va de revisión, Sentencia T 592 de</w:t>
      </w:r>
      <w:r w:rsidRPr="00B16E9A">
        <w:rPr>
          <w:rFonts w:ascii="Arial" w:hAnsi="Arial" w:cs="Arial"/>
          <w:szCs w:val="20"/>
        </w:rPr>
        <w:t xml:space="preserve"> 2003</w:t>
      </w:r>
    </w:p>
  </w:footnote>
  <w:footnote w:id="9">
    <w:p w14:paraId="3F4A1CAD" w14:textId="77777777" w:rsidR="008E7057" w:rsidRPr="00B16E9A" w:rsidRDefault="008E7057" w:rsidP="008E7057">
      <w:pPr>
        <w:pStyle w:val="Textonotapie"/>
        <w:rPr>
          <w:rFonts w:ascii="Arial" w:hAnsi="Arial" w:cs="Arial"/>
          <w:szCs w:val="20"/>
          <w:lang w:val="es-MX"/>
        </w:rPr>
      </w:pPr>
      <w:r w:rsidRPr="00B16E9A">
        <w:rPr>
          <w:rStyle w:val="Refdenotaalpie"/>
          <w:rFonts w:ascii="Arial" w:hAnsi="Arial" w:cs="Arial"/>
          <w:szCs w:val="20"/>
        </w:rPr>
        <w:footnoteRef/>
      </w:r>
      <w:r w:rsidRPr="004B1055">
        <w:rPr>
          <w:rFonts w:ascii="Arial" w:hAnsi="Arial" w:cs="Arial"/>
          <w:szCs w:val="20"/>
          <w:lang w:val="es-MX"/>
        </w:rPr>
        <w:t>https://web.icetex.gov.co/documents/20122/142159/informe-de-gestion-2023.pdf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748E" w14:textId="77777777" w:rsidR="00DC50CF" w:rsidRDefault="00FB34EC">
    <w:pPr>
      <w:pBdr>
        <w:top w:val="nil"/>
        <w:left w:val="nil"/>
        <w:bottom w:val="nil"/>
        <w:right w:val="nil"/>
        <w:between w:val="nil"/>
      </w:pBdr>
      <w:tabs>
        <w:tab w:val="center" w:pos="4419"/>
        <w:tab w:val="right" w:pos="8838"/>
      </w:tabs>
      <w:spacing w:after="0" w:line="240" w:lineRule="auto"/>
      <w:rPr>
        <w:color w:val="000000"/>
      </w:rPr>
    </w:pPr>
    <w:r>
      <w:rPr>
        <w:noProof/>
        <w:color w:val="000000"/>
        <w:lang w:eastAsia="es-CO"/>
      </w:rPr>
      <w:drawing>
        <wp:inline distT="0" distB="0" distL="0" distR="0" wp14:anchorId="0FFD0F43" wp14:editId="7A3F3263">
          <wp:extent cx="1953321" cy="565435"/>
          <wp:effectExtent l="0" t="0" r="0" b="0"/>
          <wp:docPr id="3" name="image3.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3.png" descr="Resultado de imagen para camara de representantes"/>
                  <pic:cNvPicPr preferRelativeResize="0"/>
                </pic:nvPicPr>
                <pic:blipFill>
                  <a:blip r:embed="rId1"/>
                  <a:srcRect/>
                  <a:stretch>
                    <a:fillRect/>
                  </a:stretch>
                </pic:blipFill>
                <pic:spPr>
                  <a:xfrm>
                    <a:off x="0" y="0"/>
                    <a:ext cx="1953321" cy="565435"/>
                  </a:xfrm>
                  <a:prstGeom prst="rect">
                    <a:avLst/>
                  </a:prstGeom>
                  <a:ln/>
                </pic:spPr>
              </pic:pic>
            </a:graphicData>
          </a:graphic>
        </wp:inline>
      </w:drawing>
    </w:r>
    <w:r>
      <w:rPr>
        <w:noProof/>
        <w:lang w:eastAsia="es-CO"/>
      </w:rPr>
      <w:drawing>
        <wp:anchor distT="0" distB="0" distL="0" distR="0" simplePos="0" relativeHeight="251658240" behindDoc="1" locked="0" layoutInCell="1" hidden="0" allowOverlap="1" wp14:anchorId="657CF0E1" wp14:editId="0531DDC1">
          <wp:simplePos x="0" y="0"/>
          <wp:positionH relativeFrom="column">
            <wp:posOffset>3746105</wp:posOffset>
          </wp:positionH>
          <wp:positionV relativeFrom="paragraph">
            <wp:posOffset>-114989</wp:posOffset>
          </wp:positionV>
          <wp:extent cx="2114093" cy="7823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114093" cy="782310"/>
                  </a:xfrm>
                  <a:prstGeom prst="rect">
                    <a:avLst/>
                  </a:prstGeom>
                  <a:ln/>
                </pic:spPr>
              </pic:pic>
            </a:graphicData>
          </a:graphic>
        </wp:anchor>
      </w:drawing>
    </w:r>
  </w:p>
  <w:p w14:paraId="1CA72270" w14:textId="77777777" w:rsidR="00DC50CF" w:rsidRDefault="00FB34EC">
    <w:pPr>
      <w:pBdr>
        <w:top w:val="nil"/>
        <w:left w:val="nil"/>
        <w:bottom w:val="nil"/>
        <w:right w:val="nil"/>
        <w:between w:val="nil"/>
      </w:pBdr>
      <w:tabs>
        <w:tab w:val="center" w:pos="4419"/>
        <w:tab w:val="right" w:pos="8838"/>
        <w:tab w:val="left" w:pos="6754"/>
      </w:tabs>
      <w:spacing w:after="0" w:line="240" w:lineRule="auto"/>
      <w:rPr>
        <w:color w:val="000000"/>
      </w:rPr>
    </w:pPr>
    <w:r>
      <w:rPr>
        <w:color w:val="000000"/>
      </w:rPr>
      <w:t xml:space="preserve">                                     </w:t>
    </w:r>
  </w:p>
  <w:p w14:paraId="52E0D4AA" w14:textId="77777777" w:rsidR="00DC50CF" w:rsidRDefault="00FB34EC">
    <w:pPr>
      <w:pBdr>
        <w:top w:val="nil"/>
        <w:left w:val="nil"/>
        <w:bottom w:val="nil"/>
        <w:right w:val="nil"/>
        <w:between w:val="nil"/>
      </w:pBdr>
      <w:tabs>
        <w:tab w:val="center" w:pos="4419"/>
        <w:tab w:val="right" w:pos="8838"/>
        <w:tab w:val="left" w:pos="3315"/>
        <w:tab w:val="left" w:pos="6754"/>
      </w:tabs>
      <w:spacing w:after="0" w:line="240" w:lineRule="auto"/>
      <w:rPr>
        <w:rFonts w:ascii="Gill Sans" w:eastAsia="Gill Sans" w:hAnsi="Gill Sans" w:cs="Gill Sans"/>
        <w:color w:val="000000"/>
        <w:sz w:val="20"/>
        <w:szCs w:val="20"/>
      </w:rPr>
    </w:pPr>
    <w:r>
      <w:rPr>
        <w:rFonts w:ascii="Gill Sans" w:eastAsia="Gill Sans" w:hAnsi="Gill Sans" w:cs="Gill Sans"/>
        <w:color w:val="000000"/>
        <w:sz w:val="20"/>
        <w:szCs w:val="20"/>
      </w:rPr>
      <w:tab/>
    </w:r>
    <w:r>
      <w:rPr>
        <w:rFonts w:ascii="Gill Sans" w:eastAsia="Gill Sans" w:hAnsi="Gill Sans" w:cs="Gill Sans"/>
        <w:color w:val="000000"/>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162"/>
    <w:multiLevelType w:val="multilevel"/>
    <w:tmpl w:val="25B290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8C4025"/>
    <w:multiLevelType w:val="hybridMultilevel"/>
    <w:tmpl w:val="046CF158"/>
    <w:lvl w:ilvl="0" w:tplc="EAC62B2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F3749FE"/>
    <w:multiLevelType w:val="multilevel"/>
    <w:tmpl w:val="A94AF864"/>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9C1005A"/>
    <w:multiLevelType w:val="hybridMultilevel"/>
    <w:tmpl w:val="E40AF75C"/>
    <w:lvl w:ilvl="0" w:tplc="3EB8697A">
      <w:start w:val="2"/>
      <w:numFmt w:val="upperRoman"/>
      <w:lvlText w:val="%1."/>
      <w:lvlJc w:val="left"/>
      <w:pPr>
        <w:ind w:left="2520" w:hanging="720"/>
      </w:pPr>
      <w:rPr>
        <w:rFonts w:hint="default"/>
      </w:rPr>
    </w:lvl>
    <w:lvl w:ilvl="1" w:tplc="240A0019">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 w15:restartNumberingAfterBreak="0">
    <w:nsid w:val="394A1D1D"/>
    <w:multiLevelType w:val="multilevel"/>
    <w:tmpl w:val="66809F88"/>
    <w:lvl w:ilvl="0">
      <w:start w:val="1"/>
      <w:numFmt w:val="decimal"/>
      <w:lvlText w:val="%1."/>
      <w:lvlJc w:val="left"/>
      <w:pPr>
        <w:ind w:left="72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173" w:hanging="360"/>
      </w:pPr>
      <w:rPr>
        <w:b/>
        <w:i w:val="0"/>
        <w:u w:val="no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Arial" w:hAnsi="Arial" w:cs="Arial"/>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8513BF"/>
    <w:multiLevelType w:val="hybridMultilevel"/>
    <w:tmpl w:val="06ECFA2C"/>
    <w:lvl w:ilvl="0" w:tplc="4C20B80A">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6" w15:restartNumberingAfterBreak="0">
    <w:nsid w:val="3C47207E"/>
    <w:multiLevelType w:val="multilevel"/>
    <w:tmpl w:val="93DCFDE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65E3EF9"/>
    <w:multiLevelType w:val="hybridMultilevel"/>
    <w:tmpl w:val="DABCE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0217CA"/>
    <w:multiLevelType w:val="multilevel"/>
    <w:tmpl w:val="4E88171C"/>
    <w:lvl w:ilvl="0">
      <w:start w:val="1"/>
      <w:numFmt w:val="upperRoman"/>
      <w:lvlText w:val="%1."/>
      <w:lvlJc w:val="left"/>
      <w:pPr>
        <w:ind w:left="1713" w:hanging="720"/>
      </w:pPr>
      <w:rPr>
        <w:rFonts w:hint="default"/>
        <w:strike w:val="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9" w15:restartNumberingAfterBreak="0">
    <w:nsid w:val="4D40605C"/>
    <w:multiLevelType w:val="hybridMultilevel"/>
    <w:tmpl w:val="C75C9E10"/>
    <w:lvl w:ilvl="0" w:tplc="8D5ED840">
      <w:start w:val="4"/>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4CA7794"/>
    <w:multiLevelType w:val="multilevel"/>
    <w:tmpl w:val="7D5A6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675612D"/>
    <w:multiLevelType w:val="hybridMultilevel"/>
    <w:tmpl w:val="F3E40598"/>
    <w:lvl w:ilvl="0" w:tplc="04269170">
      <w:start w:val="5"/>
      <w:numFmt w:val="lowerRoman"/>
      <w:lvlText w:val="%1."/>
      <w:lvlJc w:val="left"/>
      <w:pPr>
        <w:ind w:left="1500" w:hanging="720"/>
      </w:pPr>
      <w:rPr>
        <w:rFonts w:hint="default"/>
      </w:rPr>
    </w:lvl>
    <w:lvl w:ilvl="1" w:tplc="040A0019" w:tentative="1">
      <w:start w:val="1"/>
      <w:numFmt w:val="lowerLetter"/>
      <w:lvlText w:val="%2."/>
      <w:lvlJc w:val="left"/>
      <w:pPr>
        <w:ind w:left="1860" w:hanging="360"/>
      </w:pPr>
    </w:lvl>
    <w:lvl w:ilvl="2" w:tplc="040A001B" w:tentative="1">
      <w:start w:val="1"/>
      <w:numFmt w:val="lowerRoman"/>
      <w:lvlText w:val="%3."/>
      <w:lvlJc w:val="right"/>
      <w:pPr>
        <w:ind w:left="2580" w:hanging="180"/>
      </w:pPr>
    </w:lvl>
    <w:lvl w:ilvl="3" w:tplc="040A000F" w:tentative="1">
      <w:start w:val="1"/>
      <w:numFmt w:val="decimal"/>
      <w:lvlText w:val="%4."/>
      <w:lvlJc w:val="left"/>
      <w:pPr>
        <w:ind w:left="3300" w:hanging="360"/>
      </w:pPr>
    </w:lvl>
    <w:lvl w:ilvl="4" w:tplc="040A0019" w:tentative="1">
      <w:start w:val="1"/>
      <w:numFmt w:val="lowerLetter"/>
      <w:lvlText w:val="%5."/>
      <w:lvlJc w:val="left"/>
      <w:pPr>
        <w:ind w:left="4020" w:hanging="360"/>
      </w:pPr>
    </w:lvl>
    <w:lvl w:ilvl="5" w:tplc="040A001B" w:tentative="1">
      <w:start w:val="1"/>
      <w:numFmt w:val="lowerRoman"/>
      <w:lvlText w:val="%6."/>
      <w:lvlJc w:val="right"/>
      <w:pPr>
        <w:ind w:left="4740" w:hanging="180"/>
      </w:pPr>
    </w:lvl>
    <w:lvl w:ilvl="6" w:tplc="040A000F" w:tentative="1">
      <w:start w:val="1"/>
      <w:numFmt w:val="decimal"/>
      <w:lvlText w:val="%7."/>
      <w:lvlJc w:val="left"/>
      <w:pPr>
        <w:ind w:left="5460" w:hanging="360"/>
      </w:pPr>
    </w:lvl>
    <w:lvl w:ilvl="7" w:tplc="040A0019" w:tentative="1">
      <w:start w:val="1"/>
      <w:numFmt w:val="lowerLetter"/>
      <w:lvlText w:val="%8."/>
      <w:lvlJc w:val="left"/>
      <w:pPr>
        <w:ind w:left="6180" w:hanging="360"/>
      </w:pPr>
    </w:lvl>
    <w:lvl w:ilvl="8" w:tplc="040A001B" w:tentative="1">
      <w:start w:val="1"/>
      <w:numFmt w:val="lowerRoman"/>
      <w:lvlText w:val="%9."/>
      <w:lvlJc w:val="right"/>
      <w:pPr>
        <w:ind w:left="6900" w:hanging="180"/>
      </w:pPr>
    </w:lvl>
  </w:abstractNum>
  <w:abstractNum w:abstractNumId="12" w15:restartNumberingAfterBreak="0">
    <w:nsid w:val="6EEB024F"/>
    <w:multiLevelType w:val="multilevel"/>
    <w:tmpl w:val="61AC5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B35635"/>
    <w:multiLevelType w:val="multilevel"/>
    <w:tmpl w:val="E38E7B2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A83491E"/>
    <w:multiLevelType w:val="hybridMultilevel"/>
    <w:tmpl w:val="44FE581A"/>
    <w:lvl w:ilvl="0" w:tplc="08DADB5E">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E6407AA"/>
    <w:multiLevelType w:val="hybridMultilevel"/>
    <w:tmpl w:val="C0366A4C"/>
    <w:lvl w:ilvl="0" w:tplc="11566B3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0"/>
  </w:num>
  <w:num w:numId="2">
    <w:abstractNumId w:val="1"/>
  </w:num>
  <w:num w:numId="3">
    <w:abstractNumId w:val="14"/>
  </w:num>
  <w:num w:numId="4">
    <w:abstractNumId w:val="8"/>
  </w:num>
  <w:num w:numId="5">
    <w:abstractNumId w:val="3"/>
  </w:num>
  <w:num w:numId="6">
    <w:abstractNumId w:val="5"/>
  </w:num>
  <w:num w:numId="7">
    <w:abstractNumId w:val="7"/>
  </w:num>
  <w:num w:numId="8">
    <w:abstractNumId w:val="12"/>
  </w:num>
  <w:num w:numId="9">
    <w:abstractNumId w:val="13"/>
  </w:num>
  <w:num w:numId="10">
    <w:abstractNumId w:val="9"/>
  </w:num>
  <w:num w:numId="11">
    <w:abstractNumId w:val="6"/>
  </w:num>
  <w:num w:numId="12">
    <w:abstractNumId w:val="2"/>
  </w:num>
  <w:num w:numId="13">
    <w:abstractNumId w:val="11"/>
  </w:num>
  <w:num w:numId="14">
    <w:abstractNumId w:val="1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CF"/>
    <w:rsid w:val="000817C8"/>
    <w:rsid w:val="000823C4"/>
    <w:rsid w:val="0009704C"/>
    <w:rsid w:val="000A1979"/>
    <w:rsid w:val="000D028B"/>
    <w:rsid w:val="000F04AD"/>
    <w:rsid w:val="00103CC7"/>
    <w:rsid w:val="00112929"/>
    <w:rsid w:val="00117C32"/>
    <w:rsid w:val="00137EF1"/>
    <w:rsid w:val="001530AD"/>
    <w:rsid w:val="00165444"/>
    <w:rsid w:val="0018711C"/>
    <w:rsid w:val="00191E09"/>
    <w:rsid w:val="002049B4"/>
    <w:rsid w:val="002115AD"/>
    <w:rsid w:val="00211E2E"/>
    <w:rsid w:val="00217D79"/>
    <w:rsid w:val="002370E2"/>
    <w:rsid w:val="002403A3"/>
    <w:rsid w:val="002735C7"/>
    <w:rsid w:val="00280D66"/>
    <w:rsid w:val="002B0BAA"/>
    <w:rsid w:val="002D57AA"/>
    <w:rsid w:val="003059FA"/>
    <w:rsid w:val="0031152B"/>
    <w:rsid w:val="00314D65"/>
    <w:rsid w:val="00332ED1"/>
    <w:rsid w:val="00373637"/>
    <w:rsid w:val="00383C64"/>
    <w:rsid w:val="003F74F9"/>
    <w:rsid w:val="00402270"/>
    <w:rsid w:val="0045091E"/>
    <w:rsid w:val="00462A64"/>
    <w:rsid w:val="004A3308"/>
    <w:rsid w:val="004E5F30"/>
    <w:rsid w:val="004F0F4E"/>
    <w:rsid w:val="00517820"/>
    <w:rsid w:val="0055529C"/>
    <w:rsid w:val="00562AD7"/>
    <w:rsid w:val="00564364"/>
    <w:rsid w:val="0056530C"/>
    <w:rsid w:val="00574FA8"/>
    <w:rsid w:val="00576190"/>
    <w:rsid w:val="00634FEA"/>
    <w:rsid w:val="00643F65"/>
    <w:rsid w:val="00644272"/>
    <w:rsid w:val="0064431F"/>
    <w:rsid w:val="00647D52"/>
    <w:rsid w:val="00653ABF"/>
    <w:rsid w:val="00654A3D"/>
    <w:rsid w:val="00662AAE"/>
    <w:rsid w:val="00682495"/>
    <w:rsid w:val="0069440A"/>
    <w:rsid w:val="006B0DE8"/>
    <w:rsid w:val="006D5EFC"/>
    <w:rsid w:val="006E6411"/>
    <w:rsid w:val="00704951"/>
    <w:rsid w:val="007123A5"/>
    <w:rsid w:val="00721179"/>
    <w:rsid w:val="00732C7E"/>
    <w:rsid w:val="00775263"/>
    <w:rsid w:val="008173E8"/>
    <w:rsid w:val="00817776"/>
    <w:rsid w:val="00850700"/>
    <w:rsid w:val="00874761"/>
    <w:rsid w:val="008A020E"/>
    <w:rsid w:val="008B79F3"/>
    <w:rsid w:val="008E2C64"/>
    <w:rsid w:val="008E7057"/>
    <w:rsid w:val="008F5790"/>
    <w:rsid w:val="00910660"/>
    <w:rsid w:val="009131D4"/>
    <w:rsid w:val="0095076F"/>
    <w:rsid w:val="00974C40"/>
    <w:rsid w:val="009C05F7"/>
    <w:rsid w:val="009F142E"/>
    <w:rsid w:val="009F26AE"/>
    <w:rsid w:val="00A004B4"/>
    <w:rsid w:val="00A1422E"/>
    <w:rsid w:val="00A56649"/>
    <w:rsid w:val="00A81DB8"/>
    <w:rsid w:val="00AA31FA"/>
    <w:rsid w:val="00AB12FD"/>
    <w:rsid w:val="00B03F4E"/>
    <w:rsid w:val="00B16E9A"/>
    <w:rsid w:val="00B3587D"/>
    <w:rsid w:val="00B57B41"/>
    <w:rsid w:val="00B63FC2"/>
    <w:rsid w:val="00B74847"/>
    <w:rsid w:val="00B7783E"/>
    <w:rsid w:val="00BB61EA"/>
    <w:rsid w:val="00BD034C"/>
    <w:rsid w:val="00BD356E"/>
    <w:rsid w:val="00BF724B"/>
    <w:rsid w:val="00C078B9"/>
    <w:rsid w:val="00C20E4E"/>
    <w:rsid w:val="00C21839"/>
    <w:rsid w:val="00C671BE"/>
    <w:rsid w:val="00CA3A44"/>
    <w:rsid w:val="00CB0E87"/>
    <w:rsid w:val="00CB4B8F"/>
    <w:rsid w:val="00CB4DF4"/>
    <w:rsid w:val="00CC3FEF"/>
    <w:rsid w:val="00CC7601"/>
    <w:rsid w:val="00CF6FE0"/>
    <w:rsid w:val="00CF7C02"/>
    <w:rsid w:val="00D13E8F"/>
    <w:rsid w:val="00D434DA"/>
    <w:rsid w:val="00D44414"/>
    <w:rsid w:val="00DB3945"/>
    <w:rsid w:val="00DC50CF"/>
    <w:rsid w:val="00E86DB5"/>
    <w:rsid w:val="00EE4B5F"/>
    <w:rsid w:val="00F14BB0"/>
    <w:rsid w:val="00F37C42"/>
    <w:rsid w:val="00F508E5"/>
    <w:rsid w:val="00FA1E87"/>
    <w:rsid w:val="00FB34EC"/>
    <w:rsid w:val="00FB4B9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92A0"/>
  <w15:docId w15:val="{CF64199E-59D8-49C9-A1FF-AD5F82CD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ES_trad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40" w:after="0"/>
      <w:outlineLvl w:val="2"/>
    </w:pPr>
    <w:rPr>
      <w:color w:val="1E4D78"/>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654A3D"/>
    <w:pPr>
      <w:spacing w:after="0" w:line="240" w:lineRule="auto"/>
    </w:pPr>
    <w:rPr>
      <w:rFonts w:asciiTheme="minorHAnsi" w:eastAsiaTheme="minorHAnsi" w:hAnsiTheme="minorHAnsi" w:cstheme="minorBidi"/>
      <w:lang w:eastAsia="en-US"/>
    </w:rPr>
  </w:style>
  <w:style w:type="paragraph" w:styleId="Textonotapie">
    <w:name w:val="footnote text"/>
    <w:aliases w:val="Ref. de nota al pie1,referencia nota al pie,Appel note de bas de page,FC,Texto de nota al pie,Footnotes refss,Footnote number,BVI fnr,f,Ref. de nota al pie 2,Nota de pie,Texto nota al pie,4_G,16 Point,Superscript 6 Point,R,Ref1,FA Fu"/>
    <w:basedOn w:val="Normal"/>
    <w:link w:val="TextonotapieCar1"/>
    <w:uiPriority w:val="99"/>
    <w:rsid w:val="00654A3D"/>
    <w:pPr>
      <w:spacing w:after="0" w:line="240" w:lineRule="auto"/>
      <w:jc w:val="both"/>
    </w:pPr>
    <w:rPr>
      <w:rFonts w:ascii="Times New Roman" w:eastAsia="MS Mincho" w:hAnsi="Times New Roman" w:cs="Times New Roman"/>
      <w:sz w:val="20"/>
      <w:szCs w:val="24"/>
      <w:lang w:val="es-ES" w:eastAsia="es-ES"/>
    </w:rPr>
  </w:style>
  <w:style w:type="character" w:customStyle="1" w:styleId="TextonotapieCar">
    <w:name w:val="Texto nota pie Car"/>
    <w:basedOn w:val="Fuentedeprrafopredeter"/>
    <w:uiPriority w:val="99"/>
    <w:semiHidden/>
    <w:rsid w:val="00654A3D"/>
    <w:rPr>
      <w:sz w:val="20"/>
      <w:szCs w:val="20"/>
    </w:rPr>
  </w:style>
  <w:style w:type="character" w:customStyle="1" w:styleId="TextonotapieCar1">
    <w:name w:val="Texto nota pie Car1"/>
    <w:aliases w:val="Ref. de nota al pie1 Car,referencia nota al pie Car,Appel note de bas de page Car,FC Car,Texto de nota al pie Car,Footnotes refss Car,Footnote number Car,BVI fnr Car,f Car,Ref. de nota al pie 2 Car,Nota de pie Car,4_G Car,R Car"/>
    <w:link w:val="Textonotapie"/>
    <w:uiPriority w:val="99"/>
    <w:locked/>
    <w:rsid w:val="00654A3D"/>
    <w:rPr>
      <w:rFonts w:ascii="Times New Roman" w:eastAsia="MS Mincho" w:hAnsi="Times New Roman" w:cs="Times New Roman"/>
      <w:sz w:val="20"/>
      <w:szCs w:val="24"/>
      <w:lang w:val="es-ES" w:eastAsia="es-ES"/>
    </w:rPr>
  </w:style>
  <w:style w:type="paragraph" w:styleId="Prrafodelista">
    <w:name w:val="List Paragraph"/>
    <w:basedOn w:val="Normal"/>
    <w:uiPriority w:val="34"/>
    <w:qFormat/>
    <w:rsid w:val="00654A3D"/>
    <w:pPr>
      <w:ind w:left="720"/>
      <w:contextualSpacing/>
    </w:pPr>
  </w:style>
  <w:style w:type="character" w:styleId="Refdenotaalpie">
    <w:name w:val="footnote reference"/>
    <w:basedOn w:val="Fuentedeprrafopredeter"/>
    <w:uiPriority w:val="99"/>
    <w:semiHidden/>
    <w:unhideWhenUsed/>
    <w:rsid w:val="00732C7E"/>
    <w:rPr>
      <w:vertAlign w:val="superscript"/>
    </w:rPr>
  </w:style>
  <w:style w:type="character" w:styleId="Hipervnculo">
    <w:name w:val="Hyperlink"/>
    <w:basedOn w:val="Fuentedeprrafopredeter"/>
    <w:uiPriority w:val="99"/>
    <w:unhideWhenUsed/>
    <w:rsid w:val="00732C7E"/>
    <w:rPr>
      <w:color w:val="0000FF" w:themeColor="hyperlink"/>
      <w:u w:val="single"/>
    </w:rPr>
  </w:style>
  <w:style w:type="paragraph" w:styleId="Textodeglobo">
    <w:name w:val="Balloon Text"/>
    <w:basedOn w:val="Normal"/>
    <w:link w:val="TextodegloboCar"/>
    <w:uiPriority w:val="99"/>
    <w:semiHidden/>
    <w:unhideWhenUsed/>
    <w:rsid w:val="008747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4761"/>
    <w:rPr>
      <w:rFonts w:ascii="Segoe UI" w:hAnsi="Segoe UI" w:cs="Segoe UI"/>
      <w:sz w:val="18"/>
      <w:szCs w:val="18"/>
    </w:rPr>
  </w:style>
  <w:style w:type="paragraph" w:styleId="Encabezado">
    <w:name w:val="header"/>
    <w:basedOn w:val="Normal"/>
    <w:link w:val="EncabezadoCar"/>
    <w:uiPriority w:val="99"/>
    <w:unhideWhenUsed/>
    <w:rsid w:val="002115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15AD"/>
  </w:style>
  <w:style w:type="paragraph" w:styleId="Piedepgina">
    <w:name w:val="footer"/>
    <w:basedOn w:val="Normal"/>
    <w:link w:val="PiedepginaCar"/>
    <w:uiPriority w:val="99"/>
    <w:unhideWhenUsed/>
    <w:rsid w:val="002115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15AD"/>
  </w:style>
  <w:style w:type="paragraph" w:styleId="NormalWeb">
    <w:name w:val="Normal (Web)"/>
    <w:basedOn w:val="Normal"/>
    <w:uiPriority w:val="99"/>
    <w:semiHidden/>
    <w:unhideWhenUsed/>
    <w:rsid w:val="002115AD"/>
    <w:rPr>
      <w:rFonts w:ascii="Times New Roman" w:hAnsi="Times New Roman" w:cs="Times New Roman"/>
      <w:sz w:val="24"/>
      <w:szCs w:val="24"/>
    </w:rPr>
  </w:style>
  <w:style w:type="character" w:styleId="Textoennegrita">
    <w:name w:val="Strong"/>
    <w:basedOn w:val="Fuentedeprrafopredeter"/>
    <w:uiPriority w:val="22"/>
    <w:qFormat/>
    <w:rsid w:val="0009704C"/>
    <w:rPr>
      <w:b/>
      <w:bCs/>
    </w:rPr>
  </w:style>
  <w:style w:type="character" w:styleId="Refdecomentario">
    <w:name w:val="annotation reference"/>
    <w:basedOn w:val="Fuentedeprrafopredeter"/>
    <w:uiPriority w:val="99"/>
    <w:semiHidden/>
    <w:unhideWhenUsed/>
    <w:rsid w:val="001530AD"/>
    <w:rPr>
      <w:sz w:val="16"/>
      <w:szCs w:val="16"/>
    </w:rPr>
  </w:style>
  <w:style w:type="paragraph" w:styleId="Textocomentario">
    <w:name w:val="annotation text"/>
    <w:basedOn w:val="Normal"/>
    <w:link w:val="TextocomentarioCar"/>
    <w:uiPriority w:val="99"/>
    <w:semiHidden/>
    <w:unhideWhenUsed/>
    <w:rsid w:val="001530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30AD"/>
    <w:rPr>
      <w:sz w:val="20"/>
      <w:szCs w:val="20"/>
    </w:rPr>
  </w:style>
  <w:style w:type="paragraph" w:styleId="Asuntodelcomentario">
    <w:name w:val="annotation subject"/>
    <w:basedOn w:val="Textocomentario"/>
    <w:next w:val="Textocomentario"/>
    <w:link w:val="AsuntodelcomentarioCar"/>
    <w:uiPriority w:val="99"/>
    <w:semiHidden/>
    <w:unhideWhenUsed/>
    <w:rsid w:val="001530AD"/>
    <w:rPr>
      <w:b/>
      <w:bCs/>
    </w:rPr>
  </w:style>
  <w:style w:type="character" w:customStyle="1" w:styleId="AsuntodelcomentarioCar">
    <w:name w:val="Asunto del comentario Car"/>
    <w:basedOn w:val="TextocomentarioCar"/>
    <w:link w:val="Asuntodelcomentario"/>
    <w:uiPriority w:val="99"/>
    <w:semiHidden/>
    <w:rsid w:val="001530AD"/>
    <w:rPr>
      <w:b/>
      <w:bCs/>
      <w:sz w:val="20"/>
      <w:szCs w:val="20"/>
    </w:rPr>
  </w:style>
  <w:style w:type="table" w:styleId="Tablaconcuadrcula">
    <w:name w:val="Table Grid"/>
    <w:basedOn w:val="Tablanormal"/>
    <w:uiPriority w:val="39"/>
    <w:rsid w:val="008E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85713">
      <w:bodyDiv w:val="1"/>
      <w:marLeft w:val="0"/>
      <w:marRight w:val="0"/>
      <w:marTop w:val="0"/>
      <w:marBottom w:val="0"/>
      <w:divBdr>
        <w:top w:val="none" w:sz="0" w:space="0" w:color="auto"/>
        <w:left w:val="none" w:sz="0" w:space="0" w:color="auto"/>
        <w:bottom w:val="none" w:sz="0" w:space="0" w:color="auto"/>
        <w:right w:val="none" w:sz="0" w:space="0" w:color="auto"/>
      </w:divBdr>
    </w:div>
    <w:div w:id="696272523">
      <w:bodyDiv w:val="1"/>
      <w:marLeft w:val="0"/>
      <w:marRight w:val="0"/>
      <w:marTop w:val="0"/>
      <w:marBottom w:val="0"/>
      <w:divBdr>
        <w:top w:val="none" w:sz="0" w:space="0" w:color="auto"/>
        <w:left w:val="none" w:sz="0" w:space="0" w:color="auto"/>
        <w:bottom w:val="none" w:sz="0" w:space="0" w:color="auto"/>
        <w:right w:val="none" w:sz="0" w:space="0" w:color="auto"/>
      </w:divBdr>
    </w:div>
    <w:div w:id="745539843">
      <w:bodyDiv w:val="1"/>
      <w:marLeft w:val="0"/>
      <w:marRight w:val="0"/>
      <w:marTop w:val="0"/>
      <w:marBottom w:val="0"/>
      <w:divBdr>
        <w:top w:val="none" w:sz="0" w:space="0" w:color="auto"/>
        <w:left w:val="none" w:sz="0" w:space="0" w:color="auto"/>
        <w:bottom w:val="none" w:sz="0" w:space="0" w:color="auto"/>
        <w:right w:val="none" w:sz="0" w:space="0" w:color="auto"/>
      </w:divBdr>
    </w:div>
    <w:div w:id="817696503">
      <w:bodyDiv w:val="1"/>
      <w:marLeft w:val="0"/>
      <w:marRight w:val="0"/>
      <w:marTop w:val="0"/>
      <w:marBottom w:val="0"/>
      <w:divBdr>
        <w:top w:val="none" w:sz="0" w:space="0" w:color="auto"/>
        <w:left w:val="none" w:sz="0" w:space="0" w:color="auto"/>
        <w:bottom w:val="none" w:sz="0" w:space="0" w:color="auto"/>
        <w:right w:val="none" w:sz="0" w:space="0" w:color="auto"/>
      </w:divBdr>
    </w:div>
    <w:div w:id="831599247">
      <w:bodyDiv w:val="1"/>
      <w:marLeft w:val="0"/>
      <w:marRight w:val="0"/>
      <w:marTop w:val="0"/>
      <w:marBottom w:val="0"/>
      <w:divBdr>
        <w:top w:val="none" w:sz="0" w:space="0" w:color="auto"/>
        <w:left w:val="none" w:sz="0" w:space="0" w:color="auto"/>
        <w:bottom w:val="none" w:sz="0" w:space="0" w:color="auto"/>
        <w:right w:val="none" w:sz="0" w:space="0" w:color="auto"/>
      </w:divBdr>
    </w:div>
    <w:div w:id="854535087">
      <w:bodyDiv w:val="1"/>
      <w:marLeft w:val="0"/>
      <w:marRight w:val="0"/>
      <w:marTop w:val="0"/>
      <w:marBottom w:val="0"/>
      <w:divBdr>
        <w:top w:val="none" w:sz="0" w:space="0" w:color="auto"/>
        <w:left w:val="none" w:sz="0" w:space="0" w:color="auto"/>
        <w:bottom w:val="none" w:sz="0" w:space="0" w:color="auto"/>
        <w:right w:val="none" w:sz="0" w:space="0" w:color="auto"/>
      </w:divBdr>
    </w:div>
    <w:div w:id="894387629">
      <w:bodyDiv w:val="1"/>
      <w:marLeft w:val="0"/>
      <w:marRight w:val="0"/>
      <w:marTop w:val="0"/>
      <w:marBottom w:val="0"/>
      <w:divBdr>
        <w:top w:val="none" w:sz="0" w:space="0" w:color="auto"/>
        <w:left w:val="none" w:sz="0" w:space="0" w:color="auto"/>
        <w:bottom w:val="none" w:sz="0" w:space="0" w:color="auto"/>
        <w:right w:val="none" w:sz="0" w:space="0" w:color="auto"/>
      </w:divBdr>
    </w:div>
    <w:div w:id="1492411492">
      <w:bodyDiv w:val="1"/>
      <w:marLeft w:val="0"/>
      <w:marRight w:val="0"/>
      <w:marTop w:val="0"/>
      <w:marBottom w:val="0"/>
      <w:divBdr>
        <w:top w:val="none" w:sz="0" w:space="0" w:color="auto"/>
        <w:left w:val="none" w:sz="0" w:space="0" w:color="auto"/>
        <w:bottom w:val="none" w:sz="0" w:space="0" w:color="auto"/>
        <w:right w:val="none" w:sz="0" w:space="0" w:color="auto"/>
      </w:divBdr>
    </w:div>
    <w:div w:id="1825046691">
      <w:bodyDiv w:val="1"/>
      <w:marLeft w:val="0"/>
      <w:marRight w:val="0"/>
      <w:marTop w:val="0"/>
      <w:marBottom w:val="0"/>
      <w:divBdr>
        <w:top w:val="none" w:sz="0" w:space="0" w:color="auto"/>
        <w:left w:val="none" w:sz="0" w:space="0" w:color="auto"/>
        <w:bottom w:val="none" w:sz="0" w:space="0" w:color="auto"/>
        <w:right w:val="none" w:sz="0" w:space="0" w:color="auto"/>
      </w:divBdr>
    </w:div>
    <w:div w:id="1947690006">
      <w:bodyDiv w:val="1"/>
      <w:marLeft w:val="0"/>
      <w:marRight w:val="0"/>
      <w:marTop w:val="0"/>
      <w:marBottom w:val="0"/>
      <w:divBdr>
        <w:top w:val="none" w:sz="0" w:space="0" w:color="auto"/>
        <w:left w:val="none" w:sz="0" w:space="0" w:color="auto"/>
        <w:bottom w:val="none" w:sz="0" w:space="0" w:color="auto"/>
        <w:right w:val="none" w:sz="0" w:space="0" w:color="auto"/>
      </w:divBdr>
    </w:div>
    <w:div w:id="201742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senado.gov.co/senado/basedoc/ley_0005_1992_pr00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005_1992_pr007.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005_1992_pr007.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9B32D-BD3C-4AD8-BB25-27652476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5623</Words>
  <Characters>30929</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Mendivil</dc:creator>
  <cp:lastModifiedBy>Katerin Yulieth Vergara Tova</cp:lastModifiedBy>
  <cp:revision>7</cp:revision>
  <cp:lastPrinted>2023-10-04T14:57:00Z</cp:lastPrinted>
  <dcterms:created xsi:type="dcterms:W3CDTF">2024-07-22T15:17:00Z</dcterms:created>
  <dcterms:modified xsi:type="dcterms:W3CDTF">2024-07-22T18:38:00Z</dcterms:modified>
</cp:coreProperties>
</file>