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80" w:rsidRDefault="00F36280" w:rsidP="00F36280">
      <w:pPr>
        <w:jc w:val="right"/>
        <w:rPr>
          <w:rFonts w:ascii="Bookman Old Style" w:hAnsi="Bookman Old Style" w:cstheme="minorHAnsi"/>
          <w:b/>
          <w:sz w:val="20"/>
          <w:szCs w:val="20"/>
        </w:rPr>
      </w:pPr>
      <w:bookmarkStart w:id="0" w:name="_GoBack"/>
      <w:bookmarkEnd w:id="0"/>
    </w:p>
    <w:p w:rsidR="00F36280" w:rsidRDefault="00F36280" w:rsidP="00F36280">
      <w:pPr>
        <w:jc w:val="right"/>
        <w:rPr>
          <w:rFonts w:ascii="Bookman Old Style" w:hAnsi="Bookman Old Style" w:cstheme="minorHAnsi"/>
          <w:b/>
        </w:rPr>
      </w:pPr>
    </w:p>
    <w:p w:rsidR="00F36280" w:rsidRPr="00485CC5" w:rsidRDefault="002921B3" w:rsidP="00F36280">
      <w:pPr>
        <w:jc w:val="right"/>
        <w:rPr>
          <w:rFonts w:ascii="Bookman Old Style" w:hAnsi="Bookman Old Style" w:cstheme="minorHAnsi"/>
          <w:b/>
        </w:rPr>
      </w:pPr>
      <w:r>
        <w:rPr>
          <w:rFonts w:ascii="Bookman Old Style" w:hAnsi="Bookman Old Style" w:cstheme="minorHAnsi"/>
          <w:b/>
        </w:rPr>
        <w:t>Bogotá D.C., 20 de julio de 2020</w:t>
      </w:r>
    </w:p>
    <w:p w:rsidR="00F36280" w:rsidRDefault="00F36280" w:rsidP="00F36280">
      <w:pPr>
        <w:rPr>
          <w:rFonts w:ascii="Bookman Old Style" w:hAnsi="Bookman Old Style" w:cstheme="minorHAnsi"/>
          <w:b/>
        </w:rPr>
      </w:pPr>
    </w:p>
    <w:p w:rsidR="00470AE7" w:rsidRPr="00485CC5" w:rsidRDefault="00470AE7" w:rsidP="00F36280">
      <w:pPr>
        <w:rPr>
          <w:rFonts w:ascii="Bookman Old Style" w:hAnsi="Bookman Old Style" w:cstheme="minorHAnsi"/>
        </w:rPr>
      </w:pPr>
    </w:p>
    <w:p w:rsidR="00F36280" w:rsidRPr="00485CC5" w:rsidRDefault="00F36280" w:rsidP="00F36280">
      <w:pPr>
        <w:rPr>
          <w:rFonts w:ascii="Bookman Old Style" w:hAnsi="Bookman Old Style" w:cstheme="minorHAnsi"/>
        </w:rPr>
      </w:pPr>
    </w:p>
    <w:p w:rsidR="00F36280" w:rsidRPr="00485CC5" w:rsidRDefault="00F36280" w:rsidP="00F36280">
      <w:pPr>
        <w:rPr>
          <w:rFonts w:ascii="Bookman Old Style" w:hAnsi="Bookman Old Style" w:cstheme="minorHAnsi"/>
        </w:rPr>
      </w:pPr>
      <w:r w:rsidRPr="00485CC5">
        <w:rPr>
          <w:rFonts w:ascii="Bookman Old Style" w:hAnsi="Bookman Old Style" w:cstheme="minorHAnsi"/>
        </w:rPr>
        <w:t>Doctor</w:t>
      </w:r>
    </w:p>
    <w:p w:rsidR="00F36280" w:rsidRPr="00485CC5" w:rsidRDefault="00F36280" w:rsidP="00F36280">
      <w:pPr>
        <w:rPr>
          <w:rFonts w:ascii="Bookman Old Style" w:hAnsi="Bookman Old Style" w:cstheme="minorHAnsi"/>
          <w:b/>
        </w:rPr>
      </w:pPr>
      <w:r w:rsidRPr="00485CC5">
        <w:rPr>
          <w:rFonts w:ascii="Bookman Old Style" w:hAnsi="Bookman Old Style" w:cstheme="minorHAnsi"/>
          <w:b/>
        </w:rPr>
        <w:t>JORGE HUMBERTO MANTILLA SERRANO</w:t>
      </w:r>
    </w:p>
    <w:p w:rsidR="00F36280" w:rsidRPr="00485CC5" w:rsidRDefault="00F36280" w:rsidP="00F36280">
      <w:pPr>
        <w:rPr>
          <w:rFonts w:ascii="Bookman Old Style" w:hAnsi="Bookman Old Style" w:cstheme="minorHAnsi"/>
        </w:rPr>
      </w:pPr>
      <w:r w:rsidRPr="00485CC5">
        <w:rPr>
          <w:rFonts w:ascii="Bookman Old Style" w:hAnsi="Bookman Old Style" w:cstheme="minorHAnsi"/>
        </w:rPr>
        <w:t xml:space="preserve">Secretario General </w:t>
      </w:r>
    </w:p>
    <w:p w:rsidR="00F36280" w:rsidRPr="00485CC5" w:rsidRDefault="00F36280" w:rsidP="00F36280">
      <w:pPr>
        <w:rPr>
          <w:rFonts w:ascii="Bookman Old Style" w:hAnsi="Bookman Old Style" w:cstheme="minorHAnsi"/>
        </w:rPr>
      </w:pPr>
      <w:r w:rsidRPr="00485CC5">
        <w:rPr>
          <w:rFonts w:ascii="Bookman Old Style" w:hAnsi="Bookman Old Style" w:cstheme="minorHAnsi"/>
        </w:rPr>
        <w:t>Honorable Cámara de Representantes</w:t>
      </w:r>
    </w:p>
    <w:p w:rsidR="00F36280" w:rsidRPr="00485CC5" w:rsidRDefault="00F36280" w:rsidP="00F36280">
      <w:pPr>
        <w:rPr>
          <w:rFonts w:ascii="Bookman Old Style" w:hAnsi="Bookman Old Style" w:cstheme="minorHAnsi"/>
        </w:rPr>
      </w:pPr>
      <w:r w:rsidRPr="00485CC5">
        <w:rPr>
          <w:rFonts w:ascii="Bookman Old Style" w:hAnsi="Bookman Old Style" w:cstheme="minorHAnsi"/>
        </w:rPr>
        <w:t xml:space="preserve">Ciudad </w:t>
      </w:r>
    </w:p>
    <w:p w:rsidR="00F36280" w:rsidRPr="00485CC5" w:rsidRDefault="00F36280" w:rsidP="00F36280">
      <w:pPr>
        <w:rPr>
          <w:rFonts w:ascii="Bookman Old Style" w:hAnsi="Bookman Old Style" w:cstheme="minorHAnsi"/>
          <w:b/>
        </w:rPr>
      </w:pPr>
    </w:p>
    <w:p w:rsidR="00F36280" w:rsidRPr="00485CC5" w:rsidRDefault="00F36280" w:rsidP="00F36280">
      <w:pPr>
        <w:rPr>
          <w:rFonts w:ascii="Bookman Old Style" w:hAnsi="Bookman Old Style" w:cstheme="minorHAnsi"/>
          <w:b/>
        </w:rPr>
      </w:pPr>
    </w:p>
    <w:p w:rsidR="00F36280" w:rsidRPr="00485CC5" w:rsidRDefault="00F36280" w:rsidP="00F36280">
      <w:pPr>
        <w:rPr>
          <w:rFonts w:ascii="Bookman Old Style" w:hAnsi="Bookman Old Style" w:cstheme="minorHAnsi"/>
          <w:b/>
        </w:rPr>
      </w:pPr>
    </w:p>
    <w:p w:rsidR="00F36280" w:rsidRPr="00485CC5" w:rsidRDefault="00F36280" w:rsidP="00F36280">
      <w:pPr>
        <w:jc w:val="right"/>
        <w:rPr>
          <w:rFonts w:ascii="Bookman Old Style" w:hAnsi="Bookman Old Style" w:cstheme="minorHAnsi"/>
          <w:b/>
        </w:rPr>
      </w:pPr>
      <w:r w:rsidRPr="00485CC5">
        <w:rPr>
          <w:rFonts w:ascii="Bookman Old Style" w:hAnsi="Bookman Old Style" w:cstheme="minorHAnsi"/>
          <w:b/>
        </w:rPr>
        <w:t xml:space="preserve">REF: RADICACIÓN PROYECTO DE </w:t>
      </w:r>
      <w:r w:rsidR="006B01C7">
        <w:rPr>
          <w:rFonts w:ascii="Bookman Old Style" w:hAnsi="Bookman Old Style" w:cstheme="minorHAnsi"/>
          <w:b/>
        </w:rPr>
        <w:t>ACTO LEGISLATIVO</w:t>
      </w:r>
    </w:p>
    <w:p w:rsidR="00F36280" w:rsidRPr="00485CC5" w:rsidRDefault="00F36280" w:rsidP="00F36280">
      <w:pPr>
        <w:jc w:val="right"/>
        <w:rPr>
          <w:rFonts w:ascii="Bookman Old Style" w:hAnsi="Bookman Old Style" w:cstheme="minorHAnsi"/>
          <w:b/>
        </w:rPr>
      </w:pPr>
    </w:p>
    <w:p w:rsidR="00F36280" w:rsidRPr="00485CC5" w:rsidRDefault="00F36280" w:rsidP="00F36280">
      <w:pPr>
        <w:rPr>
          <w:rFonts w:ascii="Bookman Old Style" w:hAnsi="Bookman Old Style" w:cstheme="minorHAnsi"/>
          <w:b/>
        </w:rPr>
      </w:pPr>
    </w:p>
    <w:p w:rsidR="00F36280" w:rsidRPr="00485CC5" w:rsidRDefault="00F36280" w:rsidP="00F36280">
      <w:pPr>
        <w:jc w:val="both"/>
        <w:rPr>
          <w:rFonts w:ascii="Bookman Old Style" w:hAnsi="Bookman Old Style" w:cstheme="minorHAnsi"/>
        </w:rPr>
      </w:pPr>
      <w:r w:rsidRPr="00485CC5">
        <w:rPr>
          <w:rFonts w:ascii="Bookman Old Style" w:hAnsi="Bookman Old Style" w:cstheme="minorHAnsi"/>
        </w:rPr>
        <w:t>En nuestra condición de miembros del Congreso de la República y en uso del derecho consagrado en el artículo 15</w:t>
      </w:r>
      <w:r w:rsidR="0013321A">
        <w:rPr>
          <w:rFonts w:ascii="Bookman Old Style" w:hAnsi="Bookman Old Style" w:cstheme="minorHAnsi"/>
        </w:rPr>
        <w:t>0</w:t>
      </w:r>
      <w:r w:rsidRPr="00485CC5">
        <w:rPr>
          <w:rFonts w:ascii="Bookman Old Style" w:hAnsi="Bookman Old Style" w:cstheme="minorHAnsi"/>
        </w:rPr>
        <w:t xml:space="preserve"> de la Constitución Política de Colombia, por su digno conducto nos permitimos poner a consideración de la Honorable Cámara de Representantes el siguiente proyecto de </w:t>
      </w:r>
      <w:r w:rsidR="00AD56C3">
        <w:rPr>
          <w:rFonts w:ascii="Bookman Old Style" w:hAnsi="Bookman Old Style" w:cstheme="minorHAnsi"/>
        </w:rPr>
        <w:t>acto legislativo</w:t>
      </w:r>
      <w:r w:rsidRPr="00485CC5">
        <w:rPr>
          <w:rFonts w:ascii="Bookman Old Style" w:hAnsi="Bookman Old Style" w:cstheme="minorHAnsi"/>
        </w:rPr>
        <w:t xml:space="preserve"> “</w:t>
      </w:r>
      <w:r w:rsidRPr="00485CC5">
        <w:rPr>
          <w:rFonts w:ascii="Bookman Old Style" w:hAnsi="Bookman Old Style" w:cstheme="minorHAnsi"/>
          <w:i/>
          <w:iCs/>
        </w:rPr>
        <w:t>Por medio del cual se modifica el artículo 49 de la Constitución Política de Colombia y se regulariza el uso recreativo del Cannabis</w:t>
      </w:r>
      <w:r w:rsidRPr="00485CC5">
        <w:rPr>
          <w:rFonts w:ascii="Bookman Old Style" w:hAnsi="Bookman Old Style" w:cstheme="minorHAnsi"/>
        </w:rPr>
        <w:t>”.</w:t>
      </w:r>
      <w:r w:rsidR="00111B26">
        <w:rPr>
          <w:rFonts w:ascii="Bookman Old Style" w:hAnsi="Bookman Old Style" w:cstheme="minorHAnsi"/>
        </w:rPr>
        <w:t xml:space="preserve"> (Cannabis)</w:t>
      </w:r>
    </w:p>
    <w:p w:rsidR="00F36280" w:rsidRPr="00485CC5" w:rsidRDefault="00F36280" w:rsidP="00F36280">
      <w:pPr>
        <w:jc w:val="both"/>
        <w:rPr>
          <w:rFonts w:ascii="Bookman Old Style" w:hAnsi="Bookman Old Style" w:cstheme="minorHAnsi"/>
        </w:rPr>
      </w:pPr>
    </w:p>
    <w:p w:rsidR="00F36280" w:rsidRPr="00485CC5" w:rsidRDefault="00F36280" w:rsidP="00F36280">
      <w:pPr>
        <w:jc w:val="both"/>
        <w:rPr>
          <w:rFonts w:ascii="Bookman Old Style" w:hAnsi="Bookman Old Style" w:cstheme="minorHAnsi"/>
        </w:rPr>
      </w:pPr>
    </w:p>
    <w:p w:rsidR="00F36280" w:rsidRPr="00485CC5" w:rsidRDefault="00F36280" w:rsidP="00F36280">
      <w:pPr>
        <w:jc w:val="both"/>
        <w:rPr>
          <w:rFonts w:ascii="Bookman Old Style" w:hAnsi="Bookman Old Style" w:cstheme="minorHAnsi"/>
        </w:rPr>
      </w:pPr>
      <w:r w:rsidRPr="00485CC5">
        <w:rPr>
          <w:rFonts w:ascii="Bookman Old Style" w:hAnsi="Bookman Old Style" w:cstheme="minorHAnsi"/>
        </w:rPr>
        <w:t xml:space="preserve">Cordialmente, </w:t>
      </w:r>
    </w:p>
    <w:p w:rsidR="00F36280" w:rsidRPr="00485CC5" w:rsidRDefault="00F36280" w:rsidP="00F36280">
      <w:pPr>
        <w:rPr>
          <w:rFonts w:ascii="Bookman Old Style" w:hAnsi="Bookman Old Style" w:cstheme="minorHAnsi"/>
          <w:b/>
        </w:rPr>
      </w:pPr>
    </w:p>
    <w:p w:rsidR="00F36280" w:rsidRPr="00485CC5" w:rsidRDefault="00F36280" w:rsidP="00F36280">
      <w:pPr>
        <w:rPr>
          <w:rFonts w:ascii="Bookman Old Style" w:hAnsi="Bookman Old Style" w:cstheme="minorHAnsi"/>
        </w:rPr>
      </w:pPr>
    </w:p>
    <w:p w:rsidR="00F36280" w:rsidRPr="00485CC5" w:rsidRDefault="00F36280" w:rsidP="00F36280">
      <w:pPr>
        <w:rPr>
          <w:rFonts w:ascii="Bookman Old Style" w:hAnsi="Bookman Old Style" w:cstheme="minorHAnsi"/>
        </w:rPr>
      </w:pPr>
    </w:p>
    <w:p w:rsidR="00F36280" w:rsidRPr="00485CC5" w:rsidRDefault="00F36280" w:rsidP="00F36280">
      <w:pPr>
        <w:pBdr>
          <w:top w:val="nil"/>
          <w:left w:val="nil"/>
          <w:bottom w:val="nil"/>
          <w:right w:val="nil"/>
          <w:between w:val="nil"/>
        </w:pBdr>
        <w:ind w:right="115"/>
        <w:jc w:val="center"/>
        <w:rPr>
          <w:rFonts w:ascii="Bookman Old Style" w:hAnsi="Bookman Old Style" w:cstheme="minorHAnsi"/>
        </w:rPr>
      </w:pPr>
    </w:p>
    <w:p w:rsidR="00470AE7" w:rsidRPr="00470AE7" w:rsidRDefault="00470AE7" w:rsidP="00470AE7">
      <w:pPr>
        <w:widowControl/>
        <w:rPr>
          <w:sz w:val="24"/>
          <w:szCs w:val="24"/>
          <w:lang w:eastAsia="es-ES_tradnl"/>
        </w:rPr>
      </w:pPr>
      <w:r w:rsidRPr="00470AE7">
        <w:rPr>
          <w:rFonts w:ascii="Bookman Old Style" w:hAnsi="Bookman Old Style"/>
          <w:color w:val="000000"/>
          <w:bdr w:val="none" w:sz="0" w:space="0" w:color="auto" w:frame="1"/>
          <w:lang w:eastAsia="es-ES_tradnl"/>
        </w:rPr>
        <w:fldChar w:fldCharType="begin"/>
      </w:r>
      <w:r w:rsidRPr="00470AE7">
        <w:rPr>
          <w:rFonts w:ascii="Bookman Old Style" w:hAnsi="Bookman Old Style"/>
          <w:color w:val="000000"/>
          <w:bdr w:val="none" w:sz="0" w:space="0" w:color="auto" w:frame="1"/>
          <w:lang w:eastAsia="es-ES_tradnl"/>
        </w:rPr>
        <w:instrText xml:space="preserve"> INCLUDEPICTURE "https://lh3.googleusercontent.com/p_Ic9PhUOmOc9GYKXddjCsFGw6L2RUDRkMXtSyIuO9hj5dkRDxeB5GHcgoM4wO3GWuB8ChjevYzSnuoMW-oha1eSecx4Oldr_Egbn9sB5IAaSWiO06C6WRT26bL89w" \* MERGEFORMATINET </w:instrText>
      </w:r>
      <w:r w:rsidRPr="00470AE7">
        <w:rPr>
          <w:rFonts w:ascii="Bookman Old Style" w:hAnsi="Bookman Old Style"/>
          <w:color w:val="000000"/>
          <w:bdr w:val="none" w:sz="0" w:space="0" w:color="auto" w:frame="1"/>
          <w:lang w:eastAsia="es-ES_tradnl"/>
        </w:rPr>
        <w:fldChar w:fldCharType="end"/>
      </w:r>
    </w:p>
    <w:p w:rsidR="00F36280" w:rsidRPr="00485CC5" w:rsidRDefault="00F36280" w:rsidP="00F36280">
      <w:pPr>
        <w:pBdr>
          <w:top w:val="nil"/>
          <w:left w:val="nil"/>
          <w:bottom w:val="nil"/>
          <w:right w:val="nil"/>
          <w:between w:val="nil"/>
        </w:pBdr>
        <w:ind w:right="115"/>
        <w:jc w:val="center"/>
        <w:rPr>
          <w:rFonts w:ascii="Bookman Old Style" w:hAnsi="Bookman Old Style" w:cstheme="minorHAnsi"/>
        </w:rPr>
      </w:pPr>
    </w:p>
    <w:p w:rsidR="00F36280" w:rsidRPr="00485CC5" w:rsidRDefault="00F36280" w:rsidP="00F36280">
      <w:pPr>
        <w:pBdr>
          <w:top w:val="nil"/>
          <w:left w:val="nil"/>
          <w:bottom w:val="nil"/>
          <w:right w:val="nil"/>
          <w:between w:val="nil"/>
        </w:pBdr>
        <w:ind w:right="115"/>
        <w:rPr>
          <w:rFonts w:ascii="Bookman Old Style" w:hAnsi="Bookman Old Style" w:cstheme="minorHAnsi"/>
        </w:rPr>
      </w:pPr>
      <w:r w:rsidRPr="00485CC5">
        <w:rPr>
          <w:rFonts w:ascii="Bookman Old Style" w:hAnsi="Bookman Old Style" w:cstheme="minorHAnsi"/>
        </w:rPr>
        <w:t>__________________________________                   _________________________________</w:t>
      </w:r>
    </w:p>
    <w:p w:rsidR="00F36280" w:rsidRPr="00485CC5" w:rsidRDefault="00F36280" w:rsidP="00F36280">
      <w:pPr>
        <w:pBdr>
          <w:top w:val="nil"/>
          <w:left w:val="nil"/>
          <w:bottom w:val="nil"/>
          <w:right w:val="nil"/>
          <w:between w:val="nil"/>
        </w:pBdr>
        <w:ind w:right="115"/>
        <w:rPr>
          <w:rFonts w:ascii="Bookman Old Style" w:hAnsi="Bookman Old Style" w:cstheme="minorHAnsi"/>
          <w:b/>
        </w:rPr>
      </w:pPr>
      <w:r w:rsidRPr="00485CC5">
        <w:rPr>
          <w:rFonts w:ascii="Bookman Old Style" w:hAnsi="Bookman Old Style" w:cstheme="minorHAnsi"/>
          <w:b/>
        </w:rPr>
        <w:t>JUAN CARLOS LOSADA VARGAS.                 JUAN FERNANDO REYES KURI.</w:t>
      </w:r>
    </w:p>
    <w:p w:rsidR="00F36280" w:rsidRPr="00485CC5" w:rsidRDefault="00F36280" w:rsidP="00F36280">
      <w:pPr>
        <w:pBdr>
          <w:top w:val="nil"/>
          <w:left w:val="nil"/>
          <w:bottom w:val="nil"/>
          <w:right w:val="nil"/>
          <w:between w:val="nil"/>
        </w:pBdr>
        <w:ind w:right="115"/>
        <w:rPr>
          <w:rFonts w:ascii="Bookman Old Style" w:hAnsi="Bookman Old Style" w:cstheme="minorHAnsi"/>
        </w:rPr>
      </w:pPr>
      <w:r w:rsidRPr="00485CC5">
        <w:rPr>
          <w:rFonts w:ascii="Bookman Old Style" w:hAnsi="Bookman Old Style" w:cstheme="minorHAnsi"/>
        </w:rPr>
        <w:t>Representante a la Cámara por Bogotá    Representante a la Cámara por el Valle</w:t>
      </w:r>
      <w:r w:rsidRPr="00485CC5">
        <w:rPr>
          <w:rFonts w:ascii="Bookman Old Style" w:hAnsi="Bookman Old Style" w:cstheme="minorHAnsi"/>
        </w:rPr>
        <w:br/>
        <w:t>Partido Liberal Colombiano                                        Partido Liberal Colombiano</w:t>
      </w:r>
    </w:p>
    <w:p w:rsidR="00F36280" w:rsidRPr="00485CC5" w:rsidRDefault="00F36280" w:rsidP="00F36280">
      <w:pPr>
        <w:pBdr>
          <w:top w:val="nil"/>
          <w:left w:val="nil"/>
          <w:bottom w:val="nil"/>
          <w:right w:val="nil"/>
          <w:between w:val="nil"/>
        </w:pBdr>
        <w:ind w:right="115"/>
        <w:rPr>
          <w:rFonts w:ascii="Bookman Old Style" w:hAnsi="Bookman Old Style" w:cstheme="minorHAnsi"/>
        </w:rPr>
      </w:pPr>
    </w:p>
    <w:p w:rsidR="00F36280" w:rsidRDefault="00F36280" w:rsidP="00621929">
      <w:pPr>
        <w:pBdr>
          <w:top w:val="nil"/>
          <w:left w:val="nil"/>
          <w:bottom w:val="nil"/>
          <w:right w:val="nil"/>
          <w:between w:val="nil"/>
        </w:pBdr>
        <w:ind w:right="115"/>
        <w:rPr>
          <w:rFonts w:ascii="Bookman Old Style" w:hAnsi="Bookman Old Style" w:cstheme="minorHAnsi"/>
          <w:b/>
          <w:sz w:val="24"/>
          <w:szCs w:val="24"/>
        </w:rPr>
      </w:pPr>
    </w:p>
    <w:p w:rsidR="0013321A" w:rsidRDefault="0013321A" w:rsidP="00621929">
      <w:pPr>
        <w:pBdr>
          <w:top w:val="nil"/>
          <w:left w:val="nil"/>
          <w:bottom w:val="nil"/>
          <w:right w:val="nil"/>
          <w:between w:val="nil"/>
        </w:pBdr>
        <w:ind w:right="115"/>
        <w:rPr>
          <w:rFonts w:ascii="Bookman Old Style" w:hAnsi="Bookman Old Style" w:cstheme="minorHAnsi"/>
          <w:b/>
          <w:sz w:val="24"/>
          <w:szCs w:val="24"/>
        </w:rPr>
      </w:pPr>
    </w:p>
    <w:tbl>
      <w:tblPr>
        <w:tblStyle w:val="Tablaconcuadrcula"/>
        <w:tblW w:w="0" w:type="auto"/>
        <w:jc w:val="center"/>
        <w:tblLook w:val="04A0" w:firstRow="1" w:lastRow="0" w:firstColumn="1" w:lastColumn="0" w:noHBand="0" w:noVBand="1"/>
      </w:tblPr>
      <w:tblGrid>
        <w:gridCol w:w="4179"/>
        <w:gridCol w:w="4559"/>
      </w:tblGrid>
      <w:tr w:rsidR="0013321A" w:rsidRPr="00FC2712" w:rsidTr="003209E2">
        <w:trPr>
          <w:trHeight w:val="1585"/>
          <w:jc w:val="center"/>
        </w:trPr>
        <w:tc>
          <w:tcPr>
            <w:tcW w:w="417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MAURICIO TORO ORJUELA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c>
          <w:tcPr>
            <w:tcW w:w="455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ANDRÉS CALLE AGUAS</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Partido Liberal</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tc>
      </w:tr>
      <w:tr w:rsidR="0013321A" w:rsidRPr="00FC2712" w:rsidTr="003209E2">
        <w:trPr>
          <w:jc w:val="center"/>
        </w:trPr>
        <w:tc>
          <w:tcPr>
            <w:tcW w:w="4179" w:type="dxa"/>
          </w:tcPr>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ALEJADRO VEGA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Partido Liberal</w:t>
            </w:r>
          </w:p>
        </w:tc>
        <w:tc>
          <w:tcPr>
            <w:tcW w:w="4559" w:type="dxa"/>
          </w:tcPr>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bdr w:val="none" w:sz="0" w:space="0" w:color="auto" w:frame="1"/>
              </w:rPr>
              <w:fldChar w:fldCharType="begin"/>
            </w:r>
            <w:r w:rsidRPr="000630CE">
              <w:rPr>
                <w:rFonts w:ascii="Bookman Old Style" w:hAnsi="Bookman Old Style" w:cs="Arial"/>
                <w:b/>
                <w:bCs/>
                <w:color w:val="000000"/>
                <w:sz w:val="22"/>
                <w:szCs w:val="22"/>
                <w:bdr w:val="none" w:sz="0" w:space="0" w:color="auto" w:frame="1"/>
              </w:rPr>
              <w:instrText xml:space="preserve"> INCLUDEPICTURE "https://lh4.googleusercontent.com/Y0CcHn9QPkqr6z3KKyVZ3fLpYNlGYC0zZLiSGlZrFI-C3CVbsMUr3Vz8nsJxeg98nVJrmXyxnOPN0rXbSYgIjVRK2q2mh5_t-ltQVd1vZMsi3FE_YePcyHohv_BDVA" \* MERGEFORMATINET </w:instrText>
            </w:r>
            <w:r w:rsidRPr="000630CE">
              <w:rPr>
                <w:rFonts w:ascii="Bookman Old Style" w:hAnsi="Bookman Old Style" w:cs="Arial"/>
                <w:b/>
                <w:bCs/>
                <w:color w:val="000000"/>
                <w:sz w:val="22"/>
                <w:szCs w:val="22"/>
                <w:bdr w:val="none" w:sz="0" w:space="0" w:color="auto" w:frame="1"/>
              </w:rPr>
              <w:fldChar w:fldCharType="end"/>
            </w:r>
            <w:r w:rsidRPr="000630CE">
              <w:rPr>
                <w:rFonts w:ascii="Bookman Old Style" w:hAnsi="Bookman Old Style" w:cs="Arial"/>
                <w:b/>
                <w:bCs/>
                <w:color w:val="000000"/>
                <w:sz w:val="22"/>
                <w:szCs w:val="22"/>
              </w:rPr>
              <w:t>Carlos Ardila Espinosa</w:t>
            </w:r>
          </w:p>
          <w:p w:rsidR="0013321A" w:rsidRPr="000630CE" w:rsidRDefault="0013321A" w:rsidP="003209E2">
            <w:pPr>
              <w:pStyle w:val="NormalWeb"/>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sz w:val="22"/>
                <w:szCs w:val="22"/>
                <w:lang w:val="es-ES_tradnl"/>
              </w:rPr>
              <w:t>Partido Liberal</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sz w:val="22"/>
                <w:szCs w:val="22"/>
                <w:lang w:val="es-ES_tradnl"/>
              </w:rPr>
            </w:pPr>
          </w:p>
        </w:tc>
      </w:tr>
      <w:tr w:rsidR="0013321A" w:rsidRPr="00FC2712" w:rsidTr="003209E2">
        <w:trPr>
          <w:jc w:val="center"/>
        </w:trPr>
        <w:tc>
          <w:tcPr>
            <w:tcW w:w="4179" w:type="dxa"/>
          </w:tcPr>
          <w:p w:rsidR="0013321A" w:rsidRPr="000630CE" w:rsidRDefault="0013321A" w:rsidP="003209E2">
            <w:pPr>
              <w:jc w:val="center"/>
              <w:rPr>
                <w:rFonts w:ascii="Bookman Old Style" w:hAnsi="Bookman Old Style"/>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ALEJANDRO CARLOS CHACÓN</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Partido Liberal</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tc>
        <w:tc>
          <w:tcPr>
            <w:tcW w:w="4559" w:type="dxa"/>
          </w:tcPr>
          <w:p w:rsidR="0013321A"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JULIAN PEINADO</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Partido Liberal</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tc>
      </w:tr>
      <w:tr w:rsidR="0013321A" w:rsidRPr="00FC2712" w:rsidTr="003209E2">
        <w:trPr>
          <w:jc w:val="center"/>
        </w:trPr>
        <w:tc>
          <w:tcPr>
            <w:tcW w:w="4179" w:type="dxa"/>
          </w:tcPr>
          <w:p w:rsidR="0013321A" w:rsidRPr="000630CE" w:rsidRDefault="0013321A" w:rsidP="003209E2">
            <w:pPr>
              <w:tabs>
                <w:tab w:val="right" w:pos="8838"/>
              </w:tabs>
              <w:spacing w:line="276" w:lineRule="auto"/>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HARRY GIOVANNY GONZÁLEZ</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jc w:val="center"/>
              <w:rPr>
                <w:rFonts w:ascii="Bookman Old Style" w:hAnsi="Bookman Old Style"/>
                <w:bdr w:val="none" w:sz="0" w:space="0" w:color="auto" w:frame="1"/>
              </w:rPr>
            </w:pPr>
            <w:r w:rsidRPr="000630CE">
              <w:rPr>
                <w:rFonts w:ascii="Bookman Old Style" w:hAnsi="Bookman Old Style" w:cs="Arial"/>
                <w:b/>
                <w:bCs/>
                <w:lang w:val="es-ES_tradnl"/>
              </w:rPr>
              <w:t>Partido Liberal</w:t>
            </w:r>
          </w:p>
        </w:tc>
        <w:tc>
          <w:tcPr>
            <w:tcW w:w="4559" w:type="dxa"/>
          </w:tcPr>
          <w:p w:rsidR="0013321A" w:rsidRPr="000630CE" w:rsidRDefault="0013321A" w:rsidP="003209E2">
            <w:pPr>
              <w:jc w:val="center"/>
              <w:rPr>
                <w:rFonts w:ascii="Bookman Old Style" w:hAnsi="Bookman Old Style" w:cs="Arial"/>
                <w:b/>
                <w:bCs/>
                <w:color w:val="000000"/>
                <w:bdr w:val="none" w:sz="0" w:space="0" w:color="auto" w:frame="1"/>
              </w:rPr>
            </w:pPr>
          </w:p>
          <w:p w:rsidR="0013321A" w:rsidRPr="000630CE" w:rsidRDefault="0013321A" w:rsidP="003209E2">
            <w:pPr>
              <w:rPr>
                <w:rFonts w:ascii="Bookman Old Style" w:hAnsi="Bookman Old Style" w:cs="Arial"/>
                <w:b/>
                <w:bCs/>
                <w:color w:val="000000"/>
              </w:rPr>
            </w:pPr>
          </w:p>
          <w:p w:rsidR="0013321A" w:rsidRPr="000630CE" w:rsidRDefault="0013321A" w:rsidP="003209E2">
            <w:pPr>
              <w:jc w:val="center"/>
              <w:rPr>
                <w:rFonts w:ascii="Bookman Old Style" w:hAnsi="Bookman Old Style" w:cs="Arial"/>
                <w:b/>
                <w:bCs/>
                <w:color w:val="000000"/>
              </w:rPr>
            </w:pPr>
          </w:p>
          <w:p w:rsidR="0013321A" w:rsidRPr="000630CE" w:rsidRDefault="0013321A" w:rsidP="003209E2">
            <w:pPr>
              <w:jc w:val="center"/>
              <w:rPr>
                <w:rFonts w:ascii="Bookman Old Style" w:hAnsi="Bookman Old Style"/>
              </w:rPr>
            </w:pPr>
            <w:r w:rsidRPr="000630CE">
              <w:rPr>
                <w:rFonts w:ascii="Bookman Old Style" w:hAnsi="Bookman Old Style" w:cs="Arial"/>
                <w:b/>
                <w:bCs/>
                <w:color w:val="000000"/>
              </w:rPr>
              <w:t>FABIO FERNANDO ARROYAVE</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color w:val="000000"/>
                <w:sz w:val="22"/>
                <w:szCs w:val="22"/>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rPr>
              <w:t>Partido Liberal</w:t>
            </w:r>
          </w:p>
        </w:tc>
      </w:tr>
      <w:tr w:rsidR="0013321A" w:rsidRPr="00FC2712" w:rsidTr="003209E2">
        <w:trPr>
          <w:jc w:val="center"/>
        </w:trPr>
        <w:tc>
          <w:tcPr>
            <w:tcW w:w="4179" w:type="dxa"/>
          </w:tcPr>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r w:rsidRPr="000630CE">
              <w:rPr>
                <w:rFonts w:ascii="Bookman Old Style" w:hAnsi="Bookman Old Style" w:cs="Arial"/>
                <w:b/>
              </w:rPr>
              <w:t>CARLOS GERMÁN NAVAS TALERO</w:t>
            </w:r>
          </w:p>
          <w:p w:rsidR="0013321A" w:rsidRPr="000630CE" w:rsidRDefault="0013321A" w:rsidP="003209E2">
            <w:pPr>
              <w:jc w:val="center"/>
              <w:rPr>
                <w:rFonts w:ascii="Bookman Old Style" w:hAnsi="Bookman Old Style" w:cs="Arial"/>
                <w:b/>
              </w:rPr>
            </w:pPr>
            <w:r w:rsidRPr="000630CE">
              <w:rPr>
                <w:rFonts w:ascii="Bookman Old Style" w:hAnsi="Bookman Old Style" w:cs="Arial"/>
                <w:b/>
              </w:rPr>
              <w:t>Representante a la Cámara</w:t>
            </w:r>
          </w:p>
          <w:p w:rsidR="0013321A" w:rsidRPr="000630CE" w:rsidRDefault="0013321A" w:rsidP="003209E2">
            <w:pPr>
              <w:jc w:val="center"/>
              <w:rPr>
                <w:rFonts w:ascii="Bookman Old Style" w:hAnsi="Bookman Old Style" w:cs="Arial"/>
                <w:b/>
              </w:rPr>
            </w:pPr>
            <w:r w:rsidRPr="000630CE">
              <w:rPr>
                <w:rFonts w:ascii="Bookman Old Style" w:hAnsi="Bookman Old Style" w:cs="Arial"/>
                <w:b/>
              </w:rPr>
              <w:t>Polo Democrático</w:t>
            </w:r>
          </w:p>
          <w:p w:rsidR="0013321A" w:rsidRPr="000630CE" w:rsidRDefault="0013321A" w:rsidP="003209E2">
            <w:pPr>
              <w:tabs>
                <w:tab w:val="right" w:pos="8838"/>
              </w:tabs>
              <w:spacing w:line="276" w:lineRule="auto"/>
              <w:jc w:val="center"/>
              <w:rPr>
                <w:rFonts w:ascii="Bookman Old Style" w:hAnsi="Bookman Old Style" w:cs="Arial"/>
                <w:b/>
                <w:bCs/>
                <w:noProof/>
                <w:color w:val="000000"/>
                <w:bdr w:val="none" w:sz="0" w:space="0" w:color="auto" w:frame="1"/>
              </w:rPr>
            </w:pPr>
          </w:p>
        </w:tc>
        <w:tc>
          <w:tcPr>
            <w:tcW w:w="4559" w:type="dxa"/>
          </w:tcPr>
          <w:p w:rsidR="0013321A" w:rsidRPr="000630CE" w:rsidRDefault="0013321A" w:rsidP="003209E2">
            <w:pPr>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cs="Arial"/>
                <w:b/>
                <w:bCs/>
                <w:lang w:val="es-ES_tradnl"/>
              </w:rPr>
            </w:pPr>
          </w:p>
          <w:p w:rsidR="0013321A" w:rsidRDefault="0013321A" w:rsidP="003209E2">
            <w:pPr>
              <w:jc w:val="center"/>
              <w:rPr>
                <w:rFonts w:ascii="Bookman Old Style" w:hAnsi="Bookman Old Style" w:cs="Arial"/>
                <w:b/>
                <w:bCs/>
                <w:lang w:val="es-ES_tradnl"/>
              </w:rPr>
            </w:pPr>
          </w:p>
          <w:p w:rsidR="0013321A" w:rsidRDefault="0013321A" w:rsidP="003209E2">
            <w:pPr>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rPr>
            </w:pPr>
            <w:r w:rsidRPr="000630CE">
              <w:rPr>
                <w:rFonts w:ascii="Bookman Old Style" w:hAnsi="Bookman Old Style" w:cs="Arial"/>
                <w:b/>
                <w:bCs/>
                <w:lang w:val="es-ES_tradnl"/>
              </w:rPr>
              <w:t>JUANITA GOEBERTUS</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jc w:val="center"/>
              <w:rPr>
                <w:rFonts w:ascii="Bookman Old Style" w:hAnsi="Bookman Old Style" w:cs="Arial"/>
                <w:b/>
                <w:bCs/>
                <w:color w:val="000000"/>
                <w:bdr w:val="none" w:sz="0" w:space="0" w:color="auto" w:frame="1"/>
              </w:rPr>
            </w:pPr>
            <w:r w:rsidRPr="000630CE">
              <w:rPr>
                <w:rFonts w:ascii="Bookman Old Style" w:hAnsi="Bookman Old Style" w:cs="Arial"/>
                <w:b/>
                <w:bCs/>
                <w:lang w:val="es-ES_tradnl"/>
              </w:rPr>
              <w:t>Alianza Verde</w:t>
            </w:r>
          </w:p>
        </w:tc>
      </w:tr>
      <w:tr w:rsidR="0013321A" w:rsidRPr="00FC2712" w:rsidTr="003209E2">
        <w:trPr>
          <w:trHeight w:val="1993"/>
          <w:jc w:val="center"/>
        </w:trPr>
        <w:tc>
          <w:tcPr>
            <w:tcW w:w="417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KATHERINE MIRANDA PEÑA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c>
          <w:tcPr>
            <w:tcW w:w="455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CATALINA ORTIZ</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r>
      <w:tr w:rsidR="0013321A" w:rsidRPr="00FC2712" w:rsidTr="003209E2">
        <w:trPr>
          <w:jc w:val="center"/>
        </w:trPr>
        <w:tc>
          <w:tcPr>
            <w:tcW w:w="417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cs="Arial"/>
                <w:b/>
                <w:bCs/>
                <w:color w:val="000000"/>
                <w:bdr w:val="none" w:sz="0" w:space="0" w:color="auto" w:frame="1"/>
              </w:rPr>
            </w:pPr>
            <w:r w:rsidRPr="000630CE">
              <w:rPr>
                <w:rFonts w:ascii="Bookman Old Style" w:hAnsi="Bookman Old Style" w:cs="Arial"/>
                <w:b/>
                <w:bCs/>
                <w:color w:val="000000"/>
                <w:bdr w:val="none" w:sz="0" w:space="0" w:color="auto" w:frame="1"/>
              </w:rPr>
              <w:fldChar w:fldCharType="begin"/>
            </w:r>
            <w:r w:rsidRPr="000630CE">
              <w:rPr>
                <w:rFonts w:ascii="Bookman Old Style" w:hAnsi="Bookman Old Style" w:cs="Arial"/>
                <w:b/>
                <w:bCs/>
                <w:color w:val="000000"/>
                <w:bdr w:val="none" w:sz="0" w:space="0" w:color="auto" w:frame="1"/>
              </w:rPr>
              <w:instrText xml:space="preserve"> INCLUDEPICTURE "https://lh6.googleusercontent.com/-vKQtts3sI-Z93wGDT6r0m5j22Gk02C8nS7L3pAjn7T9-Vr4B7yaVlwnP3E8OtPn_JODB_DJ3-lrpjW0byEqceeFTNBtymDOnTEhaSjokfjxfHkxkFuymjJDbQD5LQ" \* MERGEFORMATINET </w:instrText>
            </w:r>
            <w:r w:rsidRPr="000630CE">
              <w:rPr>
                <w:rFonts w:ascii="Bookman Old Style" w:hAnsi="Bookman Old Style" w:cs="Arial"/>
                <w:b/>
                <w:bCs/>
                <w:color w:val="000000"/>
                <w:bdr w:val="none" w:sz="0" w:space="0" w:color="auto" w:frame="1"/>
              </w:rPr>
              <w:fldChar w:fldCharType="end"/>
            </w:r>
            <w:r w:rsidRPr="000630CE">
              <w:rPr>
                <w:rFonts w:ascii="Bookman Old Style" w:hAnsi="Bookman Old Style" w:cs="Arial"/>
                <w:b/>
                <w:bCs/>
                <w:lang w:val="es-ES_tradnl"/>
              </w:rPr>
              <w:t>JOSÉ DANIEL LÓPEZ</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sz w:val="22"/>
                <w:szCs w:val="22"/>
                <w:lang w:val="es-ES_tradnl"/>
              </w:rPr>
              <w:t>Cambio Radical</w:t>
            </w:r>
          </w:p>
        </w:tc>
        <w:tc>
          <w:tcPr>
            <w:tcW w:w="4559" w:type="dxa"/>
          </w:tcPr>
          <w:p w:rsidR="0013321A" w:rsidRDefault="0013321A" w:rsidP="003209E2">
            <w:pPr>
              <w:pStyle w:val="NormalWeb"/>
              <w:tabs>
                <w:tab w:val="left" w:pos="383"/>
                <w:tab w:val="center" w:pos="2171"/>
              </w:tabs>
              <w:spacing w:before="0" w:beforeAutospacing="0" w:after="0" w:afterAutospacing="0"/>
              <w:jc w:val="center"/>
              <w:rPr>
                <w:rFonts w:ascii="Bookman Old Style" w:hAnsi="Bookman Old Style" w:cs="Arial"/>
                <w:b/>
                <w:bCs/>
                <w:color w:val="000000"/>
                <w:sz w:val="22"/>
                <w:szCs w:val="22"/>
              </w:rPr>
            </w:pPr>
          </w:p>
          <w:p w:rsidR="0013321A" w:rsidRDefault="0013321A" w:rsidP="003209E2">
            <w:pPr>
              <w:pStyle w:val="NormalWeb"/>
              <w:tabs>
                <w:tab w:val="left" w:pos="383"/>
                <w:tab w:val="center" w:pos="2171"/>
              </w:tabs>
              <w:spacing w:before="0" w:beforeAutospacing="0" w:after="0" w:afterAutospacing="0"/>
              <w:jc w:val="center"/>
              <w:rPr>
                <w:rFonts w:ascii="Bookman Old Style" w:hAnsi="Bookman Old Style" w:cs="Arial"/>
                <w:b/>
                <w:bCs/>
                <w:color w:val="000000"/>
                <w:sz w:val="22"/>
                <w:szCs w:val="22"/>
              </w:rPr>
            </w:pPr>
          </w:p>
          <w:p w:rsidR="0013321A" w:rsidRPr="000630CE" w:rsidRDefault="0013321A" w:rsidP="003209E2">
            <w:pPr>
              <w:pStyle w:val="NormalWeb"/>
              <w:tabs>
                <w:tab w:val="left" w:pos="383"/>
                <w:tab w:val="center" w:pos="2171"/>
              </w:tabs>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rPr>
              <w:t>CÉSAR AUGUSTO LORDUY</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color w:val="000000"/>
                <w:sz w:val="22"/>
                <w:szCs w:val="22"/>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color w:val="000000"/>
              </w:rPr>
            </w:pPr>
            <w:r w:rsidRPr="000630CE">
              <w:rPr>
                <w:rFonts w:ascii="Bookman Old Style" w:hAnsi="Bookman Old Style" w:cs="Arial"/>
                <w:b/>
                <w:bCs/>
                <w:color w:val="000000"/>
              </w:rPr>
              <w:t>Cambio Radical</w:t>
            </w:r>
          </w:p>
        </w:tc>
      </w:tr>
      <w:tr w:rsidR="0013321A" w:rsidRPr="00FC2712" w:rsidTr="003209E2">
        <w:trPr>
          <w:jc w:val="center"/>
        </w:trPr>
        <w:tc>
          <w:tcPr>
            <w:tcW w:w="4179" w:type="dxa"/>
          </w:tcPr>
          <w:p w:rsidR="0013321A" w:rsidRDefault="0013321A" w:rsidP="003209E2">
            <w:pPr>
              <w:pStyle w:val="NormalWeb"/>
              <w:spacing w:before="0" w:beforeAutospacing="0" w:after="0" w:afterAutospacing="0"/>
              <w:jc w:val="center"/>
              <w:rPr>
                <w:rFonts w:ascii="Bookman Old Style" w:hAnsi="Bookman Old Style" w:cs="Arial"/>
                <w:b/>
                <w:bCs/>
                <w:color w:val="000000"/>
                <w:sz w:val="22"/>
                <w:szCs w:val="22"/>
              </w:rPr>
            </w:pPr>
          </w:p>
          <w:p w:rsidR="0013321A" w:rsidRPr="000630CE" w:rsidRDefault="0013321A" w:rsidP="003209E2">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bCs/>
                <w:color w:val="000000"/>
                <w:sz w:val="22"/>
                <w:szCs w:val="22"/>
              </w:rPr>
              <w:t>ALFREDO RAFAEL DELUQUE</w:t>
            </w:r>
          </w:p>
          <w:p w:rsidR="0013321A" w:rsidRPr="000630CE" w:rsidRDefault="0013321A" w:rsidP="003209E2">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color w:val="000000"/>
                <w:sz w:val="22"/>
                <w:szCs w:val="22"/>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color w:val="000000"/>
                <w:sz w:val="22"/>
                <w:szCs w:val="22"/>
              </w:rPr>
              <w:t>Departamento de La Guajira</w:t>
            </w:r>
          </w:p>
        </w:tc>
        <w:tc>
          <w:tcPr>
            <w:tcW w:w="4559" w:type="dxa"/>
          </w:tcPr>
          <w:p w:rsidR="0013321A" w:rsidRDefault="0013321A" w:rsidP="003209E2">
            <w:pPr>
              <w:jc w:val="center"/>
              <w:rPr>
                <w:rFonts w:ascii="Bookman Old Style" w:hAnsi="Bookman Old Style" w:cs="Arial"/>
                <w:b/>
                <w:bCs/>
                <w:noProof/>
                <w:color w:val="000000"/>
                <w:bdr w:val="none" w:sz="0" w:space="0" w:color="auto" w:frame="1"/>
              </w:rPr>
            </w:pPr>
          </w:p>
          <w:p w:rsidR="0013321A" w:rsidRPr="000630CE" w:rsidRDefault="0013321A" w:rsidP="003209E2">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INTI RAUL ASPRILLA</w:t>
            </w:r>
          </w:p>
          <w:p w:rsidR="0013321A" w:rsidRPr="000630CE" w:rsidRDefault="0013321A" w:rsidP="003209E2">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Representante a la Cámara</w:t>
            </w:r>
          </w:p>
          <w:p w:rsidR="0013321A" w:rsidRPr="000630CE" w:rsidRDefault="0013321A" w:rsidP="003209E2">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Alianza Verde</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p>
        </w:tc>
      </w:tr>
      <w:tr w:rsidR="0013321A" w:rsidRPr="00FC2712" w:rsidTr="003209E2">
        <w:trPr>
          <w:jc w:val="center"/>
        </w:trPr>
        <w:tc>
          <w:tcPr>
            <w:tcW w:w="4179" w:type="dxa"/>
          </w:tcPr>
          <w:p w:rsidR="0013321A" w:rsidRPr="000630CE" w:rsidRDefault="0013321A" w:rsidP="003209E2">
            <w:pPr>
              <w:jc w:val="center"/>
              <w:rPr>
                <w:rFonts w:ascii="Bookman Old Style" w:hAnsi="Bookman Old Style" w:cs="Arial"/>
                <w:b/>
                <w:noProof/>
              </w:rPr>
            </w:pPr>
          </w:p>
          <w:p w:rsidR="0013321A" w:rsidRPr="000630CE" w:rsidRDefault="0013321A" w:rsidP="003209E2">
            <w:pPr>
              <w:jc w:val="center"/>
              <w:rPr>
                <w:rFonts w:ascii="Bookman Old Style" w:hAnsi="Bookman Old Style" w:cs="Arial"/>
                <w:b/>
                <w:noProof/>
              </w:rPr>
            </w:pPr>
            <w:r w:rsidRPr="000630CE">
              <w:rPr>
                <w:rFonts w:ascii="Bookman Old Style" w:hAnsi="Bookman Old Style" w:cs="Arial"/>
                <w:b/>
                <w:noProof/>
              </w:rPr>
              <w:t>ÁNGEL MARÍA GAITÁN</w:t>
            </w:r>
          </w:p>
          <w:p w:rsidR="0013321A" w:rsidRPr="000630CE" w:rsidRDefault="0013321A" w:rsidP="003209E2">
            <w:pPr>
              <w:jc w:val="center"/>
              <w:rPr>
                <w:rFonts w:ascii="Bookman Old Style" w:hAnsi="Bookman Old Style" w:cs="Arial"/>
                <w:b/>
                <w:noProof/>
              </w:rPr>
            </w:pPr>
            <w:r w:rsidRPr="000630CE">
              <w:rPr>
                <w:rFonts w:ascii="Bookman Old Style" w:hAnsi="Bookman Old Style" w:cs="Arial"/>
                <w:b/>
                <w:noProof/>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noProof/>
                <w:sz w:val="22"/>
                <w:szCs w:val="22"/>
              </w:rPr>
              <w:t>Partido Liberal</w:t>
            </w:r>
          </w:p>
        </w:tc>
        <w:tc>
          <w:tcPr>
            <w:tcW w:w="4559" w:type="dxa"/>
          </w:tcPr>
          <w:p w:rsidR="0013321A" w:rsidRPr="000630CE" w:rsidRDefault="0013321A" w:rsidP="003209E2">
            <w:pPr>
              <w:jc w:val="center"/>
              <w:rPr>
                <w:rFonts w:ascii="Bookman Old Style" w:hAnsi="Bookman Old Style" w:cs="Arial"/>
                <w:b/>
                <w:bCs/>
                <w:noProof/>
                <w:color w:val="000000"/>
                <w:bdr w:val="none" w:sz="0" w:space="0" w:color="auto" w:frame="1"/>
              </w:rPr>
            </w:pPr>
          </w:p>
        </w:tc>
      </w:tr>
    </w:tbl>
    <w:p w:rsidR="0013321A" w:rsidRPr="00485CC5" w:rsidRDefault="0013321A" w:rsidP="00621929">
      <w:pPr>
        <w:pBdr>
          <w:top w:val="nil"/>
          <w:left w:val="nil"/>
          <w:bottom w:val="nil"/>
          <w:right w:val="nil"/>
          <w:between w:val="nil"/>
        </w:pBdr>
        <w:ind w:right="115"/>
        <w:rPr>
          <w:rFonts w:ascii="Bookman Old Style" w:hAnsi="Bookman Old Style" w:cstheme="minorHAnsi"/>
          <w:b/>
          <w:sz w:val="24"/>
          <w:szCs w:val="24"/>
        </w:rPr>
      </w:pPr>
    </w:p>
    <w:p w:rsidR="00F36280" w:rsidRPr="00485CC5" w:rsidRDefault="00F36280" w:rsidP="00D6651D">
      <w:pPr>
        <w:pBdr>
          <w:top w:val="nil"/>
          <w:left w:val="nil"/>
          <w:bottom w:val="nil"/>
          <w:right w:val="nil"/>
          <w:between w:val="nil"/>
        </w:pBdr>
        <w:ind w:right="115"/>
        <w:rPr>
          <w:rFonts w:ascii="Bookman Old Style" w:hAnsi="Bookman Old Style" w:cstheme="minorHAnsi"/>
          <w:b/>
          <w:sz w:val="24"/>
          <w:szCs w:val="24"/>
        </w:rPr>
      </w:pPr>
    </w:p>
    <w:p w:rsidR="00F36280" w:rsidRPr="00485CC5" w:rsidRDefault="00F36280" w:rsidP="001D0620">
      <w:pPr>
        <w:pBdr>
          <w:top w:val="nil"/>
          <w:left w:val="nil"/>
          <w:bottom w:val="nil"/>
          <w:right w:val="nil"/>
          <w:between w:val="nil"/>
        </w:pBdr>
        <w:ind w:right="115"/>
        <w:jc w:val="center"/>
        <w:rPr>
          <w:rFonts w:ascii="Bookman Old Style" w:hAnsi="Bookman Old Style" w:cstheme="minorHAnsi"/>
          <w:b/>
        </w:rPr>
      </w:pPr>
      <w:r w:rsidRPr="00485CC5">
        <w:rPr>
          <w:rFonts w:ascii="Bookman Old Style" w:hAnsi="Bookman Old Style" w:cstheme="minorHAnsi"/>
          <w:b/>
        </w:rPr>
        <w:t>PROYECTO DE</w:t>
      </w:r>
      <w:r w:rsidR="006B01C7">
        <w:rPr>
          <w:rFonts w:ascii="Bookman Old Style" w:hAnsi="Bookman Old Style" w:cstheme="minorHAnsi"/>
          <w:b/>
        </w:rPr>
        <w:t xml:space="preserve"> ACTO LEGISLATIVO</w:t>
      </w:r>
      <w:r w:rsidRPr="00485CC5">
        <w:rPr>
          <w:rFonts w:ascii="Bookman Old Style" w:hAnsi="Bookman Old Style" w:cstheme="minorHAnsi"/>
          <w:b/>
        </w:rPr>
        <w:t xml:space="preserve"> ______ de 20</w:t>
      </w:r>
      <w:r w:rsidR="006B01C7">
        <w:rPr>
          <w:rFonts w:ascii="Bookman Old Style" w:hAnsi="Bookman Old Style" w:cstheme="minorHAnsi"/>
          <w:b/>
        </w:rPr>
        <w:t>20</w:t>
      </w:r>
    </w:p>
    <w:p w:rsidR="00F36280" w:rsidRPr="00485CC5" w:rsidRDefault="00F36280" w:rsidP="00F36280">
      <w:pPr>
        <w:pBdr>
          <w:top w:val="nil"/>
          <w:left w:val="nil"/>
          <w:bottom w:val="nil"/>
          <w:right w:val="nil"/>
          <w:between w:val="nil"/>
        </w:pBdr>
        <w:ind w:right="115"/>
        <w:jc w:val="center"/>
        <w:rPr>
          <w:rFonts w:ascii="Bookman Old Style" w:hAnsi="Bookman Old Style" w:cstheme="minorHAnsi"/>
          <w:b/>
        </w:rPr>
      </w:pPr>
    </w:p>
    <w:p w:rsidR="00F36280" w:rsidRPr="00485CC5" w:rsidRDefault="00F36280" w:rsidP="00F36280">
      <w:pPr>
        <w:pBdr>
          <w:top w:val="nil"/>
          <w:left w:val="nil"/>
          <w:bottom w:val="nil"/>
          <w:right w:val="nil"/>
          <w:between w:val="nil"/>
        </w:pBdr>
        <w:ind w:right="115"/>
        <w:jc w:val="center"/>
        <w:rPr>
          <w:rFonts w:ascii="Bookman Old Style" w:hAnsi="Bookman Old Style" w:cstheme="minorHAnsi"/>
          <w:b/>
        </w:rPr>
      </w:pPr>
      <w:r w:rsidRPr="00485CC5">
        <w:rPr>
          <w:rStyle w:val="Textoennegrita"/>
          <w:rFonts w:ascii="Bookman Old Style" w:hAnsi="Bookman Old Style" w:cs="Calibri"/>
          <w:b w:val="0"/>
          <w:bCs w:val="0"/>
          <w:i/>
        </w:rPr>
        <w:t>“Por medio del cual se modifica el artículo </w:t>
      </w:r>
      <w:r w:rsidRPr="00485CC5">
        <w:rPr>
          <w:rFonts w:ascii="Bookman Old Style" w:hAnsi="Bookman Old Style" w:cs="Calibri"/>
          <w:i/>
        </w:rPr>
        <w:t>49</w:t>
      </w:r>
      <w:r w:rsidRPr="00485CC5">
        <w:rPr>
          <w:rStyle w:val="Textoennegrita"/>
          <w:rFonts w:ascii="Bookman Old Style" w:hAnsi="Bookman Old Style" w:cs="Calibri"/>
          <w:i/>
        </w:rPr>
        <w:t> </w:t>
      </w:r>
      <w:r w:rsidRPr="00485CC5">
        <w:rPr>
          <w:rStyle w:val="Textoennegrita"/>
          <w:rFonts w:ascii="Bookman Old Style" w:hAnsi="Bookman Old Style" w:cs="Calibri"/>
          <w:b w:val="0"/>
          <w:bCs w:val="0"/>
          <w:i/>
        </w:rPr>
        <w:t>de la Constitución Política de Colombia y se regulariza el uso recreativo del Cannabis”.</w:t>
      </w:r>
    </w:p>
    <w:p w:rsidR="00F36280" w:rsidRPr="00485CC5" w:rsidRDefault="00F36280" w:rsidP="00F36280">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rsidR="00F36280" w:rsidRPr="00485CC5" w:rsidRDefault="00F36280" w:rsidP="00F36280">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rsidR="00F36280" w:rsidRPr="00485CC5" w:rsidRDefault="00F36280" w:rsidP="00F36280">
      <w:pPr>
        <w:pStyle w:val="centrado"/>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1º. </w:t>
      </w:r>
      <w:r w:rsidRPr="00485CC5">
        <w:rPr>
          <w:rFonts w:ascii="Bookman Old Style" w:hAnsi="Bookman Old Style" w:cs="Calibri"/>
          <w:sz w:val="22"/>
          <w:szCs w:val="22"/>
        </w:rPr>
        <w:t>El artículo 49 de la Constitución Política quedará así:</w:t>
      </w:r>
      <w:r w:rsidRPr="00485CC5">
        <w:rPr>
          <w:rFonts w:ascii="Bookman Old Style" w:hAnsi="Bookman Old Style" w:cs="Calibri"/>
          <w:b/>
          <w:bCs/>
          <w:sz w:val="22"/>
          <w:szCs w:val="22"/>
        </w:rPr>
        <w:t xml:space="preserve"> </w:t>
      </w:r>
    </w:p>
    <w:p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Toda persona tiene el deber de procurar el cuidado integral de su salud y de su comunidad.</w:t>
      </w:r>
    </w:p>
    <w:p w:rsidR="00254DDC"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rsidR="00254DDC" w:rsidRPr="00485CC5" w:rsidRDefault="00254DDC" w:rsidP="00621929">
      <w:pPr>
        <w:spacing w:before="100" w:beforeAutospacing="1" w:after="100" w:afterAutospacing="1" w:line="270" w:lineRule="atLeast"/>
        <w:ind w:left="284"/>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frente al cannabis y sus derivados para el uso recreativo por parte de mayores de edad </w:t>
      </w:r>
      <w:r>
        <w:rPr>
          <w:rFonts w:ascii="Bookman Old Style" w:hAnsi="Bookman Old Style" w:cs="Calibri"/>
          <w:b/>
          <w:szCs w:val="24"/>
          <w:u w:val="single"/>
        </w:rPr>
        <w:t xml:space="preserve">y </w:t>
      </w:r>
      <w:r w:rsidRPr="00485CC5">
        <w:rPr>
          <w:rFonts w:ascii="Bookman Old Style" w:hAnsi="Bookman Old Style" w:cs="Calibri"/>
          <w:b/>
          <w:szCs w:val="24"/>
          <w:u w:val="single"/>
        </w:rPr>
        <w:t xml:space="preserve">dentro de los establecimientos que disponga la ley. Tampoco </w:t>
      </w:r>
      <w:r>
        <w:rPr>
          <w:rFonts w:ascii="Bookman Old Style" w:hAnsi="Bookman Old Style" w:cs="Calibri"/>
          <w:b/>
          <w:szCs w:val="24"/>
          <w:u w:val="single"/>
        </w:rPr>
        <w:t xml:space="preserve">aplicará </w:t>
      </w:r>
      <w:r w:rsidR="00EB478E">
        <w:rPr>
          <w:rFonts w:ascii="Bookman Old Style" w:hAnsi="Bookman Old Style" w:cs="Calibri"/>
          <w:b/>
          <w:szCs w:val="24"/>
          <w:u w:val="single"/>
        </w:rPr>
        <w:t>para la</w:t>
      </w:r>
      <w:r w:rsidRPr="00485CC5">
        <w:rPr>
          <w:rFonts w:ascii="Bookman Old Style" w:hAnsi="Bookman Old Style" w:cs="Calibri"/>
          <w:b/>
          <w:szCs w:val="24"/>
          <w:u w:val="single"/>
        </w:rPr>
        <w:t xml:space="preserve"> destinación científica</w:t>
      </w:r>
      <w:r w:rsidR="00EB478E">
        <w:rPr>
          <w:rFonts w:ascii="Bookman Old Style" w:hAnsi="Bookman Old Style" w:cs="Calibri"/>
          <w:b/>
          <w:szCs w:val="24"/>
          <w:u w:val="single"/>
        </w:rPr>
        <w:t xml:space="preserve"> de estas sustancias</w:t>
      </w:r>
      <w:r w:rsidRPr="00485CC5">
        <w:rPr>
          <w:rFonts w:ascii="Bookman Old Style" w:hAnsi="Bookman Old Style" w:cs="Calibri"/>
          <w:b/>
          <w:szCs w:val="24"/>
          <w:u w:val="single"/>
        </w:rPr>
        <w:t>, siempre y cuando se cuente con las licencias otorgadas por la autoridad competente.</w:t>
      </w:r>
      <w:r>
        <w:rPr>
          <w:rFonts w:ascii="Bookman Old Style" w:hAnsi="Bookman Old Style" w:cs="Calibri"/>
          <w:b/>
          <w:szCs w:val="24"/>
          <w:u w:val="single"/>
        </w:rPr>
        <w:t xml:space="preserve"> La Ley podrá </w:t>
      </w:r>
      <w:r>
        <w:rPr>
          <w:rFonts w:ascii="Bookman Old Style" w:hAnsi="Bookman Old Style" w:cs="Calibri"/>
          <w:b/>
          <w:szCs w:val="24"/>
          <w:u w:val="single"/>
        </w:rPr>
        <w:lastRenderedPageBreak/>
        <w:t>restringir y sancionar el porte y consumo del cannabis y sus derivados en espacios públicos y zonas comunes.</w:t>
      </w:r>
    </w:p>
    <w:p w:rsidR="00F36280" w:rsidRPr="00485CC5" w:rsidRDefault="00F36280" w:rsidP="00254DDC">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rsidR="00F36280" w:rsidRPr="00485CC5" w:rsidRDefault="00F36280" w:rsidP="00F36280">
      <w:pPr>
        <w:pStyle w:val="NormalWeb"/>
        <w:spacing w:line="270" w:lineRule="atLeast"/>
        <w:jc w:val="both"/>
        <w:rPr>
          <w:rFonts w:ascii="Bookman Old Style" w:hAnsi="Bookman Old Style" w:cs="Calibri"/>
          <w:sz w:val="22"/>
          <w:szCs w:val="22"/>
        </w:rPr>
      </w:pPr>
      <w:r w:rsidRPr="00485CC5">
        <w:rPr>
          <w:rFonts w:ascii="Bookman Old Style" w:hAnsi="Bookman Old Style" w:cs="Calibri"/>
          <w:b/>
          <w:bCs/>
          <w:sz w:val="22"/>
          <w:szCs w:val="22"/>
        </w:rPr>
        <w:t>ARTÍCULO 2. VIGENCIA.</w:t>
      </w:r>
      <w:r w:rsidR="00470A0B">
        <w:rPr>
          <w:rFonts w:ascii="Bookman Old Style" w:hAnsi="Bookman Old Style" w:cs="Calibri"/>
          <w:sz w:val="22"/>
          <w:szCs w:val="22"/>
        </w:rPr>
        <w:t> El presente Acto Legislativo</w:t>
      </w:r>
      <w:r w:rsidRPr="00485CC5">
        <w:rPr>
          <w:rFonts w:ascii="Bookman Old Style" w:hAnsi="Bookman Old Style" w:cs="Calibri"/>
          <w:sz w:val="22"/>
          <w:szCs w:val="22"/>
        </w:rPr>
        <w:t xml:space="preserve"> rige a partir de su promulgación.</w:t>
      </w:r>
    </w:p>
    <w:p w:rsidR="00F36280" w:rsidRPr="00485CC5" w:rsidRDefault="00F36280" w:rsidP="00F36280">
      <w:pPr>
        <w:pStyle w:val="NormalWeb"/>
        <w:spacing w:line="270" w:lineRule="atLeast"/>
        <w:jc w:val="both"/>
        <w:rPr>
          <w:rFonts w:ascii="Bookman Old Style" w:hAnsi="Bookman Old Style" w:cs="Calibri"/>
          <w:sz w:val="22"/>
          <w:szCs w:val="22"/>
        </w:rPr>
      </w:pPr>
    </w:p>
    <w:p w:rsidR="00F36280" w:rsidRPr="00485CC5" w:rsidRDefault="00F36280" w:rsidP="00F36280">
      <w:pPr>
        <w:jc w:val="both"/>
        <w:rPr>
          <w:rFonts w:ascii="Bookman Old Style" w:hAnsi="Bookman Old Style" w:cstheme="minorHAnsi"/>
        </w:rPr>
      </w:pPr>
      <w:r w:rsidRPr="00485CC5">
        <w:rPr>
          <w:rFonts w:ascii="Bookman Old Style" w:hAnsi="Bookman Old Style" w:cstheme="minorHAnsi"/>
        </w:rPr>
        <w:t xml:space="preserve">Cordialmente, </w:t>
      </w:r>
    </w:p>
    <w:p w:rsidR="00F36280" w:rsidRPr="00485CC5" w:rsidRDefault="00F36280" w:rsidP="00F36280">
      <w:pPr>
        <w:rPr>
          <w:rFonts w:ascii="Bookman Old Style" w:hAnsi="Bookman Old Style" w:cstheme="minorHAnsi"/>
          <w:b/>
        </w:rPr>
      </w:pPr>
    </w:p>
    <w:p w:rsidR="00F36280" w:rsidRPr="00485CC5" w:rsidRDefault="00F36280" w:rsidP="00F36280">
      <w:pPr>
        <w:rPr>
          <w:rFonts w:ascii="Bookman Old Style" w:hAnsi="Bookman Old Style" w:cstheme="minorHAnsi"/>
        </w:rPr>
      </w:pPr>
    </w:p>
    <w:p w:rsidR="00F36280" w:rsidRPr="00485CC5" w:rsidRDefault="00F36280" w:rsidP="00F36280">
      <w:pPr>
        <w:rPr>
          <w:rFonts w:ascii="Bookman Old Style" w:hAnsi="Bookman Old Style" w:cstheme="minorHAnsi"/>
        </w:rPr>
      </w:pPr>
    </w:p>
    <w:p w:rsidR="00F36280" w:rsidRPr="00485CC5" w:rsidRDefault="00F36280" w:rsidP="00F36280">
      <w:pPr>
        <w:pBdr>
          <w:top w:val="nil"/>
          <w:left w:val="nil"/>
          <w:bottom w:val="nil"/>
          <w:right w:val="nil"/>
          <w:between w:val="nil"/>
        </w:pBdr>
        <w:ind w:right="115"/>
        <w:jc w:val="center"/>
        <w:rPr>
          <w:rFonts w:ascii="Bookman Old Style" w:hAnsi="Bookman Old Style" w:cstheme="minorHAnsi"/>
        </w:rPr>
      </w:pPr>
    </w:p>
    <w:p w:rsidR="00F36280" w:rsidRPr="00485CC5" w:rsidRDefault="00F36280" w:rsidP="00F36280">
      <w:pPr>
        <w:pBdr>
          <w:top w:val="nil"/>
          <w:left w:val="nil"/>
          <w:bottom w:val="nil"/>
          <w:right w:val="nil"/>
          <w:between w:val="nil"/>
        </w:pBdr>
        <w:ind w:right="115"/>
        <w:jc w:val="center"/>
        <w:rPr>
          <w:rFonts w:ascii="Bookman Old Style" w:hAnsi="Bookman Old Style" w:cstheme="minorHAnsi"/>
        </w:rPr>
      </w:pPr>
    </w:p>
    <w:p w:rsidR="00F36280" w:rsidRPr="00485CC5" w:rsidRDefault="00F36280" w:rsidP="00F36280">
      <w:pPr>
        <w:pBdr>
          <w:top w:val="nil"/>
          <w:left w:val="nil"/>
          <w:bottom w:val="nil"/>
          <w:right w:val="nil"/>
          <w:between w:val="nil"/>
        </w:pBdr>
        <w:ind w:right="115"/>
        <w:rPr>
          <w:rFonts w:ascii="Bookman Old Style" w:hAnsi="Bookman Old Style" w:cstheme="minorHAnsi"/>
        </w:rPr>
      </w:pPr>
      <w:r w:rsidRPr="00485CC5">
        <w:rPr>
          <w:rFonts w:ascii="Bookman Old Style" w:hAnsi="Bookman Old Style" w:cstheme="minorHAnsi"/>
        </w:rPr>
        <w:t>__________________________________                   _________________________________</w:t>
      </w:r>
    </w:p>
    <w:p w:rsidR="00F36280" w:rsidRPr="00485CC5" w:rsidRDefault="00F36280" w:rsidP="00F36280">
      <w:pPr>
        <w:pBdr>
          <w:top w:val="nil"/>
          <w:left w:val="nil"/>
          <w:bottom w:val="nil"/>
          <w:right w:val="nil"/>
          <w:between w:val="nil"/>
        </w:pBdr>
        <w:ind w:right="115"/>
        <w:rPr>
          <w:rFonts w:ascii="Bookman Old Style" w:hAnsi="Bookman Old Style" w:cstheme="minorHAnsi"/>
          <w:b/>
        </w:rPr>
      </w:pPr>
      <w:r w:rsidRPr="00485CC5">
        <w:rPr>
          <w:rFonts w:ascii="Bookman Old Style" w:hAnsi="Bookman Old Style" w:cstheme="minorHAnsi"/>
          <w:b/>
        </w:rPr>
        <w:t>JUAN CARLOS LOSADA VARGAS.                 JUAN FERNANDO REYES KURI.</w:t>
      </w:r>
    </w:p>
    <w:p w:rsidR="00F36280" w:rsidRDefault="00F36280" w:rsidP="00F36280">
      <w:pPr>
        <w:pBdr>
          <w:top w:val="nil"/>
          <w:left w:val="nil"/>
          <w:bottom w:val="nil"/>
          <w:right w:val="nil"/>
          <w:between w:val="nil"/>
        </w:pBdr>
        <w:ind w:right="115"/>
        <w:rPr>
          <w:rFonts w:ascii="Bookman Old Style" w:hAnsi="Bookman Old Style" w:cstheme="minorHAnsi"/>
        </w:rPr>
      </w:pPr>
      <w:r w:rsidRPr="00485CC5">
        <w:rPr>
          <w:rFonts w:ascii="Bookman Old Style" w:hAnsi="Bookman Old Style" w:cstheme="minorHAnsi"/>
        </w:rPr>
        <w:t>Representante a la Cámara por Bogotá    Representante a la Cámara por el Valle</w:t>
      </w:r>
      <w:r w:rsidRPr="00485CC5">
        <w:rPr>
          <w:rFonts w:ascii="Bookman Old Style" w:hAnsi="Bookman Old Style" w:cstheme="minorHAnsi"/>
        </w:rPr>
        <w:br/>
        <w:t>Partido Liberal Colombiano                                        Partido Liberal Colombiano</w:t>
      </w:r>
    </w:p>
    <w:p w:rsidR="00111B26" w:rsidRPr="00485CC5" w:rsidRDefault="00111B26" w:rsidP="00F36280">
      <w:pPr>
        <w:pBdr>
          <w:top w:val="nil"/>
          <w:left w:val="nil"/>
          <w:bottom w:val="nil"/>
          <w:right w:val="nil"/>
          <w:between w:val="nil"/>
        </w:pBdr>
        <w:ind w:right="115"/>
        <w:rPr>
          <w:rFonts w:ascii="Bookman Old Style" w:hAnsi="Bookman Old Style" w:cstheme="minorHAnsi"/>
        </w:rPr>
      </w:pPr>
    </w:p>
    <w:p w:rsidR="00111B26" w:rsidRPr="00485CC5" w:rsidRDefault="00111B26" w:rsidP="00F36280">
      <w:pPr>
        <w:pStyle w:val="NormalWeb"/>
        <w:spacing w:line="270" w:lineRule="atLeast"/>
        <w:rPr>
          <w:rFonts w:ascii="Bookman Old Style" w:hAnsi="Bookman Old Style" w:cs="Calibri"/>
        </w:rPr>
      </w:pPr>
    </w:p>
    <w:tbl>
      <w:tblPr>
        <w:tblStyle w:val="Tablaconcuadrcula"/>
        <w:tblW w:w="0" w:type="auto"/>
        <w:jc w:val="center"/>
        <w:tblLook w:val="04A0" w:firstRow="1" w:lastRow="0" w:firstColumn="1" w:lastColumn="0" w:noHBand="0" w:noVBand="1"/>
      </w:tblPr>
      <w:tblGrid>
        <w:gridCol w:w="4179"/>
        <w:gridCol w:w="4559"/>
      </w:tblGrid>
      <w:tr w:rsidR="0013321A" w:rsidRPr="00FC2712" w:rsidTr="003209E2">
        <w:trPr>
          <w:trHeight w:val="1585"/>
          <w:jc w:val="center"/>
        </w:trPr>
        <w:tc>
          <w:tcPr>
            <w:tcW w:w="417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MAURICIO TORO ORJUELA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c>
          <w:tcPr>
            <w:tcW w:w="455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ANDRÉS CALLE AGUAS</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Partido Liberal</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tc>
      </w:tr>
      <w:tr w:rsidR="0013321A" w:rsidRPr="00FC2712" w:rsidTr="003209E2">
        <w:trPr>
          <w:jc w:val="center"/>
        </w:trPr>
        <w:tc>
          <w:tcPr>
            <w:tcW w:w="4179" w:type="dxa"/>
          </w:tcPr>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ALEJADRO VEGA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Partido Liberal</w:t>
            </w:r>
          </w:p>
        </w:tc>
        <w:tc>
          <w:tcPr>
            <w:tcW w:w="4559" w:type="dxa"/>
          </w:tcPr>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bdr w:val="none" w:sz="0" w:space="0" w:color="auto" w:frame="1"/>
              </w:rPr>
              <w:fldChar w:fldCharType="begin"/>
            </w:r>
            <w:r w:rsidRPr="000630CE">
              <w:rPr>
                <w:rFonts w:ascii="Bookman Old Style" w:hAnsi="Bookman Old Style" w:cs="Arial"/>
                <w:b/>
                <w:bCs/>
                <w:color w:val="000000"/>
                <w:sz w:val="22"/>
                <w:szCs w:val="22"/>
                <w:bdr w:val="none" w:sz="0" w:space="0" w:color="auto" w:frame="1"/>
              </w:rPr>
              <w:instrText xml:space="preserve"> INCLUDEPICTURE "https://lh4.googleusercontent.com/Y0CcHn9QPkqr6z3KKyVZ3fLpYNlGYC0zZLiSGlZrFI-C3CVbsMUr3Vz8nsJxeg98nVJrmXyxnOPN0rXbSYgIjVRK2q2mh5_t-ltQVd1vZMsi3FE_YePcyHohv_BDVA" \* MERGEFORMATINET </w:instrText>
            </w:r>
            <w:r w:rsidRPr="000630CE">
              <w:rPr>
                <w:rFonts w:ascii="Bookman Old Style" w:hAnsi="Bookman Old Style" w:cs="Arial"/>
                <w:b/>
                <w:bCs/>
                <w:color w:val="000000"/>
                <w:sz w:val="22"/>
                <w:szCs w:val="22"/>
                <w:bdr w:val="none" w:sz="0" w:space="0" w:color="auto" w:frame="1"/>
              </w:rPr>
              <w:fldChar w:fldCharType="end"/>
            </w:r>
            <w:r w:rsidRPr="000630CE">
              <w:rPr>
                <w:rFonts w:ascii="Bookman Old Style" w:hAnsi="Bookman Old Style" w:cs="Arial"/>
                <w:b/>
                <w:bCs/>
                <w:color w:val="000000"/>
                <w:sz w:val="22"/>
                <w:szCs w:val="22"/>
              </w:rPr>
              <w:t>Carlos Ardila Espinosa</w:t>
            </w:r>
          </w:p>
          <w:p w:rsidR="0013321A" w:rsidRPr="000630CE" w:rsidRDefault="0013321A" w:rsidP="003209E2">
            <w:pPr>
              <w:pStyle w:val="NormalWeb"/>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sz w:val="22"/>
                <w:szCs w:val="22"/>
                <w:lang w:val="es-ES_tradnl"/>
              </w:rPr>
              <w:t>Partido Liberal</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sz w:val="22"/>
                <w:szCs w:val="22"/>
                <w:lang w:val="es-ES_tradnl"/>
              </w:rPr>
            </w:pPr>
          </w:p>
        </w:tc>
      </w:tr>
      <w:tr w:rsidR="0013321A" w:rsidRPr="00FC2712" w:rsidTr="003209E2">
        <w:trPr>
          <w:jc w:val="center"/>
        </w:trPr>
        <w:tc>
          <w:tcPr>
            <w:tcW w:w="4179" w:type="dxa"/>
          </w:tcPr>
          <w:p w:rsidR="0013321A" w:rsidRPr="000630CE" w:rsidRDefault="0013321A" w:rsidP="003209E2">
            <w:pPr>
              <w:jc w:val="center"/>
              <w:rPr>
                <w:rFonts w:ascii="Bookman Old Style" w:hAnsi="Bookman Old Style"/>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ALEJANDRO CARLOS CHACÓN</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lastRenderedPageBreak/>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Partido Liberal</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tc>
        <w:tc>
          <w:tcPr>
            <w:tcW w:w="4559" w:type="dxa"/>
          </w:tcPr>
          <w:p w:rsidR="0013321A"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JULIAN PEINADO</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lastRenderedPageBreak/>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Partido Liberal</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tc>
      </w:tr>
      <w:tr w:rsidR="0013321A" w:rsidRPr="00FC2712" w:rsidTr="003209E2">
        <w:trPr>
          <w:jc w:val="center"/>
        </w:trPr>
        <w:tc>
          <w:tcPr>
            <w:tcW w:w="4179" w:type="dxa"/>
          </w:tcPr>
          <w:p w:rsidR="0013321A" w:rsidRPr="000630CE" w:rsidRDefault="0013321A" w:rsidP="003209E2">
            <w:pPr>
              <w:tabs>
                <w:tab w:val="right" w:pos="8838"/>
              </w:tabs>
              <w:spacing w:line="276" w:lineRule="auto"/>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HARRY GIOVANNY GONZÁLEZ</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jc w:val="center"/>
              <w:rPr>
                <w:rFonts w:ascii="Bookman Old Style" w:hAnsi="Bookman Old Style"/>
                <w:bdr w:val="none" w:sz="0" w:space="0" w:color="auto" w:frame="1"/>
              </w:rPr>
            </w:pPr>
            <w:r w:rsidRPr="000630CE">
              <w:rPr>
                <w:rFonts w:ascii="Bookman Old Style" w:hAnsi="Bookman Old Style" w:cs="Arial"/>
                <w:b/>
                <w:bCs/>
                <w:lang w:val="es-ES_tradnl"/>
              </w:rPr>
              <w:t>Partido Liberal</w:t>
            </w:r>
          </w:p>
        </w:tc>
        <w:tc>
          <w:tcPr>
            <w:tcW w:w="4559" w:type="dxa"/>
          </w:tcPr>
          <w:p w:rsidR="0013321A" w:rsidRPr="000630CE" w:rsidRDefault="0013321A" w:rsidP="003209E2">
            <w:pPr>
              <w:jc w:val="center"/>
              <w:rPr>
                <w:rFonts w:ascii="Bookman Old Style" w:hAnsi="Bookman Old Style" w:cs="Arial"/>
                <w:b/>
                <w:bCs/>
                <w:color w:val="000000"/>
                <w:bdr w:val="none" w:sz="0" w:space="0" w:color="auto" w:frame="1"/>
              </w:rPr>
            </w:pPr>
          </w:p>
          <w:p w:rsidR="0013321A" w:rsidRPr="000630CE" w:rsidRDefault="0013321A" w:rsidP="003209E2">
            <w:pPr>
              <w:rPr>
                <w:rFonts w:ascii="Bookman Old Style" w:hAnsi="Bookman Old Style" w:cs="Arial"/>
                <w:b/>
                <w:bCs/>
                <w:color w:val="000000"/>
              </w:rPr>
            </w:pPr>
          </w:p>
          <w:p w:rsidR="0013321A" w:rsidRPr="000630CE" w:rsidRDefault="0013321A" w:rsidP="003209E2">
            <w:pPr>
              <w:jc w:val="center"/>
              <w:rPr>
                <w:rFonts w:ascii="Bookman Old Style" w:hAnsi="Bookman Old Style" w:cs="Arial"/>
                <w:b/>
                <w:bCs/>
                <w:color w:val="000000"/>
              </w:rPr>
            </w:pPr>
          </w:p>
          <w:p w:rsidR="0013321A" w:rsidRPr="000630CE" w:rsidRDefault="0013321A" w:rsidP="003209E2">
            <w:pPr>
              <w:jc w:val="center"/>
              <w:rPr>
                <w:rFonts w:ascii="Bookman Old Style" w:hAnsi="Bookman Old Style"/>
              </w:rPr>
            </w:pPr>
            <w:r w:rsidRPr="000630CE">
              <w:rPr>
                <w:rFonts w:ascii="Bookman Old Style" w:hAnsi="Bookman Old Style" w:cs="Arial"/>
                <w:b/>
                <w:bCs/>
                <w:color w:val="000000"/>
              </w:rPr>
              <w:t>FABIO FERNANDO ARROYAVE</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color w:val="000000"/>
                <w:sz w:val="22"/>
                <w:szCs w:val="22"/>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rPr>
              <w:t>Partido Liberal</w:t>
            </w:r>
          </w:p>
        </w:tc>
      </w:tr>
      <w:tr w:rsidR="0013321A" w:rsidRPr="00FC2712" w:rsidTr="003209E2">
        <w:trPr>
          <w:jc w:val="center"/>
        </w:trPr>
        <w:tc>
          <w:tcPr>
            <w:tcW w:w="4179" w:type="dxa"/>
          </w:tcPr>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p>
          <w:p w:rsidR="0013321A" w:rsidRPr="000630CE" w:rsidRDefault="0013321A" w:rsidP="003209E2">
            <w:pPr>
              <w:jc w:val="center"/>
              <w:rPr>
                <w:rFonts w:ascii="Bookman Old Style" w:hAnsi="Bookman Old Style" w:cs="Arial"/>
                <w:b/>
              </w:rPr>
            </w:pPr>
            <w:r w:rsidRPr="000630CE">
              <w:rPr>
                <w:rFonts w:ascii="Bookman Old Style" w:hAnsi="Bookman Old Style" w:cs="Arial"/>
                <w:b/>
              </w:rPr>
              <w:t>CARLOS GERMÁN NAVAS TALERO</w:t>
            </w:r>
          </w:p>
          <w:p w:rsidR="0013321A" w:rsidRPr="000630CE" w:rsidRDefault="0013321A" w:rsidP="003209E2">
            <w:pPr>
              <w:jc w:val="center"/>
              <w:rPr>
                <w:rFonts w:ascii="Bookman Old Style" w:hAnsi="Bookman Old Style" w:cs="Arial"/>
                <w:b/>
              </w:rPr>
            </w:pPr>
            <w:r w:rsidRPr="000630CE">
              <w:rPr>
                <w:rFonts w:ascii="Bookman Old Style" w:hAnsi="Bookman Old Style" w:cs="Arial"/>
                <w:b/>
              </w:rPr>
              <w:t>Representante a la Cámara</w:t>
            </w:r>
          </w:p>
          <w:p w:rsidR="0013321A" w:rsidRPr="000630CE" w:rsidRDefault="0013321A" w:rsidP="003209E2">
            <w:pPr>
              <w:jc w:val="center"/>
              <w:rPr>
                <w:rFonts w:ascii="Bookman Old Style" w:hAnsi="Bookman Old Style" w:cs="Arial"/>
                <w:b/>
              </w:rPr>
            </w:pPr>
            <w:r w:rsidRPr="000630CE">
              <w:rPr>
                <w:rFonts w:ascii="Bookman Old Style" w:hAnsi="Bookman Old Style" w:cs="Arial"/>
                <w:b/>
              </w:rPr>
              <w:t>Polo Democrático</w:t>
            </w:r>
          </w:p>
          <w:p w:rsidR="0013321A" w:rsidRPr="000630CE" w:rsidRDefault="0013321A" w:rsidP="003209E2">
            <w:pPr>
              <w:tabs>
                <w:tab w:val="right" w:pos="8838"/>
              </w:tabs>
              <w:spacing w:line="276" w:lineRule="auto"/>
              <w:jc w:val="center"/>
              <w:rPr>
                <w:rFonts w:ascii="Bookman Old Style" w:hAnsi="Bookman Old Style" w:cs="Arial"/>
                <w:b/>
                <w:bCs/>
                <w:noProof/>
                <w:color w:val="000000"/>
                <w:bdr w:val="none" w:sz="0" w:space="0" w:color="auto" w:frame="1"/>
              </w:rPr>
            </w:pPr>
          </w:p>
        </w:tc>
        <w:tc>
          <w:tcPr>
            <w:tcW w:w="4559" w:type="dxa"/>
          </w:tcPr>
          <w:p w:rsidR="0013321A" w:rsidRPr="000630CE" w:rsidRDefault="0013321A" w:rsidP="003209E2">
            <w:pPr>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cs="Arial"/>
                <w:b/>
                <w:bCs/>
                <w:lang w:val="es-ES_tradnl"/>
              </w:rPr>
            </w:pPr>
          </w:p>
          <w:p w:rsidR="0013321A" w:rsidRDefault="0013321A" w:rsidP="003209E2">
            <w:pPr>
              <w:jc w:val="center"/>
              <w:rPr>
                <w:rFonts w:ascii="Bookman Old Style" w:hAnsi="Bookman Old Style" w:cs="Arial"/>
                <w:b/>
                <w:bCs/>
                <w:lang w:val="es-ES_tradnl"/>
              </w:rPr>
            </w:pPr>
          </w:p>
          <w:p w:rsidR="0013321A" w:rsidRDefault="0013321A" w:rsidP="003209E2">
            <w:pPr>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rPr>
            </w:pPr>
            <w:r w:rsidRPr="000630CE">
              <w:rPr>
                <w:rFonts w:ascii="Bookman Old Style" w:hAnsi="Bookman Old Style" w:cs="Arial"/>
                <w:b/>
                <w:bCs/>
                <w:lang w:val="es-ES_tradnl"/>
              </w:rPr>
              <w:t>JUANITA GOEBERTUS</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jc w:val="center"/>
              <w:rPr>
                <w:rFonts w:ascii="Bookman Old Style" w:hAnsi="Bookman Old Style" w:cs="Arial"/>
                <w:b/>
                <w:bCs/>
                <w:color w:val="000000"/>
                <w:bdr w:val="none" w:sz="0" w:space="0" w:color="auto" w:frame="1"/>
              </w:rPr>
            </w:pPr>
            <w:r w:rsidRPr="000630CE">
              <w:rPr>
                <w:rFonts w:ascii="Bookman Old Style" w:hAnsi="Bookman Old Style" w:cs="Arial"/>
                <w:b/>
                <w:bCs/>
                <w:lang w:val="es-ES_tradnl"/>
              </w:rPr>
              <w:t>Alianza Verde</w:t>
            </w:r>
          </w:p>
        </w:tc>
      </w:tr>
      <w:tr w:rsidR="0013321A" w:rsidRPr="00FC2712" w:rsidTr="003209E2">
        <w:trPr>
          <w:trHeight w:val="1993"/>
          <w:jc w:val="center"/>
        </w:trPr>
        <w:tc>
          <w:tcPr>
            <w:tcW w:w="417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KATHERINE MIRANDA PEÑA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c>
          <w:tcPr>
            <w:tcW w:w="455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CATALINA ORTIZ</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r>
      <w:tr w:rsidR="0013321A" w:rsidRPr="00FC2712" w:rsidTr="003209E2">
        <w:trPr>
          <w:jc w:val="center"/>
        </w:trPr>
        <w:tc>
          <w:tcPr>
            <w:tcW w:w="4179" w:type="dxa"/>
          </w:tcPr>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tabs>
                <w:tab w:val="right" w:pos="8838"/>
              </w:tabs>
              <w:spacing w:line="276" w:lineRule="auto"/>
              <w:jc w:val="center"/>
              <w:rPr>
                <w:rFonts w:ascii="Bookman Old Style" w:hAnsi="Bookman Old Style" w:cs="Arial"/>
                <w:b/>
                <w:bCs/>
                <w:lang w:val="es-ES_tradnl"/>
              </w:rPr>
            </w:pPr>
          </w:p>
          <w:p w:rsidR="0013321A" w:rsidRPr="000630CE" w:rsidRDefault="0013321A" w:rsidP="003209E2">
            <w:pPr>
              <w:jc w:val="center"/>
              <w:rPr>
                <w:rFonts w:ascii="Bookman Old Style" w:hAnsi="Bookman Old Style" w:cs="Arial"/>
                <w:b/>
                <w:bCs/>
                <w:color w:val="000000"/>
                <w:bdr w:val="none" w:sz="0" w:space="0" w:color="auto" w:frame="1"/>
              </w:rPr>
            </w:pPr>
            <w:r w:rsidRPr="000630CE">
              <w:rPr>
                <w:rFonts w:ascii="Bookman Old Style" w:hAnsi="Bookman Old Style" w:cs="Arial"/>
                <w:b/>
                <w:bCs/>
                <w:color w:val="000000"/>
                <w:bdr w:val="none" w:sz="0" w:space="0" w:color="auto" w:frame="1"/>
              </w:rPr>
              <w:fldChar w:fldCharType="begin"/>
            </w:r>
            <w:r w:rsidRPr="000630CE">
              <w:rPr>
                <w:rFonts w:ascii="Bookman Old Style" w:hAnsi="Bookman Old Style" w:cs="Arial"/>
                <w:b/>
                <w:bCs/>
                <w:color w:val="000000"/>
                <w:bdr w:val="none" w:sz="0" w:space="0" w:color="auto" w:frame="1"/>
              </w:rPr>
              <w:instrText xml:space="preserve"> INCLUDEPICTURE "https://lh6.googleusercontent.com/-vKQtts3sI-Z93wGDT6r0m5j22Gk02C8nS7L3pAjn7T9-Vr4B7yaVlwnP3E8OtPn_JODB_DJ3-lrpjW0byEqceeFTNBtymDOnTEhaSjokfjxfHkxkFuymjJDbQD5LQ" \* MERGEFORMATINET </w:instrText>
            </w:r>
            <w:r w:rsidRPr="000630CE">
              <w:rPr>
                <w:rFonts w:ascii="Bookman Old Style" w:hAnsi="Bookman Old Style" w:cs="Arial"/>
                <w:b/>
                <w:bCs/>
                <w:color w:val="000000"/>
                <w:bdr w:val="none" w:sz="0" w:space="0" w:color="auto" w:frame="1"/>
              </w:rPr>
              <w:fldChar w:fldCharType="end"/>
            </w:r>
            <w:r w:rsidRPr="000630CE">
              <w:rPr>
                <w:rFonts w:ascii="Bookman Old Style" w:hAnsi="Bookman Old Style" w:cs="Arial"/>
                <w:b/>
                <w:bCs/>
                <w:lang w:val="es-ES_tradnl"/>
              </w:rPr>
              <w:t>JOSÉ DANIEL LÓPEZ</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sz w:val="22"/>
                <w:szCs w:val="22"/>
                <w:lang w:val="es-ES_tradnl"/>
              </w:rPr>
              <w:t>Cambio Radical</w:t>
            </w:r>
          </w:p>
        </w:tc>
        <w:tc>
          <w:tcPr>
            <w:tcW w:w="4559" w:type="dxa"/>
          </w:tcPr>
          <w:p w:rsidR="0013321A" w:rsidRDefault="0013321A" w:rsidP="003209E2">
            <w:pPr>
              <w:pStyle w:val="NormalWeb"/>
              <w:tabs>
                <w:tab w:val="left" w:pos="383"/>
                <w:tab w:val="center" w:pos="2171"/>
              </w:tabs>
              <w:spacing w:before="0" w:beforeAutospacing="0" w:after="0" w:afterAutospacing="0"/>
              <w:jc w:val="center"/>
              <w:rPr>
                <w:rFonts w:ascii="Bookman Old Style" w:hAnsi="Bookman Old Style" w:cs="Arial"/>
                <w:b/>
                <w:bCs/>
                <w:color w:val="000000"/>
                <w:sz w:val="22"/>
                <w:szCs w:val="22"/>
              </w:rPr>
            </w:pPr>
          </w:p>
          <w:p w:rsidR="0013321A" w:rsidRDefault="0013321A" w:rsidP="003209E2">
            <w:pPr>
              <w:pStyle w:val="NormalWeb"/>
              <w:tabs>
                <w:tab w:val="left" w:pos="383"/>
                <w:tab w:val="center" w:pos="2171"/>
              </w:tabs>
              <w:spacing w:before="0" w:beforeAutospacing="0" w:after="0" w:afterAutospacing="0"/>
              <w:jc w:val="center"/>
              <w:rPr>
                <w:rFonts w:ascii="Bookman Old Style" w:hAnsi="Bookman Old Style" w:cs="Arial"/>
                <w:b/>
                <w:bCs/>
                <w:color w:val="000000"/>
                <w:sz w:val="22"/>
                <w:szCs w:val="22"/>
              </w:rPr>
            </w:pPr>
          </w:p>
          <w:p w:rsidR="0013321A" w:rsidRPr="000630CE" w:rsidRDefault="0013321A" w:rsidP="003209E2">
            <w:pPr>
              <w:pStyle w:val="NormalWeb"/>
              <w:tabs>
                <w:tab w:val="left" w:pos="383"/>
                <w:tab w:val="center" w:pos="2171"/>
              </w:tabs>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rPr>
              <w:t>CÉSAR AUGUSTO LORDUY</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color w:val="000000"/>
                <w:sz w:val="22"/>
                <w:szCs w:val="22"/>
              </w:rPr>
              <w:t>Representante a la Cámara</w:t>
            </w:r>
          </w:p>
          <w:p w:rsidR="0013321A" w:rsidRPr="000630CE" w:rsidRDefault="0013321A" w:rsidP="003209E2">
            <w:pPr>
              <w:tabs>
                <w:tab w:val="right" w:pos="8838"/>
              </w:tabs>
              <w:spacing w:line="276" w:lineRule="auto"/>
              <w:jc w:val="center"/>
              <w:rPr>
                <w:rFonts w:ascii="Bookman Old Style" w:hAnsi="Bookman Old Style" w:cs="Arial"/>
                <w:b/>
                <w:bCs/>
                <w:color w:val="000000"/>
              </w:rPr>
            </w:pPr>
            <w:r w:rsidRPr="000630CE">
              <w:rPr>
                <w:rFonts w:ascii="Bookman Old Style" w:hAnsi="Bookman Old Style" w:cs="Arial"/>
                <w:b/>
                <w:bCs/>
                <w:color w:val="000000"/>
              </w:rPr>
              <w:t>Cambio Radical</w:t>
            </w:r>
          </w:p>
        </w:tc>
      </w:tr>
      <w:tr w:rsidR="0013321A" w:rsidRPr="00FC2712" w:rsidTr="003209E2">
        <w:trPr>
          <w:jc w:val="center"/>
        </w:trPr>
        <w:tc>
          <w:tcPr>
            <w:tcW w:w="4179" w:type="dxa"/>
          </w:tcPr>
          <w:p w:rsidR="0013321A" w:rsidRDefault="0013321A" w:rsidP="003209E2">
            <w:pPr>
              <w:pStyle w:val="NormalWeb"/>
              <w:spacing w:before="0" w:beforeAutospacing="0" w:after="0" w:afterAutospacing="0"/>
              <w:jc w:val="center"/>
              <w:rPr>
                <w:rFonts w:ascii="Bookman Old Style" w:hAnsi="Bookman Old Style" w:cs="Arial"/>
                <w:b/>
                <w:bCs/>
                <w:color w:val="000000"/>
                <w:sz w:val="22"/>
                <w:szCs w:val="22"/>
              </w:rPr>
            </w:pPr>
          </w:p>
          <w:p w:rsidR="0013321A" w:rsidRPr="000630CE" w:rsidRDefault="0013321A" w:rsidP="003209E2">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bCs/>
                <w:color w:val="000000"/>
                <w:sz w:val="22"/>
                <w:szCs w:val="22"/>
              </w:rPr>
              <w:t>ALFREDO RAFAEL DELUQUE</w:t>
            </w:r>
          </w:p>
          <w:p w:rsidR="0013321A" w:rsidRPr="000630CE" w:rsidRDefault="0013321A" w:rsidP="003209E2">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color w:val="000000"/>
                <w:sz w:val="22"/>
                <w:szCs w:val="22"/>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color w:val="000000"/>
                <w:sz w:val="22"/>
                <w:szCs w:val="22"/>
              </w:rPr>
              <w:t>Departamento de La Guajira</w:t>
            </w:r>
          </w:p>
        </w:tc>
        <w:tc>
          <w:tcPr>
            <w:tcW w:w="4559" w:type="dxa"/>
          </w:tcPr>
          <w:p w:rsidR="0013321A" w:rsidRDefault="0013321A" w:rsidP="003209E2">
            <w:pPr>
              <w:jc w:val="center"/>
              <w:rPr>
                <w:rFonts w:ascii="Bookman Old Style" w:hAnsi="Bookman Old Style" w:cs="Arial"/>
                <w:b/>
                <w:bCs/>
                <w:noProof/>
                <w:color w:val="000000"/>
                <w:bdr w:val="none" w:sz="0" w:space="0" w:color="auto" w:frame="1"/>
              </w:rPr>
            </w:pPr>
          </w:p>
          <w:p w:rsidR="0013321A" w:rsidRPr="000630CE" w:rsidRDefault="0013321A" w:rsidP="003209E2">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INTI RAUL ASPRILLA</w:t>
            </w:r>
          </w:p>
          <w:p w:rsidR="0013321A" w:rsidRPr="000630CE" w:rsidRDefault="0013321A" w:rsidP="003209E2">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Representante a la Cámara</w:t>
            </w:r>
          </w:p>
          <w:p w:rsidR="0013321A" w:rsidRPr="000630CE" w:rsidRDefault="0013321A" w:rsidP="003209E2">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Alianza Verde</w:t>
            </w:r>
          </w:p>
          <w:p w:rsidR="0013321A" w:rsidRPr="000630CE" w:rsidRDefault="0013321A" w:rsidP="003209E2">
            <w:pPr>
              <w:tabs>
                <w:tab w:val="right" w:pos="8838"/>
              </w:tabs>
              <w:spacing w:line="276" w:lineRule="auto"/>
              <w:jc w:val="center"/>
              <w:rPr>
                <w:rFonts w:ascii="Bookman Old Style" w:hAnsi="Bookman Old Style" w:cs="Arial"/>
                <w:b/>
                <w:bCs/>
                <w:lang w:val="es-ES_tradnl"/>
              </w:rPr>
            </w:pPr>
          </w:p>
        </w:tc>
      </w:tr>
      <w:tr w:rsidR="0013321A" w:rsidRPr="00FC2712" w:rsidTr="003209E2">
        <w:trPr>
          <w:jc w:val="center"/>
        </w:trPr>
        <w:tc>
          <w:tcPr>
            <w:tcW w:w="4179" w:type="dxa"/>
          </w:tcPr>
          <w:p w:rsidR="0013321A" w:rsidRPr="000630CE" w:rsidRDefault="0013321A" w:rsidP="003209E2">
            <w:pPr>
              <w:jc w:val="center"/>
              <w:rPr>
                <w:rFonts w:ascii="Bookman Old Style" w:hAnsi="Bookman Old Style" w:cs="Arial"/>
                <w:b/>
                <w:noProof/>
              </w:rPr>
            </w:pPr>
          </w:p>
          <w:p w:rsidR="0013321A" w:rsidRPr="000630CE" w:rsidRDefault="0013321A" w:rsidP="003209E2">
            <w:pPr>
              <w:jc w:val="center"/>
              <w:rPr>
                <w:rFonts w:ascii="Bookman Old Style" w:hAnsi="Bookman Old Style" w:cs="Arial"/>
                <w:b/>
                <w:noProof/>
              </w:rPr>
            </w:pPr>
            <w:r w:rsidRPr="000630CE">
              <w:rPr>
                <w:rFonts w:ascii="Bookman Old Style" w:hAnsi="Bookman Old Style" w:cs="Arial"/>
                <w:b/>
                <w:noProof/>
              </w:rPr>
              <w:t>ÁNGEL MARÍA GAITÁN</w:t>
            </w:r>
          </w:p>
          <w:p w:rsidR="0013321A" w:rsidRPr="000630CE" w:rsidRDefault="0013321A" w:rsidP="003209E2">
            <w:pPr>
              <w:jc w:val="center"/>
              <w:rPr>
                <w:rFonts w:ascii="Bookman Old Style" w:hAnsi="Bookman Old Style" w:cs="Arial"/>
                <w:b/>
                <w:noProof/>
              </w:rPr>
            </w:pPr>
            <w:r w:rsidRPr="000630CE">
              <w:rPr>
                <w:rFonts w:ascii="Bookman Old Style" w:hAnsi="Bookman Old Style" w:cs="Arial"/>
                <w:b/>
                <w:noProof/>
              </w:rPr>
              <w:t>Representante a la Cámara</w:t>
            </w:r>
          </w:p>
          <w:p w:rsidR="0013321A" w:rsidRPr="000630CE" w:rsidRDefault="0013321A" w:rsidP="003209E2">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noProof/>
                <w:sz w:val="22"/>
                <w:szCs w:val="22"/>
              </w:rPr>
              <w:t>Partido Liberal</w:t>
            </w:r>
          </w:p>
        </w:tc>
        <w:tc>
          <w:tcPr>
            <w:tcW w:w="4559" w:type="dxa"/>
          </w:tcPr>
          <w:p w:rsidR="0013321A" w:rsidRPr="000630CE" w:rsidRDefault="0013321A" w:rsidP="003209E2">
            <w:pPr>
              <w:jc w:val="center"/>
              <w:rPr>
                <w:rFonts w:ascii="Bookman Old Style" w:hAnsi="Bookman Old Style" w:cs="Arial"/>
                <w:b/>
                <w:bCs/>
                <w:noProof/>
                <w:color w:val="000000"/>
                <w:bdr w:val="none" w:sz="0" w:space="0" w:color="auto" w:frame="1"/>
              </w:rPr>
            </w:pPr>
          </w:p>
        </w:tc>
      </w:tr>
    </w:tbl>
    <w:p w:rsidR="00F36280" w:rsidRPr="00485CC5" w:rsidRDefault="00F36280" w:rsidP="00621929">
      <w:pPr>
        <w:pBdr>
          <w:top w:val="nil"/>
          <w:left w:val="nil"/>
          <w:bottom w:val="nil"/>
          <w:right w:val="nil"/>
          <w:between w:val="nil"/>
        </w:pBdr>
        <w:ind w:right="115"/>
        <w:rPr>
          <w:rFonts w:ascii="Bookman Old Style" w:hAnsi="Bookman Old Style" w:cstheme="minorHAnsi"/>
          <w:b/>
          <w:sz w:val="28"/>
          <w:szCs w:val="28"/>
        </w:rPr>
      </w:pPr>
    </w:p>
    <w:p w:rsidR="000630CE" w:rsidRDefault="000630CE" w:rsidP="00965204">
      <w:pPr>
        <w:pBdr>
          <w:top w:val="nil"/>
          <w:left w:val="nil"/>
          <w:bottom w:val="nil"/>
          <w:right w:val="nil"/>
          <w:between w:val="nil"/>
        </w:pBdr>
        <w:ind w:right="115"/>
        <w:rPr>
          <w:rFonts w:ascii="Bookman Old Style" w:hAnsi="Bookman Old Style" w:cstheme="minorHAnsi"/>
          <w:b/>
          <w:sz w:val="28"/>
          <w:szCs w:val="28"/>
        </w:rPr>
      </w:pPr>
    </w:p>
    <w:p w:rsidR="007D64B5" w:rsidRPr="00485CC5" w:rsidRDefault="007D64B5" w:rsidP="00965204">
      <w:pPr>
        <w:pBdr>
          <w:top w:val="nil"/>
          <w:left w:val="nil"/>
          <w:bottom w:val="nil"/>
          <w:right w:val="nil"/>
          <w:between w:val="nil"/>
        </w:pBdr>
        <w:ind w:right="115"/>
        <w:rPr>
          <w:rFonts w:ascii="Bookman Old Style" w:hAnsi="Bookman Old Style" w:cstheme="minorHAnsi"/>
          <w:b/>
          <w:sz w:val="28"/>
          <w:szCs w:val="28"/>
        </w:rPr>
      </w:pPr>
    </w:p>
    <w:p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rsidR="00F36280" w:rsidRPr="00485CC5" w:rsidRDefault="00F36280" w:rsidP="00F36280">
      <w:pPr>
        <w:pStyle w:val="Sinespaciado"/>
        <w:tabs>
          <w:tab w:val="left" w:pos="8055"/>
        </w:tabs>
        <w:jc w:val="center"/>
        <w:rPr>
          <w:rFonts w:ascii="Bookman Old Style" w:hAnsi="Bookman Old Style" w:cs="Arial"/>
          <w:b/>
          <w:sz w:val="28"/>
          <w:szCs w:val="28"/>
        </w:rPr>
      </w:pPr>
    </w:p>
    <w:p w:rsidR="00963B79" w:rsidRDefault="00963B79" w:rsidP="000B0FBF">
      <w:pPr>
        <w:pBdr>
          <w:top w:val="nil"/>
          <w:left w:val="nil"/>
          <w:bottom w:val="nil"/>
          <w:right w:val="nil"/>
          <w:between w:val="nil"/>
        </w:pBdr>
        <w:ind w:right="115"/>
        <w:rPr>
          <w:rFonts w:ascii="Bookman Old Style" w:eastAsia="Calibri" w:hAnsi="Bookman Old Style" w:cs="Calibri"/>
          <w:szCs w:val="24"/>
        </w:rPr>
      </w:pPr>
      <w:r>
        <w:rPr>
          <w:rFonts w:ascii="Bookman Old Style" w:eastAsia="Calibri" w:hAnsi="Bookman Old Style" w:cs="Calibri"/>
          <w:szCs w:val="24"/>
        </w:rPr>
        <w:t>La presente exposición de motivos está compuesta por diez (10) apartes:</w:t>
      </w:r>
    </w:p>
    <w:p w:rsidR="00963B79" w:rsidRPr="00621929" w:rsidRDefault="00963B79" w:rsidP="000B0FBF">
      <w:pPr>
        <w:pBdr>
          <w:top w:val="nil"/>
          <w:left w:val="nil"/>
          <w:bottom w:val="nil"/>
          <w:right w:val="nil"/>
          <w:between w:val="nil"/>
        </w:pBdr>
        <w:ind w:right="115"/>
        <w:rPr>
          <w:rFonts w:ascii="Bookman Old Style" w:eastAsia="Calibri" w:hAnsi="Bookman Old Style" w:cs="Calibri"/>
          <w:szCs w:val="24"/>
        </w:rPr>
      </w:pPr>
    </w:p>
    <w:p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lastRenderedPageBreak/>
        <w:t>CONTENIDO.</w:t>
      </w:r>
    </w:p>
    <w:p w:rsidR="004561C0" w:rsidRDefault="004561C0"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rsidR="000B0FBF" w:rsidRPr="00647748"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rsidR="000B0FBF" w:rsidRPr="00647748"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rsidR="000B0FBF" w:rsidRPr="00647748"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F62A94">
        <w:rPr>
          <w:rFonts w:ascii="Bookman Old Style" w:eastAsia="Calibri" w:hAnsi="Bookman Old Style" w:cs="Calibri"/>
          <w:bCs/>
          <w:szCs w:val="24"/>
        </w:rPr>
        <w:t>4</w:t>
      </w:r>
      <w:r w:rsidRPr="00647748">
        <w:rPr>
          <w:rFonts w:ascii="Bookman Old Style" w:eastAsia="Calibri" w:hAnsi="Bookman Old Style" w:cs="Calibri"/>
          <w:bCs/>
          <w:szCs w:val="24"/>
        </w:rPr>
        <w:t>.1 Antecedentes Jurídicos y normativos sobre la materia en Colombia</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F62A94">
        <w:rPr>
          <w:rFonts w:ascii="Bookman Old Style" w:eastAsia="Calibri" w:hAnsi="Bookman Old Style" w:cs="Calibri"/>
          <w:bCs/>
          <w:szCs w:val="24"/>
        </w:rPr>
        <w:t>4</w:t>
      </w:r>
      <w:r w:rsidRPr="00647748">
        <w:rPr>
          <w:rFonts w:ascii="Bookman Old Style" w:eastAsia="Calibri" w:hAnsi="Bookman Old Style" w:cs="Calibri"/>
          <w:bCs/>
          <w:szCs w:val="24"/>
        </w:rPr>
        <w:t>.2 Postura actual frente al uso del cannabis a nivel internacional</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F62A94">
        <w:rPr>
          <w:rFonts w:ascii="Bookman Old Style" w:eastAsia="Calibri" w:hAnsi="Bookman Old Style" w:cs="Calibri"/>
          <w:bCs/>
          <w:szCs w:val="24"/>
        </w:rPr>
        <w:t>4</w:t>
      </w:r>
      <w:r w:rsidRPr="00647748">
        <w:rPr>
          <w:rFonts w:ascii="Bookman Old Style" w:eastAsia="Calibri" w:hAnsi="Bookman Old Style" w:cs="Calibri"/>
          <w:bCs/>
          <w:szCs w:val="24"/>
        </w:rPr>
        <w:t>.2.1 Impacto económico de la regulación</w:t>
      </w:r>
      <w:r w:rsidR="00DB66BE">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sidR="00114CF9">
        <w:rPr>
          <w:rFonts w:ascii="Bookman Old Style" w:eastAsia="Calibri" w:hAnsi="Bookman Old Style" w:cs="Calibri"/>
          <w:bCs/>
          <w:szCs w:val="24"/>
        </w:rPr>
        <w:t>.</w:t>
      </w:r>
    </w:p>
    <w:p w:rsidR="000B0FBF" w:rsidRPr="00114CF9"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.1 Prohibición vs. Derechos fundamentales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.1.1 Derecho al libre desarrollo de la personalidad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.1.2 Derecho a la igualdad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.1.3 Derecho a la salud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.2 Análisis constitucional de la regulación actual frente al porte y consumo de estupefacientes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.2.1 Afectación del derecho a la salud por el consumo de sustancias estupefacientes o psicotrópicas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.2.2 Regularización exclusiva del cannabis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F62A94">
        <w:rPr>
          <w:rFonts w:ascii="Bookman Old Style" w:eastAsia="Calibri" w:hAnsi="Bookman Old Style" w:cs="Calibri"/>
          <w:bCs/>
          <w:szCs w:val="24"/>
        </w:rPr>
        <w:t>5</w:t>
      </w:r>
      <w:r w:rsidR="00647748" w:rsidRPr="00114CF9">
        <w:rPr>
          <w:rFonts w:ascii="Bookman Old Style" w:eastAsia="Calibri" w:hAnsi="Bookman Old Style" w:cs="Calibri"/>
          <w:bCs/>
          <w:szCs w:val="24"/>
        </w:rPr>
        <w:t>.2.3 Juicio integrado de igualdad</w:t>
      </w:r>
      <w:r w:rsidR="00114CF9" w:rsidRPr="00114CF9">
        <w:rPr>
          <w:rFonts w:ascii="Bookman Old Style" w:eastAsia="Calibri" w:hAnsi="Bookman Old Style" w:cs="Calibri"/>
          <w:bCs/>
          <w:szCs w:val="24"/>
        </w:rPr>
        <w:t>.</w:t>
      </w:r>
    </w:p>
    <w:p w:rsidR="00647748" w:rsidRP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Análisis de la afectividad de la política de criminalización del porte y consumo de drogas</w:t>
      </w:r>
      <w:r w:rsidR="005B5FC0">
        <w:rPr>
          <w:rFonts w:ascii="Bookman Old Style" w:eastAsia="Calibri" w:hAnsi="Bookman Old Style" w:cs="Calibri"/>
          <w:bCs/>
          <w:szCs w:val="24"/>
        </w:rPr>
        <w:t>.</w:t>
      </w:r>
    </w:p>
    <w:p w:rsidR="00647748" w:rsidRP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Modificaciones a la Constitución</w:t>
      </w:r>
      <w:r w:rsidR="005B5FC0">
        <w:rPr>
          <w:rFonts w:ascii="Bookman Old Style" w:eastAsia="Calibri" w:hAnsi="Bookman Old Style" w:cs="Calibri"/>
          <w:bCs/>
          <w:szCs w:val="24"/>
        </w:rPr>
        <w:t>.</w:t>
      </w:r>
    </w:p>
    <w:p w:rsid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sidR="005B5FC0">
        <w:rPr>
          <w:rFonts w:ascii="Bookman Old Style" w:eastAsia="Calibri" w:hAnsi="Bookman Old Style" w:cs="Calibri"/>
          <w:bCs/>
          <w:szCs w:val="24"/>
        </w:rPr>
        <w:t>.</w:t>
      </w:r>
    </w:p>
    <w:p w:rsidR="005B598C" w:rsidRPr="00647748" w:rsidRDefault="005B598C"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rsidR="00647748" w:rsidRP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rsidR="000B0FBF" w:rsidRPr="00485CC5" w:rsidRDefault="000B0FBF" w:rsidP="000B0FBF">
      <w:pPr>
        <w:pBdr>
          <w:top w:val="nil"/>
          <w:left w:val="nil"/>
          <w:bottom w:val="nil"/>
          <w:right w:val="nil"/>
          <w:between w:val="nil"/>
        </w:pBdr>
        <w:ind w:left="-1133" w:right="115"/>
        <w:rPr>
          <w:rFonts w:ascii="Bookman Old Style" w:eastAsia="Calibri" w:hAnsi="Bookman Old Style" w:cs="Calibri"/>
          <w:b/>
          <w:szCs w:val="24"/>
        </w:rPr>
      </w:pPr>
    </w:p>
    <w:p w:rsidR="009B6C3A" w:rsidRDefault="009B6C3A" w:rsidP="000B0FBF">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p>
    <w:p w:rsidR="009B6C3A" w:rsidRPr="009B6C3A" w:rsidRDefault="009B6C3A" w:rsidP="009B6C3A">
      <w:pPr>
        <w:rPr>
          <w:rFonts w:eastAsia="Calibri"/>
        </w:rPr>
      </w:pPr>
    </w:p>
    <w:p w:rsidR="009B6C3A" w:rsidRDefault="009B6C3A" w:rsidP="009B6C3A">
      <w:pPr>
        <w:jc w:val="both"/>
        <w:rPr>
          <w:rFonts w:ascii="Bookman Old Style" w:eastAsia="Calibri" w:hAnsi="Bookman Old Style" w:cs="Calibri"/>
          <w:bCs/>
          <w:i/>
          <w:iCs/>
          <w:szCs w:val="24"/>
        </w:rPr>
      </w:pPr>
      <w:r w:rsidRPr="009B6C3A">
        <w:rPr>
          <w:rFonts w:ascii="Bookman Old Style" w:eastAsia="Calibri" w:hAnsi="Bookman Old Style" w:cs="Calibri"/>
          <w:szCs w:val="24"/>
        </w:rPr>
        <w:t>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 H.R. Ciro Fernández Núñez , H.R. Harry Giovanny González García, H.R. David Ricardo Racero Mayorca , H.R. Mauricio Andrés Toro Orjuela, H.R. Catalina Ortiz Lalinde , H.R. Jairo Humberto Cristo Correa , H.R. Fabio Fernando Arroyave Rivas ,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rsidR="009B6C3A" w:rsidRDefault="009B6C3A" w:rsidP="009B6C3A">
      <w:pPr>
        <w:jc w:val="both"/>
        <w:rPr>
          <w:rFonts w:ascii="Bookman Old Style" w:eastAsia="Calibri" w:hAnsi="Bookman Old Style" w:cs="Calibri"/>
          <w:bCs/>
          <w:i/>
          <w:iCs/>
          <w:szCs w:val="24"/>
        </w:rPr>
      </w:pPr>
    </w:p>
    <w:p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24 de septiembre de 2019 el proyecto fue puesto en consideración de la Comisión Primera Constitucional Permanente de la Cámara de Representantes y fue aprobado su informe de Ponencia de Primer Debate. </w:t>
      </w:r>
    </w:p>
    <w:p w:rsidR="009B6C3A" w:rsidRDefault="009B6C3A" w:rsidP="009B6C3A">
      <w:pPr>
        <w:jc w:val="both"/>
        <w:rPr>
          <w:rFonts w:ascii="Bookman Old Style" w:eastAsia="Calibri" w:hAnsi="Bookman Old Style" w:cs="Calibri"/>
          <w:bCs/>
          <w:iCs/>
          <w:szCs w:val="24"/>
        </w:rPr>
      </w:pPr>
    </w:p>
    <w:p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En consecuencia</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el Proyecto de Acto Legislativo continuó su tránsito hacia la Plenaria de la Cámara de Representantes, en donde</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si bien se radicó Ponencia </w:t>
      </w:r>
      <w:r>
        <w:rPr>
          <w:rFonts w:ascii="Bookman Old Style" w:eastAsia="Calibri" w:hAnsi="Bookman Old Style" w:cs="Calibri"/>
          <w:bCs/>
          <w:iCs/>
          <w:szCs w:val="24"/>
        </w:rPr>
        <w:lastRenderedPageBreak/>
        <w:t xml:space="preserve">Positiva para Segundo Debate, el Proyecto debió ser archivado </w:t>
      </w:r>
      <w:r w:rsidR="00DA389D">
        <w:rPr>
          <w:rFonts w:ascii="Bookman Old Style" w:eastAsia="Calibri" w:hAnsi="Bookman Old Style" w:cs="Calibri"/>
          <w:bCs/>
          <w:iCs/>
          <w:szCs w:val="24"/>
        </w:rPr>
        <w:t>en razón a que se agotaron los tiempos legislativos necesarios</w:t>
      </w:r>
      <w:r w:rsidR="00C33DA6">
        <w:rPr>
          <w:rFonts w:ascii="Bookman Old Style" w:eastAsia="Calibri" w:hAnsi="Bookman Old Style" w:cs="Calibri"/>
          <w:bCs/>
          <w:iCs/>
          <w:szCs w:val="24"/>
        </w:rPr>
        <w:t xml:space="preserve"> para continuar su trámite</w:t>
      </w:r>
      <w:r w:rsidR="00DA389D">
        <w:rPr>
          <w:rFonts w:ascii="Bookman Old Style" w:eastAsia="Calibri" w:hAnsi="Bookman Old Style" w:cs="Calibri"/>
          <w:bCs/>
          <w:iCs/>
          <w:szCs w:val="24"/>
        </w:rPr>
        <w:t>, de acuerdo a lo dispuesto en los artículo 224 y 225 de la Ley 5ta de 1992.</w:t>
      </w:r>
    </w:p>
    <w:p w:rsidR="00DA389D" w:rsidRDefault="00DA389D" w:rsidP="009B6C3A">
      <w:pPr>
        <w:jc w:val="both"/>
        <w:rPr>
          <w:rFonts w:ascii="Bookman Old Style" w:eastAsia="Calibri" w:hAnsi="Bookman Old Style" w:cs="Calibri"/>
          <w:bCs/>
          <w:iCs/>
          <w:szCs w:val="24"/>
        </w:rPr>
      </w:pPr>
    </w:p>
    <w:p w:rsidR="00DA389D" w:rsidRPr="009B6C3A" w:rsidRDefault="00C33DA6" w:rsidP="009B6C3A">
      <w:pPr>
        <w:jc w:val="both"/>
        <w:rPr>
          <w:rFonts w:ascii="Bookman Old Style" w:eastAsia="Calibri" w:hAnsi="Bookman Old Style" w:cs="Calibri"/>
          <w:bCs/>
          <w:iCs/>
          <w:szCs w:val="24"/>
        </w:rPr>
      </w:pPr>
      <w:r>
        <w:rPr>
          <w:rFonts w:ascii="Bookman Old Style" w:eastAsia="Calibri" w:hAnsi="Bookman Old Style" w:cs="Calibri"/>
          <w:bCs/>
          <w:iCs/>
          <w:szCs w:val="24"/>
        </w:rPr>
        <w:t>Por esta razón,</w:t>
      </w:r>
      <w:r w:rsidR="00DA389D">
        <w:rPr>
          <w:rFonts w:ascii="Bookman Old Style" w:eastAsia="Calibri" w:hAnsi="Bookman Old Style" w:cs="Calibri"/>
          <w:bCs/>
          <w:iCs/>
          <w:szCs w:val="24"/>
        </w:rPr>
        <w:t xml:space="preserve"> se pone a consideración del Honorable Congreso de la República este proyecto de Acto Legislativo</w:t>
      </w:r>
      <w:r>
        <w:rPr>
          <w:rFonts w:ascii="Bookman Old Style" w:eastAsia="Calibri" w:hAnsi="Bookman Old Style" w:cs="Calibri"/>
          <w:bCs/>
          <w:iCs/>
          <w:szCs w:val="24"/>
        </w:rPr>
        <w:t>,</w:t>
      </w:r>
      <w:r w:rsidR="00DA389D">
        <w:rPr>
          <w:rFonts w:ascii="Bookman Old Style" w:eastAsia="Calibri" w:hAnsi="Bookman Old Style" w:cs="Calibri"/>
          <w:bCs/>
          <w:iCs/>
          <w:szCs w:val="24"/>
        </w:rPr>
        <w:t xml:space="preserve"> ajustado con las modificaciones pertinentes</w:t>
      </w:r>
      <w:r>
        <w:rPr>
          <w:rFonts w:ascii="Bookman Old Style" w:eastAsia="Calibri" w:hAnsi="Bookman Old Style" w:cs="Calibri"/>
          <w:bCs/>
          <w:iCs/>
          <w:szCs w:val="24"/>
        </w:rPr>
        <w:t xml:space="preserve">, </w:t>
      </w:r>
      <w:r w:rsidR="00DA389D">
        <w:rPr>
          <w:rFonts w:ascii="Bookman Old Style" w:eastAsia="Calibri" w:hAnsi="Bookman Old Style" w:cs="Calibri"/>
          <w:bCs/>
          <w:iCs/>
          <w:szCs w:val="24"/>
        </w:rPr>
        <w:t>que surgieron durante su primera discusión.</w:t>
      </w:r>
    </w:p>
    <w:p w:rsidR="009B6C3A" w:rsidRPr="009B6C3A" w:rsidRDefault="009B6C3A" w:rsidP="009B6C3A">
      <w:pPr>
        <w:jc w:val="both"/>
        <w:rPr>
          <w:rFonts w:eastAsia="Calibri"/>
        </w:rPr>
      </w:pPr>
    </w:p>
    <w:p w:rsidR="00F36280" w:rsidRPr="00485CC5" w:rsidRDefault="00F36280" w:rsidP="000B0FBF">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p>
    <w:p w:rsidR="00F36280" w:rsidRPr="00485CC5" w:rsidRDefault="00F36280" w:rsidP="00F36280">
      <w:pPr>
        <w:pStyle w:val="Ttulo2"/>
        <w:ind w:left="0"/>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El presente Proyecto de Acto Legislativo tiene como objeto permitir la regularización del uso del cannabis con fines recreativos por parte de mayores de edad en los establecimientos </w:t>
      </w:r>
      <w:r w:rsidR="00AD5D59">
        <w:rPr>
          <w:rFonts w:ascii="Bookman Old Style" w:eastAsia="Calibri" w:hAnsi="Bookman Old Style" w:cs="Calibri"/>
          <w:b w:val="0"/>
          <w:sz w:val="22"/>
          <w:szCs w:val="24"/>
        </w:rPr>
        <w:t>que disponga la Ley, as</w:t>
      </w:r>
      <w:r w:rsidRPr="00485CC5">
        <w:rPr>
          <w:rFonts w:ascii="Bookman Old Style" w:eastAsia="Calibri" w:hAnsi="Bookman Old Style" w:cs="Calibri"/>
          <w:b w:val="0"/>
          <w:sz w:val="22"/>
          <w:szCs w:val="24"/>
        </w:rPr>
        <w:t xml:space="preserve">í como </w:t>
      </w:r>
      <w:r w:rsidR="00AD5D59">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dirigido </w:t>
      </w:r>
      <w:r w:rsidR="00AD5D59">
        <w:rPr>
          <w:rFonts w:ascii="Bookman Old Style" w:eastAsia="Calibri" w:hAnsi="Bookman Old Style" w:cs="Calibri"/>
          <w:b w:val="0"/>
          <w:sz w:val="22"/>
          <w:szCs w:val="24"/>
        </w:rPr>
        <w:t xml:space="preserve">a reconocer y garantizar los derechos fundamentales a la igualdad y al libre desarrollo de la personalidad, a </w:t>
      </w:r>
      <w:r w:rsidR="00C33DA6">
        <w:rPr>
          <w:rFonts w:ascii="Bookman Old Style" w:eastAsia="Calibri" w:hAnsi="Bookman Old Style" w:cs="Calibri"/>
          <w:b w:val="0"/>
          <w:sz w:val="22"/>
          <w:szCs w:val="24"/>
        </w:rPr>
        <w:t xml:space="preserve">unificar </w:t>
      </w:r>
      <w:r w:rsidR="00AD5D59">
        <w:rPr>
          <w:rFonts w:ascii="Bookman Old Style" w:eastAsia="Calibri" w:hAnsi="Bookman Old Style" w:cs="Calibri"/>
          <w:b w:val="0"/>
          <w:sz w:val="22"/>
          <w:szCs w:val="24"/>
        </w:rPr>
        <w:t xml:space="preserve">las referencias constitucionales, legales y jurisprudenciales sobre la materia y a </w:t>
      </w:r>
      <w:r w:rsidR="00C33DA6">
        <w:rPr>
          <w:rFonts w:ascii="Bookman Old Style" w:eastAsia="Calibri" w:hAnsi="Bookman Old Style" w:cs="Calibri"/>
          <w:b w:val="0"/>
          <w:sz w:val="22"/>
          <w:szCs w:val="24"/>
        </w:rPr>
        <w:t>plantear una estrategia distinta para</w:t>
      </w:r>
      <w:r w:rsidRPr="00485CC5">
        <w:rPr>
          <w:rFonts w:ascii="Bookman Old Style" w:eastAsia="Calibri" w:hAnsi="Bookman Old Style" w:cs="Calibri"/>
          <w:b w:val="0"/>
          <w:sz w:val="22"/>
          <w:szCs w:val="24"/>
        </w:rPr>
        <w:t xml:space="preserve"> combatir el tráfico</w:t>
      </w:r>
      <w:r w:rsidR="00AD5D59">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sidR="00AD5D59">
        <w:rPr>
          <w:rFonts w:ascii="Bookman Old Style" w:eastAsia="Calibri" w:hAnsi="Bookman Old Style" w:cs="Calibri"/>
          <w:b w:val="0"/>
          <w:sz w:val="22"/>
          <w:szCs w:val="24"/>
        </w:rPr>
        <w:t>como estrategia para reducir la violencia en el país.</w:t>
      </w:r>
    </w:p>
    <w:p w:rsidR="00F36280" w:rsidRPr="00485CC5" w:rsidRDefault="00F36280" w:rsidP="00F36280">
      <w:pPr>
        <w:rPr>
          <w:rFonts w:ascii="Bookman Old Style" w:eastAsia="Calibri" w:hAnsi="Bookman Old Style" w:cs="Calibri"/>
          <w:szCs w:val="24"/>
        </w:rPr>
      </w:pPr>
    </w:p>
    <w:p w:rsidR="00F36280" w:rsidRPr="00485CC5" w:rsidRDefault="00F36280" w:rsidP="000B0FBF">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p>
    <w:p w:rsidR="00F36280" w:rsidRPr="00485CC5" w:rsidRDefault="00F36280" w:rsidP="00F36280">
      <w:pPr>
        <w:ind w:left="822"/>
        <w:rPr>
          <w:rFonts w:ascii="Bookman Old Style" w:hAnsi="Bookman Old Style" w:cs="Calibri"/>
          <w:szCs w:val="24"/>
        </w:rPr>
      </w:pPr>
    </w:p>
    <w:p w:rsidR="00452196" w:rsidRPr="00510F82" w:rsidRDefault="00510F82" w:rsidP="00F36280">
      <w:pPr>
        <w:jc w:val="both"/>
        <w:rPr>
          <w:rFonts w:ascii="Bookman Old Style" w:eastAsia="Calibri" w:hAnsi="Bookman Old Style" w:cs="Calibri"/>
          <w:sz w:val="20"/>
          <w:szCs w:val="24"/>
        </w:rPr>
      </w:pPr>
      <w:r w:rsidRPr="00510F82">
        <w:rPr>
          <w:rFonts w:ascii="Bookman Old Style" w:eastAsia="Calibri" w:hAnsi="Bookman Old Style" w:cs="Arial"/>
          <w:szCs w:val="24"/>
        </w:rPr>
        <w:t>En Colombia, de acuerdo al artículo 49 Constitucional</w:t>
      </w:r>
      <w:r w:rsidR="00C33DA6">
        <w:rPr>
          <w:rFonts w:ascii="Bookman Old Style" w:eastAsia="Calibri" w:hAnsi="Bookman Old Style" w:cs="Arial"/>
          <w:szCs w:val="24"/>
        </w:rPr>
        <w:t xml:space="preserve"> el cual fue</w:t>
      </w:r>
      <w:r w:rsidRPr="00510F82">
        <w:rPr>
          <w:rFonts w:ascii="Bookman Old Style" w:eastAsia="Calibri" w:hAnsi="Bookman Old Style" w:cs="Arial"/>
          <w:szCs w:val="24"/>
        </w:rPr>
        <w:t xml:space="preserve"> modificado 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salvo prescripción médica. Prohibición que fue incluida con la finalidad de proteger la salud pública de los colombianos.</w:t>
      </w:r>
    </w:p>
    <w:p w:rsidR="00452196" w:rsidRDefault="00452196" w:rsidP="00F36280">
      <w:pPr>
        <w:jc w:val="both"/>
        <w:rPr>
          <w:rFonts w:ascii="Bookman Old Style" w:eastAsia="Calibri" w:hAnsi="Bookman Old Style" w:cs="Calibri"/>
          <w:szCs w:val="24"/>
        </w:rPr>
      </w:pPr>
    </w:p>
    <w:p w:rsidR="00510F82" w:rsidRPr="00510F82" w:rsidRDefault="00510F82" w:rsidP="00510F82">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Propiedades que llevaron a que en febrero de este año la Organización Mundial de la Salud (OMS) solicitara su eliminación 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La Ley 1787 de 2016 “</w:t>
      </w:r>
      <w:r w:rsidRPr="00485CC5">
        <w:rPr>
          <w:rFonts w:ascii="Bookman Old Style" w:eastAsia="Calibri" w:hAnsi="Bookman Old Style" w:cs="Calibri"/>
          <w:i/>
          <w:szCs w:val="24"/>
        </w:rPr>
        <w:t>Por medio de la cual se reglamenta el Acto Legislativo 02 de 2009</w:t>
      </w:r>
      <w:r w:rsidRPr="00485CC5">
        <w:rPr>
          <w:rFonts w:ascii="Bookman Old Style" w:eastAsia="Calibri" w:hAnsi="Bookman Old Style" w:cs="Calibri"/>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xml:space="preserve">. En este sentido, </w:t>
      </w:r>
      <w:r w:rsidRPr="00485CC5">
        <w:rPr>
          <w:rFonts w:ascii="Bookman Old Style" w:eastAsia="Calibri" w:hAnsi="Bookman Old Style" w:cs="Calibri"/>
          <w:szCs w:val="24"/>
        </w:rPr>
        <w:lastRenderedPageBreak/>
        <w:t>la ley a</w:t>
      </w:r>
      <w:r w:rsidR="00452196">
        <w:rPr>
          <w:rFonts w:ascii="Bookman Old Style" w:eastAsia="Calibri" w:hAnsi="Bookman Old Style" w:cs="Calibri"/>
          <w:szCs w:val="24"/>
        </w:rPr>
        <w:t>dicionó dos causales nuevas</w:t>
      </w:r>
      <w:r w:rsidRPr="00485CC5">
        <w:rPr>
          <w:rFonts w:ascii="Bookman Old Style" w:eastAsia="Calibri" w:hAnsi="Bookman Old Style" w:cs="Calibri"/>
          <w:szCs w:val="24"/>
        </w:rPr>
        <w:t xml:space="preserve"> bajo las cuales está permitido el porte de cannabis, lo cual llevó a que hoy en día exista una incoherencia entre la disposición constitucional y el desarrollo legal sobre la materia.</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claro que se requiere de una reforma constitucional que, además del </w:t>
      </w:r>
      <w:r w:rsidR="00452196" w:rsidRPr="00485CC5">
        <w:rPr>
          <w:rFonts w:ascii="Bookman Old Style" w:eastAsia="Calibri" w:hAnsi="Bookman Old Style" w:cs="Calibri"/>
          <w:szCs w:val="24"/>
        </w:rPr>
        <w:t>uso</w:t>
      </w:r>
      <w:r w:rsidRPr="00485CC5">
        <w:rPr>
          <w:rFonts w:ascii="Bookman Old Style" w:eastAsia="Calibri" w:hAnsi="Bookman Old Style" w:cs="Calibri"/>
          <w:szCs w:val="24"/>
        </w:rPr>
        <w:t xml:space="preserve"> medicinal, permita el uso científico y recreativo del cannabis y sus derivados tomando en consideración las actuales posturas globales en el asunto, propendiendo por la despenalización y regularización del porte y consumo.</w:t>
      </w:r>
    </w:p>
    <w:p w:rsidR="00F36280" w:rsidRPr="00485CC5" w:rsidRDefault="00F36280" w:rsidP="00F36280">
      <w:pPr>
        <w:rPr>
          <w:rFonts w:ascii="Bookman Old Style" w:hAnsi="Bookman Old Style" w:cs="Calibri"/>
          <w:szCs w:val="24"/>
        </w:rPr>
      </w:pPr>
    </w:p>
    <w:p w:rsidR="00F36280" w:rsidRPr="00485CC5" w:rsidRDefault="00F36280" w:rsidP="000B0FBF">
      <w:pPr>
        <w:pStyle w:val="Prrafodelista"/>
        <w:numPr>
          <w:ilvl w:val="0"/>
          <w:numId w:val="35"/>
        </w:numPr>
        <w:spacing w:after="0" w:line="240" w:lineRule="auto"/>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p>
    <w:p w:rsidR="00F36280" w:rsidRPr="00485CC5" w:rsidRDefault="00F36280" w:rsidP="00F36280">
      <w:pPr>
        <w:pStyle w:val="Prrafodelista"/>
        <w:spacing w:after="0" w:line="240" w:lineRule="auto"/>
        <w:ind w:left="360"/>
        <w:rPr>
          <w:rFonts w:ascii="Bookman Old Style" w:eastAsia="Calibri" w:hAnsi="Bookman Old Style" w:cs="Calibri"/>
          <w:b/>
          <w:szCs w:val="24"/>
        </w:rPr>
      </w:pPr>
    </w:p>
    <w:p w:rsidR="00F36280" w:rsidRPr="00485CC5" w:rsidRDefault="000046EF" w:rsidP="00F36280">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4</w:t>
      </w:r>
      <w:r w:rsidR="00F36280" w:rsidRPr="00485CC5">
        <w:rPr>
          <w:rFonts w:ascii="Bookman Old Style" w:eastAsia="Calibri" w:hAnsi="Bookman Old Style" w:cs="Calibri"/>
          <w:sz w:val="22"/>
          <w:szCs w:val="24"/>
        </w:rPr>
        <w:t>.1 ANTECEDENTES JURÍDICOS Y NORMATIVOS SOBRE LA MATERIA EN COLOMBIA</w:t>
      </w:r>
    </w:p>
    <w:p w:rsidR="00F36280" w:rsidRPr="00485CC5" w:rsidRDefault="00F36280" w:rsidP="00F36280">
      <w:pPr>
        <w:pStyle w:val="Ttulo2"/>
        <w:ind w:left="0"/>
        <w:jc w:val="both"/>
        <w:rPr>
          <w:rFonts w:ascii="Bookman Old Style" w:eastAsia="Calibri" w:hAnsi="Bookman Old Style"/>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rsidR="00F36280" w:rsidRPr="00485CC5" w:rsidRDefault="00F36280" w:rsidP="00F36280">
      <w:pPr>
        <w:rPr>
          <w:rFonts w:ascii="Bookman Old Style" w:eastAsia="Calibri" w:hAnsi="Bookman Old Style"/>
          <w:szCs w:val="24"/>
        </w:rPr>
      </w:pPr>
    </w:p>
    <w:p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rsidR="00F36280" w:rsidRPr="00485CC5" w:rsidRDefault="00F36280" w:rsidP="00F36280">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rsidR="00F36280" w:rsidRPr="00485CC5" w:rsidRDefault="00F36280" w:rsidP="00F36280">
      <w:pPr>
        <w:ind w:left="720" w:right="900"/>
        <w:jc w:val="both"/>
        <w:rPr>
          <w:rFonts w:ascii="Bookman Old Style" w:hAnsi="Bookman Old Style"/>
          <w:i/>
          <w:sz w:val="20"/>
        </w:rPr>
      </w:pPr>
    </w:p>
    <w:p w:rsidR="00F36280" w:rsidRPr="00485CC5" w:rsidRDefault="00F36280" w:rsidP="00F36280">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rsidR="00F36280" w:rsidRPr="00485CC5" w:rsidRDefault="00F36280" w:rsidP="00F36280">
      <w:pPr>
        <w:rPr>
          <w:rFonts w:ascii="Bookman Old Style" w:eastAsia="Calibri" w:hAnsi="Bookman Old Style"/>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rsidR="00F36280" w:rsidRPr="00485CC5" w:rsidRDefault="00F36280" w:rsidP="00F36280">
      <w:pPr>
        <w:rPr>
          <w:rFonts w:ascii="Bookman Old Style" w:eastAsia="Calibri" w:hAnsi="Bookman Old Style"/>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w:t>
      </w:r>
      <w:r w:rsidRPr="00485CC5">
        <w:rPr>
          <w:rFonts w:ascii="Bookman Old Style" w:eastAsia="Calibri" w:hAnsi="Bookman Old Style" w:cs="Calibri"/>
          <w:b w:val="0"/>
          <w:sz w:val="22"/>
          <w:szCs w:val="24"/>
        </w:rPr>
        <w:lastRenderedPageBreak/>
        <w:t xml:space="preserve">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rsidR="00F36280" w:rsidRPr="00485CC5" w:rsidRDefault="00F36280" w:rsidP="00F36280">
      <w:pPr>
        <w:rPr>
          <w:rFonts w:ascii="Bookman Old Style" w:eastAsia="Calibri" w:hAnsi="Bookman Old Style"/>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recreativo,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rsidR="00F36280" w:rsidRPr="00485CC5" w:rsidRDefault="00F36280" w:rsidP="00F36280">
      <w:pPr>
        <w:rPr>
          <w:rFonts w:ascii="Bookman Old Style" w:eastAsia="Calibri" w:hAnsi="Bookman Old Style"/>
          <w:b/>
          <w:szCs w:val="24"/>
        </w:rPr>
      </w:pPr>
    </w:p>
    <w:p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rsidR="00F36280" w:rsidRPr="00485CC5" w:rsidRDefault="00F36280" w:rsidP="00F36280">
      <w:pPr>
        <w:pStyle w:val="Ttulo2"/>
        <w:jc w:val="both"/>
        <w:rPr>
          <w:rFonts w:ascii="Bookman Old Style" w:eastAsia="Calibri" w:hAnsi="Bookman Old Style" w:cs="Calibri"/>
          <w:b w:val="0"/>
          <w:sz w:val="22"/>
          <w:szCs w:val="24"/>
        </w:rPr>
      </w:pPr>
    </w:p>
    <w:p w:rsidR="00F36280" w:rsidRPr="00485CC5" w:rsidRDefault="00510F82" w:rsidP="00077ACA">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00F36280"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00F36280" w:rsidRPr="00485CC5">
        <w:rPr>
          <w:rFonts w:ascii="Bookman Old Style" w:eastAsia="Calibri" w:hAnsi="Bookman Old Style" w:cs="Calibri"/>
          <w:b w:val="0"/>
          <w:sz w:val="22"/>
          <w:szCs w:val="24"/>
        </w:rPr>
        <w:t xml:space="preserve"> que se hace referencia a usos medicinales del cannabis, previsión que no necesariamente se enmarca en la referencia del artículo 49 de la Constitución que se refiere exclusivamente a la tenencia de una fórmula médica. </w:t>
      </w:r>
    </w:p>
    <w:p w:rsidR="00F36280" w:rsidRPr="00485CC5" w:rsidRDefault="00F36280" w:rsidP="00F36280">
      <w:pPr>
        <w:pStyle w:val="Ttulo2"/>
        <w:jc w:val="both"/>
        <w:rPr>
          <w:rFonts w:ascii="Bookman Old Style" w:eastAsia="Calibri" w:hAnsi="Bookman Old Style" w:cs="Calibri"/>
          <w:b w:val="0"/>
          <w:sz w:val="22"/>
          <w:szCs w:val="24"/>
        </w:rPr>
      </w:pPr>
    </w:p>
    <w:p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rsidR="00F36280" w:rsidRPr="00485CC5" w:rsidRDefault="00F36280" w:rsidP="00F36280">
      <w:pPr>
        <w:pStyle w:val="Ttulo2"/>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recreativo,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rsidR="00F36280" w:rsidRPr="00485CC5" w:rsidRDefault="00F36280" w:rsidP="00F36280">
      <w:pPr>
        <w:rPr>
          <w:rFonts w:ascii="Bookman Old Style" w:eastAsia="Calibri" w:hAnsi="Bookman Old Style"/>
          <w:szCs w:val="24"/>
        </w:rPr>
      </w:pPr>
    </w:p>
    <w:p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Esta norma</w:t>
      </w:r>
      <w:r w:rsidR="00F36280"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00F36280" w:rsidRPr="00485CC5">
        <w:rPr>
          <w:rFonts w:ascii="Bookman Old Style" w:eastAsia="Calibri" w:hAnsi="Bookman Old Style" w:cs="Calibri"/>
          <w:szCs w:val="24"/>
        </w:rPr>
        <w:t>sancionar a l</w:t>
      </w:r>
      <w:r>
        <w:rPr>
          <w:rFonts w:ascii="Bookman Old Style" w:eastAsia="Calibri" w:hAnsi="Bookman Old Style" w:cs="Calibri"/>
          <w:szCs w:val="24"/>
        </w:rPr>
        <w:t>as personas que consumieran dichas sustancias, la</w:t>
      </w:r>
      <w:r w:rsidR="00F36280" w:rsidRPr="00485CC5">
        <w:rPr>
          <w:rFonts w:ascii="Bookman Old Style" w:eastAsia="Calibri" w:hAnsi="Bookman Old Style" w:cs="Calibri"/>
          <w:szCs w:val="24"/>
        </w:rPr>
        <w:t xml:space="preserve"> cual contraría las garantías o la imparcialidad necesaria para determinar la sanción a imponer con el agravante de que genera una serie de estigmatizaciones en contra de los consumidores.</w:t>
      </w:r>
    </w:p>
    <w:p w:rsidR="00F36280" w:rsidRPr="00485CC5" w:rsidRDefault="00F36280" w:rsidP="00F36280">
      <w:pPr>
        <w:rPr>
          <w:rFonts w:eastAsia="Calibri"/>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No obstante, en materia jurisprudencial se mantuvo la postura desarrollada en el año 1994, como se evidenció el 9 de marzo de 2016, cuando</w:t>
      </w:r>
      <w:r w:rsidR="00DC49AD">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personal (20 gramos), siempre que: 1) </w:t>
      </w:r>
      <w:r w:rsidR="001E18FE">
        <w:rPr>
          <w:rFonts w:ascii="Bookman Old Style" w:eastAsia="Calibri" w:hAnsi="Bookman Old Style" w:cs="Calibri"/>
          <w:b w:val="0"/>
          <w:sz w:val="22"/>
          <w:szCs w:val="24"/>
        </w:rPr>
        <w:t>e</w:t>
      </w:r>
      <w:r w:rsidR="001E18FE" w:rsidRPr="00485CC5">
        <w:rPr>
          <w:rFonts w:ascii="Bookman Old Style" w:eastAsia="Calibri" w:hAnsi="Bookman Old Style" w:cs="Calibri"/>
          <w:b w:val="0"/>
          <w:sz w:val="22"/>
          <w:szCs w:val="24"/>
        </w:rPr>
        <w:t>st</w:t>
      </w:r>
      <w:r w:rsidR="001E18FE">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el año 2018 se retomó la prohibición constitucional y</w:t>
      </w:r>
      <w:r w:rsidR="00C8439A">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el Decreto 1844 prohibió el porte y consumo de la dosis mínima y facultó a la Policía Nacional para adelantar el decomiso de las sustancias estupefacientes, así como para</w:t>
      </w:r>
      <w:r w:rsidR="00C8439A">
        <w:rPr>
          <w:rFonts w:ascii="Bookman Old Style" w:eastAsia="Calibri" w:hAnsi="Bookman Old Style" w:cs="Calibri"/>
          <w:b w:val="0"/>
          <w:sz w:val="22"/>
          <w:szCs w:val="24"/>
        </w:rPr>
        <w:t xml:space="preserve"> la imposición de una sanción.</w:t>
      </w:r>
    </w:p>
    <w:p w:rsidR="00C8439A" w:rsidRPr="00C8439A" w:rsidRDefault="00C8439A" w:rsidP="00C8439A">
      <w:pPr>
        <w:rPr>
          <w:rFonts w:eastAsia="Calibri"/>
        </w:rPr>
      </w:pPr>
    </w:p>
    <w:p w:rsidR="00F36280" w:rsidRPr="00485CC5" w:rsidRDefault="00F36280" w:rsidP="00F36280">
      <w:pPr>
        <w:pStyle w:val="Ttulo2"/>
        <w:ind w:left="0"/>
        <w:jc w:val="both"/>
        <w:rPr>
          <w:rFonts w:ascii="Bookman Old Style" w:eastAsia="Calibri" w:hAnsi="Bookman Old Style"/>
          <w:b w:val="0"/>
          <w:sz w:val="22"/>
          <w:szCs w:val="24"/>
        </w:rPr>
      </w:pPr>
      <w:r w:rsidRPr="00485CC5">
        <w:rPr>
          <w:rFonts w:ascii="Bookman Old Style" w:eastAsia="Calibri" w:hAnsi="Bookman Old Style" w:cs="Calibri"/>
          <w:b w:val="0"/>
          <w:sz w:val="22"/>
          <w:szCs w:val="24"/>
        </w:rPr>
        <w:t>Finalmente, y de forma reciente, la Corte Constitucional, en comunicado del 6 de junio de 2019, informó que a través de la sentencia C-253 de 2019, declaró inexequible las “</w:t>
      </w:r>
      <w:r w:rsidRPr="00485CC5">
        <w:rPr>
          <w:rFonts w:ascii="Bookman Old Style" w:eastAsia="Calibri" w:hAnsi="Bookman Old Style" w:cs="Calibri"/>
          <w:b w:val="0"/>
          <w:i/>
          <w:sz w:val="22"/>
          <w:szCs w:val="24"/>
        </w:rPr>
        <w:t>normas legales que establecen una prohibición genérica y amplia al consumo de bebidas alcohólicas y sustancias psicoactivas en el espacio público y en espacios privados abiertos al público o que trascienden a lo público</w:t>
      </w:r>
      <w:r w:rsidRPr="00485CC5">
        <w:rPr>
          <w:rStyle w:val="Refdenotaalpie"/>
          <w:rFonts w:ascii="Bookman Old Style" w:eastAsia="Calibri" w:hAnsi="Bookman Old Style" w:cs="Calibri"/>
          <w:b w:val="0"/>
          <w:i/>
          <w:sz w:val="22"/>
          <w:szCs w:val="24"/>
        </w:rPr>
        <w:footnoteReference w:id="5"/>
      </w:r>
      <w:r w:rsidRPr="00485CC5">
        <w:rPr>
          <w:rFonts w:ascii="Bookman Old Style" w:eastAsia="Calibri" w:hAnsi="Bookman Old Style" w:cs="Calibri"/>
          <w:b w:val="0"/>
          <w:i/>
          <w:sz w:val="22"/>
          <w:szCs w:val="24"/>
        </w:rPr>
        <w:t xml:space="preserve">”. </w:t>
      </w:r>
      <w:r w:rsidRPr="00485CC5">
        <w:rPr>
          <w:rFonts w:ascii="Bookman Old Style" w:eastAsia="Calibri" w:hAnsi="Bookman Old Style" w:cs="Calibri"/>
          <w:b w:val="0"/>
          <w:sz w:val="22"/>
          <w:szCs w:val="24"/>
        </w:rPr>
        <w:t xml:space="preserve">Si bien la sentencia no ha sido publicada, en el comunicado refiere la Corte que </w:t>
      </w:r>
      <w:r w:rsidRPr="00485CC5">
        <w:rPr>
          <w:rFonts w:ascii="Bookman Old Style" w:eastAsia="Calibri" w:hAnsi="Bookman Old Style" w:cs="Calibri"/>
          <w:b w:val="0"/>
          <w:i/>
          <w:sz w:val="22"/>
          <w:szCs w:val="24"/>
        </w:rPr>
        <w:t xml:space="preserve">“el texto legal de las reglas acusadas tiene unas amplias prohibiciones que impactan el ejercicio del derecho al libre desarrollo de la personalidad de forma considerable”, </w:t>
      </w:r>
      <w:r w:rsidRPr="00485CC5">
        <w:rPr>
          <w:rFonts w:ascii="Bookman Old Style" w:eastAsia="Calibri" w:hAnsi="Bookman Old Style" w:cs="Calibri"/>
          <w:b w:val="0"/>
          <w:sz w:val="22"/>
          <w:szCs w:val="24"/>
        </w:rPr>
        <w:t xml:space="preserve">afirmación que se enmarca en la ya enunciada línea jurisprudencial que identifica estos asuntos como propios de la órbita del individuo. </w:t>
      </w:r>
    </w:p>
    <w:p w:rsidR="00F36280" w:rsidRPr="00485CC5" w:rsidRDefault="00F36280" w:rsidP="00F36280">
      <w:pPr>
        <w:jc w:val="both"/>
        <w:rPr>
          <w:rFonts w:ascii="Bookman Old Style" w:eastAsia="Calibri" w:hAnsi="Bookman Old Style" w:cs="Calibri"/>
          <w:szCs w:val="24"/>
        </w:rPr>
      </w:pPr>
    </w:p>
    <w:p w:rsidR="00C8439A"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Esto nos lleva a concluir que en Colombia han existido dos tendencias, una prohibicionista, en contraposición con una reivindicatoria de las libertades individuales. Las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Decreto 1844 de 2018, han optado por la aplicación de medidas prohibicionistas que desconocen derechos fundamentales. </w:t>
      </w:r>
    </w:p>
    <w:p w:rsidR="00484D81" w:rsidRDefault="00484D81" w:rsidP="00F36280">
      <w:pPr>
        <w:jc w:val="both"/>
        <w:rPr>
          <w:rFonts w:ascii="Bookman Old Style" w:eastAsia="Calibri" w:hAnsi="Bookman Old Style" w:cs="Calibri"/>
          <w:szCs w:val="24"/>
        </w:rPr>
      </w:pPr>
    </w:p>
    <w:p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Amén de lo anterior</w:t>
      </w:r>
      <w:r w:rsidR="00F36280" w:rsidRPr="00485CC5">
        <w:rPr>
          <w:rFonts w:ascii="Bookman Old Style" w:eastAsia="Calibri" w:hAnsi="Bookman Old Style" w:cs="Calibri"/>
          <w:szCs w:val="24"/>
        </w:rPr>
        <w:t xml:space="preserve">, existe una clara </w:t>
      </w:r>
      <w:r>
        <w:rPr>
          <w:rFonts w:ascii="Bookman Old Style" w:eastAsia="Calibri" w:hAnsi="Bookman Old Style" w:cs="Calibri"/>
          <w:szCs w:val="24"/>
        </w:rPr>
        <w:t>incoherencia</w:t>
      </w:r>
      <w:r w:rsidR="00F36280" w:rsidRPr="00485CC5">
        <w:rPr>
          <w:rFonts w:ascii="Bookman Old Style" w:eastAsia="Calibri" w:hAnsi="Bookman Old Style" w:cs="Calibri"/>
          <w:szCs w:val="24"/>
        </w:rPr>
        <w:t xml:space="preserve"> entre la Ley 1787 de 2016 y el artículo 49 de la constitución, en tanto la Ley aumentó las excepciones a la prohibición del porte de cannabis.</w:t>
      </w:r>
    </w:p>
    <w:p w:rsidR="00F36280" w:rsidRPr="00485CC5" w:rsidRDefault="00F36280" w:rsidP="00F36280">
      <w:pPr>
        <w:jc w:val="both"/>
        <w:rPr>
          <w:rFonts w:ascii="Bookman Old Style" w:eastAsia="Calibri" w:hAnsi="Bookman Old Style" w:cs="Calibri"/>
          <w:szCs w:val="24"/>
        </w:rPr>
      </w:pPr>
    </w:p>
    <w:p w:rsidR="00F36280"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rsidR="00F36280" w:rsidRDefault="00F36280" w:rsidP="00F36280">
      <w:pPr>
        <w:jc w:val="both"/>
        <w:rPr>
          <w:rFonts w:ascii="Bookman Old Style" w:eastAsia="Calibri" w:hAnsi="Bookman Old Style" w:cs="Calibri"/>
          <w:b/>
          <w:szCs w:val="24"/>
        </w:rPr>
      </w:pPr>
    </w:p>
    <w:p w:rsidR="00F36280" w:rsidRPr="00485CC5" w:rsidRDefault="000046EF" w:rsidP="00F36280">
      <w:pPr>
        <w:jc w:val="both"/>
        <w:rPr>
          <w:rFonts w:ascii="Bookman Old Style" w:eastAsia="Calibri" w:hAnsi="Bookman Old Style" w:cs="Calibri"/>
          <w:b/>
          <w:szCs w:val="24"/>
        </w:rPr>
      </w:pPr>
      <w:r>
        <w:rPr>
          <w:rFonts w:ascii="Bookman Old Style" w:eastAsia="Calibri" w:hAnsi="Bookman Old Style" w:cs="Calibri"/>
          <w:b/>
          <w:szCs w:val="24"/>
        </w:rPr>
        <w:t>4</w:t>
      </w:r>
      <w:r w:rsidR="00F36280" w:rsidRPr="00485CC5">
        <w:rPr>
          <w:rFonts w:ascii="Bookman Old Style" w:eastAsia="Calibri" w:hAnsi="Bookman Old Style" w:cs="Calibri"/>
          <w:b/>
          <w:szCs w:val="24"/>
        </w:rPr>
        <w:t>.2 POSTURA ACTUAL FRENTE AL USO DEL CANNABIS A NIVEL INTERNACIONAL</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Son muchos los países que poco a poco han venido realizando una transición hacia la regularización del cannabis tanto de uso recreativo como de uso medicinal y científico. Países como Uruguay,</w:t>
      </w:r>
      <w:r w:rsidR="001E18FE">
        <w:rPr>
          <w:rFonts w:ascii="Bookman Old Style" w:eastAsia="Calibri" w:hAnsi="Bookman Old Style" w:cs="Calibri"/>
          <w:b w:val="0"/>
          <w:sz w:val="22"/>
          <w:szCs w:val="24"/>
        </w:rPr>
        <w:t xml:space="preserve"> H</w:t>
      </w:r>
      <w:r w:rsidRPr="00485CC5">
        <w:rPr>
          <w:rFonts w:ascii="Bookman Old Style" w:eastAsia="Calibri" w:hAnsi="Bookman Old Style" w:cs="Calibri"/>
          <w:b w:val="0"/>
          <w:sz w:val="22"/>
          <w:szCs w:val="24"/>
        </w:rPr>
        <w:t>olanda, Canadá</w:t>
      </w:r>
      <w:r w:rsidR="001E18FE">
        <w:rPr>
          <w:rFonts w:ascii="Bookman Old Style" w:eastAsia="Calibri" w:hAnsi="Bookman Old Style" w:cs="Calibri"/>
          <w:b w:val="0"/>
          <w:sz w:val="22"/>
          <w:szCs w:val="24"/>
        </w:rPr>
        <w:t xml:space="preserve"> y</w:t>
      </w:r>
      <w:r w:rsidRPr="00485CC5">
        <w:rPr>
          <w:rFonts w:ascii="Bookman Old Style" w:eastAsia="Calibri" w:hAnsi="Bookman Old Style" w:cs="Calibri"/>
          <w:b w:val="0"/>
          <w:sz w:val="22"/>
          <w:szCs w:val="24"/>
        </w:rPr>
        <w:t xml:space="preserve"> el estado de Colorado en Estados Unidos han enarbolado las banderas de la regularización del cannabis como pioneros</w:t>
      </w:r>
      <w:r w:rsidR="00AC1220">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en </w:t>
      </w:r>
      <w:r w:rsidR="00AC1220">
        <w:rPr>
          <w:rFonts w:ascii="Bookman Old Style" w:eastAsia="Calibri" w:hAnsi="Bookman Old Style" w:cs="Calibri"/>
          <w:b w:val="0"/>
          <w:sz w:val="22"/>
          <w:szCs w:val="24"/>
        </w:rPr>
        <w:t>donde</w:t>
      </w:r>
      <w:r w:rsidR="00AC1220"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se puede encontrar un mercado legal con controles eficaces y eficientes.</w:t>
      </w:r>
      <w:r w:rsidR="00D740BA">
        <w:rPr>
          <w:rFonts w:ascii="Bookman Old Style" w:eastAsia="Calibri" w:hAnsi="Bookman Old Style" w:cs="Calibri"/>
          <w:b w:val="0"/>
          <w:sz w:val="22"/>
          <w:szCs w:val="24"/>
        </w:rPr>
        <w:t xml:space="preserve"> </w:t>
      </w:r>
    </w:p>
    <w:p w:rsidR="00F36280" w:rsidRPr="00485CC5" w:rsidRDefault="00F36280" w:rsidP="00F36280">
      <w:pPr>
        <w:rPr>
          <w:rFonts w:ascii="Bookman Old Style" w:eastAsia="Calibri" w:hAnsi="Bookman Old Style"/>
          <w:szCs w:val="24"/>
        </w:rPr>
      </w:pPr>
    </w:p>
    <w:p w:rsidR="00F36280" w:rsidRPr="00485CC5" w:rsidRDefault="00F36280" w:rsidP="00F36280">
      <w:pPr>
        <w:jc w:val="both"/>
        <w:rPr>
          <w:rFonts w:ascii="Bookman Old Style" w:eastAsia="Calibri" w:hAnsi="Bookman Old Style"/>
          <w:szCs w:val="24"/>
        </w:rPr>
      </w:pPr>
      <w:r w:rsidRPr="00485CC5">
        <w:rPr>
          <w:rFonts w:ascii="Bookman Old Style" w:eastAsia="Calibri" w:hAnsi="Bookman Old Style"/>
          <w:szCs w:val="24"/>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485CC5">
        <w:rPr>
          <w:rStyle w:val="Refdenotaalpie"/>
          <w:rFonts w:ascii="Bookman Old Style" w:eastAsia="Calibri" w:hAnsi="Bookman Old Style"/>
          <w:szCs w:val="24"/>
        </w:rPr>
        <w:footnoteReference w:id="6"/>
      </w:r>
      <w:r w:rsidRPr="00485CC5">
        <w:rPr>
          <w:rFonts w:ascii="Bookman Old Style" w:eastAsia="Calibri" w:hAnsi="Bookman Old Style"/>
          <w:szCs w:val="24"/>
        </w:rPr>
        <w:t>:</w:t>
      </w:r>
      <w:r w:rsidRPr="00485CC5" w:rsidDel="002E290A">
        <w:rPr>
          <w:rFonts w:ascii="Bookman Old Style" w:eastAsia="Calibri" w:hAnsi="Bookman Old Style"/>
          <w:szCs w:val="24"/>
        </w:rPr>
        <w:t xml:space="preserve"> </w:t>
      </w:r>
    </w:p>
    <w:p w:rsidR="00F36280" w:rsidRPr="00485CC5" w:rsidRDefault="00F36280" w:rsidP="00F36280">
      <w:pPr>
        <w:jc w:val="both"/>
        <w:rPr>
          <w:rFonts w:ascii="Bookman Old Style" w:eastAsia="Calibri" w:hAnsi="Bookman Old Style"/>
          <w:szCs w:val="24"/>
        </w:rPr>
      </w:pPr>
    </w:p>
    <w:p w:rsidR="00F36280" w:rsidRPr="00485CC5" w:rsidRDefault="00F36280" w:rsidP="00F36280">
      <w:pPr>
        <w:jc w:val="both"/>
        <w:rPr>
          <w:rFonts w:ascii="Bookman Old Style" w:eastAsia="Calibri" w:hAnsi="Bookman Old Style"/>
          <w:szCs w:val="24"/>
        </w:rPr>
      </w:pPr>
    </w:p>
    <w:p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Tabla 1. Aspectos modificados en </w:t>
      </w:r>
    </w:p>
    <w:p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Uruguay, Colorado (Estados Unidos) y Canadá</w:t>
      </w:r>
    </w:p>
    <w:p w:rsidR="00F36280" w:rsidRPr="00485CC5" w:rsidRDefault="00F36280" w:rsidP="00F36280">
      <w:pPr>
        <w:jc w:val="center"/>
        <w:rPr>
          <w:rFonts w:ascii="Bookman Old Style" w:eastAsia="Calibri" w:hAnsi="Bookman Old Style"/>
          <w:b/>
          <w:szCs w:val="24"/>
        </w:rPr>
      </w:pPr>
    </w:p>
    <w:tbl>
      <w:tblPr>
        <w:tblStyle w:val="Tablaconcuadrcula"/>
        <w:tblW w:w="9876" w:type="dxa"/>
        <w:tblInd w:w="-431" w:type="dxa"/>
        <w:tblLook w:val="04A0" w:firstRow="1" w:lastRow="0" w:firstColumn="1" w:lastColumn="0" w:noHBand="0" w:noVBand="1"/>
      </w:tblPr>
      <w:tblGrid>
        <w:gridCol w:w="2978"/>
        <w:gridCol w:w="4111"/>
        <w:gridCol w:w="2787"/>
      </w:tblGrid>
      <w:tr w:rsidR="00F36280" w:rsidRPr="00485CC5" w:rsidTr="005B5FC0">
        <w:trPr>
          <w:trHeight w:val="20"/>
        </w:trPr>
        <w:tc>
          <w:tcPr>
            <w:tcW w:w="2978" w:type="dxa"/>
            <w:shd w:val="clear" w:color="auto" w:fill="BFBFBF" w:themeFill="background1" w:themeFillShade="BF"/>
            <w:vAlign w:val="center"/>
          </w:tcPr>
          <w:p w:rsidR="00F36280" w:rsidRPr="00485CC5" w:rsidRDefault="00F36280" w:rsidP="005B5FC0">
            <w:pPr>
              <w:jc w:val="center"/>
              <w:rPr>
                <w:rFonts w:ascii="Bookman Old Style" w:hAnsi="Bookman Old Style"/>
                <w:b/>
                <w:sz w:val="20"/>
              </w:rPr>
            </w:pPr>
            <w:r w:rsidRPr="00485CC5">
              <w:rPr>
                <w:rFonts w:ascii="Bookman Old Style" w:hAnsi="Bookman Old Style"/>
                <w:b/>
                <w:sz w:val="20"/>
              </w:rPr>
              <w:t>URUGUAY</w:t>
            </w:r>
          </w:p>
        </w:tc>
        <w:tc>
          <w:tcPr>
            <w:tcW w:w="4111" w:type="dxa"/>
            <w:shd w:val="clear" w:color="auto" w:fill="BFBFBF" w:themeFill="background1" w:themeFillShade="BF"/>
            <w:vAlign w:val="center"/>
          </w:tcPr>
          <w:p w:rsidR="00F36280" w:rsidRPr="00485CC5" w:rsidRDefault="00F36280" w:rsidP="005B5FC0">
            <w:pPr>
              <w:jc w:val="center"/>
              <w:rPr>
                <w:rFonts w:ascii="Bookman Old Style" w:hAnsi="Bookman Old Style"/>
                <w:b/>
                <w:sz w:val="20"/>
              </w:rPr>
            </w:pPr>
            <w:r w:rsidRPr="00485CC5">
              <w:rPr>
                <w:rFonts w:ascii="Bookman Old Style" w:hAnsi="Bookman Old Style"/>
                <w:b/>
                <w:sz w:val="20"/>
              </w:rPr>
              <w:t xml:space="preserve">COLORADO </w:t>
            </w:r>
            <w:r>
              <w:rPr>
                <w:rFonts w:ascii="Bookman Old Style" w:hAnsi="Bookman Old Style"/>
                <w:b/>
                <w:sz w:val="20"/>
              </w:rPr>
              <w:t>–</w:t>
            </w:r>
            <w:r w:rsidRPr="00485CC5">
              <w:rPr>
                <w:rFonts w:ascii="Bookman Old Style" w:hAnsi="Bookman Old Style"/>
                <w:b/>
                <w:sz w:val="20"/>
              </w:rPr>
              <w:t xml:space="preserve"> EEUU</w:t>
            </w:r>
          </w:p>
        </w:tc>
        <w:tc>
          <w:tcPr>
            <w:tcW w:w="2787" w:type="dxa"/>
            <w:shd w:val="clear" w:color="auto" w:fill="BFBFBF" w:themeFill="background1" w:themeFillShade="BF"/>
            <w:vAlign w:val="center"/>
          </w:tcPr>
          <w:p w:rsidR="00F36280" w:rsidRPr="00485CC5" w:rsidRDefault="00F36280" w:rsidP="005B5FC0">
            <w:pPr>
              <w:jc w:val="center"/>
              <w:rPr>
                <w:rFonts w:ascii="Bookman Old Style" w:hAnsi="Bookman Old Style"/>
                <w:b/>
                <w:sz w:val="20"/>
              </w:rPr>
            </w:pPr>
            <w:r w:rsidRPr="00485CC5">
              <w:rPr>
                <w:rFonts w:ascii="Bookman Old Style" w:hAnsi="Bookman Old Style"/>
                <w:b/>
                <w:sz w:val="20"/>
              </w:rPr>
              <w:t>CANADÁ</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Enfoque</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Salud pública.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Control estatal.</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Desmercantilización           del cannabis.</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Salud y seguridad pública.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Eficiencia y libertad individual.</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Recaudación.</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Libre mercado.</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Enfoque salud pública.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Seguridad en la práctica.</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Libre mercado.</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Objetivos</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Proteger a los habitantes del comercio ilegal y el narcotráfico.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Atacar consecuencias sanitarias, sociales y económicas del uso problemático de sustancias psicoactivas.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lastRenderedPageBreak/>
              <w:t>Reducir la incidencia del narcotráfico y del crimen organizado.</w:t>
            </w:r>
          </w:p>
        </w:tc>
        <w:tc>
          <w:tcPr>
            <w:tcW w:w="4111" w:type="dxa"/>
            <w:vAlign w:val="center"/>
          </w:tcPr>
          <w:p w:rsidR="00F36280" w:rsidRPr="00485CC5" w:rsidRDefault="00F36280" w:rsidP="005B5FC0">
            <w:pPr>
              <w:pStyle w:val="Ttulo2"/>
              <w:ind w:left="0"/>
              <w:outlineLvl w:val="1"/>
              <w:rPr>
                <w:rFonts w:ascii="Bookman Old Style" w:eastAsia="Calibri" w:hAnsi="Bookman Old Style" w:cs="Calibri"/>
                <w:b w:val="0"/>
                <w:i/>
                <w:sz w:val="20"/>
                <w:szCs w:val="22"/>
              </w:rPr>
            </w:pPr>
            <w:r w:rsidRPr="00485CC5">
              <w:rPr>
                <w:rFonts w:ascii="Bookman Old Style" w:eastAsia="Calibri" w:hAnsi="Bookman Old Style" w:cs="Calibri"/>
                <w:b w:val="0"/>
                <w:i/>
                <w:sz w:val="20"/>
                <w:szCs w:val="22"/>
              </w:rPr>
              <w:lastRenderedPageBreak/>
              <w:t>Enmienda 64:</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Uso eficiente de los recursos para la aplicación de la ley.</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Aumento de ingresos para fines públicos.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Libertad individual.</w:t>
            </w:r>
          </w:p>
          <w:p w:rsidR="00F36280" w:rsidRPr="00485CC5" w:rsidRDefault="00F36280" w:rsidP="005B5FC0">
            <w:pPr>
              <w:jc w:val="center"/>
              <w:rPr>
                <w:rFonts w:ascii="Bookman Old Style" w:hAnsi="Bookman Old Style" w:cs="Calibri"/>
                <w:sz w:val="20"/>
              </w:rPr>
            </w:pPr>
          </w:p>
          <w:p w:rsidR="00F36280" w:rsidRPr="00485CC5" w:rsidRDefault="00F36280" w:rsidP="005B5FC0">
            <w:pPr>
              <w:pStyle w:val="Ttulo2"/>
              <w:ind w:left="0" w:right="40"/>
              <w:jc w:val="both"/>
              <w:outlineLvl w:val="1"/>
              <w:rPr>
                <w:rFonts w:ascii="Bookman Old Style" w:eastAsia="Calibri" w:hAnsi="Bookman Old Style" w:cs="Calibri"/>
                <w:sz w:val="20"/>
                <w:szCs w:val="22"/>
              </w:rPr>
            </w:pPr>
            <w:r w:rsidRPr="00485CC5">
              <w:rPr>
                <w:rFonts w:ascii="Bookman Old Style" w:eastAsia="Calibri" w:hAnsi="Bookman Old Style" w:cs="Calibri"/>
                <w:b w:val="0"/>
                <w:i/>
                <w:sz w:val="20"/>
                <w:szCs w:val="22"/>
              </w:rPr>
              <w:t>Principio rector gobierno Colorado:</w:t>
            </w:r>
            <w:r w:rsidRPr="00485CC5">
              <w:rPr>
                <w:rFonts w:ascii="Bookman Old Style" w:eastAsia="Calibri" w:hAnsi="Bookman Old Style" w:cs="Calibri"/>
                <w:sz w:val="20"/>
                <w:szCs w:val="22"/>
              </w:rPr>
              <w:t xml:space="preserve"> </w:t>
            </w:r>
            <w:r w:rsidRPr="00485CC5">
              <w:rPr>
                <w:rFonts w:ascii="Bookman Old Style" w:eastAsia="Calibri" w:hAnsi="Bookman Old Style" w:cs="Calibri"/>
                <w:b w:val="0"/>
                <w:sz w:val="20"/>
                <w:szCs w:val="22"/>
              </w:rPr>
              <w:t xml:space="preserve">crear un entorno normativo y de aplicación de la ley robusto que proteja la seguridad </w:t>
            </w:r>
            <w:r w:rsidRPr="00485CC5">
              <w:rPr>
                <w:rFonts w:ascii="Bookman Old Style" w:eastAsia="Calibri" w:hAnsi="Bookman Old Style" w:cs="Calibri"/>
                <w:b w:val="0"/>
                <w:sz w:val="20"/>
                <w:szCs w:val="22"/>
              </w:rPr>
              <w:lastRenderedPageBreak/>
              <w:t>pública y evite el desvío de marihuana de venta al por menor a personas menores de 21 años o de fuera del estado de Colorado</w:t>
            </w:r>
            <w:r w:rsidRPr="00485CC5">
              <w:rPr>
                <w:rFonts w:ascii="Bookman Old Style" w:eastAsia="Calibri" w:hAnsi="Bookman Old Style" w:cs="Calibri"/>
                <w:sz w:val="20"/>
                <w:szCs w:val="22"/>
              </w:rPr>
              <w:t>.</w:t>
            </w:r>
          </w:p>
          <w:p w:rsidR="00F36280" w:rsidRPr="00485CC5" w:rsidRDefault="00F36280" w:rsidP="005B5FC0">
            <w:pPr>
              <w:rPr>
                <w:rFonts w:ascii="Bookman Old Style" w:hAnsi="Bookman Old Style"/>
                <w:sz w:val="20"/>
              </w:rPr>
            </w:pP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lastRenderedPageBreak/>
              <w:t>Protección de la salud.</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Luchar contra el crimen organizado.</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lang w:val="en-US"/>
              </w:rPr>
            </w:pPr>
            <w:r w:rsidRPr="00485CC5">
              <w:rPr>
                <w:rFonts w:ascii="Bookman Old Style" w:hAnsi="Bookman Old Style"/>
                <w:b/>
                <w:i/>
                <w:sz w:val="20"/>
                <w:lang w:val="en-US"/>
              </w:rPr>
              <w:lastRenderedPageBreak/>
              <w:t>Entidad que regula</w:t>
            </w:r>
          </w:p>
        </w:tc>
      </w:tr>
      <w:tr w:rsidR="00F36280" w:rsidRPr="0013321A" w:rsidTr="005B5FC0">
        <w:trPr>
          <w:trHeight w:val="20"/>
        </w:trPr>
        <w:tc>
          <w:tcPr>
            <w:tcW w:w="2978"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Instituto de Regulación y Control de Cannabis (IRCCA). Ministerio de Salud Pública.</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Marijuana Enforcement Division/ División de Aplicación de la Ley sobre Marihuana.</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Departamento de Hacienda.</w:t>
            </w:r>
          </w:p>
        </w:tc>
        <w:tc>
          <w:tcPr>
            <w:tcW w:w="2787" w:type="dxa"/>
            <w:vAlign w:val="center"/>
          </w:tcPr>
          <w:p w:rsidR="00F36280" w:rsidRPr="00485CC5" w:rsidRDefault="00F36280" w:rsidP="005B5FC0">
            <w:pPr>
              <w:jc w:val="both"/>
              <w:rPr>
                <w:rFonts w:ascii="Bookman Old Style" w:hAnsi="Bookman Old Style"/>
                <w:sz w:val="20"/>
                <w:lang w:val="en-US"/>
              </w:rPr>
            </w:pPr>
            <w:r w:rsidRPr="00485CC5">
              <w:rPr>
                <w:rFonts w:ascii="Bookman Old Style" w:hAnsi="Bookman Old Style"/>
                <w:sz w:val="20"/>
                <w:lang w:val="en-US"/>
              </w:rPr>
              <w:t>Access to Cannabis for Medical Purposes Regulations (ACMPR) del Ministerio de Salud Canadiense (Health Canada).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b/>
                <w:i/>
                <w:sz w:val="20"/>
              </w:rPr>
              <w:t>Distribución</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público y privado.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Farmacias.</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Clubes de cannabis.</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privado.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Locales comerciales con licencia de dispensación de cannabis medicinal hasta jul.2014.</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Después licencia medicinal y/o comercial.</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privado.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Locales comerciales con licencia.</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Experimentos con clubes de cannabis.</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Establecimientos de venta</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Farmacias acreditadas en el registro del IRCCA.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Clubes de cannabis registrados en el IRCCA.</w:t>
            </w:r>
          </w:p>
        </w:tc>
        <w:tc>
          <w:tcPr>
            <w:tcW w:w="4111" w:type="dxa"/>
            <w:vAlign w:val="center"/>
          </w:tcPr>
          <w:p w:rsidR="00F36280" w:rsidRPr="00485CC5" w:rsidRDefault="00F36280" w:rsidP="005B5FC0">
            <w:pPr>
              <w:pStyle w:val="Ttulo2"/>
              <w:ind w:left="0"/>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Establecimientos con autorización</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Clubes de Cannabis.</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Establecimientos con licencias autorizadas.</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Edad permitida</w:t>
            </w:r>
          </w:p>
        </w:tc>
      </w:tr>
      <w:tr w:rsidR="00F36280" w:rsidRPr="00485CC5" w:rsidTr="005B5FC0">
        <w:trPr>
          <w:trHeight w:val="20"/>
        </w:trPr>
        <w:tc>
          <w:tcPr>
            <w:tcW w:w="2978"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18 años</w:t>
            </w:r>
          </w:p>
        </w:tc>
        <w:tc>
          <w:tcPr>
            <w:tcW w:w="4111"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21 años</w:t>
            </w:r>
          </w:p>
        </w:tc>
        <w:tc>
          <w:tcPr>
            <w:tcW w:w="2787"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18</w:t>
            </w:r>
            <w:r w:rsidR="002566D0">
              <w:rPr>
                <w:rFonts w:ascii="Bookman Old Style" w:hAnsi="Bookman Old Style"/>
                <w:sz w:val="20"/>
              </w:rPr>
              <w:t xml:space="preserve"> a 21 </w:t>
            </w:r>
            <w:r w:rsidRPr="00485CC5">
              <w:rPr>
                <w:rFonts w:ascii="Bookman Old Style" w:hAnsi="Bookman Old Style"/>
                <w:sz w:val="20"/>
              </w:rPr>
              <w:t>años</w:t>
            </w:r>
            <w:r w:rsidR="002566D0">
              <w:rPr>
                <w:rFonts w:ascii="Bookman Old Style" w:hAnsi="Bookman Old Style"/>
                <w:sz w:val="20"/>
              </w:rPr>
              <w:t xml:space="preserve"> según la provincia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b/>
                <w:i/>
                <w:sz w:val="20"/>
              </w:rPr>
              <w:t>Registro</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cultivos en el IRCCA (Datos de carácter sensible).</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personas usuarias y de integrantes de clubes (Datos de carácter sensible).</w:t>
            </w:r>
          </w:p>
        </w:tc>
        <w:tc>
          <w:tcPr>
            <w:tcW w:w="4111"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No se permite según la ley pero están obligados a instalar cámaras que registren la identidad de vendedor y comprador.</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usuarios de clubes de cannabis.</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Registro de usuarios de cannabis medicinal.</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Publicidad</w:t>
            </w:r>
          </w:p>
        </w:tc>
      </w:tr>
      <w:tr w:rsidR="00F36280" w:rsidRPr="00485CC5" w:rsidTr="005B5FC0">
        <w:trPr>
          <w:trHeight w:val="20"/>
        </w:trPr>
        <w:tc>
          <w:tcPr>
            <w:tcW w:w="2978"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Prohibida</w:t>
            </w:r>
          </w:p>
        </w:tc>
        <w:tc>
          <w:tcPr>
            <w:tcW w:w="4111"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Regulada</w:t>
            </w:r>
          </w:p>
        </w:tc>
        <w:tc>
          <w:tcPr>
            <w:tcW w:w="2787"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Prohibida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Fiscalidad</w:t>
            </w:r>
          </w:p>
        </w:tc>
      </w:tr>
      <w:tr w:rsidR="00F36280" w:rsidRPr="00485CC5" w:rsidTr="005B5FC0">
        <w:trPr>
          <w:trHeight w:val="20"/>
        </w:trPr>
        <w:tc>
          <w:tcPr>
            <w:tcW w:w="2978" w:type="dxa"/>
            <w:vAlign w:val="center"/>
          </w:tcPr>
          <w:p w:rsidR="00F36280" w:rsidRPr="00485CC5" w:rsidRDefault="00F36280" w:rsidP="005B5FC0">
            <w:pPr>
              <w:pStyle w:val="Ttulo2"/>
              <w:ind w:left="0" w:right="200"/>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Precio de licencia + 20% IVA en suspenso (no se traslada al precio final de venta al público).</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municipales (variables)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indirectos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w:t>
            </w:r>
            <w:r w:rsidRPr="00485CC5">
              <w:rPr>
                <w:rFonts w:ascii="Bookman Old Style" w:eastAsia="Calibri" w:hAnsi="Bookman Old Style" w:cs="Calibri"/>
                <w:b w:val="0"/>
                <w:i/>
                <w:sz w:val="20"/>
                <w:szCs w:val="22"/>
              </w:rPr>
              <w:t>Excise taxes):</w:t>
            </w:r>
            <w:r w:rsidRPr="00485CC5">
              <w:rPr>
                <w:rFonts w:ascii="Bookman Old Style" w:eastAsia="Calibri" w:hAnsi="Bookman Old Style" w:cs="Calibri"/>
                <w:b w:val="0"/>
                <w:sz w:val="20"/>
                <w:szCs w:val="22"/>
              </w:rPr>
              <w:t xml:space="preserve"> 15% IVA especial</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i/>
                <w:sz w:val="20"/>
                <w:szCs w:val="22"/>
              </w:rPr>
              <w:t>(Sales tax):</w:t>
            </w:r>
            <w:r w:rsidRPr="00485CC5">
              <w:rPr>
                <w:rFonts w:ascii="Bookman Old Style" w:eastAsia="Calibri" w:hAnsi="Bookman Old Style" w:cs="Calibri"/>
                <w:b w:val="0"/>
                <w:sz w:val="20"/>
                <w:szCs w:val="22"/>
              </w:rPr>
              <w:t xml:space="preserve"> 10%</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IVA estatal: 2,9%</w:t>
            </w:r>
          </w:p>
        </w:tc>
        <w:tc>
          <w:tcPr>
            <w:tcW w:w="2787" w:type="dxa"/>
            <w:vAlign w:val="center"/>
          </w:tcPr>
          <w:p w:rsidR="00F36280" w:rsidRPr="00485CC5" w:rsidRDefault="00F36280" w:rsidP="005B5FC0">
            <w:pPr>
              <w:rPr>
                <w:rFonts w:ascii="Bookman Old Style" w:hAnsi="Bookman Old Style"/>
                <w:sz w:val="20"/>
              </w:rPr>
            </w:pPr>
            <w:r w:rsidRPr="00485CC5">
              <w:rPr>
                <w:rFonts w:ascii="Bookman Old Style" w:hAnsi="Bookman Old Style"/>
                <w:sz w:val="20"/>
              </w:rPr>
              <w:t>Existen dos tipos de impuestos:</w:t>
            </w:r>
          </w:p>
          <w:p w:rsidR="00F36280" w:rsidRPr="00485CC5" w:rsidRDefault="00F36280" w:rsidP="005B5FC0">
            <w:pPr>
              <w:jc w:val="center"/>
              <w:rPr>
                <w:rFonts w:ascii="Bookman Old Style" w:hAnsi="Bookman Old Style"/>
                <w:sz w:val="20"/>
              </w:rPr>
            </w:pP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Nacional. Se implementa un impuesto consistente en el pago de 1 dólar canadiense por gramo o del 10% del precio de venta final, dependiendo de cuál sea el más elevado.</w:t>
            </w:r>
          </w:p>
          <w:p w:rsidR="00F36280" w:rsidRPr="00485CC5" w:rsidRDefault="00F36280" w:rsidP="005B5FC0">
            <w:pPr>
              <w:jc w:val="center"/>
              <w:rPr>
                <w:rFonts w:ascii="Bookman Old Style" w:hAnsi="Bookman Old Style"/>
                <w:sz w:val="20"/>
              </w:rPr>
            </w:pP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lastRenderedPageBreak/>
              <w:t>Provincial. Se implementa el impuesto de venta de cualquier producto que varía entre el 13 y el 15%.</w:t>
            </w:r>
          </w:p>
          <w:p w:rsidR="00F36280" w:rsidRPr="00485CC5" w:rsidRDefault="00F36280" w:rsidP="005B5FC0">
            <w:pPr>
              <w:rPr>
                <w:rFonts w:ascii="Bookman Old Style" w:hAnsi="Bookman Old Style"/>
                <w:szCs w:val="24"/>
              </w:rPr>
            </w:pP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lastRenderedPageBreak/>
              <w:t>Destinación de recursos recaudados</w:t>
            </w:r>
          </w:p>
        </w:tc>
      </w:tr>
      <w:tr w:rsidR="00F36280" w:rsidRPr="00485CC5" w:rsidTr="005B5FC0">
        <w:trPr>
          <w:trHeight w:val="20"/>
        </w:trPr>
        <w:tc>
          <w:tcPr>
            <w:tcW w:w="2978"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Sistema educativo y Sistema de salud.</w:t>
            </w:r>
          </w:p>
        </w:tc>
        <w:tc>
          <w:tcPr>
            <w:tcW w:w="4111" w:type="dxa"/>
            <w:vAlign w:val="center"/>
          </w:tcPr>
          <w:p w:rsidR="00F36280" w:rsidRPr="00485CC5" w:rsidRDefault="00F36280" w:rsidP="005B5FC0">
            <w:pPr>
              <w:pStyle w:val="Ttulo2"/>
              <w:ind w:left="0" w:right="200"/>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indirectos.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Primeros 40 millones van a Fondo para la construcción de escuelas. Después de los 40 millones se destinan a Fondo de Efectivo de Marihuana (</w:t>
            </w:r>
            <w:r w:rsidRPr="00485CC5">
              <w:rPr>
                <w:rFonts w:ascii="Bookman Old Style" w:eastAsia="Calibri" w:hAnsi="Bookman Old Style" w:cs="Calibri"/>
                <w:b w:val="0"/>
                <w:i/>
                <w:sz w:val="20"/>
                <w:szCs w:val="22"/>
              </w:rPr>
              <w:t>Marihuana Cash Fund</w:t>
            </w:r>
            <w:r w:rsidRPr="00485CC5">
              <w:rPr>
                <w:rFonts w:ascii="Bookman Old Style" w:eastAsia="Calibri" w:hAnsi="Bookman Old Style" w:cs="Calibri"/>
                <w:b w:val="0"/>
                <w:sz w:val="20"/>
                <w:szCs w:val="22"/>
              </w:rPr>
              <w:t>).</w:t>
            </w:r>
          </w:p>
        </w:tc>
        <w:tc>
          <w:tcPr>
            <w:tcW w:w="2787" w:type="dxa"/>
            <w:vAlign w:val="center"/>
          </w:tcPr>
          <w:p w:rsidR="00F36280" w:rsidRPr="00485CC5" w:rsidRDefault="00F36280" w:rsidP="005B5FC0">
            <w:pPr>
              <w:jc w:val="both"/>
              <w:rPr>
                <w:rFonts w:ascii="Bookman Old Style" w:hAnsi="Bookman Old Style"/>
                <w:sz w:val="20"/>
              </w:rPr>
            </w:pPr>
            <w:r w:rsidRPr="00485CC5">
              <w:rPr>
                <w:rFonts w:ascii="Bookman Old Style" w:hAnsi="Bookman Old Style"/>
                <w:sz w:val="20"/>
              </w:rPr>
              <w:t>No se ha establecido destinación específica.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Prevención</w:t>
            </w:r>
          </w:p>
        </w:tc>
      </w:tr>
      <w:tr w:rsidR="00F36280" w:rsidRPr="00485CC5" w:rsidTr="005B5FC0">
        <w:trPr>
          <w:trHeight w:val="20"/>
        </w:trPr>
        <w:tc>
          <w:tcPr>
            <w:tcW w:w="2978"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Disciplina obligatoria en el Sistema Nacional de Educación Pública.</w:t>
            </w:r>
          </w:p>
        </w:tc>
        <w:tc>
          <w:tcPr>
            <w:tcW w:w="4111"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Integrada en los programas de prevención de alcohol, tabaco, drogas ilegalizadas y otras sustancias.</w:t>
            </w:r>
          </w:p>
        </w:tc>
        <w:tc>
          <w:tcPr>
            <w:tcW w:w="2787" w:type="dxa"/>
            <w:vAlign w:val="center"/>
          </w:tcPr>
          <w:p w:rsidR="00F36280" w:rsidRPr="00485CC5" w:rsidRDefault="00F36280" w:rsidP="005B5FC0">
            <w:pPr>
              <w:jc w:val="both"/>
              <w:rPr>
                <w:rFonts w:ascii="Bookman Old Style" w:hAnsi="Bookman Old Style"/>
                <w:sz w:val="20"/>
              </w:rPr>
            </w:pPr>
            <w:r w:rsidRPr="00485CC5">
              <w:rPr>
                <w:rFonts w:ascii="Bookman Old Style" w:hAnsi="Bookman Old Style"/>
                <w:sz w:val="20"/>
              </w:rPr>
              <w:t>Programas dirigidos por el Ministerio de Salud canadiense en la prevención y uso responsable de las sustancias psicoactivas.</w:t>
            </w:r>
          </w:p>
        </w:tc>
      </w:tr>
    </w:tbl>
    <w:p w:rsidR="00F36280" w:rsidRPr="00077ACA" w:rsidRDefault="00F36280" w:rsidP="00F36280">
      <w:pPr>
        <w:ind w:left="-426"/>
        <w:rPr>
          <w:rFonts w:ascii="Bookman Old Style" w:eastAsia="Calibri" w:hAnsi="Bookman Old Style" w:cs="Calibri"/>
          <w:sz w:val="16"/>
          <w:szCs w:val="16"/>
        </w:rPr>
      </w:pPr>
      <w:r w:rsidRPr="00077ACA">
        <w:rPr>
          <w:rFonts w:ascii="Bookman Old Style" w:eastAsia="Calibri" w:hAnsi="Bookman Old Style" w:cs="Calibri"/>
          <w:sz w:val="16"/>
          <w:szCs w:val="16"/>
        </w:rPr>
        <w:t>Fuente: UTL-Juan Fernando Reyes Kuri</w:t>
      </w:r>
    </w:p>
    <w:p w:rsidR="00F36280" w:rsidRPr="00485CC5" w:rsidRDefault="00F36280" w:rsidP="00F36280">
      <w:pPr>
        <w:rPr>
          <w:rFonts w:ascii="Bookman Old Style" w:eastAsia="Calibri" w:hAnsi="Bookman Old Style"/>
          <w:szCs w:val="24"/>
        </w:rPr>
      </w:pPr>
    </w:p>
    <w:p w:rsidR="00F36280" w:rsidRPr="00485CC5" w:rsidRDefault="00F36280" w:rsidP="00F36280">
      <w:pPr>
        <w:rPr>
          <w:rFonts w:ascii="Bookman Old Style" w:eastAsia="Calibri" w:hAnsi="Bookman Old Style"/>
          <w:szCs w:val="24"/>
        </w:rPr>
      </w:pPr>
    </w:p>
    <w:p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Tabla 2. Medidas implementadas</w:t>
      </w:r>
    </w:p>
    <w:p w:rsidR="00F36280" w:rsidRPr="00485CC5" w:rsidRDefault="00F36280" w:rsidP="00F36280">
      <w:pPr>
        <w:jc w:val="center"/>
        <w:rPr>
          <w:rFonts w:ascii="Bookman Old Style" w:eastAsia="Calibri" w:hAnsi="Bookman Old Style"/>
          <w:b/>
          <w:szCs w:val="24"/>
        </w:rPr>
      </w:pPr>
    </w:p>
    <w:tbl>
      <w:tblPr>
        <w:tblStyle w:val="Tablaconcuadrcula"/>
        <w:tblW w:w="9924" w:type="dxa"/>
        <w:tblInd w:w="-431" w:type="dxa"/>
        <w:tblLook w:val="04A0" w:firstRow="1" w:lastRow="0" w:firstColumn="1" w:lastColumn="0" w:noHBand="0" w:noVBand="1"/>
      </w:tblPr>
      <w:tblGrid>
        <w:gridCol w:w="5104"/>
        <w:gridCol w:w="4820"/>
      </w:tblGrid>
      <w:tr w:rsidR="00F36280" w:rsidRPr="00485CC5" w:rsidTr="005B5FC0">
        <w:trPr>
          <w:trHeight w:val="305"/>
        </w:trPr>
        <w:tc>
          <w:tcPr>
            <w:tcW w:w="5104" w:type="dxa"/>
            <w:shd w:val="clear" w:color="auto" w:fill="BFBFBF" w:themeFill="background1" w:themeFillShade="BF"/>
          </w:tcPr>
          <w:p w:rsidR="00F36280" w:rsidRPr="00485CC5" w:rsidRDefault="00F36280" w:rsidP="005B5FC0">
            <w:pPr>
              <w:jc w:val="center"/>
              <w:rPr>
                <w:rFonts w:ascii="Bookman Old Style" w:hAnsi="Bookman Old Style" w:cstheme="majorHAnsi"/>
                <w:b/>
                <w:sz w:val="20"/>
              </w:rPr>
            </w:pPr>
            <w:r w:rsidRPr="00485CC5">
              <w:rPr>
                <w:rFonts w:ascii="Bookman Old Style" w:hAnsi="Bookman Old Style" w:cstheme="majorHAnsi"/>
                <w:b/>
                <w:sz w:val="20"/>
              </w:rPr>
              <w:t>URUGUAY</w:t>
            </w:r>
          </w:p>
        </w:tc>
        <w:tc>
          <w:tcPr>
            <w:tcW w:w="4820" w:type="dxa"/>
            <w:shd w:val="clear" w:color="auto" w:fill="BFBFBF" w:themeFill="background1" w:themeFillShade="BF"/>
          </w:tcPr>
          <w:p w:rsidR="00F36280" w:rsidRPr="00485CC5" w:rsidRDefault="00F36280" w:rsidP="005B5FC0">
            <w:pPr>
              <w:jc w:val="center"/>
              <w:rPr>
                <w:rFonts w:ascii="Bookman Old Style" w:hAnsi="Bookman Old Style" w:cstheme="majorHAnsi"/>
                <w:b/>
                <w:sz w:val="20"/>
              </w:rPr>
            </w:pPr>
            <w:r w:rsidRPr="00485CC5">
              <w:rPr>
                <w:rFonts w:ascii="Bookman Old Style" w:hAnsi="Bookman Old Style" w:cstheme="majorHAnsi"/>
                <w:b/>
                <w:sz w:val="20"/>
              </w:rPr>
              <w:t>COLORADO - EEUU</w:t>
            </w:r>
          </w:p>
        </w:tc>
      </w:tr>
      <w:tr w:rsidR="00F36280" w:rsidRPr="00485CC5" w:rsidTr="005B5FC0">
        <w:trPr>
          <w:trHeight w:val="288"/>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ley.</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delitos cannabis</w:t>
            </w:r>
          </w:p>
        </w:tc>
      </w:tr>
      <w:tr w:rsidR="00F36280" w:rsidRPr="00485CC5" w:rsidTr="005B5FC0">
        <w:trPr>
          <w:trHeight w:val="305"/>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Puesta en marcha de Sistemas de monitoreo y evaluación de la implementación de la ley</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establecimientos</w:t>
            </w:r>
          </w:p>
        </w:tc>
      </w:tr>
      <w:tr w:rsidR="00F36280" w:rsidRPr="00485CC5" w:rsidTr="005B5FC0">
        <w:trPr>
          <w:trHeight w:val="288"/>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Formación fuerzas seguridad aduanas</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impuestos</w:t>
            </w:r>
          </w:p>
        </w:tc>
      </w:tr>
      <w:tr w:rsidR="00F36280" w:rsidRPr="00485CC5" w:rsidTr="005B5FC0">
        <w:trPr>
          <w:trHeight w:val="305"/>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Creación programa de capacitación especializada en política de drogas y carrera especializada en políticas de drogas.</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penas por conducir bajo efectos cannabis</w:t>
            </w:r>
          </w:p>
        </w:tc>
      </w:tr>
      <w:tr w:rsidR="00F36280" w:rsidRPr="00485CC5" w:rsidTr="005B5FC0">
        <w:trPr>
          <w:trHeight w:val="288"/>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Ensayo clínico uso cannabis para deshabituación pasta base</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Estudios sobre efectos cannabis en la salud y sobre acciones y gastos de represión.</w:t>
            </w:r>
          </w:p>
        </w:tc>
      </w:tr>
    </w:tbl>
    <w:p w:rsidR="00F36280" w:rsidRPr="00485CC5" w:rsidRDefault="00F36280" w:rsidP="00F36280">
      <w:pPr>
        <w:ind w:left="-426"/>
        <w:rPr>
          <w:rFonts w:ascii="Bookman Old Style" w:eastAsia="Calibri" w:hAnsi="Bookman Old Style" w:cs="Calibri"/>
          <w:sz w:val="16"/>
          <w:szCs w:val="18"/>
        </w:rPr>
      </w:pPr>
      <w:r w:rsidRPr="00485CC5">
        <w:rPr>
          <w:rFonts w:ascii="Bookman Old Style" w:eastAsia="Calibri" w:hAnsi="Bookman Old Style" w:cs="Calibri"/>
          <w:sz w:val="16"/>
          <w:szCs w:val="18"/>
        </w:rPr>
        <w:t>Fuente: UTL-Juan Fernando Reyes Kuri</w:t>
      </w:r>
    </w:p>
    <w:p w:rsidR="00F36280" w:rsidRDefault="00F36280" w:rsidP="00F36280">
      <w:pPr>
        <w:ind w:left="-426"/>
        <w:rPr>
          <w:rFonts w:ascii="Bookman Old Style" w:eastAsia="Calibri" w:hAnsi="Bookman Old Style" w:cs="Calibri"/>
          <w:sz w:val="16"/>
          <w:szCs w:val="18"/>
        </w:rPr>
      </w:pPr>
    </w:p>
    <w:p w:rsidR="005A693D" w:rsidRDefault="005A693D" w:rsidP="00F36280">
      <w:pPr>
        <w:ind w:left="-426"/>
        <w:rPr>
          <w:rFonts w:ascii="Bookman Old Style" w:eastAsia="Calibri" w:hAnsi="Bookman Old Style" w:cs="Calibri"/>
          <w:sz w:val="16"/>
          <w:szCs w:val="18"/>
        </w:rPr>
      </w:pPr>
    </w:p>
    <w:p w:rsidR="005A693D" w:rsidRPr="00485CC5" w:rsidRDefault="005A693D" w:rsidP="00F36280">
      <w:pPr>
        <w:ind w:left="-426"/>
        <w:rPr>
          <w:rFonts w:ascii="Bookman Old Style" w:eastAsia="Calibri" w:hAnsi="Bookman Old Style" w:cs="Calibri"/>
          <w:sz w:val="16"/>
          <w:szCs w:val="18"/>
        </w:rPr>
      </w:pPr>
    </w:p>
    <w:p w:rsidR="00F36280" w:rsidRPr="00485CC5" w:rsidRDefault="000046EF" w:rsidP="001E18FE">
      <w:pPr>
        <w:ind w:left="-426"/>
        <w:jc w:val="both"/>
        <w:rPr>
          <w:rFonts w:ascii="Bookman Old Style" w:eastAsia="Calibri" w:hAnsi="Bookman Old Style" w:cs="Calibri"/>
          <w:b/>
          <w:bCs/>
          <w:sz w:val="16"/>
          <w:szCs w:val="18"/>
        </w:rPr>
      </w:pPr>
      <w:r>
        <w:rPr>
          <w:rFonts w:ascii="Bookman Old Style" w:eastAsia="Calibri" w:hAnsi="Bookman Old Style" w:cs="Calibri"/>
          <w:b/>
          <w:bCs/>
          <w:szCs w:val="24"/>
        </w:rPr>
        <w:t>4</w:t>
      </w:r>
      <w:r w:rsidR="00F36280" w:rsidRPr="00485CC5">
        <w:rPr>
          <w:rFonts w:ascii="Bookman Old Style" w:eastAsia="Calibri" w:hAnsi="Bookman Old Style" w:cs="Calibri"/>
          <w:b/>
          <w:bCs/>
          <w:szCs w:val="24"/>
        </w:rPr>
        <w:t>.2.1 IMPACTO ECONÓMICO DE LA REGULACIÓN</w:t>
      </w:r>
      <w:r w:rsidR="00DB66BE">
        <w:rPr>
          <w:rFonts w:ascii="Bookman Old Style" w:eastAsia="Calibri" w:hAnsi="Bookman Old Style" w:cs="Calibri"/>
          <w:b/>
          <w:bCs/>
          <w:szCs w:val="24"/>
        </w:rPr>
        <w:t xml:space="preserve"> EN EL CASO</w:t>
      </w:r>
      <w:r w:rsidR="00F36280" w:rsidRPr="00485CC5">
        <w:rPr>
          <w:rFonts w:ascii="Bookman Old Style" w:eastAsia="Calibri" w:hAnsi="Bookman Old Style" w:cs="Calibri"/>
          <w:b/>
          <w:bCs/>
          <w:szCs w:val="24"/>
        </w:rPr>
        <w:t xml:space="preserve"> INTERNACIONAL</w:t>
      </w:r>
    </w:p>
    <w:p w:rsidR="00F36280" w:rsidRPr="00485CC5" w:rsidRDefault="00F36280" w:rsidP="00F36280"/>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Diferentes aspectos económicos muestran que la regulación del uso recreativo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 Lo cual repercute favorablemente en la lucha para terminar con el mercado negro e ilegal y aliviar el sistema carcelario y judicial y, convertir este flagelo en una política encaminada al desarrollo sostenible del país.</w:t>
      </w: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 </w:t>
      </w:r>
    </w:p>
    <w:p w:rsidR="00F36280" w:rsidRPr="00485CC5" w:rsidRDefault="00F36280" w:rsidP="00F36280">
      <w:pPr>
        <w:pStyle w:val="Ttulo1"/>
        <w:jc w:val="both"/>
        <w:rPr>
          <w:rFonts w:ascii="Bookman Old Style" w:hAnsi="Bookman Old Style" w:cs="Calibri"/>
          <w:b w:val="0"/>
          <w:sz w:val="22"/>
          <w:szCs w:val="24"/>
        </w:rPr>
      </w:pPr>
      <w:bookmarkStart w:id="1" w:name="_Toc5023208"/>
      <w:r w:rsidRPr="00485CC5">
        <w:rPr>
          <w:rFonts w:ascii="Bookman Old Style" w:hAnsi="Bookman Old Style" w:cs="Calibri"/>
          <w:b w:val="0"/>
          <w:sz w:val="22"/>
          <w:szCs w:val="24"/>
        </w:rPr>
        <w:lastRenderedPageBreak/>
        <w:t>Así como el alcohol y el tabaco están regulados y pagan impuesto, los impuestos al consumo del cannabis pueden ser una fuente de financiación para Programas Sociales, de Salud y de Prevención de Abuso de Sustancias</w:t>
      </w:r>
      <w:bookmarkEnd w:id="1"/>
      <w:r w:rsidRPr="00485CC5">
        <w:rPr>
          <w:rFonts w:ascii="Bookman Old Style" w:hAnsi="Bookman Old Style" w:cs="Calibri"/>
          <w:b w:val="0"/>
          <w:sz w:val="22"/>
          <w:szCs w:val="24"/>
        </w:rPr>
        <w:t>.</w:t>
      </w:r>
    </w:p>
    <w:p w:rsidR="00F36280" w:rsidRPr="00485CC5" w:rsidRDefault="00F36280" w:rsidP="00F36280">
      <w:pPr>
        <w:pStyle w:val="Ttulo1"/>
        <w:jc w:val="both"/>
        <w:rPr>
          <w:rFonts w:ascii="Bookman Old Style" w:hAnsi="Bookman Old Style" w:cs="Calibri"/>
          <w:b w:val="0"/>
          <w:sz w:val="22"/>
          <w:szCs w:val="24"/>
        </w:rPr>
      </w:pPr>
    </w:p>
    <w:p w:rsidR="00F36280" w:rsidRPr="00D740BA" w:rsidRDefault="00F36280" w:rsidP="001E18FE">
      <w:pPr>
        <w:jc w:val="both"/>
        <w:rPr>
          <w:rFonts w:ascii="Bookman Old Style" w:hAnsi="Bookman Old Style" w:cs="Calibri"/>
          <w:szCs w:val="24"/>
        </w:rPr>
      </w:pPr>
      <w:r w:rsidRPr="00D740BA">
        <w:rPr>
          <w:rFonts w:ascii="Bookman Old Style" w:hAnsi="Bookman Old Style" w:cs="Calibri"/>
          <w:szCs w:val="24"/>
        </w:rPr>
        <w:t>En Estados Unidos</w:t>
      </w:r>
      <w:r w:rsidR="008F6E74">
        <w:rPr>
          <w:rFonts w:ascii="Bookman Old Style" w:hAnsi="Bookman Old Style" w:cs="Calibri"/>
          <w:szCs w:val="24"/>
        </w:rPr>
        <w:t xml:space="preserve"> </w:t>
      </w:r>
      <w:r w:rsidR="00D740BA" w:rsidRPr="008F6E74">
        <w:rPr>
          <w:rFonts w:ascii="Bookman Old Style" w:hAnsi="Bookman Old Style" w:cs="Calibri"/>
          <w:szCs w:val="24"/>
        </w:rPr>
        <w:t>la marihuana es legal en los estados de Washington, Oregon, Nevada, California, Alaska, Col</w:t>
      </w:r>
      <w:r w:rsidR="00AC1220">
        <w:rPr>
          <w:rFonts w:ascii="Bookman Old Style" w:hAnsi="Bookman Old Style" w:cs="Calibri"/>
          <w:szCs w:val="24"/>
        </w:rPr>
        <w:t>orado, Illinois, Michigan, Vermont y</w:t>
      </w:r>
      <w:r w:rsidR="00D740BA" w:rsidRPr="008F6E74">
        <w:rPr>
          <w:rFonts w:ascii="Bookman Old Style" w:hAnsi="Bookman Old Style" w:cs="Calibri"/>
          <w:szCs w:val="24"/>
        </w:rPr>
        <w:t xml:space="preserve"> Maine</w:t>
      </w:r>
      <w:r w:rsidR="00D740BA" w:rsidRPr="008F6E74">
        <w:rPr>
          <w:rStyle w:val="Refdenotaalpie"/>
          <w:rFonts w:ascii="Bookman Old Style" w:hAnsi="Bookman Old Style" w:cs="Calibri"/>
          <w:szCs w:val="24"/>
        </w:rPr>
        <w:footnoteReference w:id="7"/>
      </w:r>
      <w:r w:rsidR="00D740BA" w:rsidRPr="008F6E74">
        <w:rPr>
          <w:rFonts w:ascii="Bookman Old Style" w:hAnsi="Bookman Old Style" w:cs="Calibri"/>
          <w:szCs w:val="24"/>
        </w:rPr>
        <w:t>.</w:t>
      </w:r>
      <w:r w:rsidRPr="00D740BA">
        <w:rPr>
          <w:rFonts w:ascii="Bookman Old Style" w:hAnsi="Bookman Old Style" w:cs="Calibri"/>
          <w:szCs w:val="24"/>
        </w:rPr>
        <w:t xml:space="preserve"> </w:t>
      </w:r>
      <w:r w:rsidR="00D740BA" w:rsidRPr="008F6E74">
        <w:rPr>
          <w:rFonts w:ascii="Bookman Old Style" w:hAnsi="Bookman Old Style" w:cs="Calibri"/>
          <w:szCs w:val="24"/>
        </w:rPr>
        <w:t xml:space="preserve">En </w:t>
      </w:r>
      <w:r w:rsidRPr="00D740BA">
        <w:rPr>
          <w:rFonts w:ascii="Bookman Old Style" w:hAnsi="Bookman Old Style" w:cs="Calibri"/>
          <w:szCs w:val="24"/>
        </w:rPr>
        <w:t>los Estados de Colorado, Washington, Oregón y Alaska, hoy los ingresos por los impuestos en este tema se encuentran por encima de los valores que habían estimado. Como lo muestra el reporte del Drug Policy Alliance (Alianza para Políticas de Drogas) de 2018</w:t>
      </w:r>
      <w:r w:rsidRPr="00D740BA">
        <w:rPr>
          <w:rStyle w:val="Refdenotaalpie"/>
          <w:rFonts w:ascii="Bookman Old Style" w:hAnsi="Bookman Old Style" w:cs="Calibri"/>
          <w:szCs w:val="24"/>
        </w:rPr>
        <w:footnoteReference w:id="8"/>
      </w:r>
      <w:r w:rsidRPr="00D740BA">
        <w:rPr>
          <w:rFonts w:ascii="Bookman Old Style" w:hAnsi="Bookman Old Style" w:cs="Calibri"/>
          <w:szCs w:val="24"/>
        </w:rPr>
        <w:t>, los impuestos recaudados por las ventas de marihuana:</w:t>
      </w:r>
    </w:p>
    <w:p w:rsidR="00F36280" w:rsidRPr="00485CC5" w:rsidRDefault="00F36280" w:rsidP="00F36280">
      <w:pPr>
        <w:rPr>
          <w:rFonts w:ascii="Bookman Old Style" w:hAnsi="Bookman Old Style"/>
          <w:szCs w:val="24"/>
        </w:rPr>
      </w:pPr>
    </w:p>
    <w:p w:rsidR="00F36280" w:rsidRPr="00485CC5" w:rsidRDefault="00F36280" w:rsidP="00F36280">
      <w:pPr>
        <w:pStyle w:val="Prrafodelista"/>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Washington generaron ingresos por USD $315 millones en el año fiscal 2016-2017.</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Colorado las ventas generaron USD $600 millones desde 2014.</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Oregón, se recaudaron en el periodo fiscal 2016-2017 USD $70 millones, el doble de lo presupuestado inicialmente.</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Estos nuevos ingresos han podido ser utilizados para la financiación de programas de educación y política social</w:t>
      </w:r>
      <w:r w:rsidRPr="00485CC5">
        <w:rPr>
          <w:rStyle w:val="Refdenotaalpie"/>
          <w:rFonts w:ascii="Bookman Old Style" w:hAnsi="Bookman Old Style" w:cs="Calibri"/>
          <w:szCs w:val="24"/>
        </w:rPr>
        <w:footnoteReference w:id="9"/>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Colorado distribuyó USD $230 millones al Departamento de Educación entre 2015 y 2017, para financiar la construcción de escuelas, programas de alfabetización temprana y de prevención del matoneo.</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Oregón destina un 40% de los ingresos por impuestos a la marihuana para financiar el Fondo Estatal para las Escuelas y un 20% al tratamiento de adicciones al alcohol y las drogas.</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Nevada proyecta invertir el 15% de su recaudo en el Fondo Estatal para las Escuelas, lo cual se espera esté alrededor de USD $56 millones para los próximos dos años.</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Washington destina el 25% de su recaudo para programas de tratamiento de abuso de substancias, la educación sobre éstas y prevención. Otro 55% se destina a financiar planes básicos de salud.</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Se espera que, Alaska recoja USD $12 millones anuales que van a ser usados para financiar programas de tratamiento de adicción a las drogas y centros comunitarios residenciales.</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California y Massachusetts invertirán parte de su recaudo de impuestos en las comunidades más afectadas por arrestos de drogas, encarcelamiento, comunidades de bajos ingresos y para reparar el daño de la aplicación desigual de las políticas de drogas.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Lo anterior es importante verlo a la luz de las cifras de judicialización, el consumo de marihuana y salud en los Estados que han regulado el consumo recreativo, respecto al resto de los Estados en Estados Unidos que no lo han hecho. Por ejemplo:</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En los Estados donde fue regulada la marihuana bajaron significativamente los arrestos por posesión de drogas, ahorrándoles cientos de millones de dólares al Tesoro y antecedentes penales a las personas que los estigmatizarían de por vida.</w:t>
      </w:r>
      <w:r w:rsidRPr="00485CC5">
        <w:rPr>
          <w:rStyle w:val="Refdenotaalpie"/>
          <w:rFonts w:ascii="Bookman Old Style" w:hAnsi="Bookman Old Style" w:cs="Calibri"/>
          <w:szCs w:val="24"/>
        </w:rPr>
        <w:footnoteReference w:id="10"/>
      </w:r>
    </w:p>
    <w:p w:rsidR="00F36280" w:rsidRPr="00485CC5" w:rsidRDefault="00F36280" w:rsidP="00F36280">
      <w:pPr>
        <w:ind w:left="360"/>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El consumo de marihuana entre jóvenes se ha mantenido estable en los Estados que la han regulado. En los Estados de Washington, Colorado y Alaska, la cifra de consumo de marihuana entre estudiantes de secundaria está en línea con el promedio nacional.</w:t>
      </w:r>
      <w:r w:rsidRPr="00485CC5">
        <w:rPr>
          <w:rStyle w:val="Refdenotaalpie"/>
          <w:rFonts w:ascii="Bookman Old Style" w:hAnsi="Bookman Old Style" w:cs="Calibri"/>
          <w:szCs w:val="24"/>
        </w:rPr>
        <w:footnoteReference w:id="11"/>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La regulación de la marihuana está relacionada con tasas más bajas de sobredosis y muertes relacionadas a otras drogas más peligrosas como los opioides.</w:t>
      </w:r>
      <w:r w:rsidRPr="00485CC5">
        <w:rPr>
          <w:rStyle w:val="Refdenotaalpie"/>
          <w:rFonts w:ascii="Bookman Old Style" w:hAnsi="Bookman Old Style" w:cs="Calibri"/>
          <w:szCs w:val="24"/>
        </w:rPr>
        <w:footnoteReference w:id="12"/>
      </w:r>
    </w:p>
    <w:p w:rsidR="00F36280" w:rsidRPr="00485CC5" w:rsidRDefault="00F36280" w:rsidP="00F36280">
      <w:pPr>
        <w:jc w:val="both"/>
        <w:rPr>
          <w:rFonts w:ascii="Bookman Old Style" w:hAnsi="Bookman Old Style" w:cs="Calibri"/>
          <w:b/>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La regulación de la marihuana no ha incremento los arrestos por conducir en estado de intoxicación por alcohol o drogas en los Estados de Colorado y Washington.</w:t>
      </w:r>
      <w:r w:rsidRPr="00485CC5">
        <w:rPr>
          <w:rStyle w:val="Refdenotaalpie"/>
          <w:rFonts w:ascii="Bookman Old Style" w:hAnsi="Bookman Old Style" w:cs="Calibri"/>
          <w:szCs w:val="24"/>
        </w:rPr>
        <w:footnoteReference w:id="13"/>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No hay tampoco correlación entre los accidentes de tránsito y la regulación. En Colorado y Washington, los accidentes son estadísticamente similares a aquellos sin marihuana legal.</w:t>
      </w:r>
      <w:r w:rsidRPr="00485CC5">
        <w:rPr>
          <w:rStyle w:val="Refdenotaalpie"/>
          <w:rFonts w:ascii="Bookman Old Style" w:hAnsi="Bookman Old Style" w:cs="Calibri"/>
          <w:szCs w:val="24"/>
        </w:rPr>
        <w:footnoteReference w:id="14"/>
      </w:r>
    </w:p>
    <w:p w:rsidR="00F36280" w:rsidRPr="00485CC5" w:rsidRDefault="00F36280" w:rsidP="00F36280">
      <w:pPr>
        <w:jc w:val="both"/>
        <w:rPr>
          <w:rFonts w:ascii="Bookman Old Style" w:hAnsi="Bookman Old Style" w:cs="Calibri"/>
          <w:szCs w:val="24"/>
        </w:rPr>
      </w:pPr>
    </w:p>
    <w:p w:rsidR="000D695E" w:rsidRPr="001E18FE" w:rsidRDefault="00A56F31" w:rsidP="00F36280">
      <w:pPr>
        <w:jc w:val="both"/>
        <w:rPr>
          <w:rFonts w:ascii="Bookman Old Style" w:hAnsi="Bookman Old Style" w:cs="Calibri"/>
          <w:szCs w:val="24"/>
          <w:lang w:val="es-ES"/>
        </w:rPr>
      </w:pPr>
      <w:r w:rsidRPr="001E18FE">
        <w:rPr>
          <w:rFonts w:ascii="Bookman Old Style" w:hAnsi="Bookman Old Style" w:cs="Calibri"/>
          <w:szCs w:val="24"/>
          <w:lang w:val="es-ES"/>
        </w:rPr>
        <w:t xml:space="preserve">Una de las principales dificultades que enfrenta el sector de la marihuana legal en Estados Unidos es la restricción federal a los bancos de recibir dineros procedentes de negocios de marihuana, así estos sean legales en algunos estados. En 2019 fue aprobada en la cámara de representantes la </w:t>
      </w:r>
      <w:r w:rsidRPr="001E18FE">
        <w:rPr>
          <w:rFonts w:ascii="Bookman Old Style" w:hAnsi="Bookman Old Style" w:cs="Calibri"/>
          <w:i/>
          <w:szCs w:val="24"/>
          <w:lang w:val="es-ES"/>
        </w:rPr>
        <w:t xml:space="preserve">SAFE Banking Act, </w:t>
      </w:r>
      <w:r w:rsidRPr="001E18FE">
        <w:rPr>
          <w:rFonts w:ascii="Bookman Old Style" w:hAnsi="Bookman Old Style" w:cs="Calibri"/>
          <w:szCs w:val="24"/>
          <w:lang w:val="es-ES"/>
        </w:rPr>
        <w:t xml:space="preserve">la </w:t>
      </w:r>
      <w:r w:rsidR="006B01C7" w:rsidRPr="001E18FE">
        <w:rPr>
          <w:rFonts w:ascii="Bookman Old Style" w:hAnsi="Bookman Old Style" w:cs="Calibri"/>
          <w:szCs w:val="24"/>
          <w:lang w:val="es-ES"/>
        </w:rPr>
        <w:t>cual</w:t>
      </w:r>
      <w:r w:rsidRPr="001E18FE">
        <w:rPr>
          <w:rFonts w:ascii="Bookman Old Style" w:hAnsi="Bookman Old Style" w:cs="Calibri"/>
          <w:szCs w:val="24"/>
          <w:lang w:val="es-ES"/>
        </w:rPr>
        <w:t xml:space="preserve"> permitiría </w:t>
      </w:r>
      <w:r w:rsidR="00AC1220" w:rsidRPr="001E18FE">
        <w:rPr>
          <w:rFonts w:ascii="Bookman Old Style" w:hAnsi="Bookman Old Style" w:cs="Calibri"/>
          <w:szCs w:val="24"/>
          <w:lang w:val="es-ES"/>
        </w:rPr>
        <w:t>que</w:t>
      </w:r>
      <w:r w:rsidRPr="001E18FE">
        <w:rPr>
          <w:rFonts w:ascii="Bookman Old Style" w:hAnsi="Bookman Old Style" w:cs="Calibri"/>
          <w:szCs w:val="24"/>
          <w:lang w:val="es-ES"/>
        </w:rPr>
        <w:t xml:space="preserve"> los bancos </w:t>
      </w:r>
      <w:r w:rsidR="00AC1220" w:rsidRPr="001E18FE">
        <w:rPr>
          <w:rFonts w:ascii="Bookman Old Style" w:hAnsi="Bookman Old Style" w:cs="Calibri"/>
          <w:szCs w:val="24"/>
          <w:lang w:val="es-ES"/>
        </w:rPr>
        <w:t>reciban</w:t>
      </w:r>
      <w:r w:rsidRPr="001E18FE">
        <w:rPr>
          <w:rFonts w:ascii="Bookman Old Style" w:hAnsi="Bookman Old Style" w:cs="Calibri"/>
          <w:szCs w:val="24"/>
          <w:lang w:val="es-ES"/>
        </w:rPr>
        <w:t xml:space="preserve"> dineros </w:t>
      </w:r>
      <w:r w:rsidR="00AC1220" w:rsidRPr="001E18FE">
        <w:rPr>
          <w:rFonts w:ascii="Bookman Old Style" w:hAnsi="Bookman Old Style" w:cs="Calibri"/>
          <w:szCs w:val="24"/>
          <w:lang w:val="es-ES"/>
        </w:rPr>
        <w:t xml:space="preserve">lícitos </w:t>
      </w:r>
      <w:r w:rsidRPr="001E18FE">
        <w:rPr>
          <w:rFonts w:ascii="Bookman Old Style" w:hAnsi="Bookman Old Style" w:cs="Calibri"/>
          <w:szCs w:val="24"/>
          <w:lang w:val="es-ES"/>
        </w:rPr>
        <w:t xml:space="preserve">de los negocios de marihuana </w:t>
      </w:r>
      <w:r w:rsidR="00AC1220" w:rsidRPr="001E18FE">
        <w:rPr>
          <w:rFonts w:ascii="Bookman Old Style" w:hAnsi="Bookman Old Style" w:cs="Calibri"/>
          <w:szCs w:val="24"/>
          <w:lang w:val="es-ES"/>
        </w:rPr>
        <w:t>en</w:t>
      </w:r>
      <w:r w:rsidRPr="001E18FE">
        <w:rPr>
          <w:rFonts w:ascii="Bookman Old Style" w:hAnsi="Bookman Old Style" w:cs="Calibri"/>
          <w:szCs w:val="24"/>
          <w:lang w:val="es-ES"/>
        </w:rPr>
        <w:t xml:space="preserve"> los estados donde </w:t>
      </w:r>
      <w:r w:rsidR="00AC1220" w:rsidRPr="001E18FE">
        <w:rPr>
          <w:rFonts w:ascii="Bookman Old Style" w:hAnsi="Bookman Old Style" w:cs="Calibri"/>
          <w:szCs w:val="24"/>
          <w:lang w:val="es-ES"/>
        </w:rPr>
        <w:t xml:space="preserve">ésta </w:t>
      </w:r>
      <w:r w:rsidRPr="001E18FE">
        <w:rPr>
          <w:rFonts w:ascii="Bookman Old Style" w:hAnsi="Bookman Old Style" w:cs="Calibri"/>
          <w:szCs w:val="24"/>
          <w:lang w:val="es-ES"/>
        </w:rPr>
        <w:t>es legal</w:t>
      </w:r>
      <w:r w:rsidR="00AC1220" w:rsidRPr="001E18FE">
        <w:rPr>
          <w:rFonts w:ascii="Bookman Old Style" w:hAnsi="Bookman Old Style" w:cs="Calibri"/>
          <w:szCs w:val="24"/>
          <w:lang w:val="es-ES"/>
        </w:rPr>
        <w:t>,</w:t>
      </w:r>
      <w:r w:rsidR="0086491B" w:rsidRPr="001E18FE">
        <w:rPr>
          <w:rFonts w:ascii="Bookman Old Style" w:hAnsi="Bookman Old Style" w:cs="Calibri"/>
          <w:szCs w:val="24"/>
          <w:lang w:val="es-ES"/>
        </w:rPr>
        <w:t xml:space="preserve"> y prestarles servicios financieros</w:t>
      </w:r>
      <w:r w:rsidR="00E13EFE" w:rsidRPr="001E18FE">
        <w:rPr>
          <w:rFonts w:ascii="Bookman Old Style" w:hAnsi="Bookman Old Style" w:cs="Calibri"/>
          <w:szCs w:val="24"/>
          <w:lang w:val="es-ES"/>
        </w:rPr>
        <w:t>.</w:t>
      </w:r>
      <w:r w:rsidRPr="001E18FE">
        <w:rPr>
          <w:rStyle w:val="Refdenotaalpie"/>
          <w:rFonts w:ascii="Bookman Old Style" w:hAnsi="Bookman Old Style" w:cs="Calibri"/>
          <w:szCs w:val="24"/>
          <w:lang w:val="es-ES"/>
        </w:rPr>
        <w:footnoteReference w:id="15"/>
      </w:r>
      <w:r w:rsidRPr="001E18FE">
        <w:rPr>
          <w:rFonts w:ascii="Bookman Old Style" w:hAnsi="Bookman Old Style" w:cs="Calibri"/>
          <w:szCs w:val="24"/>
          <w:lang w:val="es-ES"/>
        </w:rPr>
        <w:t xml:space="preserve"> El </w:t>
      </w:r>
      <w:r w:rsidR="0086491B" w:rsidRPr="001E18FE">
        <w:rPr>
          <w:rFonts w:ascii="Bookman Old Style" w:hAnsi="Bookman Old Style" w:cs="Calibri"/>
          <w:szCs w:val="24"/>
          <w:lang w:val="es-ES"/>
        </w:rPr>
        <w:t xml:space="preserve">proyecto de ley ahora se </w:t>
      </w:r>
      <w:r w:rsidR="0086491B" w:rsidRPr="001E18FE">
        <w:rPr>
          <w:rFonts w:ascii="Bookman Old Style" w:hAnsi="Bookman Old Style" w:cs="Calibri"/>
          <w:szCs w:val="24"/>
          <w:lang w:val="es-ES"/>
        </w:rPr>
        <w:lastRenderedPageBreak/>
        <w:t xml:space="preserve">encuentra en </w:t>
      </w:r>
      <w:r w:rsidR="006B01C7" w:rsidRPr="001E18FE">
        <w:rPr>
          <w:rFonts w:ascii="Bookman Old Style" w:hAnsi="Bookman Old Style" w:cs="Calibri"/>
          <w:szCs w:val="24"/>
          <w:lang w:val="es-ES"/>
        </w:rPr>
        <w:t>trámite</w:t>
      </w:r>
      <w:r w:rsidR="0086491B" w:rsidRPr="001E18FE">
        <w:rPr>
          <w:rFonts w:ascii="Bookman Old Style" w:hAnsi="Bookman Old Style" w:cs="Calibri"/>
          <w:szCs w:val="24"/>
          <w:lang w:val="es-ES"/>
        </w:rPr>
        <w:t xml:space="preserve"> en el Senado, donde de ser aprobado, mejoraría significativamente las </w:t>
      </w:r>
      <w:r w:rsidR="00AC1220" w:rsidRPr="00AC1220">
        <w:rPr>
          <w:rFonts w:ascii="Bookman Old Style" w:hAnsi="Bookman Old Style" w:cs="Calibri"/>
          <w:szCs w:val="24"/>
          <w:lang w:val="es-ES"/>
        </w:rPr>
        <w:t>circunstancias</w:t>
      </w:r>
      <w:r w:rsidR="0086491B" w:rsidRPr="001E18FE">
        <w:rPr>
          <w:rFonts w:ascii="Bookman Old Style" w:hAnsi="Bookman Old Style" w:cs="Calibri"/>
          <w:szCs w:val="24"/>
          <w:lang w:val="es-ES"/>
        </w:rPr>
        <w:t xml:space="preserve"> bajo las que operan estos negocios en Estados Unidos</w:t>
      </w:r>
      <w:r w:rsidR="00E13EFE" w:rsidRPr="001E18FE">
        <w:rPr>
          <w:rFonts w:ascii="Bookman Old Style" w:hAnsi="Bookman Old Style" w:cs="Calibri"/>
          <w:szCs w:val="24"/>
          <w:lang w:val="es-ES"/>
        </w:rPr>
        <w:t>.</w:t>
      </w:r>
      <w:r w:rsidR="0086491B" w:rsidRPr="001E18FE">
        <w:rPr>
          <w:rStyle w:val="Refdenotaalpie"/>
          <w:rFonts w:ascii="Bookman Old Style" w:hAnsi="Bookman Old Style" w:cs="Calibri"/>
          <w:szCs w:val="24"/>
          <w:lang w:val="es-ES"/>
        </w:rPr>
        <w:footnoteReference w:id="16"/>
      </w:r>
    </w:p>
    <w:p w:rsidR="000D695E" w:rsidRDefault="000D695E"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resaltar que, de acuerdo a la agencia calificadora de riesgo crediticio Moody´s, los ingresos por impuestos de la regulación de la marihuana recreativa son positivos para los Estados y ciudades de Estados Unidos que han legalizado su consumo.</w:t>
      </w:r>
      <w:r w:rsidRPr="00485CC5">
        <w:rPr>
          <w:rStyle w:val="Refdenotaalpie"/>
          <w:rFonts w:ascii="Bookman Old Style" w:hAnsi="Bookman Old Style" w:cs="Calibri"/>
          <w:szCs w:val="24"/>
        </w:rPr>
        <w:footnoteReference w:id="17"/>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Entonces, regular es una manera de impulsar la economía y generar empleos dentro del marco legal. En Estados Unidos, el consumo de cannabis recreativo se ha vuelto un motor económico, según Drug Policy Alliance (2018)</w:t>
      </w:r>
      <w:r w:rsidRPr="00485CC5">
        <w:rPr>
          <w:rStyle w:val="Refdenotaalpie"/>
          <w:rFonts w:ascii="Bookman Old Style" w:hAnsi="Bookman Old Style" w:cs="Calibri"/>
          <w:szCs w:val="24"/>
        </w:rPr>
        <w:footnoteReference w:id="18"/>
      </w:r>
      <w:r w:rsidRPr="00485CC5">
        <w:rPr>
          <w:rFonts w:ascii="Bookman Old Style" w:hAnsi="Bookman Old Style" w:cs="Calibri"/>
          <w:szCs w:val="24"/>
        </w:rPr>
        <w:t>, la industria de la marihuana ha creado entre 165.000 y 230.000 empleos en ese país, cifra que se espera que crezca cuando más Estados legalicen la marihuana y los mercados cuenten con más actores legales.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Además, un reporte del Congresista Norteamericano E. Blumenauer, señala cómo la industria de la marihuana se ha convertido en una de las de mayor crecimiento en Estados Unidos</w:t>
      </w:r>
      <w:r w:rsidRPr="00485CC5">
        <w:rPr>
          <w:rStyle w:val="Refdenotaalpie"/>
          <w:rFonts w:ascii="Bookman Old Style" w:hAnsi="Bookman Old Style" w:cs="Calibri"/>
          <w:szCs w:val="24"/>
        </w:rPr>
        <w:footnoteReference w:id="19"/>
      </w:r>
      <w:r w:rsidR="002566D0">
        <w:rPr>
          <w:rFonts w:ascii="Bookman Old Style" w:hAnsi="Bookman Old Style" w:cs="Calibri"/>
          <w:szCs w:val="24"/>
        </w:rPr>
        <w:t>.</w:t>
      </w:r>
      <w:r w:rsidRPr="00485CC5">
        <w:rPr>
          <w:rFonts w:ascii="Bookman Old Style" w:hAnsi="Bookman Old Style" w:cs="Calibri"/>
          <w:szCs w:val="24"/>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rsidR="00F36280" w:rsidRPr="00485CC5" w:rsidRDefault="00F36280" w:rsidP="00F36280">
      <w:pPr>
        <w:pStyle w:val="Ttulo2"/>
        <w:ind w:left="0"/>
        <w:jc w:val="both"/>
        <w:rPr>
          <w:rFonts w:ascii="Bookman Old Style" w:hAnsi="Bookman Old Style" w:cs="Calibri"/>
          <w:b w:val="0"/>
          <w:sz w:val="22"/>
          <w:szCs w:val="24"/>
        </w:rPr>
      </w:pPr>
      <w:bookmarkStart w:id="2" w:name="_Toc5023212"/>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 xml:space="preserve">Por tanto, es importante pensar la regulación como una herramienta para desfinanciar economías ilegales, que en Colombia por más esfuerzos que hemos hecho no se ha podido lograr. </w:t>
      </w:r>
      <w:bookmarkEnd w:id="2"/>
    </w:p>
    <w:p w:rsidR="00F36280" w:rsidRPr="00485CC5" w:rsidRDefault="00F36280" w:rsidP="00F36280">
      <w:pPr>
        <w:jc w:val="both"/>
        <w:rPr>
          <w:rFonts w:ascii="Bookman Old Style" w:hAnsi="Bookman Old Style" w:cs="Calibri"/>
          <w:szCs w:val="24"/>
        </w:rPr>
      </w:pPr>
    </w:p>
    <w:p w:rsidR="00EC7C59" w:rsidRPr="001E18FE" w:rsidRDefault="00F36280" w:rsidP="00422FC6">
      <w:pPr>
        <w:jc w:val="both"/>
        <w:rPr>
          <w:rFonts w:ascii="Bookman Old Style" w:hAnsi="Bookman Old Style" w:cs="Calibri"/>
          <w:szCs w:val="24"/>
        </w:rPr>
      </w:pPr>
      <w:r w:rsidRPr="00485CC5">
        <w:rPr>
          <w:rFonts w:ascii="Bookman Old Style" w:hAnsi="Bookman Old Style" w:cs="Calibri"/>
          <w:szCs w:val="24"/>
        </w:rPr>
        <w:t xml:space="preserve">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w:t>
      </w:r>
      <w:r w:rsidRPr="00485CC5">
        <w:rPr>
          <w:rFonts w:ascii="Bookman Old Style" w:hAnsi="Bookman Old Style" w:cs="Calibri"/>
          <w:szCs w:val="24"/>
        </w:rPr>
        <w:lastRenderedPageBreak/>
        <w:t>el crimen</w:t>
      </w:r>
      <w:r w:rsidRPr="00485CC5">
        <w:rPr>
          <w:rStyle w:val="Refdenotaalpie"/>
          <w:rFonts w:ascii="Bookman Old Style" w:hAnsi="Bookman Old Style" w:cs="Calibri"/>
          <w:szCs w:val="24"/>
        </w:rPr>
        <w:footnoteReference w:id="20"/>
      </w:r>
      <w:r w:rsidR="007B0B54">
        <w:rPr>
          <w:rFonts w:ascii="Bookman Old Style" w:hAnsi="Bookman Old Style" w:cs="Calibri"/>
          <w:szCs w:val="24"/>
        </w:rPr>
        <w:t xml:space="preserve">. </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Comisión Global de Políticas de Drogas</w:t>
      </w:r>
      <w:r w:rsidRPr="00485CC5">
        <w:rPr>
          <w:rStyle w:val="Refdenotaalpie"/>
          <w:rFonts w:ascii="Bookman Old Style" w:hAnsi="Bookman Old Style" w:cs="Calibri"/>
          <w:szCs w:val="24"/>
        </w:rPr>
        <w:footnoteReference w:id="21"/>
      </w:r>
      <w:r w:rsidRPr="00485CC5">
        <w:rPr>
          <w:rFonts w:ascii="Bookman Old Style" w:hAnsi="Bookman Old Style" w:cs="Calibri"/>
          <w:szCs w:val="24"/>
        </w:rPr>
        <w:t>, en su informe “</w:t>
      </w:r>
      <w:r w:rsidRPr="00485CC5">
        <w:rPr>
          <w:rFonts w:ascii="Bookman Old Style" w:hAnsi="Bookman Old Style" w:cs="Calibri"/>
          <w:i/>
          <w:iCs/>
          <w:szCs w:val="24"/>
        </w:rPr>
        <w:t>Regulación: El Control Responsable de las Drogas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22"/>
      </w:r>
      <w:r w:rsidRPr="00485CC5">
        <w:rPr>
          <w:rFonts w:ascii="Bookman Old Style" w:hAnsi="Bookman Old Style" w:cs="Calibri"/>
          <w:szCs w:val="24"/>
        </w:rPr>
        <w:t xml:space="preserve">, menciona que la regulación de las drogas debe ser incremental – </w:t>
      </w:r>
      <w:r w:rsidRPr="00485CC5">
        <w:rPr>
          <w:rFonts w:ascii="Bookman Old Style" w:hAnsi="Bookman Old Style" w:cs="Calibri"/>
          <w:i/>
          <w:szCs w:val="24"/>
        </w:rPr>
        <w:t>iniciando con drogas de menor potencia</w:t>
      </w:r>
      <w:r w:rsidRPr="00485CC5">
        <w:rPr>
          <w:rFonts w:ascii="Bookman Old Style" w:hAnsi="Bookman Old Style" w:cs="Calibri"/>
          <w:szCs w:val="24"/>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Más importante aún, señala el informe, es el hecho de que los impactos que puede tener y ha tenido la lucha contra las drogas, como ha sido planteada hasta ahora, son marginales sobre los índices de consumo y comercialización, pues “</w:t>
      </w:r>
      <w:r w:rsidRPr="00485CC5">
        <w:rPr>
          <w:rFonts w:ascii="Bookman Old Style" w:hAnsi="Bookman Old Style" w:cs="Calibri"/>
          <w:i/>
          <w:iCs/>
          <w:szCs w:val="24"/>
        </w:rPr>
        <w:t>las leyes económicas de la oferta y la demanda no se rompen tan fácilmente</w:t>
      </w:r>
      <w:r w:rsidRPr="00485CC5">
        <w:rPr>
          <w:rFonts w:ascii="Bookman Old Style" w:hAnsi="Bookman Old Style" w:cs="Calibri"/>
          <w:szCs w:val="24"/>
        </w:rPr>
        <w:t>” .</w:t>
      </w:r>
      <w:r w:rsidRPr="00485CC5">
        <w:rPr>
          <w:rStyle w:val="Refdenotaalpie"/>
          <w:rFonts w:ascii="Bookman Old Style" w:hAnsi="Bookman Old Style" w:cs="Calibri"/>
          <w:szCs w:val="24"/>
        </w:rPr>
        <w:footnoteReference w:id="23"/>
      </w:r>
      <w:r w:rsidRPr="00485CC5">
        <w:rPr>
          <w:rFonts w:ascii="Bookman Old Style" w:hAnsi="Bookman Old Style" w:cs="Calibri"/>
          <w:szCs w:val="24"/>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recreativo de la marihuana, podría tener repercusiones importantes sobre otras actividades delictivas. De acuerdo con la OEA las actividades conexas al tráfico de drogas son: “</w:t>
      </w:r>
      <w:r w:rsidRPr="00485CC5">
        <w:rPr>
          <w:rFonts w:ascii="Bookman Old Style" w:hAnsi="Bookman Old Style" w:cs="Calibri"/>
          <w:i/>
          <w:szCs w:val="24"/>
        </w:rPr>
        <w:t>el tráfico internacional de armas, contrabando, falsificación y tráfico de personas, el control y la explotación doméstica del trabajo sexual, el robo y la venta de bienes robados, secuestro, extorsión y victimización de migrantes”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24"/>
      </w:r>
    </w:p>
    <w:p w:rsidR="00F36280" w:rsidRPr="00485CC5" w:rsidRDefault="00F36280" w:rsidP="00F36280">
      <w:pPr>
        <w:pStyle w:val="Ttulo2"/>
        <w:ind w:left="0"/>
        <w:jc w:val="both"/>
        <w:rPr>
          <w:rFonts w:ascii="Bookman Old Style" w:hAnsi="Bookman Old Style" w:cs="Calibri"/>
          <w:b w:val="0"/>
          <w:sz w:val="22"/>
          <w:szCs w:val="24"/>
        </w:rPr>
      </w:pPr>
      <w:bookmarkStart w:id="3" w:name="_Toc5023213"/>
    </w:p>
    <w:p w:rsidR="00422FC6" w:rsidRPr="001E18FE" w:rsidRDefault="00422FC6" w:rsidP="00422FC6">
      <w:pPr>
        <w:jc w:val="both"/>
        <w:rPr>
          <w:rFonts w:ascii="Bookman Old Style" w:hAnsi="Bookman Old Style" w:cs="Calibri"/>
          <w:szCs w:val="24"/>
          <w:lang w:val="es-ES"/>
        </w:rPr>
      </w:pPr>
      <w:r w:rsidRPr="001E18FE">
        <w:rPr>
          <w:rFonts w:ascii="Bookman Old Style" w:hAnsi="Bookman Old Style" w:cs="Calibri"/>
          <w:szCs w:val="24"/>
          <w:lang w:val="es-ES"/>
        </w:rPr>
        <w:lastRenderedPageBreak/>
        <w:t>En marzo de 2020</w:t>
      </w:r>
      <w:r w:rsidR="008F0CBB" w:rsidRPr="001E18FE">
        <w:rPr>
          <w:rFonts w:ascii="Bookman Old Style" w:hAnsi="Bookman Old Style" w:cs="Calibri"/>
          <w:szCs w:val="24"/>
          <w:lang w:val="es-ES"/>
        </w:rPr>
        <w:t>,</w:t>
      </w:r>
      <w:r w:rsidRPr="001E18FE">
        <w:rPr>
          <w:rFonts w:ascii="Bookman Old Style" w:hAnsi="Bookman Old Style" w:cs="Calibri"/>
          <w:szCs w:val="24"/>
          <w:lang w:val="es-ES"/>
        </w:rPr>
        <w:t xml:space="preserve"> </w:t>
      </w:r>
      <w:r w:rsidR="008F6E74" w:rsidRPr="001E18FE">
        <w:rPr>
          <w:rFonts w:ascii="Bookman Old Style" w:hAnsi="Bookman Old Style" w:cs="Calibri"/>
          <w:szCs w:val="24"/>
          <w:lang w:val="es-ES"/>
        </w:rPr>
        <w:t xml:space="preserve">Canadá hizo un balance de su </w:t>
      </w:r>
      <w:r w:rsidR="008F0CBB" w:rsidRPr="008F0CBB">
        <w:rPr>
          <w:rFonts w:ascii="Bookman Old Style" w:hAnsi="Bookman Old Style" w:cs="Calibri"/>
          <w:szCs w:val="24"/>
          <w:lang w:val="es-ES"/>
        </w:rPr>
        <w:t>política</w:t>
      </w:r>
      <w:r w:rsidR="008F6E74" w:rsidRPr="001E18FE">
        <w:rPr>
          <w:rFonts w:ascii="Bookman Old Style" w:hAnsi="Bookman Old Style" w:cs="Calibri"/>
          <w:szCs w:val="24"/>
          <w:lang w:val="es-ES"/>
        </w:rPr>
        <w:t xml:space="preserve"> de salud pública de regulación del uso recreacional del cannabis ante</w:t>
      </w:r>
      <w:r w:rsidRPr="001E18FE">
        <w:rPr>
          <w:rFonts w:ascii="Bookman Old Style" w:hAnsi="Bookman Old Style" w:cs="Calibri"/>
          <w:szCs w:val="24"/>
          <w:lang w:val="es-ES"/>
        </w:rPr>
        <w:t xml:space="preserve"> la Comisión de Estupefacientes de las Naciones Unidas</w:t>
      </w:r>
      <w:r w:rsidR="008F6E74" w:rsidRPr="001E18FE">
        <w:rPr>
          <w:rFonts w:ascii="Bookman Old Style" w:hAnsi="Bookman Old Style" w:cs="Calibri"/>
          <w:szCs w:val="24"/>
          <w:lang w:val="es-ES"/>
        </w:rPr>
        <w:t>.</w:t>
      </w:r>
      <w:r w:rsidRPr="001E18FE">
        <w:rPr>
          <w:rStyle w:val="Refdenotaalpie"/>
          <w:rFonts w:ascii="Bookman Old Style" w:hAnsi="Bookman Old Style" w:cs="Calibri"/>
          <w:szCs w:val="24"/>
          <w:lang w:val="es-ES"/>
        </w:rPr>
        <w:footnoteReference w:id="25"/>
      </w:r>
      <w:r w:rsidRPr="001E18FE">
        <w:rPr>
          <w:rFonts w:ascii="Bookman Old Style" w:hAnsi="Bookman Old Style" w:cs="Calibri"/>
          <w:szCs w:val="24"/>
          <w:lang w:val="es-ES"/>
        </w:rPr>
        <w:t xml:space="preserve"> Casi un año </w:t>
      </w:r>
      <w:r w:rsidR="008F0CBB" w:rsidRPr="008F0CBB">
        <w:rPr>
          <w:rFonts w:ascii="Bookman Old Style" w:hAnsi="Bookman Old Style" w:cs="Calibri"/>
          <w:szCs w:val="24"/>
          <w:lang w:val="es-ES"/>
        </w:rPr>
        <w:t>después</w:t>
      </w:r>
      <w:r w:rsidRPr="001E18FE">
        <w:rPr>
          <w:rFonts w:ascii="Bookman Old Style" w:hAnsi="Bookman Old Style" w:cs="Calibri"/>
          <w:szCs w:val="24"/>
          <w:lang w:val="es-ES"/>
        </w:rPr>
        <w:t xml:space="preserve"> de la implementación de la medida, se tienen los siguientes resultados</w:t>
      </w:r>
      <w:r w:rsidR="008F6E74" w:rsidRPr="001E18FE">
        <w:rPr>
          <w:rFonts w:ascii="Bookman Old Style" w:hAnsi="Bookman Old Style" w:cs="Calibri"/>
          <w:szCs w:val="24"/>
          <w:lang w:val="es-ES"/>
        </w:rPr>
        <w:t xml:space="preserve"> alentadores</w:t>
      </w:r>
      <w:r w:rsidRPr="001E18FE">
        <w:rPr>
          <w:rFonts w:ascii="Bookman Old Style" w:hAnsi="Bookman Old Style" w:cs="Calibri"/>
          <w:szCs w:val="24"/>
          <w:lang w:val="es-ES"/>
        </w:rPr>
        <w:t xml:space="preserve">: </w:t>
      </w:r>
    </w:p>
    <w:p w:rsidR="00422FC6" w:rsidRPr="001E18FE" w:rsidRDefault="00422FC6" w:rsidP="00422FC6">
      <w:pPr>
        <w:pStyle w:val="Prrafodelista"/>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 xml:space="preserve">El mercado ilegal ya ha perdido </w:t>
      </w:r>
      <w:r w:rsidR="008F0CBB" w:rsidRPr="001E18FE">
        <w:rPr>
          <w:rFonts w:ascii="Bookman Old Style" w:hAnsi="Bookman Old Style" w:cs="Calibri"/>
          <w:szCs w:val="24"/>
          <w:lang w:val="es-ES"/>
        </w:rPr>
        <w:t xml:space="preserve">un </w:t>
      </w:r>
      <w:r w:rsidRPr="001E18FE">
        <w:rPr>
          <w:rFonts w:ascii="Bookman Old Style" w:hAnsi="Bookman Old Style" w:cs="Calibri"/>
          <w:szCs w:val="24"/>
          <w:lang w:val="es-ES"/>
        </w:rPr>
        <w:t xml:space="preserve">30% de su participación y no se ha visto un incremento del mercado total del cannabis. Esto representa alrededor de USD 2$ billones en ventas que no pasaron por organizaciones </w:t>
      </w:r>
      <w:r w:rsidR="008F0CBB" w:rsidRPr="008F0CBB">
        <w:rPr>
          <w:rFonts w:ascii="Bookman Old Style" w:hAnsi="Bookman Old Style" w:cs="Calibri"/>
          <w:szCs w:val="24"/>
          <w:lang w:val="es-ES"/>
        </w:rPr>
        <w:t>criminales</w:t>
      </w:r>
      <w:r w:rsidRPr="001E18FE">
        <w:rPr>
          <w:rFonts w:ascii="Bookman Old Style" w:hAnsi="Bookman Old Style" w:cs="Calibri"/>
          <w:szCs w:val="24"/>
          <w:lang w:val="es-ES"/>
        </w:rPr>
        <w:t>.</w:t>
      </w:r>
    </w:p>
    <w:p w:rsidR="00422FC6" w:rsidRPr="001E18FE" w:rsidRDefault="00422FC6" w:rsidP="00422FC6">
      <w:pPr>
        <w:pStyle w:val="Prrafodelista"/>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Los datos preliminares no muestran un incremento en el uso del cannabis por parte de los jóvenes y adultos jóvenes.</w:t>
      </w:r>
    </w:p>
    <w:p w:rsidR="00422FC6" w:rsidRPr="001E18FE" w:rsidRDefault="00422FC6" w:rsidP="00422FC6">
      <w:pPr>
        <w:pStyle w:val="Prrafodelista"/>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 xml:space="preserve">No se ha </w:t>
      </w:r>
      <w:r w:rsidR="008F0CBB" w:rsidRPr="008F0CBB">
        <w:rPr>
          <w:rFonts w:ascii="Bookman Old Style" w:hAnsi="Bookman Old Style" w:cs="Calibri"/>
          <w:szCs w:val="24"/>
          <w:lang w:val="es-ES"/>
        </w:rPr>
        <w:t>observado</w:t>
      </w:r>
      <w:r w:rsidRPr="001E18FE">
        <w:rPr>
          <w:rFonts w:ascii="Bookman Old Style" w:hAnsi="Bookman Old Style" w:cs="Calibri"/>
          <w:szCs w:val="24"/>
          <w:lang w:val="es-ES"/>
        </w:rPr>
        <w:t xml:space="preserve"> un incremento en el tráfico ilegal de cannabis a través de las fronteras internacionales. </w:t>
      </w:r>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Por otro lado, en Latinoamérica la experiencia de Uruguay es destacable pues ha tenido una lucha con el mercado negro a través de precios del mercado.</w:t>
      </w:r>
      <w:bookmarkEnd w:id="3"/>
      <w:r w:rsidRPr="00485CC5">
        <w:rPr>
          <w:rFonts w:ascii="Bookman Old Style" w:hAnsi="Bookman Old Style" w:cs="Calibri"/>
          <w:b w:val="0"/>
          <w:sz w:val="22"/>
          <w:szCs w:val="24"/>
        </w:rPr>
        <w:t xml:space="preserve"> Con la regulación del uso recreativo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rsidR="00F36280" w:rsidRPr="00485CC5" w:rsidRDefault="00F36280" w:rsidP="00F36280">
      <w:pPr>
        <w:pStyle w:val="Ttulo2"/>
        <w:ind w:left="0"/>
        <w:jc w:val="both"/>
        <w:rPr>
          <w:rFonts w:ascii="Bookman Old Style" w:hAnsi="Bookman Old Style" w:cs="Calibri"/>
          <w:b w:val="0"/>
          <w:sz w:val="22"/>
          <w:szCs w:val="24"/>
        </w:rPr>
      </w:pPr>
    </w:p>
    <w:p w:rsidR="00273E46" w:rsidRDefault="00F36280" w:rsidP="001E18FE">
      <w:pPr>
        <w:pStyle w:val="Ttulo2"/>
        <w:jc w:val="both"/>
        <w:rPr>
          <w:rFonts w:ascii="Bookman Old Style" w:hAnsi="Bookman Old Style" w:cs="Calibri"/>
          <w:b w:val="0"/>
          <w:sz w:val="22"/>
          <w:szCs w:val="24"/>
        </w:rPr>
      </w:pPr>
      <w:r w:rsidRPr="00485CC5">
        <w:rPr>
          <w:rFonts w:ascii="Bookman Old Style" w:hAnsi="Bookman Old Style" w:cs="Calibri"/>
          <w:b w:val="0"/>
          <w:sz w:val="22"/>
          <w:szCs w:val="24"/>
        </w:rPr>
        <w:t>Dichas opciones de compra y producción legales han representado un fuerte golpe a las economías al margen de la ley. El Instituto de Regulación y Control del Cannabis de Uruguay (IRCCA)</w:t>
      </w:r>
      <w:r w:rsidR="00283F81">
        <w:rPr>
          <w:rFonts w:ascii="Bookman Old Style" w:hAnsi="Bookman Old Style" w:cs="Calibri"/>
          <w:b w:val="0"/>
          <w:sz w:val="22"/>
          <w:szCs w:val="24"/>
        </w:rPr>
        <w:t xml:space="preserve"> en su reporte</w:t>
      </w:r>
      <w:r w:rsidR="00283F81">
        <w:rPr>
          <w:rStyle w:val="Refdenotaalpie"/>
          <w:rFonts w:ascii="Bookman Old Style" w:hAnsi="Bookman Old Style" w:cs="Calibri"/>
          <w:b w:val="0"/>
          <w:sz w:val="22"/>
          <w:szCs w:val="24"/>
        </w:rPr>
        <w:footnoteReference w:id="26"/>
      </w:r>
      <w:r w:rsidR="00283F81">
        <w:rPr>
          <w:rFonts w:ascii="Bookman Old Style" w:hAnsi="Bookman Old Style" w:cs="Calibri"/>
          <w:b w:val="0"/>
          <w:sz w:val="22"/>
          <w:szCs w:val="24"/>
        </w:rPr>
        <w:t xml:space="preserve"> para abril de 2020 indica</w:t>
      </w:r>
      <w:r w:rsidRPr="00485CC5">
        <w:rPr>
          <w:rFonts w:ascii="Bookman Old Style" w:hAnsi="Bookman Old Style" w:cs="Calibri"/>
          <w:b w:val="0"/>
          <w:sz w:val="22"/>
          <w:szCs w:val="24"/>
        </w:rPr>
        <w:t xml:space="preserve"> que alrededor del </w:t>
      </w:r>
      <w:r w:rsidR="00283F81">
        <w:rPr>
          <w:rFonts w:ascii="Bookman Old Style" w:hAnsi="Bookman Old Style" w:cs="Calibri"/>
          <w:b w:val="0"/>
          <w:sz w:val="22"/>
          <w:szCs w:val="24"/>
        </w:rPr>
        <w:t>22</w:t>
      </w:r>
      <w:r w:rsidRPr="00485CC5">
        <w:rPr>
          <w:rFonts w:ascii="Bookman Old Style" w:hAnsi="Bookman Old Style" w:cs="Calibri"/>
          <w:b w:val="0"/>
          <w:sz w:val="22"/>
          <w:szCs w:val="24"/>
        </w:rPr>
        <w:t xml:space="preserve">% de los usuarios de marihuana participan en el mercado regulado. </w:t>
      </w:r>
      <w:r w:rsidR="00283F81">
        <w:rPr>
          <w:rFonts w:ascii="Bookman Old Style" w:hAnsi="Bookman Old Style" w:cs="Calibri"/>
          <w:b w:val="0"/>
          <w:sz w:val="22"/>
          <w:szCs w:val="24"/>
        </w:rPr>
        <w:t>Según el reporte del IRCCA, el número de p</w:t>
      </w:r>
      <w:r w:rsidR="00283F81" w:rsidRPr="00A04304">
        <w:rPr>
          <w:rFonts w:ascii="Bookman Old Style" w:hAnsi="Bookman Old Style" w:cs="Calibri"/>
          <w:b w:val="0"/>
          <w:sz w:val="22"/>
          <w:szCs w:val="24"/>
        </w:rPr>
        <w:t xml:space="preserve">ersonas en el mercado regulado </w:t>
      </w:r>
      <w:r w:rsidR="00283F81">
        <w:rPr>
          <w:rFonts w:ascii="Bookman Old Style" w:hAnsi="Bookman Old Style" w:cs="Calibri"/>
          <w:b w:val="0"/>
          <w:sz w:val="22"/>
          <w:szCs w:val="24"/>
        </w:rPr>
        <w:t>(ver Gráfico 1) muestra una tendencia ascendente, lo que indica que el mercado legal gana cada vez más espacio.</w:t>
      </w:r>
      <w:r w:rsidR="00283F81" w:rsidRPr="00273E46">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 xml:space="preserve">Lo anterior es de gran importancia, pues las estructuras ilegales de comercio de marihuana se están viendo directamente afectadas a través de la pérdida de clientes que deciden participar en los canales legales. </w:t>
      </w:r>
      <w:r w:rsidR="00273E46">
        <w:rPr>
          <w:rFonts w:ascii="Bookman Old Style" w:hAnsi="Bookman Old Style" w:cs="Calibri"/>
          <w:b w:val="0"/>
          <w:sz w:val="22"/>
          <w:szCs w:val="24"/>
        </w:rPr>
        <w:t>La compra promedio en los últimos 4 meses se encontraba según dicho reporte entre 15 y 16 gramos, muy por debajo del máximo permitido de 40 gramos.</w:t>
      </w:r>
      <w:r w:rsidR="00273E46">
        <w:rPr>
          <w:rStyle w:val="Refdenotaalpie"/>
          <w:rFonts w:ascii="Bookman Old Style" w:hAnsi="Bookman Old Style" w:cs="Calibri"/>
          <w:b w:val="0"/>
          <w:sz w:val="22"/>
          <w:szCs w:val="24"/>
        </w:rPr>
        <w:footnoteReference w:id="27"/>
      </w:r>
      <w:r w:rsidR="00273E46">
        <w:rPr>
          <w:rFonts w:ascii="Bookman Old Style" w:hAnsi="Bookman Old Style" w:cs="Calibri"/>
          <w:b w:val="0"/>
          <w:sz w:val="22"/>
          <w:szCs w:val="24"/>
        </w:rPr>
        <w:t xml:space="preserve"> Se registra que el principal problema ha sido la oferta, que no logra suplir toda </w:t>
      </w:r>
      <w:r w:rsidR="00440DC4">
        <w:rPr>
          <w:rFonts w:ascii="Bookman Old Style" w:hAnsi="Bookman Old Style" w:cs="Calibri"/>
          <w:b w:val="0"/>
          <w:sz w:val="22"/>
          <w:szCs w:val="24"/>
        </w:rPr>
        <w:t xml:space="preserve">la </w:t>
      </w:r>
      <w:r w:rsidR="00273E46">
        <w:rPr>
          <w:rFonts w:ascii="Bookman Old Style" w:hAnsi="Bookman Old Style" w:cs="Calibri"/>
          <w:b w:val="0"/>
          <w:sz w:val="22"/>
          <w:szCs w:val="24"/>
        </w:rPr>
        <w:t xml:space="preserve">demanda, lo que se espera solucionar con las nuevas licencias otorgadas. </w:t>
      </w:r>
      <w:r w:rsidR="00440DC4">
        <w:rPr>
          <w:rFonts w:ascii="Bookman Old Style" w:hAnsi="Bookman Old Style" w:cs="Calibri"/>
          <w:b w:val="0"/>
          <w:sz w:val="22"/>
          <w:szCs w:val="24"/>
        </w:rPr>
        <w:t>Se</w:t>
      </w:r>
      <w:r w:rsidR="00273E46">
        <w:rPr>
          <w:rFonts w:ascii="Bookman Old Style" w:hAnsi="Bookman Old Style" w:cs="Calibri"/>
          <w:b w:val="0"/>
          <w:sz w:val="22"/>
          <w:szCs w:val="24"/>
        </w:rPr>
        <w:t xml:space="preserve"> espera que </w:t>
      </w:r>
      <w:r w:rsidR="00440DC4">
        <w:rPr>
          <w:rFonts w:ascii="Bookman Old Style" w:hAnsi="Bookman Old Style" w:cs="Calibri"/>
          <w:b w:val="0"/>
          <w:sz w:val="22"/>
          <w:szCs w:val="24"/>
        </w:rPr>
        <w:t xml:space="preserve">el mayor número de licencia </w:t>
      </w:r>
      <w:r w:rsidR="00273E46">
        <w:rPr>
          <w:rFonts w:ascii="Bookman Old Style" w:hAnsi="Bookman Old Style" w:cs="Calibri"/>
          <w:b w:val="0"/>
          <w:sz w:val="22"/>
          <w:szCs w:val="24"/>
        </w:rPr>
        <w:t xml:space="preserve">logre aumentar </w:t>
      </w:r>
      <w:r w:rsidR="00283F81">
        <w:rPr>
          <w:rFonts w:ascii="Bookman Old Style" w:hAnsi="Bookman Old Style" w:cs="Calibri"/>
          <w:b w:val="0"/>
          <w:sz w:val="22"/>
          <w:szCs w:val="24"/>
        </w:rPr>
        <w:t>la participación del mercado legal de marihuana en el país.</w:t>
      </w:r>
      <w:r w:rsidR="00273E46">
        <w:rPr>
          <w:rFonts w:ascii="Bookman Old Style" w:hAnsi="Bookman Old Style" w:cs="Calibri"/>
          <w:b w:val="0"/>
          <w:sz w:val="22"/>
          <w:szCs w:val="24"/>
        </w:rPr>
        <w:t xml:space="preserve"> </w:t>
      </w:r>
    </w:p>
    <w:p w:rsidR="00273E46" w:rsidRDefault="00273E46" w:rsidP="00273E46">
      <w:pPr>
        <w:pStyle w:val="Ttulo2"/>
        <w:ind w:left="0"/>
        <w:jc w:val="both"/>
        <w:rPr>
          <w:rFonts w:ascii="Bookman Old Style" w:hAnsi="Bookman Old Style" w:cs="Calibri"/>
          <w:b w:val="0"/>
          <w:sz w:val="22"/>
          <w:szCs w:val="24"/>
        </w:rPr>
      </w:pPr>
    </w:p>
    <w:p w:rsidR="00A04304" w:rsidRDefault="00A04304" w:rsidP="00F36280">
      <w:pPr>
        <w:pStyle w:val="Ttulo2"/>
        <w:ind w:left="0"/>
        <w:jc w:val="both"/>
        <w:rPr>
          <w:rFonts w:ascii="Bookman Old Style" w:hAnsi="Bookman Old Style" w:cs="Calibri"/>
          <w:b w:val="0"/>
          <w:sz w:val="22"/>
          <w:szCs w:val="24"/>
        </w:rPr>
      </w:pPr>
    </w:p>
    <w:p w:rsidR="00A04304" w:rsidRDefault="00A04304" w:rsidP="001E18FE"/>
    <w:p w:rsidR="00A04304" w:rsidRPr="00A04304" w:rsidRDefault="00A04304" w:rsidP="001E18FE">
      <w:pPr>
        <w:jc w:val="center"/>
        <w:rPr>
          <w:rFonts w:ascii="Bookman Old Style" w:hAnsi="Bookman Old Style"/>
        </w:rPr>
      </w:pPr>
      <w:r w:rsidRPr="001E18FE">
        <w:rPr>
          <w:rFonts w:ascii="Bookman Old Style" w:hAnsi="Bookman Old Style"/>
          <w:b/>
        </w:rPr>
        <w:t>Gráfico 1.</w:t>
      </w:r>
      <w:r w:rsidRPr="00A04304">
        <w:rPr>
          <w:rFonts w:ascii="Bookman Old Style" w:hAnsi="Bookman Old Style"/>
        </w:rPr>
        <w:t xml:space="preserve"> Evolución de los registros totales en el mercado r</w:t>
      </w:r>
      <w:r>
        <w:rPr>
          <w:rFonts w:ascii="Bookman Old Style" w:hAnsi="Bookman Old Style"/>
        </w:rPr>
        <w:t xml:space="preserve">egulado según fecha de informes </w:t>
      </w:r>
      <w:r w:rsidRPr="00A04304">
        <w:rPr>
          <w:rFonts w:ascii="Bookman Old Style" w:hAnsi="Bookman Old Style"/>
        </w:rPr>
        <w:t>realizados.</w:t>
      </w:r>
    </w:p>
    <w:p w:rsidR="00A04304" w:rsidRDefault="00A04304" w:rsidP="00F36280">
      <w:pPr>
        <w:pStyle w:val="Ttulo2"/>
        <w:ind w:left="0"/>
        <w:jc w:val="both"/>
        <w:rPr>
          <w:rFonts w:ascii="Bookman Old Style" w:hAnsi="Bookman Old Style" w:cs="Calibri"/>
          <w:b w:val="0"/>
          <w:sz w:val="22"/>
          <w:szCs w:val="24"/>
        </w:rPr>
      </w:pPr>
    </w:p>
    <w:p w:rsidR="00A04304" w:rsidRDefault="00A04304" w:rsidP="001E18FE">
      <w:r w:rsidRPr="008F6E74">
        <w:rPr>
          <w:noProof/>
        </w:rPr>
        <w:lastRenderedPageBreak/>
        <w:drawing>
          <wp:inline distT="0" distB="0" distL="0" distR="0">
            <wp:extent cx="5603875" cy="2580005"/>
            <wp:effectExtent l="0" t="0" r="9525" b="10795"/>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3875" cy="2580005"/>
                    </a:xfrm>
                    <a:prstGeom prst="rect">
                      <a:avLst/>
                    </a:prstGeom>
                    <a:noFill/>
                    <a:ln>
                      <a:noFill/>
                    </a:ln>
                  </pic:spPr>
                </pic:pic>
              </a:graphicData>
            </a:graphic>
          </wp:inline>
        </w:drawing>
      </w:r>
    </w:p>
    <w:p w:rsidR="00A04304" w:rsidRPr="001E18FE" w:rsidRDefault="00A04304" w:rsidP="001E18FE">
      <w:pPr>
        <w:rPr>
          <w:b/>
        </w:rPr>
      </w:pPr>
    </w:p>
    <w:p w:rsidR="00273E46" w:rsidRPr="001E18FE" w:rsidRDefault="00273E46" w:rsidP="001E18FE">
      <w:pPr>
        <w:rPr>
          <w:b/>
        </w:rPr>
      </w:pPr>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Lo anterior, se ha logrado dado que el Gobierno fija el precio de la marihuana legal y lo fija en línea al del mercado negro, por lo que no existen grandes incentivos para que dicho mercado prospere. Actualmente el precio de 1 gramo de marihuana se encuentra en $</w:t>
      </w:r>
      <w:r w:rsidR="00F61263">
        <w:rPr>
          <w:rFonts w:ascii="Bookman Old Style" w:hAnsi="Bookman Old Style" w:cs="Calibri"/>
          <w:b w:val="0"/>
          <w:sz w:val="22"/>
          <w:szCs w:val="24"/>
        </w:rPr>
        <w:t>53</w:t>
      </w:r>
      <w:r w:rsidR="00F61263" w:rsidRPr="00485CC5">
        <w:rPr>
          <w:rFonts w:ascii="Bookman Old Style" w:hAnsi="Bookman Old Style" w:cs="Calibri"/>
          <w:b w:val="0"/>
          <w:sz w:val="22"/>
          <w:szCs w:val="24"/>
        </w:rPr>
        <w:t xml:space="preserve"> </w:t>
      </w:r>
      <w:r w:rsidRPr="00485CC5">
        <w:rPr>
          <w:rFonts w:ascii="Bookman Old Style" w:hAnsi="Bookman Old Style" w:cs="Calibri"/>
          <w:b w:val="0"/>
          <w:sz w:val="22"/>
          <w:szCs w:val="24"/>
        </w:rPr>
        <w:t>Pesos uruguayos, es decir alrededor de USD $1.2.</w:t>
      </w:r>
      <w:r w:rsidRPr="00485CC5">
        <w:rPr>
          <w:rStyle w:val="Refdenotaalpie"/>
          <w:rFonts w:ascii="Bookman Old Style" w:hAnsi="Bookman Old Style" w:cs="Calibri"/>
          <w:b w:val="0"/>
          <w:sz w:val="22"/>
          <w:szCs w:val="24"/>
        </w:rPr>
        <w:footnoteReference w:id="28"/>
      </w:r>
      <w:r w:rsidR="00FF2ED8">
        <w:rPr>
          <w:rFonts w:ascii="Bookman Old Style" w:hAnsi="Bookman Old Style" w:cs="Calibri"/>
          <w:b w:val="0"/>
          <w:sz w:val="22"/>
          <w:szCs w:val="24"/>
        </w:rPr>
        <w:t xml:space="preserve"> </w:t>
      </w:r>
    </w:p>
    <w:p w:rsidR="00F36280" w:rsidRPr="00485CC5" w:rsidRDefault="00F36280" w:rsidP="00F36280">
      <w:pPr>
        <w:jc w:val="both"/>
        <w:rPr>
          <w:rFonts w:ascii="Bookman Old Style" w:hAnsi="Bookman Old Style" w:cs="Calibri"/>
          <w:b/>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Otro punto importante es que la regulación de la marihuana para uso recreativo puede llevar a que los países ahorren importantes recursos en políticas punitivas y sobrepoblación carcelaria.</w:t>
      </w:r>
      <w:r w:rsidRPr="00485CC5">
        <w:rPr>
          <w:rStyle w:val="Refdenotaalpie"/>
          <w:rFonts w:ascii="Bookman Old Style" w:hAnsi="Bookman Old Style" w:cs="Calibri"/>
          <w:szCs w:val="24"/>
        </w:rPr>
        <w:footnoteReference w:id="29"/>
      </w:r>
      <w:r w:rsidRPr="00485CC5">
        <w:rPr>
          <w:rFonts w:ascii="Bookman Old Style" w:hAnsi="Bookman Old Style" w:cs="Calibri"/>
          <w:szCs w:val="24"/>
        </w:rPr>
        <w:t xml:space="preserve"> Estados Unidos, por ejemplo, lo ha logrado pues cuando se dio la regulación, disminuyeron significativamente los arrestos por posesión de drogas.</w:t>
      </w:r>
      <w:r w:rsidRPr="00485CC5">
        <w:rPr>
          <w:rStyle w:val="Refdenotaalpie"/>
          <w:rFonts w:ascii="Bookman Old Style" w:hAnsi="Bookman Old Style" w:cs="Calibri"/>
          <w:szCs w:val="24"/>
        </w:rPr>
        <w:footnoteReference w:id="30"/>
      </w:r>
      <w:r w:rsidRPr="00485CC5">
        <w:rPr>
          <w:rFonts w:ascii="Bookman Old Style" w:hAnsi="Bookman Old Style" w:cs="Calibri"/>
          <w:szCs w:val="24"/>
        </w:rPr>
        <w:t xml:space="preserve"> Los expedientes judiciales para los Estados de Washington y Colorado entre 2011 y 2015 bajaron respectivamente 98% y 81%. Y los arrestos por posesión de marihuana han disminuido significativamente de la siguiente manera:</w:t>
      </w:r>
      <w:r w:rsidRPr="00485CC5">
        <w:rPr>
          <w:rStyle w:val="Refdenotaalpie"/>
          <w:rFonts w:ascii="Bookman Old Style" w:hAnsi="Bookman Old Style" w:cs="Calibri"/>
          <w:szCs w:val="24"/>
        </w:rPr>
        <w:footnoteReference w:id="31"/>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Colorado: 88% (2012-2015).</w:t>
      </w: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Washington D.C.: 98.6% (2013-2016).</w:t>
      </w: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Oregón: 96% (2013-2016).</w:t>
      </w: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Alaska: 93% (2013-2015).</w:t>
      </w:r>
    </w:p>
    <w:p w:rsidR="00F36280" w:rsidRPr="00485CC5" w:rsidRDefault="00F36280" w:rsidP="00F36280">
      <w:pPr>
        <w:pStyle w:val="Ttulo2"/>
        <w:ind w:left="0"/>
        <w:jc w:val="both"/>
        <w:rPr>
          <w:rFonts w:ascii="Bookman Old Style" w:hAnsi="Bookman Old Style" w:cs="Calibri"/>
          <w:b w:val="0"/>
          <w:sz w:val="22"/>
          <w:szCs w:val="24"/>
        </w:rPr>
      </w:pPr>
      <w:bookmarkStart w:id="4" w:name="_Toc5023216"/>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 xml:space="preserve">Emprender la regularización del uso recreativo y científico del cannabis en Colombia, representa una oportunidad para fortalecer la economía del país, reducir el crimen y los mercados ilegales, y además aliviar el sistema carcelario y judicial </w:t>
      </w:r>
      <w:bookmarkEnd w:id="4"/>
      <w:r w:rsidRPr="00485CC5">
        <w:rPr>
          <w:rFonts w:ascii="Bookman Old Style" w:hAnsi="Bookman Old Style" w:cs="Calibri"/>
          <w:b w:val="0"/>
          <w:sz w:val="22"/>
          <w:szCs w:val="24"/>
        </w:rPr>
        <w:t>nacional.</w:t>
      </w:r>
    </w:p>
    <w:p w:rsidR="00F36280" w:rsidRPr="00485CC5" w:rsidRDefault="00F36280" w:rsidP="00F36280">
      <w:pPr>
        <w:rPr>
          <w:rFonts w:ascii="Bookman Old Style" w:hAnsi="Bookman Old Style"/>
          <w:szCs w:val="24"/>
        </w:rPr>
      </w:pPr>
    </w:p>
    <w:p w:rsidR="00F36280" w:rsidRPr="00485CC5" w:rsidRDefault="00F36280" w:rsidP="000B0FBF">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REGULACIÓN DE ESTUPEFACIENTES EN COLOMBIA: ANÁLISIS CONSTITUCIONAL Y LEGAL.</w:t>
      </w:r>
    </w:p>
    <w:p w:rsidR="00F36280" w:rsidRPr="00485CC5" w:rsidRDefault="00F36280" w:rsidP="00F36280">
      <w:pPr>
        <w:rPr>
          <w:rFonts w:ascii="Bookman Old Style" w:eastAsia="Calibri" w:hAnsi="Bookman Old Style"/>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 van en detrimento de los derechos fundamentales al libre desarrollo de la personalidad, igualdad y salud pública.</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32"/>
      </w:r>
      <w:r w:rsidRPr="00485CC5">
        <w:rPr>
          <w:rFonts w:ascii="Bookman Old Style" w:eastAsia="Calibri" w:hAnsi="Bookman Old Style" w:cs="Calibri"/>
          <w:bCs/>
          <w:i/>
          <w:iCs/>
          <w:szCs w:val="24"/>
          <w:lang w:val="es-ES_tradnl"/>
        </w:rPr>
        <w:t xml:space="preserve"> </w:t>
      </w:r>
    </w:p>
    <w:p w:rsidR="00F36280" w:rsidRPr="00485CC5" w:rsidRDefault="00F36280" w:rsidP="00F36280">
      <w:pPr>
        <w:jc w:val="both"/>
        <w:rPr>
          <w:rFonts w:ascii="Bookman Old Style" w:eastAsia="Calibri" w:hAnsi="Bookman Old Style" w:cs="Calibri"/>
          <w:bCs/>
          <w:i/>
          <w:iCs/>
          <w:szCs w:val="24"/>
          <w:lang w:val="es-ES_tradnl"/>
        </w:rPr>
      </w:pPr>
    </w:p>
    <w:p w:rsidR="00F36280" w:rsidRDefault="00F36280" w:rsidP="00F36280">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rsidR="00251DA4" w:rsidRDefault="00251DA4" w:rsidP="00F36280">
      <w:pPr>
        <w:jc w:val="both"/>
        <w:rPr>
          <w:rFonts w:ascii="Bookman Old Style" w:eastAsia="Calibri" w:hAnsi="Bookman Old Style" w:cs="Calibri"/>
          <w:bCs/>
          <w:iCs/>
          <w:szCs w:val="24"/>
          <w:lang w:val="es-ES_tradnl"/>
        </w:rPr>
      </w:pPr>
    </w:p>
    <w:p w:rsidR="00251DA4" w:rsidRDefault="00251DA4" w:rsidP="00F36280">
      <w:pPr>
        <w:jc w:val="both"/>
        <w:rPr>
          <w:rFonts w:ascii="Bookman Old Style" w:eastAsia="Calibri" w:hAnsi="Bookman Old Style" w:cs="Calibri"/>
          <w:bCs/>
          <w:iCs/>
          <w:szCs w:val="24"/>
          <w:lang w:val="es-ES_tradnl"/>
        </w:rPr>
      </w:pPr>
    </w:p>
    <w:p w:rsidR="00251DA4" w:rsidRPr="00485CC5" w:rsidRDefault="00251DA4" w:rsidP="00F36280">
      <w:pPr>
        <w:jc w:val="both"/>
        <w:rPr>
          <w:rFonts w:ascii="Bookman Old Style" w:eastAsia="Calibri" w:hAnsi="Bookman Old Style" w:cs="Calibri"/>
          <w:bCs/>
          <w:iCs/>
          <w:szCs w:val="24"/>
          <w:lang w:val="es-ES_tradnl"/>
        </w:rPr>
      </w:pPr>
    </w:p>
    <w:p w:rsidR="00F36280" w:rsidRPr="00485CC5" w:rsidRDefault="00F36280" w:rsidP="00F36280">
      <w:pPr>
        <w:pStyle w:val="Ttulo2"/>
        <w:ind w:left="0"/>
        <w:rPr>
          <w:rFonts w:ascii="Bookman Old Style" w:eastAsia="Calibri" w:hAnsi="Bookman Old Style" w:cs="Calibri"/>
          <w:sz w:val="22"/>
          <w:szCs w:val="24"/>
        </w:rPr>
      </w:pPr>
    </w:p>
    <w:p w:rsidR="00F36280" w:rsidRPr="00485CC5" w:rsidRDefault="000046EF"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5</w:t>
      </w:r>
      <w:r w:rsidR="00F36280" w:rsidRPr="00485CC5">
        <w:rPr>
          <w:rFonts w:ascii="Bookman Old Style" w:eastAsia="Calibri" w:hAnsi="Bookman Old Style" w:cs="Calibri"/>
          <w:sz w:val="22"/>
          <w:szCs w:val="24"/>
        </w:rPr>
        <w:t>.1 PROHIBICIÓN VS. DERECHOS FUNDAMENTALES</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sidR="00750120">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sidR="00750120">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rsidR="00F36280" w:rsidRPr="00485CC5" w:rsidRDefault="00F36280" w:rsidP="00F36280">
      <w:pPr>
        <w:pStyle w:val="Ttulo2"/>
        <w:ind w:left="0"/>
        <w:rPr>
          <w:rFonts w:ascii="Bookman Old Style" w:eastAsia="Calibri" w:hAnsi="Bookman Old Style" w:cs="Calibri"/>
          <w:sz w:val="22"/>
          <w:szCs w:val="24"/>
        </w:rPr>
      </w:pPr>
    </w:p>
    <w:p w:rsidR="00F36280" w:rsidRPr="00485CC5" w:rsidRDefault="000046EF"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5</w:t>
      </w:r>
      <w:r w:rsidR="00F36280" w:rsidRPr="00485CC5">
        <w:rPr>
          <w:rFonts w:ascii="Bookman Old Style" w:eastAsia="Calibri" w:hAnsi="Bookman Old Style" w:cs="Calibri"/>
          <w:sz w:val="22"/>
          <w:szCs w:val="24"/>
        </w:rPr>
        <w:t>.1.1. DERECHO AL LIBRE DESARROLLO DE LA PERSONALIDAD</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libertad como un fin esencial del Estado Social de Derecho</w:t>
      </w:r>
      <w:r w:rsidRPr="00485CC5">
        <w:rPr>
          <w:rStyle w:val="Refdenotaalpie"/>
          <w:rFonts w:ascii="Bookman Old Style" w:eastAsia="Calibri" w:hAnsi="Bookman Old Style" w:cs="Calibri"/>
          <w:szCs w:val="24"/>
          <w:lang w:val="es-ES_tradnl"/>
        </w:rPr>
        <w:footnoteReference w:id="33"/>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34"/>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35"/>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36"/>
      </w:r>
    </w:p>
    <w:p w:rsidR="00F36280" w:rsidRPr="00485CC5" w:rsidRDefault="00F36280" w:rsidP="00F36280">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w:t>
      </w:r>
      <w:r w:rsidR="00DC49AD" w:rsidRPr="00485CC5">
        <w:rPr>
          <w:rFonts w:ascii="Bookman Old Style" w:eastAsia="Calibri" w:hAnsi="Bookman Old Style" w:cs="Calibri"/>
          <w:szCs w:val="24"/>
          <w:lang w:val="es-ES_tradnl"/>
        </w:rPr>
        <w:t>autodeterminación,</w:t>
      </w:r>
      <w:r w:rsidRPr="00485CC5">
        <w:rPr>
          <w:rFonts w:ascii="Bookman Old Style" w:eastAsia="Calibri" w:hAnsi="Bookman Old Style" w:cs="Calibri"/>
          <w:szCs w:val="24"/>
          <w:lang w:val="es-ES_tradnl"/>
        </w:rPr>
        <w:t xml:space="preserve"> menos 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37"/>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rsidR="00F36280" w:rsidRPr="00485CC5" w:rsidRDefault="00F36280" w:rsidP="00F36280">
      <w:pPr>
        <w:rPr>
          <w:rFonts w:ascii="Bookman Old Style" w:eastAsia="Calibri" w:hAnsi="Bookman Old Style"/>
          <w:szCs w:val="24"/>
          <w:lang w:val="es-ES_tradnl"/>
        </w:rPr>
      </w:pPr>
    </w:p>
    <w:p w:rsidR="00F36280" w:rsidRPr="00485CC5" w:rsidRDefault="000046EF"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5</w:t>
      </w:r>
      <w:r w:rsidR="00F36280" w:rsidRPr="00485CC5">
        <w:rPr>
          <w:rFonts w:ascii="Bookman Old Style" w:eastAsia="Calibri" w:hAnsi="Bookman Old Style" w:cs="Calibri"/>
          <w:sz w:val="22"/>
          <w:szCs w:val="24"/>
        </w:rPr>
        <w:t>.1.2. DERECHO A LA IGUALDAD</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38"/>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39"/>
      </w:r>
      <w:r w:rsidRPr="00485CC5">
        <w:rPr>
          <w:rFonts w:ascii="Bookman Old Style" w:eastAsia="Calibri" w:hAnsi="Bookman Old Style" w:cs="Calibri"/>
          <w:szCs w:val="24"/>
          <w:lang w:val="es-ES_tradnl"/>
        </w:rPr>
        <w:t xml:space="preserve">: la igualdad como valor, como principio y como derecho.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rsidR="00F36280" w:rsidRPr="00485CC5" w:rsidRDefault="00F36280" w:rsidP="00F36280">
      <w:pPr>
        <w:ind w:left="720" w:right="900"/>
        <w:jc w:val="both"/>
        <w:rPr>
          <w:rFonts w:ascii="Bookman Old Style" w:eastAsia="Calibri" w:hAnsi="Bookman Old Style" w:cs="Calibri"/>
          <w:i/>
          <w:sz w:val="20"/>
          <w:lang w:val="es-ES_tradnl"/>
        </w:rPr>
      </w:pPr>
    </w:p>
    <w:p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rsidR="00F36280" w:rsidRPr="00485CC5" w:rsidRDefault="00F36280" w:rsidP="00F36280">
      <w:pPr>
        <w:ind w:left="720" w:right="900"/>
        <w:jc w:val="both"/>
        <w:rPr>
          <w:rFonts w:ascii="Bookman Old Style" w:eastAsia="Calibri" w:hAnsi="Bookman Old Style" w:cs="Calibri"/>
          <w:i/>
          <w:sz w:val="20"/>
          <w:lang w:val="es-ES_tradnl"/>
        </w:rPr>
      </w:pPr>
    </w:p>
    <w:p w:rsidR="00F36280" w:rsidRPr="00DC49AD" w:rsidRDefault="00F36280" w:rsidP="00DC49A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lastRenderedPageBreak/>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40"/>
      </w:r>
    </w:p>
    <w:p w:rsidR="00F36280" w:rsidRPr="00485CC5" w:rsidRDefault="00F36280" w:rsidP="00F36280">
      <w:pPr>
        <w:jc w:val="both"/>
        <w:rPr>
          <w:rFonts w:ascii="Bookman Old Style" w:eastAsia="Calibri" w:hAnsi="Bookman Old Style" w:cs="Calibri"/>
          <w: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rsidR="00F36280" w:rsidRPr="00485CC5" w:rsidRDefault="00F36280" w:rsidP="00F36280">
      <w:pPr>
        <w:ind w:left="851" w:hanging="283"/>
        <w:jc w:val="both"/>
        <w:rPr>
          <w:rFonts w:ascii="Bookman Old Style" w:eastAsia="Calibri" w:hAnsi="Bookman Old Style" w:cs="Calibri"/>
          <w:szCs w:val="24"/>
          <w:lang w:val="es-ES_tradnl"/>
        </w:rPr>
      </w:pPr>
    </w:p>
    <w:p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rsidR="00F36280" w:rsidRPr="00485CC5" w:rsidRDefault="00F36280" w:rsidP="00621929">
      <w:pPr>
        <w:jc w:val="both"/>
        <w:rPr>
          <w:rFonts w:ascii="Bookman Old Style" w:hAnsi="Bookman Old Style" w:cs="Calibri"/>
          <w:szCs w:val="24"/>
          <w:lang w:val="es-ES_tradnl"/>
        </w:rPr>
      </w:pPr>
    </w:p>
    <w:p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rsidR="00F36280" w:rsidRPr="00485CC5" w:rsidRDefault="00F36280" w:rsidP="00F36280">
      <w:pPr>
        <w:ind w:left="568"/>
        <w:jc w:val="both"/>
        <w:rPr>
          <w:rFonts w:ascii="Bookman Old Style" w:hAnsi="Bookman Old Style" w:cs="Calibri"/>
          <w:szCs w:val="24"/>
          <w:lang w:val="es-ES_tradnl"/>
        </w:rPr>
      </w:pPr>
    </w:p>
    <w:p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rsidR="00F36280" w:rsidRPr="00485CC5" w:rsidRDefault="00F36280" w:rsidP="00F36280">
      <w:pPr>
        <w:ind w:left="568"/>
        <w:jc w:val="both"/>
        <w:rPr>
          <w:rFonts w:ascii="Bookman Old Style" w:hAnsi="Bookman Old Style" w:cs="Calibri"/>
          <w:szCs w:val="24"/>
          <w:lang w:val="es-ES_tradnl"/>
        </w:rPr>
      </w:pPr>
    </w:p>
    <w:p w:rsidR="00F36280" w:rsidRPr="00621929" w:rsidRDefault="00F36280" w:rsidP="00621929">
      <w:pPr>
        <w:pStyle w:val="Prrafodelista"/>
        <w:numPr>
          <w:ilvl w:val="0"/>
          <w:numId w:val="37"/>
        </w:numPr>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41"/>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la que una de las circunstancias que motivó la inexequibilidad de las disposiciones que penalizaban la dosis personal fue que esta medida implicaba un trato discriminatorio hacia los consumidores. Esto, en tanto no se demostró que existiera un fundamento constitucional para soportar esta prohibición que únicamente traía como efecto la limitación de los derechos de un grupo poblacional. </w:t>
      </w:r>
    </w:p>
    <w:p w:rsidR="00F36280" w:rsidRPr="00485CC5" w:rsidRDefault="00F36280" w:rsidP="00F36280">
      <w:pPr>
        <w:jc w:val="both"/>
        <w:rPr>
          <w:rFonts w:ascii="Bookman Old Style" w:eastAsia="Calibri" w:hAnsi="Bookman Old Style" w:cs="Calibri"/>
          <w:b/>
          <w:i/>
          <w:szCs w:val="24"/>
          <w:lang w:val="es-ES_tradnl"/>
        </w:rPr>
      </w:pPr>
    </w:p>
    <w:p w:rsidR="00F36280" w:rsidRPr="00485CC5" w:rsidRDefault="000046EF"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5</w:t>
      </w:r>
      <w:r w:rsidR="00F36280" w:rsidRPr="00485CC5">
        <w:rPr>
          <w:rFonts w:ascii="Bookman Old Style" w:eastAsia="Calibri" w:hAnsi="Bookman Old Style" w:cs="Calibri"/>
          <w:b/>
          <w:szCs w:val="24"/>
          <w:lang w:val="es-ES_tradnl"/>
        </w:rPr>
        <w:t>.1.3. DERECHO A LA SALUD.</w:t>
      </w:r>
    </w:p>
    <w:p w:rsidR="00F36280" w:rsidRPr="00485CC5" w:rsidRDefault="00F36280" w:rsidP="00F36280">
      <w:pPr>
        <w:jc w:val="both"/>
        <w:rPr>
          <w:rFonts w:ascii="Bookman Old Style" w:eastAsia="Calibri" w:hAnsi="Bookman Old Style" w:cs="Calibri"/>
          <w:b/>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w:t>
      </w:r>
      <w:r w:rsidRPr="00485CC5">
        <w:rPr>
          <w:rFonts w:ascii="Bookman Old Style" w:eastAsia="Calibri" w:hAnsi="Bookman Old Style" w:cs="Calibri"/>
          <w:szCs w:val="24"/>
          <w:lang w:val="es-ES_tradnl"/>
        </w:rPr>
        <w:lastRenderedPageBreak/>
        <w:t xml:space="preserve">concretaron en el 2009 con un enfoque distinto: la protección al derecho a la salud.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No obstante, a través de amplia jurisprudencia, la Corte Constitucional consolidó un proceso de reconocimiento de la Salud como un derecho fundamental que culminó con la expedición de la Ley 1751 de 2015.</w:t>
      </w:r>
      <w:r w:rsidRPr="00485CC5">
        <w:rPr>
          <w:rStyle w:val="Refdenotaalpie"/>
          <w:rFonts w:ascii="Bookman Old Style" w:eastAsia="Calibri" w:hAnsi="Bookman Old Style" w:cs="Calibri"/>
          <w:szCs w:val="24"/>
          <w:lang w:val="es-ES_tradnl"/>
        </w:rPr>
        <w:footnoteReference w:id="42"/>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esta materia, la Corte había venido reconociendo que es </w:t>
      </w:r>
      <w:r w:rsidRPr="00485CC5">
        <w:rPr>
          <w:rFonts w:ascii="Bookman Old Style" w:eastAsia="Calibri" w:hAnsi="Bookman Old Style" w:cs="Calibri"/>
          <w:i/>
          <w:szCs w:val="24"/>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485CC5">
        <w:rPr>
          <w:rStyle w:val="Refdenotaalpie"/>
          <w:rFonts w:ascii="Bookman Old Style" w:eastAsia="Calibri" w:hAnsi="Bookman Old Style" w:cs="Calibri"/>
          <w:i/>
          <w:szCs w:val="24"/>
          <w:lang w:val="es-ES_tradnl"/>
        </w:rPr>
        <w:footnoteReference w:id="43"/>
      </w:r>
    </w:p>
    <w:p w:rsidR="00F36280" w:rsidRPr="00485CC5" w:rsidRDefault="00F36280" w:rsidP="00F36280">
      <w:pPr>
        <w:jc w:val="both"/>
        <w:rPr>
          <w:rFonts w:ascii="Bookman Old Style" w:eastAsia="Calibri" w:hAnsi="Bookman Old Style" w:cs="Calibri"/>
          <w:b/>
          <w: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Así las cosas, partiendo de la posible afectación que el consumo podría generar en los individuos y en la protección al derecho a la salud de los colombianos, en el 2009 se incluyeron las siguientes modificaciones al artículo 49 C.P:</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ind w:left="720" w:right="900"/>
        <w:jc w:val="both"/>
        <w:rPr>
          <w:rFonts w:ascii="Bookman Old Style" w:eastAsia="Calibri" w:hAnsi="Bookman Old Style" w:cs="Calibri"/>
          <w:b/>
          <w:bCs/>
          <w:i/>
          <w:sz w:val="20"/>
          <w:lang w:val="es-ES_tradnl"/>
        </w:rPr>
      </w:pPr>
      <w:r w:rsidRPr="00485CC5">
        <w:rPr>
          <w:rFonts w:ascii="Bookman Old Style" w:eastAsia="Calibri" w:hAnsi="Bookman Old Style" w:cs="Calibri"/>
          <w:b/>
          <w:bCs/>
          <w:i/>
          <w:sz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F36280" w:rsidRPr="00485CC5" w:rsidRDefault="00F36280" w:rsidP="00F36280">
      <w:pPr>
        <w:ind w:left="720" w:right="900"/>
        <w:jc w:val="both"/>
        <w:rPr>
          <w:rFonts w:ascii="Bookman Old Style" w:eastAsia="Calibri" w:hAnsi="Bookman Old Style" w:cs="Calibri"/>
          <w:b/>
          <w:bCs/>
          <w:i/>
          <w:sz w:val="20"/>
          <w:lang w:val="es-ES_tradnl"/>
        </w:rPr>
      </w:pPr>
    </w:p>
    <w:p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b/>
          <w:bCs/>
          <w:i/>
          <w:sz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F36280" w:rsidRPr="00485CC5" w:rsidRDefault="00F36280" w:rsidP="00F36280">
      <w:pPr>
        <w:ind w:left="720" w:right="900"/>
        <w:jc w:val="both"/>
        <w:rPr>
          <w:rFonts w:ascii="Bookman Old Style" w:eastAsia="Calibri" w:hAnsi="Bookman Old Style" w:cs="Calibri"/>
          <w:i/>
          <w:sz w:val="20"/>
          <w:lang w:val="es-ES_tradnl"/>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De lo anterior se desprende que hoy en día está consagrada una prohibición de orden constitucional frente al consumo de sustancias estupefacientes o </w:t>
      </w:r>
      <w:r w:rsidRPr="00485CC5">
        <w:rPr>
          <w:rFonts w:ascii="Bookman Old Style" w:eastAsia="Calibri" w:hAnsi="Bookman Old Style" w:cs="Calibri"/>
          <w:szCs w:val="24"/>
        </w:rPr>
        <w:lastRenderedPageBreak/>
        <w:t>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rsidR="00F36280" w:rsidRPr="00485CC5" w:rsidRDefault="00F36280" w:rsidP="00F36280">
      <w:pPr>
        <w:jc w:val="both"/>
        <w:rPr>
          <w:rFonts w:ascii="Bookman Old Style" w:eastAsia="Calibri" w:hAnsi="Bookman Old Style" w:cs="Calibri"/>
          <w:szCs w:val="24"/>
        </w:rPr>
      </w:pPr>
    </w:p>
    <w:p w:rsidR="00F36280" w:rsidRPr="00485CC5" w:rsidRDefault="000046EF" w:rsidP="00F36280">
      <w:pPr>
        <w:jc w:val="both"/>
        <w:rPr>
          <w:rFonts w:ascii="Bookman Old Style" w:eastAsia="Calibri" w:hAnsi="Bookman Old Style" w:cs="Calibri"/>
          <w:b/>
          <w:szCs w:val="24"/>
        </w:rPr>
      </w:pPr>
      <w:r>
        <w:rPr>
          <w:rFonts w:ascii="Bookman Old Style" w:eastAsia="Calibri" w:hAnsi="Bookman Old Style" w:cs="Calibri"/>
          <w:b/>
          <w:szCs w:val="24"/>
        </w:rPr>
        <w:t>5</w:t>
      </w:r>
      <w:r w:rsidR="00F36280" w:rsidRPr="00485CC5">
        <w:rPr>
          <w:rFonts w:ascii="Bookman Old Style" w:eastAsia="Calibri" w:hAnsi="Bookman Old Style" w:cs="Calibri"/>
          <w:b/>
          <w:szCs w:val="24"/>
        </w:rPr>
        <w:t>.</w:t>
      </w:r>
      <w:r w:rsidR="00DC49AD">
        <w:rPr>
          <w:rFonts w:ascii="Bookman Old Style" w:eastAsia="Calibri" w:hAnsi="Bookman Old Style" w:cs="Calibri"/>
          <w:b/>
          <w:szCs w:val="24"/>
        </w:rPr>
        <w:t>2</w:t>
      </w:r>
      <w:r w:rsidR="00F36280" w:rsidRPr="00485CC5">
        <w:rPr>
          <w:rFonts w:ascii="Bookman Old Style" w:eastAsia="Calibri" w:hAnsi="Bookman Old Style" w:cs="Calibri"/>
          <w:b/>
          <w:szCs w:val="24"/>
        </w:rPr>
        <w:t>. ANÁLISIS CONSTITUCIONAL DE LA REGULACIÓN ACTUAL FRENTE AL PORTE Y CONSUMO DE ESTUPEFACIENTES.</w:t>
      </w:r>
    </w:p>
    <w:p w:rsidR="00F36280" w:rsidRPr="00485CC5" w:rsidRDefault="00F36280" w:rsidP="00F36280">
      <w:pPr>
        <w:jc w:val="both"/>
        <w:rPr>
          <w:rFonts w:ascii="Bookman Old Style" w:eastAsia="Calibri" w:hAnsi="Bookman Old Style" w:cs="Calibri"/>
          <w:b/>
          <w:szCs w:val="24"/>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sidR="009718AC">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44"/>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45"/>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w:t>
      </w:r>
    </w:p>
    <w:p w:rsidR="00F36280" w:rsidRPr="00485CC5" w:rsidRDefault="00F36280" w:rsidP="00F36280">
      <w:pPr>
        <w:jc w:val="both"/>
        <w:rPr>
          <w:rFonts w:ascii="Bookman Old Style" w:eastAsia="Calibri" w:hAnsi="Bookman Old Style" w:cs="Calibri"/>
          <w:szCs w:val="24"/>
        </w:rPr>
      </w:pPr>
    </w:p>
    <w:p w:rsidR="00BB5B9A"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rsidR="00F36280" w:rsidRPr="00485CC5" w:rsidRDefault="00F36280" w:rsidP="00F36280">
      <w:pPr>
        <w:jc w:val="both"/>
        <w:rPr>
          <w:rFonts w:ascii="Bookman Old Style" w:eastAsia="Calibri" w:hAnsi="Bookman Old Style" w:cs="Calibri"/>
          <w:szCs w:val="24"/>
        </w:rPr>
      </w:pPr>
    </w:p>
    <w:p w:rsidR="00F36280" w:rsidRPr="00485CC5" w:rsidRDefault="000046EF" w:rsidP="00F36280">
      <w:pPr>
        <w:jc w:val="both"/>
        <w:rPr>
          <w:rFonts w:ascii="Bookman Old Style" w:eastAsia="Calibri" w:hAnsi="Bookman Old Style" w:cs="Calibri"/>
          <w:b/>
          <w:szCs w:val="24"/>
        </w:rPr>
      </w:pPr>
      <w:r>
        <w:rPr>
          <w:rFonts w:ascii="Bookman Old Style" w:eastAsia="Calibri" w:hAnsi="Bookman Old Style" w:cs="Calibri"/>
          <w:b/>
          <w:szCs w:val="24"/>
        </w:rPr>
        <w:t>5</w:t>
      </w:r>
      <w:r w:rsidR="00F36280" w:rsidRPr="00485CC5">
        <w:rPr>
          <w:rFonts w:ascii="Bookman Old Style" w:eastAsia="Calibri" w:hAnsi="Bookman Old Style" w:cs="Calibri"/>
          <w:b/>
          <w:szCs w:val="24"/>
        </w:rPr>
        <w:t>.</w:t>
      </w:r>
      <w:r w:rsidR="00F36280" w:rsidRPr="00C30DB4">
        <w:rPr>
          <w:rFonts w:ascii="Bookman Old Style" w:eastAsia="Calibri" w:hAnsi="Bookman Old Style" w:cs="Calibri"/>
          <w:b/>
          <w:szCs w:val="24"/>
        </w:rPr>
        <w:t>2.</w:t>
      </w:r>
      <w:r w:rsidR="00CD271D">
        <w:rPr>
          <w:rFonts w:ascii="Bookman Old Style" w:eastAsia="Calibri" w:hAnsi="Bookman Old Style" w:cs="Calibri"/>
          <w:b/>
          <w:szCs w:val="24"/>
        </w:rPr>
        <w:t>1</w:t>
      </w:r>
      <w:r w:rsidR="00F36280" w:rsidRPr="00485CC5">
        <w:rPr>
          <w:rFonts w:ascii="Bookman Old Style" w:eastAsia="Calibri" w:hAnsi="Bookman Old Style" w:cs="Calibri"/>
          <w:szCs w:val="24"/>
        </w:rPr>
        <w:t xml:space="preserve"> </w:t>
      </w:r>
      <w:r w:rsidR="00F36280" w:rsidRPr="00485CC5">
        <w:rPr>
          <w:rFonts w:ascii="Bookman Old Style" w:eastAsia="Calibri" w:hAnsi="Bookman Old Style" w:cs="Calibri"/>
          <w:b/>
          <w:szCs w:val="24"/>
        </w:rPr>
        <w:t xml:space="preserve">AFECTACIÓN DEL DERECHO A LA SALUD POR EL CONSUMO DE SUSTANCIAS ESTUPEFACIENTES O PSICOTRÓPICAS.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9" w:tgtFrame="_blank" w:history="1">
        <w:r w:rsidRPr="00485CC5">
          <w:rPr>
            <w:rFonts w:ascii="Bookman Old Style" w:hAnsi="Bookman Old Style"/>
            <w:szCs w:val="24"/>
            <w:lang w:val="es-ES_tradnl"/>
          </w:rPr>
          <w:t>el artículo “Drug harms in the UK: a multicriteria decision analysis”</w:t>
        </w:r>
        <w:r w:rsidRPr="00485CC5">
          <w:rPr>
            <w:rStyle w:val="Refdenotaalpie"/>
            <w:rFonts w:ascii="Bookman Old Style" w:hAnsi="Bookman Old Style"/>
            <w:szCs w:val="24"/>
            <w:lang w:val="es-ES_tradnl"/>
          </w:rPr>
          <w:footnoteReference w:id="46"/>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Gráfica 1. Drogas por su nivel de daño, mostrando las contribuciones por tipo (daño al consumidor y daño hacia otros) al puntaje total.</w:t>
      </w:r>
    </w:p>
    <w:p w:rsidR="00F36280" w:rsidRPr="00485CC5" w:rsidRDefault="00F36280" w:rsidP="00F36280">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extent cx="5816812" cy="2771775"/>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9158" cy="2949202"/>
                    </a:xfrm>
                    <a:prstGeom prst="rect">
                      <a:avLst/>
                    </a:prstGeom>
                    <a:noFill/>
                    <a:ln>
                      <a:noFill/>
                    </a:ln>
                  </pic:spPr>
                </pic:pic>
              </a:graphicData>
            </a:graphic>
          </wp:inline>
        </w:drawing>
      </w:r>
    </w:p>
    <w:p w:rsidR="00F36280" w:rsidRPr="00485CC5" w:rsidRDefault="00F36280" w:rsidP="00F36280">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F36280" w:rsidRPr="00485CC5" w:rsidRDefault="00F36280" w:rsidP="00F36280">
      <w:pPr>
        <w:widowControl/>
        <w:shd w:val="clear" w:color="auto" w:fill="FFFFFF"/>
        <w:rPr>
          <w:rFonts w:ascii="Bookman Old Style" w:hAnsi="Bookman Old Style"/>
          <w:i/>
          <w:sz w:val="20"/>
          <w:szCs w:val="24"/>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De lo anterior se desprende que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jc w:val="both"/>
        <w:rPr>
          <w:rFonts w:ascii="Bookman Old Style" w:eastAsia="Calibri" w:hAnsi="Bookman Old Style" w:cs="Calibri"/>
          <w:i/>
          <w:szCs w:val="24"/>
          <w:lang w:val="es-ES_tradnl"/>
        </w:rPr>
      </w:pPr>
      <w:r w:rsidRPr="00485CC5">
        <w:rPr>
          <w:rFonts w:ascii="Bookman Old Style" w:hAnsi="Bookman Old Style"/>
          <w:szCs w:val="24"/>
          <w:lang w:val="es-ES_tradnl"/>
        </w:rPr>
        <w:t xml:space="preserve">Se puede concluir entonces que es necesario </w:t>
      </w:r>
      <w:r w:rsidRPr="00485CC5">
        <w:rPr>
          <w:rFonts w:ascii="Bookman Old Style" w:eastAsia="Calibri" w:hAnsi="Bookman Old Style" w:cs="Calibri"/>
          <w:szCs w:val="24"/>
          <w:lang w:val="es-ES_tradnl"/>
        </w:rPr>
        <w:t xml:space="preserve">que los Estados diseñen respuestas diferenciadas para cada tipo de población y de sustancia ya que, como ya lo había advertido la Corte Constitucional en el año 1994 </w:t>
      </w:r>
      <w:r w:rsidRPr="00485CC5">
        <w:rPr>
          <w:rFonts w:ascii="Bookman Old Style" w:eastAsia="Calibri" w:hAnsi="Bookman Old Style" w:cs="Calibri"/>
          <w:i/>
          <w:szCs w:val="24"/>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485CC5">
        <w:rPr>
          <w:rStyle w:val="Refdenotaalpie"/>
          <w:rFonts w:ascii="Bookman Old Style" w:eastAsia="Calibri" w:hAnsi="Bookman Old Style" w:cs="Calibri"/>
          <w:i/>
          <w:szCs w:val="24"/>
          <w:lang w:val="es-ES_tradnl"/>
        </w:rPr>
        <w:footnoteReference w:id="47"/>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rsidR="00F36280" w:rsidRPr="00485CC5" w:rsidRDefault="00F36280" w:rsidP="00F36280">
      <w:pPr>
        <w:widowControl/>
        <w:shd w:val="clear" w:color="auto" w:fill="FFFFFF"/>
        <w:rPr>
          <w:rFonts w:ascii="Bookman Old Style" w:hAnsi="Bookman Old Style"/>
          <w:i/>
          <w:sz w:val="20"/>
          <w:szCs w:val="24"/>
        </w:rPr>
      </w:pPr>
    </w:p>
    <w:p w:rsidR="00F36280" w:rsidRPr="00485CC5" w:rsidRDefault="00F36280" w:rsidP="00F36280">
      <w:pPr>
        <w:widowControl/>
        <w:shd w:val="clear" w:color="auto" w:fill="FFFFFF"/>
        <w:jc w:val="center"/>
        <w:rPr>
          <w:rFonts w:ascii="Bookman Old Style" w:hAnsi="Bookman Old Style"/>
          <w:b/>
          <w:szCs w:val="24"/>
        </w:rPr>
      </w:pPr>
      <w:r w:rsidRPr="00485CC5">
        <w:rPr>
          <w:rFonts w:ascii="Bookman Old Style" w:hAnsi="Bookman Old Style"/>
          <w:b/>
          <w:szCs w:val="24"/>
        </w:rPr>
        <w:t>Gráfica 2.</w:t>
      </w:r>
      <w:r w:rsidRPr="00485CC5">
        <w:rPr>
          <w:rFonts w:ascii="Bookman Old Style" w:hAnsi="Bookman Old Style"/>
          <w:b/>
          <w:szCs w:val="24"/>
          <w:lang w:val="es-ES_tradnl"/>
        </w:rPr>
        <w:t xml:space="preserve"> Drogas mostradas por su daño al consumidor y daño hacia otros.</w:t>
      </w:r>
    </w:p>
    <w:p w:rsidR="00F36280" w:rsidRPr="00485CC5" w:rsidRDefault="00F36280" w:rsidP="00F36280">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extent cx="5612130" cy="438594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12130" cy="4385945"/>
                    </a:xfrm>
                    <a:prstGeom prst="rect">
                      <a:avLst/>
                    </a:prstGeom>
                  </pic:spPr>
                </pic:pic>
              </a:graphicData>
            </a:graphic>
          </wp:inline>
        </w:drawing>
      </w:r>
    </w:p>
    <w:p w:rsidR="00F36280" w:rsidRPr="00485CC5" w:rsidRDefault="00F36280" w:rsidP="00F36280">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los demás y aún más pocas las que causan un efecto grave, alcanzando el nivel más </w:t>
      </w:r>
      <w:r w:rsidRPr="00485CC5">
        <w:rPr>
          <w:rFonts w:ascii="Bookman Old Style" w:hAnsi="Bookman Old Style"/>
          <w:szCs w:val="24"/>
          <w:lang w:val="es-ES_tradnl"/>
        </w:rPr>
        <w:lastRenderedPageBreak/>
        <w:t xml:space="preserve">alto de afectación el consumo de alcohol, práctica que es plenamente legal en nuestro país.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Adicionalmente, es importante </w:t>
      </w:r>
      <w:r w:rsidRPr="00485CC5">
        <w:rPr>
          <w:rFonts w:ascii="Bookman Old Style" w:eastAsia="Calibri" w:hAnsi="Bookman Old Style" w:cs="Calibri"/>
          <w:szCs w:val="24"/>
          <w:lang w:val="es-ES_tradnl"/>
        </w:rPr>
        <w:t xml:space="preserve">diferenciar el consumo problemático, del consumo ocasional o recreativo, siendo este segundo un tipo de consumo que no necesariamente tiene afectación sobre la salud pública, ni sobre los derechos de los demás.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485CC5">
        <w:rPr>
          <w:rStyle w:val="Refdenotaalpie"/>
          <w:rFonts w:ascii="Bookman Old Style" w:hAnsi="Bookman Old Style"/>
          <w:szCs w:val="24"/>
          <w:lang w:val="es-ES_tradnl"/>
        </w:rPr>
        <w:footnoteReference w:id="48"/>
      </w:r>
      <w:r w:rsidRPr="00485CC5">
        <w:rPr>
          <w:rFonts w:ascii="Bookman Old Style" w:hAnsi="Bookman Old Style"/>
          <w:szCs w:val="24"/>
          <w:lang w:val="es-ES_tradnl"/>
        </w:rPr>
        <w:t>.</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eastAsia="Calibri" w:hAnsi="Bookman Old Style" w:cs="Calibri"/>
          <w:szCs w:val="24"/>
          <w:lang w:val="es-ES_tradnl"/>
        </w:rPr>
      </w:pPr>
      <w:r w:rsidRPr="00485CC5">
        <w:rPr>
          <w:rFonts w:ascii="Bookman Old Style" w:hAnsi="Bookman Old Style"/>
          <w:szCs w:val="24"/>
          <w:lang w:val="es-ES_tradnl"/>
        </w:rPr>
        <w:t xml:space="preserve">Si lo que se pretendió con el Acto Legislativo 02 de 2009 fue entonces proteger el derecho a la salud, </w:t>
      </w:r>
      <w:r w:rsidRPr="00485CC5">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485CC5">
        <w:rPr>
          <w:rStyle w:val="Refdenotaalpie"/>
          <w:rFonts w:ascii="Bookman Old Style" w:eastAsia="Calibri" w:hAnsi="Bookman Old Style" w:cs="Calibri"/>
          <w:szCs w:val="24"/>
          <w:lang w:val="es-ES_tradnl"/>
        </w:rPr>
        <w:footnoteReference w:id="49"/>
      </w:r>
    </w:p>
    <w:p w:rsidR="00F36280" w:rsidRPr="00485CC5" w:rsidRDefault="00F36280" w:rsidP="00F36280">
      <w:pPr>
        <w:widowControl/>
        <w:shd w:val="clear" w:color="auto" w:fill="FFFFFF"/>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485CC5">
        <w:rPr>
          <w:rStyle w:val="Refdenotaalpie"/>
          <w:rFonts w:ascii="Bookman Old Style" w:eastAsia="Calibri" w:hAnsi="Bookman Old Style" w:cs="Calibri"/>
          <w:szCs w:val="24"/>
          <w:lang w:val="es-ES_tradnl"/>
        </w:rPr>
        <w:footnoteReference w:id="50"/>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recreativo del consumo problemático, deuda </w:t>
      </w:r>
      <w:r w:rsidRPr="00485CC5">
        <w:rPr>
          <w:rFonts w:ascii="Bookman Old Style" w:eastAsia="Calibri" w:hAnsi="Bookman Old Style" w:cs="Calibri"/>
          <w:szCs w:val="24"/>
          <w:lang w:val="es-ES_tradnl"/>
        </w:rPr>
        <w:lastRenderedPageBreak/>
        <w:t>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485CC5">
        <w:rPr>
          <w:rStyle w:val="Refdenotaalpie"/>
          <w:rFonts w:ascii="Bookman Old Style" w:eastAsia="Calibri" w:hAnsi="Bookman Old Style" w:cs="Calibri"/>
          <w:szCs w:val="24"/>
          <w:lang w:val="es-ES_tradnl"/>
        </w:rPr>
        <w:footnoteReference w:id="51"/>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hAnsi="Bookman Old Style"/>
          <w:i/>
          <w:szCs w:val="24"/>
          <w:lang w:val="es-ES_tradnl"/>
        </w:rPr>
      </w:pPr>
      <w:r w:rsidRPr="00485CC5">
        <w:rPr>
          <w:rFonts w:ascii="Bookman Old Style" w:eastAsia="Calibri" w:hAnsi="Bookman Old Style" w:cs="Calibri"/>
          <w:szCs w:val="24"/>
          <w:lang w:val="es-ES_tradnl"/>
        </w:rPr>
        <w:t xml:space="preserve">Durante los últimos 25 años luego de que la Honorable Corte Constitucional profiriera </w:t>
      </w:r>
      <w:r w:rsidRPr="00485CC5">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485CC5">
        <w:rPr>
          <w:rFonts w:ascii="Bookman Old Style" w:hAnsi="Bookman Old Style"/>
          <w:i/>
          <w:szCs w:val="24"/>
          <w:lang w:val="es-ES_tradnl"/>
        </w:rPr>
        <w:t>la penalización del consumo de drogas, que se hace en nombre de la salud, es desastrosa para la salud pública y para los propios consumidores.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485CC5">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485CC5">
        <w:rPr>
          <w:rStyle w:val="Refdenotaalpie"/>
          <w:rFonts w:ascii="Bookman Old Style" w:hAnsi="Bookman Old Style"/>
          <w:szCs w:val="24"/>
          <w:lang w:val="es-ES_tradnl"/>
        </w:rPr>
        <w:footnoteReference w:id="52"/>
      </w:r>
    </w:p>
    <w:p w:rsidR="00F36280" w:rsidRPr="00485CC5" w:rsidRDefault="00F36280" w:rsidP="00F36280">
      <w:pPr>
        <w:jc w:val="both"/>
        <w:rPr>
          <w:rFonts w:ascii="Bookman Old Style" w:eastAsia="Calibri" w:hAnsi="Bookman Old Style" w:cs="Calibri"/>
          <w:szCs w:val="24"/>
          <w:lang w:val="es-ES_tradnl"/>
        </w:rPr>
      </w:pPr>
    </w:p>
    <w:p w:rsidR="00F36280" w:rsidRPr="001B4F33" w:rsidRDefault="000046EF"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5</w:t>
      </w:r>
      <w:r w:rsidR="00F36280" w:rsidRPr="001B4F33">
        <w:rPr>
          <w:rFonts w:ascii="Bookman Old Style" w:eastAsia="Calibri" w:hAnsi="Bookman Old Style" w:cs="Calibri"/>
          <w:b/>
          <w:szCs w:val="24"/>
          <w:lang w:val="es-ES_tradnl"/>
        </w:rPr>
        <w:t>.</w:t>
      </w:r>
      <w:r w:rsidR="00CD271D" w:rsidRPr="001B4F33">
        <w:rPr>
          <w:rFonts w:ascii="Bookman Old Style" w:eastAsia="Calibri" w:hAnsi="Bookman Old Style" w:cs="Calibri"/>
          <w:b/>
          <w:szCs w:val="24"/>
          <w:lang w:val="es-ES_tradnl"/>
        </w:rPr>
        <w:t>2.2</w:t>
      </w:r>
      <w:r w:rsidR="00F36280" w:rsidRPr="001B4F33">
        <w:rPr>
          <w:rFonts w:ascii="Bookman Old Style" w:eastAsia="Calibri" w:hAnsi="Bookman Old Style" w:cs="Calibri"/>
          <w:b/>
          <w:szCs w:val="24"/>
          <w:lang w:val="es-ES_tradnl"/>
        </w:rPr>
        <w:t xml:space="preserve"> REGULARIZACIÓN EXCLUSIVA DEL CANNABIS.</w:t>
      </w:r>
    </w:p>
    <w:p w:rsidR="00F36280" w:rsidRPr="00C30DB4" w:rsidRDefault="00F36280" w:rsidP="00F36280">
      <w:pPr>
        <w:jc w:val="both"/>
        <w:rPr>
          <w:rFonts w:ascii="Bookman Old Style" w:eastAsia="Calibri" w:hAnsi="Bookman Old Style" w:cs="Calibri"/>
          <w:b/>
          <w:szCs w:val="24"/>
          <w:highlight w:val="yellow"/>
          <w:lang w:val="es-ES_tradnl"/>
        </w:rPr>
      </w:pPr>
    </w:p>
    <w:p w:rsidR="001B4F33" w:rsidRDefault="001B4F33" w:rsidP="001B4F33">
      <w:pPr>
        <w:jc w:val="both"/>
        <w:rPr>
          <w:rFonts w:ascii="Bookman Old Style" w:eastAsia="Calibri" w:hAnsi="Bookman Old Style" w:cs="Calibri"/>
          <w:szCs w:val="24"/>
        </w:rPr>
      </w:pPr>
      <w:r w:rsidRPr="00AE7B15">
        <w:rPr>
          <w:rFonts w:ascii="Bookman Old Style" w:eastAsia="Calibri" w:hAnsi="Bookman Old Style" w:cs="Calibri"/>
          <w:szCs w:val="24"/>
          <w:lang w:val="es-ES_tradnl"/>
        </w:rPr>
        <w:t xml:space="preserve">Las sustancias estupefacientes y psicotrópicas, en general, tienen un potencial de adicción, entendido como la capacidad de desarrollar </w:t>
      </w:r>
      <w:r w:rsidRPr="00AE7B15">
        <w:rPr>
          <w:rFonts w:ascii="Bookman Old Style" w:eastAsia="Calibri" w:hAnsi="Bookman Old Style" w:cs="Calibri"/>
          <w:szCs w:val="24"/>
        </w:rPr>
        <w:t>hábitos de consumo ligadas a una depend</w:t>
      </w:r>
      <w:r>
        <w:rPr>
          <w:rFonts w:ascii="Bookman Old Style" w:eastAsia="Calibri" w:hAnsi="Bookman Old Style" w:cs="Calibri"/>
          <w:szCs w:val="24"/>
        </w:rPr>
        <w:t>encia psicológica o fisiológica, así como generan un síndrome de abstinencia, entendido como las</w:t>
      </w:r>
      <w:r w:rsidRPr="00AE7B15">
        <w:rPr>
          <w:rFonts w:ascii="Bookman Old Style" w:eastAsia="Calibri" w:hAnsi="Bookman Old Style" w:cs="Calibri"/>
          <w:szCs w:val="24"/>
        </w:rPr>
        <w:t xml:space="preserve"> alteraciones físicas y psíquicas que aparecen en una persona cuando deja bruscamente de tomar una sustancia a la cual está habituada o es</w:t>
      </w:r>
      <w:r>
        <w:rPr>
          <w:rFonts w:ascii="Bookman Old Style" w:eastAsia="Calibri" w:hAnsi="Bookman Old Style" w:cs="Calibri"/>
          <w:szCs w:val="24"/>
        </w:rPr>
        <w:t xml:space="preserve"> adicta</w:t>
      </w:r>
      <w:r w:rsidRPr="00AE7B15">
        <w:rPr>
          <w:rFonts w:ascii="Bookman Old Style" w:eastAsia="Calibri" w:hAnsi="Bookman Old Style" w:cs="Calibri"/>
          <w:szCs w:val="24"/>
        </w:rPr>
        <w:t xml:space="preserve">. </w:t>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 xml:space="preserve">De acuerdo al estudio realizado por el </w:t>
      </w:r>
      <w:r w:rsidRPr="00AE7B15">
        <w:rPr>
          <w:rFonts w:ascii="Bookman Old Style" w:eastAsia="Calibri" w:hAnsi="Bookman Old Style" w:cs="Calibri"/>
          <w:szCs w:val="24"/>
        </w:rPr>
        <w:t>profesor de Psicofarmacología en la Uni</w:t>
      </w:r>
      <w:r>
        <w:rPr>
          <w:rFonts w:ascii="Bookman Old Style" w:eastAsia="Calibri" w:hAnsi="Bookman Old Style" w:cs="Calibri"/>
          <w:szCs w:val="24"/>
        </w:rPr>
        <w:t>versidad de Bristol, David Nutt, s</w:t>
      </w:r>
      <w:r w:rsidRPr="00AE7B15">
        <w:rPr>
          <w:rFonts w:ascii="Bookman Old Style" w:eastAsia="Calibri" w:hAnsi="Bookman Old Style" w:cs="Calibri"/>
          <w:szCs w:val="24"/>
        </w:rPr>
        <w:t xml:space="preserve">ustancias prohibidas </w:t>
      </w:r>
      <w:r>
        <w:rPr>
          <w:rFonts w:ascii="Bookman Old Style" w:eastAsia="Calibri" w:hAnsi="Bookman Old Style" w:cs="Calibri"/>
          <w:szCs w:val="24"/>
        </w:rPr>
        <w:t xml:space="preserve">y no prohibidas </w:t>
      </w:r>
      <w:r w:rsidRPr="00AE7B15">
        <w:rPr>
          <w:rFonts w:ascii="Bookman Old Style" w:eastAsia="Calibri" w:hAnsi="Bookman Old Style" w:cs="Calibri"/>
          <w:szCs w:val="24"/>
        </w:rPr>
        <w:t xml:space="preserve">como </w:t>
      </w:r>
      <w:r>
        <w:rPr>
          <w:rFonts w:ascii="Bookman Old Style" w:eastAsia="Calibri" w:hAnsi="Bookman Old Style" w:cs="Calibri"/>
          <w:szCs w:val="24"/>
        </w:rPr>
        <w:t>la heroína (</w:t>
      </w:r>
      <w:r w:rsidRPr="002F0E6C">
        <w:rPr>
          <w:rFonts w:ascii="Bookman Old Style" w:eastAsia="Calibri" w:hAnsi="Bookman Old Style" w:cs="Calibri"/>
          <w:szCs w:val="24"/>
        </w:rPr>
        <w:t>peligrosa por su alta mortalidad</w:t>
      </w:r>
      <w:r>
        <w:rPr>
          <w:rFonts w:ascii="Bookman Old Style" w:eastAsia="Calibri" w:hAnsi="Bookman Old Style" w:cs="Calibri"/>
          <w:szCs w:val="24"/>
        </w:rPr>
        <w:t>)</w:t>
      </w:r>
      <w:r>
        <w:rPr>
          <w:rStyle w:val="Refdenotaalpie"/>
          <w:rFonts w:ascii="Bookman Old Style" w:eastAsia="Calibri" w:hAnsi="Bookman Old Style" w:cs="Calibri"/>
          <w:szCs w:val="24"/>
        </w:rPr>
        <w:footnoteReference w:id="53"/>
      </w:r>
      <w:r>
        <w:rPr>
          <w:rFonts w:ascii="Bookman Old Style" w:eastAsia="Calibri" w:hAnsi="Bookman Old Style" w:cs="Calibri"/>
          <w:szCs w:val="24"/>
        </w:rPr>
        <w:t>, la cocaína (que cuando decanta en muerte por sobredosis muestra edema cerebral y pulmonar)</w:t>
      </w:r>
      <w:r>
        <w:rPr>
          <w:rStyle w:val="Refdenotaalpie"/>
          <w:rFonts w:ascii="Bookman Old Style" w:eastAsia="Calibri" w:hAnsi="Bookman Old Style" w:cs="Calibri"/>
          <w:szCs w:val="24"/>
        </w:rPr>
        <w:footnoteReference w:id="54"/>
      </w:r>
      <w:r>
        <w:rPr>
          <w:rFonts w:ascii="Bookman Old Style" w:eastAsia="Calibri" w:hAnsi="Bookman Old Style" w:cs="Calibri"/>
          <w:szCs w:val="24"/>
        </w:rPr>
        <w:t>, la metanfetamina, el crack o el alcohol (el cual es uno de los causantes de la cirrosis) son las sustancias que más afectación al consumidor pueden generar.</w:t>
      </w:r>
      <w:r>
        <w:rPr>
          <w:rStyle w:val="Refdenotaalpie"/>
          <w:rFonts w:ascii="Bookman Old Style" w:eastAsia="Calibri" w:hAnsi="Bookman Old Style" w:cs="Calibri"/>
          <w:szCs w:val="24"/>
        </w:rPr>
        <w:footnoteReference w:id="55"/>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El alcohol como primera ejemplo, genera tolerancia, acostumbramiento y dependencia. Dicha sustancia ante su abuso presenta como consecuencia efectos negativos acentuados que tienen tendencia a decantar en una embriaguez patológica.</w:t>
      </w:r>
      <w:r>
        <w:rPr>
          <w:rStyle w:val="Refdenotaalpie"/>
          <w:rFonts w:ascii="Bookman Old Style" w:eastAsia="Calibri" w:hAnsi="Bookman Old Style" w:cs="Calibri"/>
          <w:szCs w:val="24"/>
        </w:rPr>
        <w:footnoteReference w:id="56"/>
      </w:r>
      <w:r>
        <w:rPr>
          <w:rFonts w:ascii="Bookman Old Style" w:eastAsia="Calibri" w:hAnsi="Bookman Old Style" w:cs="Calibri"/>
          <w:szCs w:val="24"/>
        </w:rPr>
        <w:t xml:space="preserve"> Para 2014 se estimaba que en Colombia ocho millones trescientas treinta y nueve mil seiscientas cincuenta y nueve (8´339.659) personas entre los </w:t>
      </w:r>
      <w:r>
        <w:rPr>
          <w:rFonts w:ascii="Bookman Old Style" w:eastAsia="Calibri" w:hAnsi="Bookman Old Style" w:cs="Calibri"/>
          <w:szCs w:val="24"/>
        </w:rPr>
        <w:lastRenderedPageBreak/>
        <w:t>12 y los 65 años consumían alcohol regularmente, de las cuales cerca de los dos millones seiscientos presentaban un uso riesgoso o perjudicial.</w:t>
      </w:r>
      <w:r>
        <w:rPr>
          <w:rStyle w:val="Refdenotaalpie"/>
          <w:rFonts w:ascii="Bookman Old Style" w:eastAsia="Calibri" w:hAnsi="Bookman Old Style" w:cs="Calibri"/>
          <w:szCs w:val="24"/>
        </w:rPr>
        <w:footnoteReference w:id="57"/>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La nicotina por su parte, es una sustancia que genera dependencia, tolerancia y síndrome de abstinencia ante su interrupción. Mientras que los Opiáceos presentan facilidad para inducir farmacodependencia, lo que obliga a los médicos que los recetan, sean extremadamente cuidadosos, y no generosos en su prescripción.</w:t>
      </w:r>
      <w:r>
        <w:rPr>
          <w:rStyle w:val="Refdenotaalpie"/>
          <w:rFonts w:ascii="Bookman Old Style" w:eastAsia="Calibri" w:hAnsi="Bookman Old Style" w:cs="Calibri"/>
          <w:szCs w:val="24"/>
        </w:rPr>
        <w:footnoteReference w:id="58"/>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rPr>
        <w:t>En lo que respecta al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varios autores como Roberto Solórzano Niño o Cesar Augusto Giraldo han afirmado en sus obras que su uso no lleva síndrome de abstinencia</w:t>
      </w:r>
      <w:r>
        <w:rPr>
          <w:rStyle w:val="Refdenotaalpie"/>
          <w:rFonts w:ascii="Bookman Old Style" w:eastAsia="Calibri" w:hAnsi="Bookman Old Style" w:cs="Calibri"/>
          <w:szCs w:val="24"/>
          <w:lang w:val="es-ES_tradnl"/>
        </w:rPr>
        <w:footnoteReference w:id="59"/>
      </w:r>
      <w:r>
        <w:rPr>
          <w:rFonts w:ascii="Bookman Old Style" w:eastAsia="Calibri" w:hAnsi="Bookman Old Style" w:cs="Calibri"/>
          <w:szCs w:val="24"/>
          <w:lang w:val="es-ES_tradnl"/>
        </w:rPr>
        <w:t>, no suele inducir tolerancia,</w:t>
      </w:r>
      <w:r>
        <w:rPr>
          <w:rStyle w:val="Refdenotaalpie"/>
          <w:rFonts w:ascii="Bookman Old Style" w:eastAsia="Calibri" w:hAnsi="Bookman Old Style" w:cs="Calibri"/>
          <w:szCs w:val="24"/>
          <w:lang w:val="es-ES_tradnl"/>
        </w:rPr>
        <w:footnoteReference w:id="60"/>
      </w:r>
      <w:r>
        <w:rPr>
          <w:rFonts w:ascii="Bookman Old Style" w:eastAsia="Calibri" w:hAnsi="Bookman Old Style" w:cs="Calibri"/>
          <w:szCs w:val="24"/>
          <w:lang w:val="es-ES_tradnl"/>
        </w:rPr>
        <w:t xml:space="preserve"> decantar en muerte por sobredosis o ser un factor de enfermedades degenerativas. E</w:t>
      </w:r>
      <w:r w:rsidRPr="00AE7B15">
        <w:rPr>
          <w:rFonts w:ascii="Bookman Old Style" w:eastAsia="Calibri" w:hAnsi="Bookman Old Style" w:cs="Calibri"/>
          <w:szCs w:val="24"/>
          <w:lang w:val="es-ES_tradnl"/>
        </w:rPr>
        <w:t>n contra posición con los ejemplos tanto lícitos como ilícitos ya citados. Lo anterior aunado a sus aplicaciones en temas de salud y calidad de vida (cuidados paliativos) que hoy son una realidad.</w:t>
      </w:r>
    </w:p>
    <w:p w:rsidR="001B4F33" w:rsidRDefault="001B4F33" w:rsidP="001B4F33">
      <w:pPr>
        <w:jc w:val="both"/>
        <w:rPr>
          <w:rFonts w:ascii="Bookman Old Style" w:eastAsia="Calibri" w:hAnsi="Bookman Old Style" w:cs="Calibri"/>
          <w:szCs w:val="24"/>
          <w:lang w:val="es-ES_tradnl"/>
        </w:rPr>
      </w:pPr>
    </w:p>
    <w:p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recreativo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rsidR="001B4F33" w:rsidRPr="00AE7B15" w:rsidRDefault="001B4F33" w:rsidP="001B4F33">
      <w:pPr>
        <w:jc w:val="both"/>
        <w:rPr>
          <w:rFonts w:ascii="Bookman Old Style" w:eastAsia="Calibri" w:hAnsi="Bookman Old Style" w:cs="Calibri"/>
          <w:szCs w:val="24"/>
          <w:lang w:val="es-ES_tradnl"/>
        </w:rPr>
      </w:pPr>
    </w:p>
    <w:p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Colombia cuenta con una legislación vigente que reglamenta de forma idónea y eficaz el cultivo, la transformación, la comercialización y exportación del cannabis de uso medicinal que bien podría extenderse al recreativo sin inconvenientes</w:t>
      </w:r>
      <w:r w:rsidR="009718AC">
        <w:rPr>
          <w:rFonts w:ascii="Bookman Old Style" w:eastAsia="Calibri" w:hAnsi="Bookman Old Style" w:cs="Calibri"/>
          <w:szCs w:val="24"/>
          <w:lang w:val="es-ES_tradnl"/>
        </w:rPr>
        <w:t>;</w:t>
      </w:r>
    </w:p>
    <w:p w:rsidR="001B4F33" w:rsidRPr="00AE7B15" w:rsidRDefault="001B4F33" w:rsidP="00621929">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Existe una tendencia creciente en el ámbito internacional de reglamentar y permitir el uso recreativo del cannabis</w:t>
      </w:r>
      <w:r w:rsidR="009718AC">
        <w:rPr>
          <w:rFonts w:ascii="Bookman Old Style" w:eastAsia="Calibri" w:hAnsi="Bookman Old Style" w:cs="Calibri"/>
          <w:szCs w:val="24"/>
          <w:lang w:val="es-ES_tradnl"/>
        </w:rPr>
        <w:t>;</w:t>
      </w:r>
    </w:p>
    <w:p w:rsidR="001B4F33" w:rsidRPr="00AE7B15" w:rsidRDefault="001B4F33" w:rsidP="00621929">
      <w:pPr>
        <w:pStyle w:val="Prrafodelista"/>
        <w:jc w:val="both"/>
        <w:rPr>
          <w:rFonts w:ascii="Bookman Old Style" w:eastAsia="Calibri" w:hAnsi="Bookman Old Style" w:cs="Calibri"/>
          <w:szCs w:val="24"/>
          <w:lang w:val="es-ES_tradnl"/>
        </w:rPr>
      </w:pPr>
    </w:p>
    <w:p w:rsidR="001B4F33" w:rsidRPr="00AE7B15"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rsidR="009718AC" w:rsidRDefault="009718AC" w:rsidP="001B4F33">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Se puede afirmar entonces que es viable y positivo regularizar el cannabis para su uso recreativo.</w:t>
      </w:r>
    </w:p>
    <w:p w:rsidR="009718AC" w:rsidRDefault="009718AC"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w:t>
      </w:r>
      <w:r w:rsidRPr="00AE7B15">
        <w:rPr>
          <w:rFonts w:ascii="Bookman Old Style" w:eastAsia="Calibri" w:hAnsi="Bookman Old Style" w:cs="Calibri"/>
          <w:szCs w:val="24"/>
          <w:lang w:val="es-ES_tradnl"/>
        </w:rPr>
        <w:lastRenderedPageBreak/>
        <w:t xml:space="preserve">Dejusticia, que señalan que existen tres tipos de consumo recreativo, a saber: 1) cotidiano, 2) habitual y 3) problemático. Según las experiencias de Uruguay, Canadá y Estados Unidos, países en los que se reguló la producción y la comercialización de cannabis con fines recreativos, de los distintos tipos de consumo, solo el problemático requiere un tratamiento. </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En el mismo sentido, Dejusticia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61"/>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rsidR="001B4F33" w:rsidRPr="00AE7B15" w:rsidRDefault="001B4F33" w:rsidP="001B4F33">
      <w:pPr>
        <w:jc w:val="both"/>
        <w:rPr>
          <w:rFonts w:ascii="Bookman Old Style" w:eastAsia="Calibri" w:hAnsi="Bookman Old Style" w:cs="Calibri"/>
          <w:bCs/>
          <w:szCs w:val="24"/>
          <w:lang w:val="es-ES_tradnl"/>
        </w:rPr>
      </w:pPr>
    </w:p>
    <w:p w:rsidR="00F36280" w:rsidRPr="00485CC5" w:rsidRDefault="001B4F33" w:rsidP="00F36280">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0046EF"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5</w:t>
      </w:r>
      <w:r w:rsidR="00F36280" w:rsidRPr="00485CC5">
        <w:rPr>
          <w:rFonts w:ascii="Bookman Old Style" w:eastAsia="Calibri" w:hAnsi="Bookman Old Style" w:cs="Calibri"/>
          <w:b/>
          <w:szCs w:val="24"/>
          <w:lang w:val="es-ES_tradnl"/>
        </w:rPr>
        <w:t>.</w:t>
      </w:r>
      <w:r w:rsidR="00CD271D">
        <w:rPr>
          <w:rFonts w:ascii="Bookman Old Style" w:eastAsia="Calibri" w:hAnsi="Bookman Old Style" w:cs="Calibri"/>
          <w:b/>
          <w:szCs w:val="24"/>
          <w:lang w:val="es-ES_tradnl"/>
        </w:rPr>
        <w:t>2</w:t>
      </w:r>
      <w:r w:rsidR="00F36280" w:rsidRPr="00485CC5">
        <w:rPr>
          <w:rFonts w:ascii="Bookman Old Style" w:eastAsia="Calibri" w:hAnsi="Bookman Old Style" w:cs="Calibri"/>
          <w:b/>
          <w:szCs w:val="24"/>
          <w:lang w:val="es-ES_tradnl"/>
        </w:rPr>
        <w:t>.3 JUICIO INTEGRADO DE IGUALDAD</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Para demostrarlo, vale la pena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62"/>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63"/>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sidR="002801C2">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64"/>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Todo esto con el fin de verificar si la medida implementada afecta, o no, en forma desmedida o excesiva, derechos o intereses jurídicos de alta </w:t>
      </w:r>
      <w:r w:rsidRPr="00485CC5">
        <w:rPr>
          <w:rFonts w:ascii="Bookman Old Style" w:eastAsia="Calibri" w:hAnsi="Bookman Old Style" w:cs="Calibri"/>
          <w:szCs w:val="24"/>
          <w:lang w:val="es-ES_tradnl"/>
        </w:rPr>
        <w:lastRenderedPageBreak/>
        <w:t>envergadura.</w:t>
      </w:r>
      <w:r w:rsidRPr="00485CC5">
        <w:rPr>
          <w:rStyle w:val="Refdenotaalpie"/>
          <w:rFonts w:ascii="Bookman Old Style" w:eastAsia="Calibri" w:hAnsi="Bookman Old Style" w:cs="Calibri"/>
          <w:szCs w:val="24"/>
          <w:lang w:val="es-ES_tradnl"/>
        </w:rPr>
        <w:footnoteReference w:id="65"/>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66"/>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67"/>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Sobre este asunto, es claro que la actual normativa excluye un universo de personas a los que se les ha limitado su libre desarrollo de la personalidad, a saber, los consumidores recreativos de cannabis y aquellos que buscan un desarrollo investigativo y científico. Esta disposición no logra diferenciar entre el consumo problemático que la inspira y el consumidor recreativo que se ve reprimido por una intromisión indebida del poder público dentro de su esfera de decisión.</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68"/>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en lo que respecta a la salud pública valdría la pena preguntarse si la razón </w:t>
      </w:r>
      <w:r w:rsidRPr="00485CC5">
        <w:rPr>
          <w:rFonts w:ascii="Bookman Old Style" w:eastAsia="Calibri" w:hAnsi="Bookman Old Style" w:cs="Calibri"/>
          <w:szCs w:val="24"/>
          <w:lang w:val="es-ES_tradnl"/>
        </w:rPr>
        <w:lastRenderedPageBreak/>
        <w:t>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sidR="002801C2">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sidR="002801C2">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recreativos de esta sustancia en relación a quienes consumen otro tipo de sustancias legalmente permitidas.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1E18FE">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rsidR="00F36280" w:rsidRPr="00485CC5" w:rsidRDefault="00F36280" w:rsidP="00F36280">
      <w:pPr>
        <w:rPr>
          <w:rFonts w:ascii="Bookman Old Style" w:eastAsia="Calibri" w:hAnsi="Bookman Old Style"/>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69"/>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70"/>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71"/>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72"/>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rsidR="00F36280" w:rsidRPr="00485CC5" w:rsidRDefault="00F36280" w:rsidP="00F36280">
      <w:pPr>
        <w:pStyle w:val="Prrafodelista"/>
        <w:spacing w:after="0" w:line="240" w:lineRule="auto"/>
        <w:ind w:right="758"/>
        <w:jc w:val="both"/>
        <w:rPr>
          <w:rFonts w:ascii="Bookman Old Style" w:hAnsi="Bookman Old Style" w:cs="Calibri"/>
          <w:szCs w:val="24"/>
        </w:rPr>
      </w:pPr>
    </w:p>
    <w:p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rsidR="00F36280" w:rsidRPr="00485CC5" w:rsidRDefault="00F36280" w:rsidP="00F36280">
      <w:pPr>
        <w:pStyle w:val="Prrafodelista"/>
        <w:spacing w:after="0" w:line="240" w:lineRule="auto"/>
        <w:ind w:right="758"/>
        <w:jc w:val="both"/>
        <w:rPr>
          <w:rFonts w:ascii="Bookman Old Style" w:hAnsi="Bookman Old Style" w:cs="Calibri"/>
          <w:szCs w:val="24"/>
        </w:rPr>
      </w:pPr>
    </w:p>
    <w:p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rsidR="00F36280" w:rsidRPr="00485CC5" w:rsidRDefault="00F36280" w:rsidP="00F36280">
      <w:pPr>
        <w:pStyle w:val="Prrafodelista"/>
        <w:spacing w:after="0" w:line="240" w:lineRule="auto"/>
        <w:ind w:right="758"/>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485CC5">
        <w:rPr>
          <w:rStyle w:val="Refdenotaalpie"/>
          <w:rFonts w:ascii="Bookman Old Style" w:hAnsi="Bookman Old Style" w:cs="Calibri"/>
          <w:szCs w:val="24"/>
        </w:rPr>
        <w:footnoteReference w:id="73"/>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74"/>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rsidR="00F36280" w:rsidRPr="00485CC5" w:rsidRDefault="00F36280" w:rsidP="00F36280">
      <w:pPr>
        <w:pStyle w:val="Prrafodelista"/>
        <w:spacing w:after="0" w:line="240" w:lineRule="auto"/>
        <w:ind w:left="1440"/>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rsidR="00F36280" w:rsidRPr="00485CC5" w:rsidRDefault="00F36280" w:rsidP="00F36280">
      <w:pPr>
        <w:pStyle w:val="Prrafodelista"/>
        <w:spacing w:after="0" w:line="240" w:lineRule="auto"/>
        <w:ind w:left="1440"/>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rsidR="00F36280" w:rsidRPr="00485CC5" w:rsidRDefault="00F36280" w:rsidP="00F36280">
      <w:pPr>
        <w:pStyle w:val="Prrafodelista"/>
        <w:spacing w:after="0" w:line="240" w:lineRule="auto"/>
        <w:ind w:left="1440"/>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75"/>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76"/>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77"/>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78"/>
      </w:r>
      <w:r w:rsidRPr="00485CC5">
        <w:rPr>
          <w:rFonts w:ascii="Bookman Old Style" w:hAnsi="Bookman Old Style" w:cs="Calibri"/>
          <w:szCs w:val="24"/>
        </w:rPr>
        <w:t>, porcentaje que solamente es superado por los casos de hurto, que representan el 39%.</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485CC5">
        <w:rPr>
          <w:rStyle w:val="Refdenotaalpie"/>
          <w:rFonts w:ascii="Bookman Old Style" w:hAnsi="Bookman Old Style" w:cs="Calibri"/>
          <w:szCs w:val="24"/>
        </w:rPr>
        <w:footnoteReference w:id="79"/>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80"/>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Ttulo1"/>
        <w:jc w:val="both"/>
        <w:rPr>
          <w:rFonts w:ascii="Bookman Old Style" w:hAnsi="Bookman Old Style" w:cs="Calibri"/>
          <w:b w:val="0"/>
          <w:sz w:val="22"/>
          <w:szCs w:val="24"/>
        </w:rPr>
      </w:pPr>
      <w:bookmarkStart w:id="5"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5"/>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81"/>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82"/>
      </w:r>
      <w:r w:rsidRPr="00485CC5">
        <w:rPr>
          <w:rFonts w:ascii="Bookman Old Style" w:hAnsi="Bookman Old Style" w:cs="Calibri"/>
          <w:b w:val="0"/>
          <w:sz w:val="22"/>
          <w:szCs w:val="24"/>
        </w:rPr>
        <w:t>.</w:t>
      </w:r>
    </w:p>
    <w:p w:rsidR="00F36280" w:rsidRPr="00485CC5" w:rsidRDefault="00F36280" w:rsidP="00F36280">
      <w:pPr>
        <w:rPr>
          <w:rFonts w:ascii="Bookman Old Style" w:hAnsi="Bookman Old Style"/>
          <w:szCs w:val="24"/>
        </w:rPr>
      </w:pPr>
    </w:p>
    <w:p w:rsidR="00F36280" w:rsidRPr="00485CC5" w:rsidRDefault="00F36280" w:rsidP="00F36280">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rsidR="00F36280" w:rsidRPr="00485CC5" w:rsidRDefault="00F36280" w:rsidP="00F36280">
      <w:pPr>
        <w:rPr>
          <w:rFonts w:ascii="Bookman Old Style" w:hAnsi="Bookman Old Style"/>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83"/>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84"/>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85"/>
      </w:r>
      <w:r w:rsidRPr="00485CC5">
        <w:rPr>
          <w:rFonts w:ascii="Bookman Old Style" w:hAnsi="Bookman Old Style" w:cs="Calibri"/>
          <w:szCs w:val="24"/>
        </w:rPr>
        <w:t xml:space="preserve"> Criminalizar a las personas que consumen drogas solamente aumenta más su exclusión del empleo, salud y servicios sociales.</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86"/>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87"/>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88"/>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89"/>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90"/>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91"/>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92"/>
      </w:r>
    </w:p>
    <w:p w:rsidR="00F36280" w:rsidRPr="00485CC5" w:rsidRDefault="00F36280" w:rsidP="00F36280">
      <w:pPr>
        <w:pStyle w:val="Prrafodelista"/>
        <w:spacing w:after="0" w:line="240" w:lineRule="auto"/>
        <w:rPr>
          <w:rFonts w:ascii="Bookman Old Style" w:hAnsi="Bookman Old Style" w:cs="Calibri"/>
          <w:szCs w:val="24"/>
        </w:rPr>
      </w:pPr>
    </w:p>
    <w:p w:rsidR="00F36280" w:rsidRPr="00485CC5" w:rsidRDefault="00F36280" w:rsidP="00F36280">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93"/>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94"/>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9718AC" w:rsidRDefault="00F36280" w:rsidP="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rsidR="00F36280" w:rsidRPr="00485CC5" w:rsidRDefault="00F36280" w:rsidP="00621929">
      <w:pPr>
        <w:pStyle w:val="Prrafodelista"/>
        <w:spacing w:after="0" w:line="240" w:lineRule="auto"/>
        <w:jc w:val="both"/>
        <w:rPr>
          <w:rFonts w:ascii="Bookman Old Style" w:hAnsi="Bookman Old Style" w:cs="Calibri"/>
          <w:szCs w:val="24"/>
        </w:rPr>
      </w:pPr>
    </w:p>
    <w:p w:rsidR="009718AC" w:rsidRDefault="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rsidR="00145FCB" w:rsidRPr="00621929" w:rsidRDefault="00145FCB" w:rsidP="00621929">
      <w:pPr>
        <w:pStyle w:val="Prrafodelista"/>
        <w:rPr>
          <w:rFonts w:ascii="Bookman Old Style" w:hAnsi="Bookman Old Style" w:cs="Calibri"/>
          <w:szCs w:val="24"/>
        </w:rPr>
      </w:pPr>
    </w:p>
    <w:p w:rsidR="00145FCB" w:rsidRDefault="00145FCB">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rsidR="00F36280" w:rsidRPr="00485CC5" w:rsidRDefault="00F36280" w:rsidP="00621929"/>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95"/>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96"/>
      </w:r>
    </w:p>
    <w:p w:rsidR="00F36280" w:rsidRPr="00485CC5" w:rsidRDefault="00F36280" w:rsidP="00F36280">
      <w:pPr>
        <w:pStyle w:val="NormalWeb"/>
        <w:spacing w:before="0" w:beforeAutospacing="0" w:after="0" w:afterAutospacing="0"/>
        <w:ind w:right="115"/>
        <w:jc w:val="both"/>
        <w:rPr>
          <w:rFonts w:ascii="Bookman Old Style" w:hAnsi="Bookman Old Style" w:cs="Calibri"/>
          <w:color w:val="000000"/>
          <w:sz w:val="22"/>
        </w:rPr>
      </w:pPr>
    </w:p>
    <w:p w:rsidR="00F36280" w:rsidRPr="00485CC5" w:rsidRDefault="00F36280" w:rsidP="000B0FBF">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MODIFICACIONES A LA CONSTITUCIÓN</w:t>
      </w:r>
    </w:p>
    <w:p w:rsidR="00F36280" w:rsidRPr="00485CC5" w:rsidRDefault="00F36280" w:rsidP="00F36280">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F36280" w:rsidRPr="00485CC5" w:rsidTr="005B5FC0">
        <w:tc>
          <w:tcPr>
            <w:tcW w:w="4536" w:type="dxa"/>
          </w:tcPr>
          <w:p w:rsidR="00F36280" w:rsidRPr="00485CC5" w:rsidRDefault="00F36280" w:rsidP="005B5FC0">
            <w:pPr>
              <w:ind w:right="616"/>
              <w:jc w:val="right"/>
              <w:rPr>
                <w:rFonts w:ascii="Bookman Old Style" w:hAnsi="Bookman Old Style" w:cs="Calibri"/>
                <w:b/>
                <w:szCs w:val="24"/>
              </w:rPr>
            </w:pPr>
            <w:bookmarkStart w:id="6" w:name="Nivel078"/>
            <w:r w:rsidRPr="00485CC5">
              <w:rPr>
                <w:rFonts w:ascii="Bookman Old Style" w:hAnsi="Bookman Old Style" w:cs="Calibri"/>
                <w:b/>
                <w:szCs w:val="24"/>
              </w:rPr>
              <w:t>TEXTO LEGAL VIGENTE</w:t>
            </w:r>
          </w:p>
        </w:tc>
        <w:tc>
          <w:tcPr>
            <w:tcW w:w="4536" w:type="dxa"/>
          </w:tcPr>
          <w:p w:rsidR="00F36280" w:rsidRPr="00485CC5" w:rsidRDefault="00F36280" w:rsidP="005B5FC0">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F36280" w:rsidRPr="00485CC5" w:rsidTr="005B5FC0">
        <w:tc>
          <w:tcPr>
            <w:tcW w:w="4536" w:type="dxa"/>
          </w:tcPr>
          <w:p w:rsidR="00F36280" w:rsidRPr="00485CC5" w:rsidRDefault="00F36280" w:rsidP="005B5FC0">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rsidR="00F36280" w:rsidRPr="00485CC5" w:rsidRDefault="00F36280" w:rsidP="005B5FC0">
            <w:pPr>
              <w:ind w:left="29"/>
              <w:jc w:val="both"/>
              <w:rPr>
                <w:rFonts w:ascii="Bookman Old Style" w:hAnsi="Bookman Old Style" w:cs="Calibri"/>
                <w:b/>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servicios públicos a cargo del Estado. Se garantiza a todas las personas el acceso a los servicios de promoción, protección y recuperación de la salud.</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0046EF" w:rsidRDefault="000046EF" w:rsidP="005B5FC0">
            <w:pPr>
              <w:ind w:left="29"/>
              <w:jc w:val="both"/>
              <w:rPr>
                <w:rFonts w:ascii="Bookman Old Style" w:hAnsi="Bookman Old Style" w:cs="Calibri"/>
                <w:szCs w:val="24"/>
                <w:lang w:val="es-ES_tradnl"/>
              </w:rPr>
            </w:pPr>
          </w:p>
          <w:p w:rsidR="000046EF" w:rsidRDefault="000046EF" w:rsidP="005B5FC0">
            <w:pPr>
              <w:ind w:left="29"/>
              <w:jc w:val="both"/>
              <w:rPr>
                <w:rFonts w:ascii="Bookman Old Style" w:hAnsi="Bookman Old Style" w:cs="Calibri"/>
                <w:szCs w:val="24"/>
                <w:lang w:val="es-ES_tradnl"/>
              </w:rPr>
            </w:pPr>
          </w:p>
          <w:p w:rsidR="009621D5" w:rsidRDefault="009621D5" w:rsidP="001E18FE">
            <w:pPr>
              <w:jc w:val="both"/>
              <w:rPr>
                <w:rFonts w:ascii="Bookman Old Style" w:hAnsi="Bookman Old Style" w:cs="Calibri"/>
                <w:szCs w:val="24"/>
                <w:lang w:val="es-ES_tradnl"/>
              </w:rPr>
            </w:pPr>
          </w:p>
          <w:p w:rsidR="00F36280" w:rsidRPr="00706B77" w:rsidRDefault="00F36280" w:rsidP="00706B77">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rsidR="00F36280" w:rsidRPr="00485CC5" w:rsidRDefault="00F36280" w:rsidP="005B5FC0">
            <w:pPr>
              <w:ind w:left="29"/>
              <w:jc w:val="center"/>
              <w:rPr>
                <w:rFonts w:ascii="Bookman Old Style" w:hAnsi="Bookman Old Style" w:cs="Calibri"/>
                <w:b/>
                <w:szCs w:val="24"/>
              </w:rPr>
            </w:pPr>
            <w:r w:rsidRPr="00485CC5">
              <w:rPr>
                <w:rFonts w:ascii="Bookman Old Style" w:hAnsi="Bookman Old Style" w:cs="Calibri"/>
                <w:b/>
                <w:szCs w:val="24"/>
              </w:rPr>
              <w:t>Constitución Política de Colombia</w:t>
            </w:r>
          </w:p>
          <w:p w:rsidR="00F36280" w:rsidRPr="00485CC5" w:rsidRDefault="00F36280" w:rsidP="005B5FC0">
            <w:pPr>
              <w:ind w:left="29"/>
              <w:jc w:val="center"/>
              <w:rPr>
                <w:rFonts w:ascii="Bookman Old Style" w:hAnsi="Bookman Old Style" w:cs="Calibri"/>
                <w:b/>
                <w:szCs w:val="24"/>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La atención de la salud y el saneamiento ambiental son 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frente al cannabis y sus derivados para el uso recreativo por parte de mayores de edad </w:t>
            </w:r>
            <w:r w:rsidR="000046EF">
              <w:rPr>
                <w:rFonts w:ascii="Bookman Old Style" w:hAnsi="Bookman Old Style" w:cs="Calibri"/>
                <w:b/>
                <w:szCs w:val="24"/>
                <w:u w:val="single"/>
              </w:rPr>
              <w:t xml:space="preserve">y </w:t>
            </w:r>
            <w:r w:rsidRPr="00485CC5">
              <w:rPr>
                <w:rFonts w:ascii="Bookman Old Style" w:hAnsi="Bookman Old Style" w:cs="Calibri"/>
                <w:b/>
                <w:szCs w:val="24"/>
                <w:u w:val="single"/>
              </w:rPr>
              <w:t xml:space="preserve">dentro de los establecimientos que disponga la ley. </w:t>
            </w:r>
            <w:r w:rsidR="009621D5" w:rsidRPr="00485CC5">
              <w:rPr>
                <w:rFonts w:ascii="Bookman Old Style" w:hAnsi="Bookman Old Style" w:cs="Calibri"/>
                <w:b/>
                <w:szCs w:val="24"/>
                <w:u w:val="single"/>
              </w:rPr>
              <w:t xml:space="preserve">Tampoco </w:t>
            </w:r>
            <w:r w:rsidR="009621D5">
              <w:rPr>
                <w:rFonts w:ascii="Bookman Old Style" w:hAnsi="Bookman Old Style" w:cs="Calibri"/>
                <w:b/>
                <w:szCs w:val="24"/>
                <w:u w:val="single"/>
              </w:rPr>
              <w:t>aplicará para la</w:t>
            </w:r>
            <w:r w:rsidR="009621D5" w:rsidRPr="00485CC5">
              <w:rPr>
                <w:rFonts w:ascii="Bookman Old Style" w:hAnsi="Bookman Old Style" w:cs="Calibri"/>
                <w:b/>
                <w:szCs w:val="24"/>
                <w:u w:val="single"/>
              </w:rPr>
              <w:t xml:space="preserve"> destinación científica</w:t>
            </w:r>
            <w:r w:rsidR="009621D5">
              <w:rPr>
                <w:rFonts w:ascii="Bookman Old Style" w:hAnsi="Bookman Old Style" w:cs="Calibri"/>
                <w:b/>
                <w:szCs w:val="24"/>
                <w:u w:val="single"/>
              </w:rPr>
              <w:t xml:space="preserve"> de estas sustancias</w:t>
            </w:r>
            <w:r w:rsidR="009621D5" w:rsidRPr="00485CC5">
              <w:rPr>
                <w:rFonts w:ascii="Bookman Old Style" w:hAnsi="Bookman Old Style" w:cs="Calibri"/>
                <w:b/>
                <w:szCs w:val="24"/>
                <w:u w:val="single"/>
              </w:rPr>
              <w:t>, siempre</w:t>
            </w:r>
            <w:r w:rsidRPr="00485CC5">
              <w:rPr>
                <w:rFonts w:ascii="Bookman Old Style" w:hAnsi="Bookman Old Style" w:cs="Calibri"/>
                <w:b/>
                <w:szCs w:val="24"/>
                <w:u w:val="single"/>
              </w:rPr>
              <w:t xml:space="preserve"> y cuando se cuente con las licencias otorgadas por la autoridad competente.</w:t>
            </w:r>
            <w:r w:rsidR="000046EF">
              <w:rPr>
                <w:rFonts w:ascii="Bookman Old Style" w:hAnsi="Bookman Old Style" w:cs="Calibri"/>
                <w:b/>
                <w:szCs w:val="24"/>
                <w:u w:val="single"/>
              </w:rPr>
              <w:t xml:space="preserve"> La Ley podrá restringir y sancionar el porte y consumo del cannabis y sus derivados en espacios públicos y zonas comunes.</w:t>
            </w:r>
          </w:p>
          <w:p w:rsidR="00F36280" w:rsidRPr="00485CC5" w:rsidRDefault="00F36280" w:rsidP="005B5FC0">
            <w:pPr>
              <w:ind w:left="29"/>
              <w:jc w:val="both"/>
              <w:rPr>
                <w:rFonts w:ascii="Bookman Old Style" w:hAnsi="Bookman Old Style" w:cs="Calibri"/>
                <w:b/>
                <w:szCs w:val="24"/>
                <w:u w:val="single"/>
              </w:rPr>
            </w:pPr>
          </w:p>
          <w:p w:rsidR="00F36280" w:rsidRPr="00706B77" w:rsidRDefault="00F36280" w:rsidP="00706B77">
            <w:pPr>
              <w:ind w:left="29"/>
              <w:jc w:val="both"/>
              <w:rPr>
                <w:rFonts w:ascii="Bookman Old Style" w:hAnsi="Bookman Old Style" w:cs="Calibri"/>
                <w:b/>
                <w:szCs w:val="24"/>
                <w:u w:val="single"/>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r>
      <w:bookmarkEnd w:id="6"/>
    </w:tbl>
    <w:p w:rsidR="00F36280" w:rsidRPr="00485CC5" w:rsidRDefault="00F36280" w:rsidP="00F36280">
      <w:pPr>
        <w:pStyle w:val="NormalWeb"/>
        <w:spacing w:before="0" w:beforeAutospacing="0" w:after="0" w:afterAutospacing="0"/>
        <w:ind w:right="115"/>
        <w:jc w:val="both"/>
        <w:rPr>
          <w:rFonts w:ascii="Bookman Old Style" w:hAnsi="Bookman Old Style" w:cs="Calibri"/>
          <w:sz w:val="22"/>
        </w:rPr>
      </w:pPr>
    </w:p>
    <w:p w:rsidR="00F36280" w:rsidRPr="00485CC5" w:rsidRDefault="00F36280" w:rsidP="00F36280">
      <w:pPr>
        <w:rPr>
          <w:rFonts w:ascii="Bookman Old Style" w:eastAsia="Calibri" w:hAnsi="Bookman Old Style" w:cs="Calibri"/>
          <w:szCs w:val="24"/>
        </w:rPr>
      </w:pPr>
    </w:p>
    <w:p w:rsidR="00F36280" w:rsidRPr="00485CC5" w:rsidRDefault="00F36280" w:rsidP="000B0FBF">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rsidR="00F36280" w:rsidRPr="00485CC5" w:rsidRDefault="00F36280" w:rsidP="00F36280">
      <w:pPr>
        <w:pBdr>
          <w:top w:val="nil"/>
          <w:left w:val="nil"/>
          <w:bottom w:val="nil"/>
          <w:right w:val="nil"/>
          <w:between w:val="nil"/>
        </w:pBdr>
        <w:rPr>
          <w:rFonts w:ascii="Bookman Old Style" w:eastAsia="Calibri" w:hAnsi="Bookman Old Style" w:cs="Calibri"/>
          <w:szCs w:val="24"/>
        </w:rPr>
      </w:pPr>
    </w:p>
    <w:p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rsidR="00F36280" w:rsidRPr="00485CC5" w:rsidRDefault="00F36280" w:rsidP="00F36280">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rsidR="00F709EB" w:rsidRPr="001E18FE" w:rsidRDefault="00F709EB" w:rsidP="00E44C45">
      <w:pPr>
        <w:pStyle w:val="NormalWeb"/>
        <w:spacing w:before="0" w:beforeAutospacing="0" w:after="0" w:afterAutospacing="0"/>
        <w:ind w:right="115"/>
        <w:jc w:val="both"/>
        <w:rPr>
          <w:rFonts w:ascii="Bookman Old Style" w:eastAsia="Calibri" w:hAnsi="Bookman Old Style" w:cs="Calibri"/>
          <w:b/>
          <w:sz w:val="22"/>
          <w:lang w:val="es-ES_tradnl"/>
        </w:rPr>
      </w:pPr>
    </w:p>
    <w:p w:rsidR="00726850" w:rsidRPr="001E18FE" w:rsidRDefault="00726850"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sidR="00254DDC">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p>
    <w:p w:rsidR="00726850" w:rsidRDefault="00726850" w:rsidP="001E18FE">
      <w:pPr>
        <w:pStyle w:val="Ttulo2"/>
        <w:ind w:left="0"/>
        <w:rPr>
          <w:rFonts w:ascii="Bookman Old Style" w:eastAsia="Calibri" w:hAnsi="Bookman Old Style" w:cs="Calibri"/>
          <w:b w:val="0"/>
          <w:sz w:val="22"/>
          <w:szCs w:val="22"/>
        </w:rPr>
      </w:pPr>
    </w:p>
    <w:p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rsidR="00726850" w:rsidRDefault="00726850" w:rsidP="001E18FE">
      <w:pPr>
        <w:pStyle w:val="Ttulo2"/>
        <w:ind w:left="0"/>
        <w:rPr>
          <w:rFonts w:ascii="Bookman Old Style" w:eastAsia="Calibri" w:hAnsi="Bookman Old Style" w:cs="Calibri"/>
          <w:b w:val="0"/>
          <w:sz w:val="22"/>
          <w:szCs w:val="22"/>
        </w:rPr>
      </w:pPr>
    </w:p>
    <w:p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sidR="00631E18">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sidR="00631E18">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rsidR="00726850" w:rsidRDefault="00726850" w:rsidP="001E18FE">
      <w:pPr>
        <w:pStyle w:val="Ttulo2"/>
        <w:ind w:left="0"/>
        <w:jc w:val="both"/>
        <w:rPr>
          <w:rFonts w:ascii="Bookman Old Style" w:eastAsia="Calibri" w:hAnsi="Bookman Old Style" w:cs="Calibri"/>
          <w:b w:val="0"/>
          <w:sz w:val="22"/>
          <w:szCs w:val="22"/>
        </w:rPr>
      </w:pPr>
    </w:p>
    <w:p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rsidR="00726850" w:rsidRDefault="00726850" w:rsidP="001E18FE">
      <w:pPr>
        <w:pStyle w:val="Ttulo2"/>
        <w:ind w:left="0"/>
        <w:rPr>
          <w:rFonts w:ascii="Bookman Old Style" w:eastAsia="Calibri" w:hAnsi="Bookman Old Style" w:cs="Calibri"/>
          <w:b w:val="0"/>
          <w:sz w:val="22"/>
          <w:szCs w:val="22"/>
        </w:rPr>
      </w:pPr>
    </w:p>
    <w:p w:rsidR="00726850"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726850" w:rsidRPr="001E18FE" w:rsidRDefault="00726850" w:rsidP="001E18FE">
      <w:pPr>
        <w:rPr>
          <w:rFonts w:eastAsia="Calibri"/>
        </w:rPr>
      </w:pPr>
    </w:p>
    <w:p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rsidR="00726850" w:rsidRDefault="00726850" w:rsidP="001E18FE">
      <w:pPr>
        <w:pStyle w:val="Ttulo2"/>
        <w:ind w:left="0"/>
        <w:rPr>
          <w:rFonts w:ascii="Bookman Old Style" w:eastAsia="Calibri" w:hAnsi="Bookman Old Style" w:cs="Calibri"/>
          <w:b w:val="0"/>
          <w:sz w:val="22"/>
          <w:szCs w:val="22"/>
        </w:rPr>
      </w:pPr>
    </w:p>
    <w:p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rsidR="00726850" w:rsidRPr="001E18FE" w:rsidRDefault="00726850" w:rsidP="00A21D0F">
      <w:pPr>
        <w:ind w:left="851" w:right="900"/>
        <w:rPr>
          <w:rFonts w:eastAsia="Calibri"/>
          <w:i/>
        </w:rPr>
      </w:pPr>
    </w:p>
    <w:p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726850" w:rsidRPr="001E18FE" w:rsidRDefault="00726850" w:rsidP="00A21D0F">
      <w:pPr>
        <w:pStyle w:val="Ttulo2"/>
        <w:ind w:left="851" w:right="900"/>
        <w:jc w:val="both"/>
        <w:rPr>
          <w:rFonts w:ascii="Bookman Old Style" w:eastAsia="Calibri" w:hAnsi="Bookman Old Style" w:cs="Calibri"/>
          <w:b w:val="0"/>
          <w:i/>
          <w:sz w:val="22"/>
          <w:szCs w:val="22"/>
        </w:rPr>
      </w:pPr>
    </w:p>
    <w:p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rsidR="00726850" w:rsidRPr="001E18FE" w:rsidRDefault="00726850" w:rsidP="00A21D0F">
      <w:pPr>
        <w:pStyle w:val="Ttulo2"/>
        <w:ind w:left="851" w:right="900"/>
        <w:jc w:val="both"/>
        <w:rPr>
          <w:rFonts w:ascii="Bookman Old Style" w:eastAsia="Calibri" w:hAnsi="Bookman Old Style" w:cs="Calibri"/>
          <w:b w:val="0"/>
          <w:i/>
          <w:sz w:val="22"/>
          <w:szCs w:val="22"/>
        </w:rPr>
      </w:pPr>
    </w:p>
    <w:p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rsidR="00726850" w:rsidRDefault="00726850" w:rsidP="00A21D0F">
      <w:pPr>
        <w:pStyle w:val="Ttulo2"/>
        <w:ind w:left="851" w:right="900"/>
        <w:jc w:val="both"/>
        <w:rPr>
          <w:rFonts w:ascii="Bookman Old Style" w:eastAsia="Calibri" w:hAnsi="Bookman Old Style" w:cs="Calibri"/>
          <w:b w:val="0"/>
          <w:sz w:val="22"/>
          <w:szCs w:val="22"/>
        </w:rPr>
      </w:pPr>
    </w:p>
    <w:p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A11C45" w:rsidRDefault="00A11C45" w:rsidP="00A11C45">
      <w:pPr>
        <w:rPr>
          <w:rFonts w:eastAsia="Calibri"/>
        </w:rPr>
      </w:pPr>
    </w:p>
    <w:p w:rsidR="00A11C45" w:rsidRDefault="00A11C45" w:rsidP="00A11C45">
      <w:pPr>
        <w:rPr>
          <w:rFonts w:eastAsia="Calibri"/>
        </w:rPr>
      </w:pPr>
    </w:p>
    <w:p w:rsidR="00A11C45" w:rsidRPr="00A11C45" w:rsidRDefault="00A11C45" w:rsidP="00A11C45">
      <w:pPr>
        <w:rPr>
          <w:rFonts w:eastAsia="Calibri"/>
        </w:rPr>
      </w:pPr>
    </w:p>
    <w:p w:rsidR="00726850" w:rsidRPr="001E18FE" w:rsidRDefault="00726850" w:rsidP="001E18FE">
      <w:pPr>
        <w:rPr>
          <w:rFonts w:eastAsia="Calibri"/>
        </w:rPr>
      </w:pPr>
    </w:p>
    <w:p w:rsidR="00F709EB" w:rsidRPr="001E18FE" w:rsidRDefault="00F709EB"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RE</w:t>
      </w:r>
      <w:r w:rsidR="00F06C98" w:rsidRPr="001E18FE">
        <w:rPr>
          <w:rFonts w:ascii="Bookman Old Style" w:eastAsia="Calibri" w:hAnsi="Bookman Old Style" w:cs="Calibri"/>
          <w:sz w:val="22"/>
          <w:szCs w:val="22"/>
        </w:rPr>
        <w:t>F</w:t>
      </w:r>
      <w:r w:rsidRPr="001E18FE">
        <w:rPr>
          <w:rFonts w:ascii="Bookman Old Style" w:eastAsia="Calibri" w:hAnsi="Bookman Old Style" w:cs="Calibri"/>
          <w:sz w:val="22"/>
          <w:szCs w:val="22"/>
        </w:rPr>
        <w:t>ERENCIAS</w:t>
      </w:r>
    </w:p>
    <w:p w:rsidR="00F709EB" w:rsidRPr="00E819E1" w:rsidRDefault="00F709EB" w:rsidP="00E44C45">
      <w:pPr>
        <w:rPr>
          <w:rFonts w:ascii="Bookman Old Style" w:eastAsia="Calibri" w:hAnsi="Bookman Old Style"/>
          <w:sz w:val="20"/>
        </w:rPr>
      </w:pPr>
    </w:p>
    <w:p w:rsidR="00B61122" w:rsidRPr="005C5218" w:rsidRDefault="00B61122" w:rsidP="005C5218">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rsidR="00B61122" w:rsidRPr="005C5218" w:rsidRDefault="00B61122" w:rsidP="00B61122">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rsidR="00B61122" w:rsidRPr="005C5218" w:rsidRDefault="00B61122" w:rsidP="005C5218">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rsidR="00B61122" w:rsidRPr="005C5218" w:rsidRDefault="00B61122" w:rsidP="005C5218">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2" w:history="1">
        <w:r w:rsidRPr="00B61122">
          <w:rPr>
            <w:rStyle w:val="Hipervnculo"/>
            <w:rFonts w:ascii="Bookman Old Style" w:hAnsi="Bookman Old Style" w:cs="Times New Roman"/>
            <w:i/>
            <w:color w:val="auto"/>
            <w:sz w:val="16"/>
            <w:szCs w:val="16"/>
            <w:u w:val="none"/>
          </w:rPr>
          <w:t>http://www.globalcommissionondrugs.org/wp-content/uploads/2018/11/SPA-2018_SDGPaper_WEB.pdf</w:t>
        </w:r>
      </w:hyperlink>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rsidR="00B61122" w:rsidRPr="005C5218" w:rsidRDefault="00B61122" w:rsidP="00B61122">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rsidR="00B61122" w:rsidRPr="005C5218" w:rsidRDefault="00B61122" w:rsidP="005C5218">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3" w:anchor="cuantos00" w:history="1">
        <w:r w:rsidRPr="00B61122">
          <w:rPr>
            <w:rStyle w:val="Hipervnculo"/>
            <w:rFonts w:ascii="Bookman Old Style" w:hAnsi="Bookman Old Style" w:cs="Times New Roman"/>
            <w:i/>
            <w:color w:val="auto"/>
            <w:sz w:val="16"/>
            <w:szCs w:val="16"/>
            <w:u w:val="none"/>
          </w:rPr>
          <w:t>https://sitios.dane.gov.co/cnpv-presentacion/src/#cuantos00</w:t>
        </w:r>
      </w:hyperlink>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rsidR="00B61122" w:rsidRPr="005C5218" w:rsidRDefault="00B61122" w:rsidP="005C5218">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4"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15"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rsidR="00B61122" w:rsidRPr="00B61122" w:rsidRDefault="00B61122" w:rsidP="00B61122">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rsidR="00B61122" w:rsidRPr="005C5218" w:rsidRDefault="00B61122" w:rsidP="005C5218">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P. Westen. Speaking of equality. An Analisis of the Rhetorical forcé of Equality” in moral and legal discoruse, Princenton University Press, 1990, cap.v.</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UNODC, Estudio Nacional de Consumo de Sustancias Psicoactivas en Colombia 2013 – Informe Final, 2013, recuperado de: https://www.unodc.org/documents/colombia/2014/Julio/Estudio_de_Consumo_UNODC.pdf</w:t>
      </w:r>
    </w:p>
    <w:p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rsidR="00B61122" w:rsidRPr="00B61122" w:rsidRDefault="00B61122" w:rsidP="00B61122">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16" w:history="1">
        <w:r w:rsidRPr="00B61122">
          <w:rPr>
            <w:rStyle w:val="Hipervnculo"/>
            <w:rFonts w:ascii="Bookman Old Style" w:hAnsi="Bookman Old Style" w:cs="Times New Roman"/>
            <w:i/>
            <w:color w:val="auto"/>
            <w:sz w:val="16"/>
            <w:szCs w:val="16"/>
            <w:u w:val="none"/>
          </w:rPr>
          <w:t>http://www.prisonstudies.org/country/colombia</w:t>
        </w:r>
      </w:hyperlink>
    </w:p>
    <w:p w:rsidR="00FB38D7" w:rsidRPr="00E819E1" w:rsidRDefault="00FB38D7" w:rsidP="00A21D0F">
      <w:pPr>
        <w:jc w:val="both"/>
        <w:rPr>
          <w:rFonts w:ascii="Bookman Old Style" w:eastAsia="Calibri" w:hAnsi="Bookman Old Style" w:cs="Calibri"/>
          <w:i/>
          <w:sz w:val="18"/>
        </w:rPr>
        <w:sectPr w:rsidR="00FB38D7" w:rsidRPr="00E819E1" w:rsidSect="00267BD5">
          <w:headerReference w:type="default" r:id="rId17"/>
          <w:footerReference w:type="default" r:id="rId18"/>
          <w:pgSz w:w="12240" w:h="15840" w:code="1"/>
          <w:pgMar w:top="1417" w:right="1701" w:bottom="1417" w:left="1701" w:header="680" w:footer="680" w:gutter="0"/>
          <w:pgNumType w:start="1"/>
          <w:cols w:space="720"/>
          <w:docGrid w:linePitch="299"/>
        </w:sectPr>
      </w:pPr>
    </w:p>
    <w:p w:rsidR="004151CA" w:rsidRPr="00E819E1" w:rsidRDefault="004151CA" w:rsidP="00E44C45">
      <w:pPr>
        <w:pBdr>
          <w:top w:val="nil"/>
          <w:left w:val="nil"/>
          <w:bottom w:val="nil"/>
          <w:right w:val="nil"/>
          <w:between w:val="nil"/>
        </w:pBdr>
        <w:rPr>
          <w:rFonts w:ascii="Bookman Old Style" w:eastAsia="Calibri" w:hAnsi="Bookman Old Style" w:cs="Calibri"/>
          <w:i/>
          <w:sz w:val="18"/>
        </w:rPr>
        <w:sectPr w:rsidR="004151CA" w:rsidRPr="00E819E1">
          <w:type w:val="continuous"/>
          <w:pgSz w:w="12240" w:h="15840"/>
          <w:pgMar w:top="1940" w:right="1580" w:bottom="2080" w:left="2905" w:header="708" w:footer="1893" w:gutter="0"/>
          <w:cols w:space="720"/>
        </w:sectPr>
      </w:pPr>
    </w:p>
    <w:p w:rsidR="00366E17" w:rsidRDefault="00366E17" w:rsidP="00A21D0F">
      <w:pPr>
        <w:rPr>
          <w:rFonts w:ascii="Bookman Old Style" w:eastAsia="Calibri" w:hAnsi="Bookman Old Style" w:cs="Calibri"/>
          <w:color w:val="000000"/>
          <w:szCs w:val="24"/>
          <w:highlight w:val="white"/>
        </w:rPr>
      </w:pPr>
    </w:p>
    <w:p w:rsidR="00A11C45" w:rsidRDefault="00A11C45" w:rsidP="00A21D0F">
      <w:pPr>
        <w:rPr>
          <w:rFonts w:ascii="Bookman Old Style" w:eastAsia="Calibri" w:hAnsi="Bookman Old Style" w:cs="Calibri"/>
          <w:color w:val="000000"/>
          <w:szCs w:val="24"/>
          <w:highlight w:val="white"/>
        </w:rPr>
      </w:pPr>
    </w:p>
    <w:p w:rsidR="00366E17" w:rsidRDefault="00366E17" w:rsidP="00A21D0F">
      <w:pPr>
        <w:rPr>
          <w:rFonts w:ascii="Bookman Old Style" w:eastAsia="Calibri" w:hAnsi="Bookman Old Style" w:cs="Calibri"/>
          <w:color w:val="000000"/>
          <w:szCs w:val="24"/>
          <w:highlight w:val="white"/>
        </w:rPr>
      </w:pPr>
    </w:p>
    <w:p w:rsidR="004151CA" w:rsidRDefault="005A0028" w:rsidP="00C04E96">
      <w:pPr>
        <w:ind w:hanging="567"/>
        <w:rPr>
          <w:rFonts w:ascii="Bookman Old Style" w:eastAsia="Calibri" w:hAnsi="Bookman Old Style" w:cs="Calibri"/>
          <w:color w:val="000000"/>
          <w:szCs w:val="24"/>
        </w:rPr>
      </w:pPr>
      <w:r w:rsidRPr="00F06C98">
        <w:rPr>
          <w:rFonts w:ascii="Bookman Old Style" w:eastAsia="Calibri" w:hAnsi="Bookman Old Style" w:cs="Calibri"/>
          <w:color w:val="000000"/>
          <w:szCs w:val="24"/>
          <w:highlight w:val="white"/>
        </w:rPr>
        <w:t xml:space="preserve">De los honorables congresistas, </w:t>
      </w:r>
    </w:p>
    <w:p w:rsidR="006C0501" w:rsidRDefault="006C0501" w:rsidP="00E44C45">
      <w:pPr>
        <w:ind w:hanging="1080"/>
        <w:rPr>
          <w:rFonts w:ascii="Bookman Old Style" w:eastAsia="Calibri" w:hAnsi="Bookman Old Style" w:cs="Calibri"/>
          <w:color w:val="000000"/>
          <w:szCs w:val="24"/>
        </w:rPr>
      </w:pPr>
    </w:p>
    <w:p w:rsidR="006C0501" w:rsidRDefault="006C0501" w:rsidP="00E44C45">
      <w:pPr>
        <w:ind w:hanging="1080"/>
        <w:rPr>
          <w:rFonts w:ascii="Bookman Old Style" w:eastAsia="Calibri" w:hAnsi="Bookman Old Style" w:cs="Calibri"/>
          <w:color w:val="000000"/>
          <w:szCs w:val="24"/>
        </w:rPr>
      </w:pPr>
    </w:p>
    <w:p w:rsidR="006C0501" w:rsidRPr="00F06C98" w:rsidRDefault="006C0501" w:rsidP="00E44C45">
      <w:pPr>
        <w:ind w:hanging="1080"/>
        <w:rPr>
          <w:rFonts w:ascii="Bookman Old Style" w:eastAsia="Calibri" w:hAnsi="Bookman Old Style" w:cs="Calibri"/>
          <w:color w:val="000000"/>
          <w:szCs w:val="24"/>
        </w:rPr>
      </w:pPr>
    </w:p>
    <w:p w:rsidR="00D56D03" w:rsidRPr="00F06C98" w:rsidRDefault="00D56D03" w:rsidP="00E44C45">
      <w:pPr>
        <w:ind w:hanging="1080"/>
        <w:rPr>
          <w:rFonts w:ascii="Bookman Old Style" w:eastAsia="Calibri" w:hAnsi="Bookman Old Style" w:cs="Calibri"/>
          <w:color w:val="000000"/>
          <w:szCs w:val="24"/>
        </w:rPr>
      </w:pPr>
    </w:p>
    <w:p w:rsidR="00D56D03" w:rsidRPr="00F06C98" w:rsidRDefault="00D56D03" w:rsidP="00E44C45">
      <w:pPr>
        <w:ind w:hanging="1080"/>
        <w:rPr>
          <w:rFonts w:ascii="Bookman Old Style" w:eastAsia="Calibri" w:hAnsi="Bookman Old Style" w:cs="Calibri"/>
          <w:b/>
          <w:szCs w:val="24"/>
        </w:rPr>
      </w:pPr>
    </w:p>
    <w:p w:rsidR="004151CA" w:rsidRPr="00F06C98" w:rsidRDefault="004151CA" w:rsidP="00E44C45">
      <w:pPr>
        <w:ind w:hanging="1080"/>
        <w:rPr>
          <w:rFonts w:ascii="Bookman Old Style" w:eastAsia="Calibri" w:hAnsi="Bookman Old Style" w:cs="Calibri"/>
          <w:szCs w:val="24"/>
        </w:rPr>
      </w:pPr>
    </w:p>
    <w:p w:rsidR="004151CA" w:rsidRPr="00F06C98" w:rsidRDefault="00C84051" w:rsidP="006C0501">
      <w:pPr>
        <w:ind w:hanging="567"/>
        <w:rPr>
          <w:rFonts w:ascii="Bookman Old Style" w:eastAsia="Calibri" w:hAnsi="Bookman Old Style" w:cs="Calibri"/>
          <w:szCs w:val="24"/>
        </w:rPr>
      </w:pPr>
      <w:bookmarkStart w:id="7" w:name="_Hlk14596531"/>
      <w:r w:rsidRPr="00F06C98">
        <w:rPr>
          <w:rFonts w:ascii="Bookman Old Style" w:eastAsia="Calibri" w:hAnsi="Bookman Old Style" w:cs="Calibri"/>
          <w:szCs w:val="24"/>
        </w:rPr>
        <w:t>__________________________________                      ________________________________</w:t>
      </w:r>
    </w:p>
    <w:p w:rsidR="004151CA" w:rsidRPr="00F06C98" w:rsidRDefault="005A0028" w:rsidP="006C0501">
      <w:pPr>
        <w:widowControl/>
        <w:pBdr>
          <w:top w:val="nil"/>
          <w:left w:val="nil"/>
          <w:bottom w:val="nil"/>
          <w:right w:val="nil"/>
          <w:between w:val="nil"/>
        </w:pBdr>
        <w:ind w:left="-567"/>
        <w:jc w:val="both"/>
        <w:rPr>
          <w:rFonts w:ascii="Bookman Old Style" w:eastAsia="Calibri" w:hAnsi="Bookman Old Style" w:cs="Calibri"/>
          <w:b/>
          <w:color w:val="000000"/>
          <w:szCs w:val="24"/>
        </w:rPr>
      </w:pPr>
      <w:r w:rsidRPr="00F06C98">
        <w:rPr>
          <w:rFonts w:ascii="Bookman Old Style" w:eastAsia="Calibri" w:hAnsi="Bookman Old Style" w:cs="Calibri"/>
          <w:b/>
          <w:color w:val="000000"/>
          <w:szCs w:val="24"/>
        </w:rPr>
        <w:t>JUAN CARLOS LOSADA VARGAS.</w:t>
      </w:r>
      <w:r w:rsidR="00CB6ED5" w:rsidRPr="00F06C98">
        <w:rPr>
          <w:rFonts w:ascii="Bookman Old Style" w:eastAsia="Calibri" w:hAnsi="Bookman Old Style" w:cs="Calibri"/>
          <w:b/>
          <w:color w:val="000000"/>
          <w:szCs w:val="24"/>
        </w:rPr>
        <w:t xml:space="preserve">                    </w:t>
      </w:r>
      <w:r w:rsidRPr="00F06C98">
        <w:rPr>
          <w:rFonts w:ascii="Bookman Old Style" w:eastAsia="Calibri" w:hAnsi="Bookman Old Style" w:cs="Calibri"/>
          <w:b/>
          <w:color w:val="000000"/>
          <w:szCs w:val="24"/>
        </w:rPr>
        <w:t xml:space="preserve">  JUAN FERNANDO REYES KURI.</w:t>
      </w:r>
    </w:p>
    <w:p w:rsidR="00366E17" w:rsidRDefault="005A0028" w:rsidP="002F0580">
      <w:pPr>
        <w:widowControl/>
        <w:pBdr>
          <w:top w:val="nil"/>
          <w:left w:val="nil"/>
          <w:bottom w:val="nil"/>
          <w:right w:val="nil"/>
          <w:between w:val="nil"/>
        </w:pBdr>
        <w:ind w:left="-567"/>
        <w:rPr>
          <w:rFonts w:ascii="Bookman Old Style" w:eastAsia="Calibri" w:hAnsi="Bookman Old Style" w:cs="Calibri"/>
          <w:color w:val="000000"/>
          <w:szCs w:val="24"/>
        </w:rPr>
      </w:pPr>
      <w:r w:rsidRPr="00F06C98">
        <w:rPr>
          <w:rFonts w:ascii="Bookman Old Style" w:eastAsia="Calibri" w:hAnsi="Bookman Old Style" w:cs="Calibri"/>
          <w:color w:val="000000"/>
          <w:szCs w:val="24"/>
        </w:rPr>
        <w:t xml:space="preserve">Representante </w:t>
      </w:r>
      <w:r w:rsidR="00CB6ED5" w:rsidRPr="00F06C98">
        <w:rPr>
          <w:rFonts w:ascii="Bookman Old Style" w:eastAsia="Calibri" w:hAnsi="Bookman Old Style" w:cs="Calibri"/>
          <w:color w:val="000000"/>
          <w:szCs w:val="24"/>
        </w:rPr>
        <w:t xml:space="preserve">a la Cámara por Bogotá        </w:t>
      </w:r>
      <w:r w:rsidRPr="00F06C98">
        <w:rPr>
          <w:rFonts w:ascii="Bookman Old Style" w:eastAsia="Calibri" w:hAnsi="Bookman Old Style" w:cs="Calibri"/>
          <w:color w:val="000000"/>
          <w:szCs w:val="24"/>
        </w:rPr>
        <w:t xml:space="preserve"> Representante a la Cámara por el Valle</w:t>
      </w:r>
      <w:bookmarkStart w:id="8" w:name="_1e78wgqkhceq" w:colFirst="0" w:colLast="0"/>
      <w:bookmarkEnd w:id="8"/>
      <w:r w:rsidR="00A21D0F">
        <w:rPr>
          <w:rFonts w:ascii="Bookman Old Style" w:eastAsia="Calibri" w:hAnsi="Bookman Old Style" w:cs="Calibri"/>
          <w:color w:val="000000"/>
          <w:szCs w:val="24"/>
        </w:rPr>
        <w:br/>
        <w:t>Part</w:t>
      </w:r>
      <w:r w:rsidR="00C84051" w:rsidRPr="00F06C98">
        <w:rPr>
          <w:rFonts w:ascii="Bookman Old Style" w:eastAsia="Calibri" w:hAnsi="Bookman Old Style" w:cs="Calibri"/>
          <w:color w:val="000000"/>
          <w:szCs w:val="24"/>
        </w:rPr>
        <w:t>ido Liberal Colombiano                                            Partido Liberal Colombiano</w:t>
      </w:r>
      <w:bookmarkEnd w:id="7"/>
    </w:p>
    <w:p w:rsidR="007D64B5" w:rsidRDefault="007D64B5" w:rsidP="00E44C45">
      <w:pPr>
        <w:widowControl/>
        <w:pBdr>
          <w:top w:val="nil"/>
          <w:left w:val="nil"/>
          <w:bottom w:val="nil"/>
          <w:right w:val="nil"/>
          <w:between w:val="nil"/>
        </w:pBdr>
        <w:ind w:left="-1080"/>
        <w:jc w:val="both"/>
        <w:rPr>
          <w:rFonts w:ascii="Bookman Old Style" w:eastAsia="Calibri" w:hAnsi="Bookman Old Style" w:cs="Calibri"/>
          <w:color w:val="000000"/>
          <w:szCs w:val="24"/>
        </w:rPr>
      </w:pPr>
    </w:p>
    <w:tbl>
      <w:tblPr>
        <w:tblStyle w:val="Tablaconcuadrcula"/>
        <w:tblW w:w="0" w:type="auto"/>
        <w:jc w:val="center"/>
        <w:tblLook w:val="04A0" w:firstRow="1" w:lastRow="0" w:firstColumn="1" w:lastColumn="0" w:noHBand="0" w:noVBand="1"/>
      </w:tblPr>
      <w:tblGrid>
        <w:gridCol w:w="4179"/>
        <w:gridCol w:w="4559"/>
      </w:tblGrid>
      <w:tr w:rsidR="0013321A" w:rsidRPr="00FC2712" w:rsidTr="0013321A">
        <w:trPr>
          <w:trHeight w:val="1585"/>
          <w:jc w:val="center"/>
        </w:trPr>
        <w:tc>
          <w:tcPr>
            <w:tcW w:w="4179" w:type="dxa"/>
          </w:tcPr>
          <w:p w:rsidR="0013321A" w:rsidRPr="000630CE" w:rsidRDefault="0013321A" w:rsidP="0013321A">
            <w:pPr>
              <w:tabs>
                <w:tab w:val="right" w:pos="8838"/>
              </w:tabs>
              <w:spacing w:line="276" w:lineRule="auto"/>
              <w:jc w:val="center"/>
              <w:rPr>
                <w:rFonts w:ascii="Bookman Old Style" w:hAnsi="Bookman Old Style" w:cs="Arial"/>
                <w:b/>
                <w:bCs/>
                <w:lang w:val="es-ES_tradnl"/>
              </w:rPr>
            </w:pPr>
          </w:p>
          <w:p w:rsidR="0013321A" w:rsidRPr="000630CE" w:rsidRDefault="0013321A" w:rsidP="0013321A">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MAURICIO TORO ORJUELA</w:t>
            </w:r>
          </w:p>
          <w:p w:rsidR="0013321A" w:rsidRPr="000630CE" w:rsidRDefault="0013321A" w:rsidP="0013321A">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13321A">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c>
          <w:tcPr>
            <w:tcW w:w="4559" w:type="dxa"/>
          </w:tcPr>
          <w:p w:rsidR="0013321A" w:rsidRPr="000630CE" w:rsidRDefault="0013321A" w:rsidP="000630CE">
            <w:pPr>
              <w:tabs>
                <w:tab w:val="right" w:pos="8838"/>
              </w:tabs>
              <w:spacing w:line="276" w:lineRule="auto"/>
              <w:jc w:val="center"/>
              <w:rPr>
                <w:rFonts w:ascii="Bookman Old Style" w:hAnsi="Bookman Old Style" w:cs="Arial"/>
                <w:b/>
                <w:bCs/>
                <w:lang w:val="es-ES_tradnl"/>
              </w:rPr>
            </w:pPr>
          </w:p>
          <w:p w:rsidR="0013321A" w:rsidRPr="000630CE" w:rsidRDefault="0013321A" w:rsidP="0013321A">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ANDRÉS CALLE AGUAS</w:t>
            </w:r>
          </w:p>
          <w:p w:rsidR="0013321A" w:rsidRPr="000630CE" w:rsidRDefault="0013321A" w:rsidP="0013321A">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13321A" w:rsidRPr="000630CE" w:rsidRDefault="0013321A" w:rsidP="0013321A">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Partido Liberal</w:t>
            </w:r>
          </w:p>
          <w:p w:rsidR="0013321A" w:rsidRPr="000630CE" w:rsidRDefault="0013321A" w:rsidP="000630CE">
            <w:pPr>
              <w:tabs>
                <w:tab w:val="right" w:pos="8838"/>
              </w:tabs>
              <w:spacing w:line="276" w:lineRule="auto"/>
              <w:jc w:val="center"/>
              <w:rPr>
                <w:rFonts w:ascii="Bookman Old Style" w:hAnsi="Bookman Old Style" w:cs="Arial"/>
                <w:b/>
                <w:bCs/>
                <w:lang w:val="es-ES_tradnl"/>
              </w:rPr>
            </w:pPr>
          </w:p>
          <w:p w:rsidR="0013321A" w:rsidRPr="000630CE" w:rsidRDefault="0013321A" w:rsidP="000630CE">
            <w:pPr>
              <w:tabs>
                <w:tab w:val="right" w:pos="8838"/>
              </w:tabs>
              <w:spacing w:line="276" w:lineRule="auto"/>
              <w:jc w:val="center"/>
              <w:rPr>
                <w:rFonts w:ascii="Bookman Old Style" w:hAnsi="Bookman Old Style" w:cs="Arial"/>
                <w:b/>
                <w:bCs/>
                <w:lang w:val="es-ES_tradnl"/>
              </w:rPr>
            </w:pPr>
          </w:p>
          <w:p w:rsidR="0013321A" w:rsidRPr="000630CE" w:rsidRDefault="0013321A" w:rsidP="000630CE">
            <w:pPr>
              <w:tabs>
                <w:tab w:val="right" w:pos="8838"/>
              </w:tabs>
              <w:spacing w:line="276" w:lineRule="auto"/>
              <w:jc w:val="center"/>
              <w:rPr>
                <w:rFonts w:ascii="Bookman Old Style" w:hAnsi="Bookman Old Style" w:cs="Arial"/>
                <w:b/>
                <w:bCs/>
                <w:lang w:val="es-ES_tradnl"/>
              </w:rPr>
            </w:pPr>
          </w:p>
        </w:tc>
      </w:tr>
      <w:tr w:rsidR="002F0580" w:rsidRPr="00FC2712" w:rsidTr="0013321A">
        <w:trPr>
          <w:jc w:val="center"/>
        </w:trPr>
        <w:tc>
          <w:tcPr>
            <w:tcW w:w="4179" w:type="dxa"/>
          </w:tcPr>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ALEJADRO VEGA</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Representante a la Cámara</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Partido Liberal</w:t>
            </w:r>
          </w:p>
        </w:tc>
        <w:tc>
          <w:tcPr>
            <w:tcW w:w="4559" w:type="dxa"/>
          </w:tcPr>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13321A">
            <w:pPr>
              <w:pStyle w:val="NormalWeb"/>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bdr w:val="none" w:sz="0" w:space="0" w:color="auto" w:frame="1"/>
              </w:rPr>
              <w:fldChar w:fldCharType="begin"/>
            </w:r>
            <w:r w:rsidRPr="000630CE">
              <w:rPr>
                <w:rFonts w:ascii="Bookman Old Style" w:hAnsi="Bookman Old Style" w:cs="Arial"/>
                <w:b/>
                <w:bCs/>
                <w:color w:val="000000"/>
                <w:sz w:val="22"/>
                <w:szCs w:val="22"/>
                <w:bdr w:val="none" w:sz="0" w:space="0" w:color="auto" w:frame="1"/>
              </w:rPr>
              <w:instrText xml:space="preserve"> INCLUDEPICTURE "https://lh4.googleusercontent.com/Y0CcHn9QPkqr6z3KKyVZ3fLpYNlGYC0zZLiSGlZrFI-C3CVbsMUr3Vz8nsJxeg98nVJrmXyxnOPN0rXbSYgIjVRK2q2mh5_t-ltQVd1vZMsi3FE_YePcyHohv_BDVA" \* MERGEFORMATINET </w:instrText>
            </w:r>
            <w:r w:rsidRPr="000630CE">
              <w:rPr>
                <w:rFonts w:ascii="Bookman Old Style" w:hAnsi="Bookman Old Style" w:cs="Arial"/>
                <w:b/>
                <w:bCs/>
                <w:color w:val="000000"/>
                <w:sz w:val="22"/>
                <w:szCs w:val="22"/>
                <w:bdr w:val="none" w:sz="0" w:space="0" w:color="auto" w:frame="1"/>
              </w:rPr>
              <w:fldChar w:fldCharType="end"/>
            </w:r>
            <w:r w:rsidRPr="000630CE">
              <w:rPr>
                <w:rFonts w:ascii="Bookman Old Style" w:hAnsi="Bookman Old Style" w:cs="Arial"/>
                <w:b/>
                <w:bCs/>
                <w:color w:val="000000"/>
                <w:sz w:val="22"/>
                <w:szCs w:val="22"/>
              </w:rPr>
              <w:t>Carlos Ardila Espinosa</w:t>
            </w:r>
          </w:p>
          <w:p w:rsidR="0013321A" w:rsidRPr="000630CE" w:rsidRDefault="0013321A" w:rsidP="0013321A">
            <w:pPr>
              <w:pStyle w:val="NormalWeb"/>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rPr>
              <w:t>Representante a la Cámara</w:t>
            </w:r>
          </w:p>
          <w:p w:rsidR="002F0580" w:rsidRPr="000630CE" w:rsidRDefault="0013321A" w:rsidP="0013321A">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sz w:val="22"/>
                <w:szCs w:val="22"/>
                <w:lang w:val="es-ES_tradnl"/>
              </w:rPr>
              <w:t>Partido Liberal</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2F0580" w:rsidRPr="000630CE" w:rsidRDefault="002F0580" w:rsidP="000630CE">
            <w:pPr>
              <w:pStyle w:val="NormalWeb"/>
              <w:spacing w:before="0" w:beforeAutospacing="0" w:after="0" w:afterAutospacing="0"/>
              <w:jc w:val="center"/>
              <w:rPr>
                <w:rFonts w:ascii="Bookman Old Style" w:hAnsi="Bookman Old Style" w:cs="Arial"/>
                <w:b/>
                <w:bCs/>
                <w:sz w:val="22"/>
                <w:szCs w:val="22"/>
                <w:lang w:val="es-ES_tradnl"/>
              </w:rPr>
            </w:pPr>
          </w:p>
        </w:tc>
      </w:tr>
      <w:tr w:rsidR="002F0580" w:rsidRPr="00FC2712" w:rsidTr="0013321A">
        <w:trPr>
          <w:jc w:val="center"/>
        </w:trPr>
        <w:tc>
          <w:tcPr>
            <w:tcW w:w="4179" w:type="dxa"/>
          </w:tcPr>
          <w:p w:rsidR="002F0580" w:rsidRPr="000630CE" w:rsidRDefault="002F0580" w:rsidP="000630CE">
            <w:pPr>
              <w:jc w:val="center"/>
              <w:rPr>
                <w:rFonts w:ascii="Bookman Old Style" w:hAnsi="Bookman Old Style"/>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ALEJANDRO CARLOS CHACÓN</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Partido Liberal</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tc>
        <w:tc>
          <w:tcPr>
            <w:tcW w:w="4559" w:type="dxa"/>
          </w:tcPr>
          <w:p w:rsidR="0013321A" w:rsidRDefault="0013321A" w:rsidP="0013321A">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p w:rsidR="0013321A" w:rsidRPr="000630CE" w:rsidRDefault="0013321A" w:rsidP="0013321A">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JULIAN PEINADO</w:t>
            </w:r>
          </w:p>
          <w:p w:rsidR="0013321A" w:rsidRPr="000630CE" w:rsidRDefault="0013321A" w:rsidP="0013321A">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Representante a la Cámara</w:t>
            </w:r>
          </w:p>
          <w:p w:rsidR="002F0580" w:rsidRPr="000630CE" w:rsidRDefault="0013321A" w:rsidP="0013321A">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bdr w:val="none" w:sz="0" w:space="0" w:color="auto" w:frame="1"/>
              </w:rPr>
              <w:t>Partido Liberal</w:t>
            </w:r>
          </w:p>
          <w:p w:rsidR="002F0580" w:rsidRPr="000630CE" w:rsidRDefault="002F0580" w:rsidP="0013321A">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p>
        </w:tc>
      </w:tr>
      <w:tr w:rsidR="002F0580" w:rsidRPr="00FC2712" w:rsidTr="0013321A">
        <w:trPr>
          <w:jc w:val="center"/>
        </w:trPr>
        <w:tc>
          <w:tcPr>
            <w:tcW w:w="4179" w:type="dxa"/>
          </w:tcPr>
          <w:p w:rsidR="002F0580" w:rsidRPr="000630CE" w:rsidRDefault="002F0580" w:rsidP="0013321A">
            <w:pPr>
              <w:tabs>
                <w:tab w:val="right" w:pos="8838"/>
              </w:tabs>
              <w:spacing w:line="276" w:lineRule="auto"/>
              <w:rPr>
                <w:rFonts w:ascii="Bookman Old Style" w:hAnsi="Bookman Old Style" w:cs="Arial"/>
                <w:b/>
                <w:bCs/>
                <w:lang w:val="es-ES_tradnl"/>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HARRY GIOVANNY GONZÁLEZ</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2F0580" w:rsidRPr="000630CE" w:rsidRDefault="002F0580" w:rsidP="000630CE">
            <w:pPr>
              <w:jc w:val="center"/>
              <w:rPr>
                <w:rFonts w:ascii="Bookman Old Style" w:hAnsi="Bookman Old Style"/>
                <w:bdr w:val="none" w:sz="0" w:space="0" w:color="auto" w:frame="1"/>
              </w:rPr>
            </w:pPr>
            <w:r w:rsidRPr="000630CE">
              <w:rPr>
                <w:rFonts w:ascii="Bookman Old Style" w:hAnsi="Bookman Old Style" w:cs="Arial"/>
                <w:b/>
                <w:bCs/>
                <w:lang w:val="es-ES_tradnl"/>
              </w:rPr>
              <w:t>Partido Liberal</w:t>
            </w:r>
          </w:p>
        </w:tc>
        <w:tc>
          <w:tcPr>
            <w:tcW w:w="4559" w:type="dxa"/>
          </w:tcPr>
          <w:p w:rsidR="002F0580" w:rsidRPr="000630CE" w:rsidRDefault="002F0580" w:rsidP="000630CE">
            <w:pPr>
              <w:jc w:val="center"/>
              <w:rPr>
                <w:rFonts w:ascii="Bookman Old Style" w:hAnsi="Bookman Old Style" w:cs="Arial"/>
                <w:b/>
                <w:bCs/>
                <w:color w:val="000000"/>
                <w:bdr w:val="none" w:sz="0" w:space="0" w:color="auto" w:frame="1"/>
              </w:rPr>
            </w:pPr>
          </w:p>
          <w:p w:rsidR="002F0580" w:rsidRPr="000630CE" w:rsidRDefault="002F0580" w:rsidP="0013321A">
            <w:pPr>
              <w:rPr>
                <w:rFonts w:ascii="Bookman Old Style" w:hAnsi="Bookman Old Style" w:cs="Arial"/>
                <w:b/>
                <w:bCs/>
                <w:color w:val="000000"/>
              </w:rPr>
            </w:pPr>
          </w:p>
          <w:p w:rsidR="002F0580" w:rsidRPr="000630CE" w:rsidRDefault="002F0580" w:rsidP="000630CE">
            <w:pPr>
              <w:jc w:val="center"/>
              <w:rPr>
                <w:rFonts w:ascii="Bookman Old Style" w:hAnsi="Bookman Old Style" w:cs="Arial"/>
                <w:b/>
                <w:bCs/>
                <w:color w:val="000000"/>
              </w:rPr>
            </w:pPr>
          </w:p>
          <w:p w:rsidR="002F0580" w:rsidRPr="000630CE" w:rsidRDefault="002F0580" w:rsidP="000630CE">
            <w:pPr>
              <w:jc w:val="center"/>
              <w:rPr>
                <w:rFonts w:ascii="Bookman Old Style" w:hAnsi="Bookman Old Style"/>
              </w:rPr>
            </w:pPr>
            <w:r w:rsidRPr="000630CE">
              <w:rPr>
                <w:rFonts w:ascii="Bookman Old Style" w:hAnsi="Bookman Old Style" w:cs="Arial"/>
                <w:b/>
                <w:bCs/>
                <w:color w:val="000000"/>
              </w:rPr>
              <w:t>FABIO FERNANDO ARROYAVE</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color w:val="000000"/>
                <w:sz w:val="22"/>
                <w:szCs w:val="22"/>
              </w:rPr>
              <w:t>Representante a la Cámara</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bdr w:val="none" w:sz="0" w:space="0" w:color="auto" w:frame="1"/>
              </w:rPr>
            </w:pPr>
            <w:r w:rsidRPr="000630CE">
              <w:rPr>
                <w:rFonts w:ascii="Bookman Old Style" w:hAnsi="Bookman Old Style" w:cs="Arial"/>
                <w:b/>
                <w:bCs/>
                <w:color w:val="000000"/>
                <w:sz w:val="22"/>
                <w:szCs w:val="22"/>
              </w:rPr>
              <w:t>Partido Liberal</w:t>
            </w:r>
          </w:p>
        </w:tc>
      </w:tr>
      <w:tr w:rsidR="002F0580" w:rsidRPr="00FC2712" w:rsidTr="0013321A">
        <w:trPr>
          <w:jc w:val="center"/>
        </w:trPr>
        <w:tc>
          <w:tcPr>
            <w:tcW w:w="4179" w:type="dxa"/>
          </w:tcPr>
          <w:p w:rsidR="002F0580" w:rsidRPr="000630CE" w:rsidRDefault="002F0580" w:rsidP="000630CE">
            <w:pPr>
              <w:jc w:val="center"/>
              <w:rPr>
                <w:rFonts w:ascii="Bookman Old Style" w:hAnsi="Bookman Old Style" w:cs="Arial"/>
                <w:b/>
              </w:rPr>
            </w:pPr>
          </w:p>
          <w:p w:rsidR="002F0580" w:rsidRPr="000630CE" w:rsidRDefault="002F0580" w:rsidP="000630CE">
            <w:pPr>
              <w:jc w:val="center"/>
              <w:rPr>
                <w:rFonts w:ascii="Bookman Old Style" w:hAnsi="Bookman Old Style" w:cs="Arial"/>
                <w:b/>
              </w:rPr>
            </w:pPr>
          </w:p>
          <w:p w:rsidR="000630CE" w:rsidRPr="000630CE" w:rsidRDefault="000630CE" w:rsidP="000630CE">
            <w:pPr>
              <w:jc w:val="center"/>
              <w:rPr>
                <w:rFonts w:ascii="Bookman Old Style" w:hAnsi="Bookman Old Style" w:cs="Arial"/>
                <w:b/>
              </w:rPr>
            </w:pPr>
          </w:p>
          <w:p w:rsidR="002F0580" w:rsidRPr="000630CE" w:rsidRDefault="002F0580" w:rsidP="000630CE">
            <w:pPr>
              <w:jc w:val="center"/>
              <w:rPr>
                <w:rFonts w:ascii="Bookman Old Style" w:hAnsi="Bookman Old Style" w:cs="Arial"/>
                <w:b/>
              </w:rPr>
            </w:pPr>
          </w:p>
          <w:p w:rsidR="002F0580" w:rsidRPr="000630CE" w:rsidRDefault="002F0580" w:rsidP="000630CE">
            <w:pPr>
              <w:jc w:val="center"/>
              <w:rPr>
                <w:rFonts w:ascii="Bookman Old Style" w:hAnsi="Bookman Old Style" w:cs="Arial"/>
                <w:b/>
              </w:rPr>
            </w:pPr>
            <w:r w:rsidRPr="000630CE">
              <w:rPr>
                <w:rFonts w:ascii="Bookman Old Style" w:hAnsi="Bookman Old Style" w:cs="Arial"/>
                <w:b/>
              </w:rPr>
              <w:t>CARLOS GERMÁN NAVAS TALERO</w:t>
            </w:r>
          </w:p>
          <w:p w:rsidR="002F0580" w:rsidRPr="000630CE" w:rsidRDefault="002F0580" w:rsidP="000630CE">
            <w:pPr>
              <w:jc w:val="center"/>
              <w:rPr>
                <w:rFonts w:ascii="Bookman Old Style" w:hAnsi="Bookman Old Style" w:cs="Arial"/>
                <w:b/>
              </w:rPr>
            </w:pPr>
            <w:r w:rsidRPr="000630CE">
              <w:rPr>
                <w:rFonts w:ascii="Bookman Old Style" w:hAnsi="Bookman Old Style" w:cs="Arial"/>
                <w:b/>
              </w:rPr>
              <w:t>Representante a la Cámara</w:t>
            </w:r>
          </w:p>
          <w:p w:rsidR="002F0580" w:rsidRPr="000630CE" w:rsidRDefault="002F0580" w:rsidP="000630CE">
            <w:pPr>
              <w:jc w:val="center"/>
              <w:rPr>
                <w:rFonts w:ascii="Bookman Old Style" w:hAnsi="Bookman Old Style" w:cs="Arial"/>
                <w:b/>
              </w:rPr>
            </w:pPr>
            <w:r w:rsidRPr="000630CE">
              <w:rPr>
                <w:rFonts w:ascii="Bookman Old Style" w:hAnsi="Bookman Old Style" w:cs="Arial"/>
                <w:b/>
              </w:rPr>
              <w:t>Polo Democrático</w:t>
            </w:r>
          </w:p>
          <w:p w:rsidR="002F0580" w:rsidRPr="000630CE" w:rsidRDefault="002F0580" w:rsidP="000630CE">
            <w:pPr>
              <w:tabs>
                <w:tab w:val="right" w:pos="8838"/>
              </w:tabs>
              <w:spacing w:line="276" w:lineRule="auto"/>
              <w:jc w:val="center"/>
              <w:rPr>
                <w:rFonts w:ascii="Bookman Old Style" w:hAnsi="Bookman Old Style" w:cs="Arial"/>
                <w:b/>
                <w:bCs/>
                <w:noProof/>
                <w:color w:val="000000"/>
                <w:bdr w:val="none" w:sz="0" w:space="0" w:color="auto" w:frame="1"/>
              </w:rPr>
            </w:pPr>
          </w:p>
        </w:tc>
        <w:tc>
          <w:tcPr>
            <w:tcW w:w="4559" w:type="dxa"/>
          </w:tcPr>
          <w:p w:rsidR="002F0580" w:rsidRPr="000630CE" w:rsidRDefault="002F0580" w:rsidP="000630CE">
            <w:pPr>
              <w:jc w:val="center"/>
              <w:rPr>
                <w:rFonts w:ascii="Bookman Old Style" w:hAnsi="Bookman Old Style" w:cs="Arial"/>
                <w:b/>
                <w:bCs/>
                <w:lang w:val="es-ES_tradnl"/>
              </w:rPr>
            </w:pPr>
          </w:p>
          <w:p w:rsidR="002F0580" w:rsidRPr="000630CE" w:rsidRDefault="002F0580" w:rsidP="000630CE">
            <w:pPr>
              <w:jc w:val="center"/>
              <w:rPr>
                <w:rFonts w:ascii="Bookman Old Style" w:hAnsi="Bookman Old Style" w:cs="Arial"/>
                <w:b/>
                <w:bCs/>
                <w:lang w:val="es-ES_tradnl"/>
              </w:rPr>
            </w:pPr>
          </w:p>
          <w:p w:rsidR="0013321A" w:rsidRDefault="0013321A" w:rsidP="000630CE">
            <w:pPr>
              <w:jc w:val="center"/>
              <w:rPr>
                <w:rFonts w:ascii="Bookman Old Style" w:hAnsi="Bookman Old Style" w:cs="Arial"/>
                <w:b/>
                <w:bCs/>
                <w:lang w:val="es-ES_tradnl"/>
              </w:rPr>
            </w:pPr>
          </w:p>
          <w:p w:rsidR="0013321A" w:rsidRDefault="0013321A" w:rsidP="000630CE">
            <w:pPr>
              <w:jc w:val="center"/>
              <w:rPr>
                <w:rFonts w:ascii="Bookman Old Style" w:hAnsi="Bookman Old Style" w:cs="Arial"/>
                <w:b/>
                <w:bCs/>
                <w:lang w:val="es-ES_tradnl"/>
              </w:rPr>
            </w:pPr>
          </w:p>
          <w:p w:rsidR="002F0580" w:rsidRPr="000630CE" w:rsidRDefault="002F0580" w:rsidP="000630CE">
            <w:pPr>
              <w:jc w:val="center"/>
              <w:rPr>
                <w:rFonts w:ascii="Bookman Old Style" w:hAnsi="Bookman Old Style"/>
              </w:rPr>
            </w:pPr>
            <w:r w:rsidRPr="000630CE">
              <w:rPr>
                <w:rFonts w:ascii="Bookman Old Style" w:hAnsi="Bookman Old Style" w:cs="Arial"/>
                <w:b/>
                <w:bCs/>
                <w:lang w:val="es-ES_tradnl"/>
              </w:rPr>
              <w:t>JUANITA GOEBERTUS</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2F0580" w:rsidRPr="000630CE" w:rsidRDefault="002F0580" w:rsidP="000630CE">
            <w:pPr>
              <w:jc w:val="center"/>
              <w:rPr>
                <w:rFonts w:ascii="Bookman Old Style" w:hAnsi="Bookman Old Style" w:cs="Arial"/>
                <w:b/>
                <w:bCs/>
                <w:color w:val="000000"/>
                <w:bdr w:val="none" w:sz="0" w:space="0" w:color="auto" w:frame="1"/>
              </w:rPr>
            </w:pPr>
            <w:r w:rsidRPr="000630CE">
              <w:rPr>
                <w:rFonts w:ascii="Bookman Old Style" w:hAnsi="Bookman Old Style" w:cs="Arial"/>
                <w:b/>
                <w:bCs/>
                <w:lang w:val="es-ES_tradnl"/>
              </w:rPr>
              <w:t>Alianza Verde</w:t>
            </w:r>
          </w:p>
        </w:tc>
      </w:tr>
      <w:tr w:rsidR="002F0580" w:rsidRPr="00FC2712" w:rsidTr="0013321A">
        <w:trPr>
          <w:trHeight w:val="1993"/>
          <w:jc w:val="center"/>
        </w:trPr>
        <w:tc>
          <w:tcPr>
            <w:tcW w:w="4179" w:type="dxa"/>
          </w:tcPr>
          <w:p w:rsidR="002F0580" w:rsidRPr="000630CE" w:rsidRDefault="002F0580" w:rsidP="000630CE">
            <w:pPr>
              <w:tabs>
                <w:tab w:val="right" w:pos="8838"/>
              </w:tabs>
              <w:spacing w:line="276" w:lineRule="auto"/>
              <w:jc w:val="center"/>
              <w:rPr>
                <w:rFonts w:ascii="Bookman Old Style" w:hAnsi="Bookman Old Style" w:cs="Arial"/>
                <w:b/>
                <w:bCs/>
                <w:lang w:val="es-ES_tradnl"/>
              </w:rPr>
            </w:pPr>
          </w:p>
          <w:p w:rsidR="002F0580" w:rsidRPr="000630CE" w:rsidRDefault="002F0580" w:rsidP="000630CE">
            <w:pPr>
              <w:jc w:val="center"/>
              <w:rPr>
                <w:rFonts w:ascii="Bookman Old Style" w:hAnsi="Bookman Old Style"/>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KATHERINE MIRANDA PEÑA</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c>
          <w:tcPr>
            <w:tcW w:w="4559" w:type="dxa"/>
          </w:tcPr>
          <w:p w:rsidR="002F0580" w:rsidRPr="000630CE" w:rsidRDefault="002F0580" w:rsidP="000630CE">
            <w:pPr>
              <w:tabs>
                <w:tab w:val="right" w:pos="8838"/>
              </w:tabs>
              <w:spacing w:line="276" w:lineRule="auto"/>
              <w:jc w:val="center"/>
              <w:rPr>
                <w:rFonts w:ascii="Bookman Old Style" w:hAnsi="Bookman Old Style" w:cs="Arial"/>
                <w:b/>
                <w:bCs/>
                <w:lang w:val="es-ES_tradnl"/>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CATALINA ORTIZ</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Alianza Verde</w:t>
            </w:r>
          </w:p>
        </w:tc>
      </w:tr>
      <w:tr w:rsidR="002F0580" w:rsidRPr="00FC2712" w:rsidTr="0013321A">
        <w:trPr>
          <w:jc w:val="center"/>
        </w:trPr>
        <w:tc>
          <w:tcPr>
            <w:tcW w:w="4179" w:type="dxa"/>
          </w:tcPr>
          <w:p w:rsidR="002F0580" w:rsidRPr="000630CE" w:rsidRDefault="002F0580" w:rsidP="000630CE">
            <w:pPr>
              <w:tabs>
                <w:tab w:val="right" w:pos="8838"/>
              </w:tabs>
              <w:spacing w:line="276" w:lineRule="auto"/>
              <w:jc w:val="center"/>
              <w:rPr>
                <w:rFonts w:ascii="Bookman Old Style" w:hAnsi="Bookman Old Style" w:cs="Arial"/>
                <w:b/>
                <w:bCs/>
                <w:lang w:val="es-ES_tradnl"/>
              </w:rPr>
            </w:pPr>
          </w:p>
          <w:p w:rsidR="002F0580" w:rsidRPr="000630CE" w:rsidRDefault="002F0580" w:rsidP="000630CE">
            <w:pPr>
              <w:tabs>
                <w:tab w:val="right" w:pos="8838"/>
              </w:tabs>
              <w:spacing w:line="276" w:lineRule="auto"/>
              <w:jc w:val="center"/>
              <w:rPr>
                <w:rFonts w:ascii="Bookman Old Style" w:hAnsi="Bookman Old Style" w:cs="Arial"/>
                <w:b/>
                <w:bCs/>
                <w:lang w:val="es-ES_tradnl"/>
              </w:rPr>
            </w:pPr>
          </w:p>
          <w:p w:rsidR="002F0580" w:rsidRPr="000630CE" w:rsidRDefault="002F0580" w:rsidP="000630CE">
            <w:pPr>
              <w:jc w:val="center"/>
              <w:rPr>
                <w:rFonts w:ascii="Bookman Old Style" w:hAnsi="Bookman Old Style" w:cs="Arial"/>
                <w:b/>
                <w:bCs/>
                <w:color w:val="000000"/>
                <w:bdr w:val="none" w:sz="0" w:space="0" w:color="auto" w:frame="1"/>
              </w:rPr>
            </w:pPr>
            <w:r w:rsidRPr="000630CE">
              <w:rPr>
                <w:rFonts w:ascii="Bookman Old Style" w:hAnsi="Bookman Old Style" w:cs="Arial"/>
                <w:b/>
                <w:bCs/>
                <w:color w:val="000000"/>
                <w:bdr w:val="none" w:sz="0" w:space="0" w:color="auto" w:frame="1"/>
              </w:rPr>
              <w:fldChar w:fldCharType="begin"/>
            </w:r>
            <w:r w:rsidRPr="000630CE">
              <w:rPr>
                <w:rFonts w:ascii="Bookman Old Style" w:hAnsi="Bookman Old Style" w:cs="Arial"/>
                <w:b/>
                <w:bCs/>
                <w:color w:val="000000"/>
                <w:bdr w:val="none" w:sz="0" w:space="0" w:color="auto" w:frame="1"/>
              </w:rPr>
              <w:instrText xml:space="preserve"> INCLUDEPICTURE "https://lh6.googleusercontent.com/-vKQtts3sI-Z93wGDT6r0m5j22Gk02C8nS7L3pAjn7T9-Vr4B7yaVlwnP3E8OtPn_JODB_DJ3-lrpjW0byEqceeFTNBtymDOnTEhaSjokfjxfHkxkFuymjJDbQD5LQ" \* MERGEFORMATINET </w:instrText>
            </w:r>
            <w:r w:rsidRPr="000630CE">
              <w:rPr>
                <w:rFonts w:ascii="Bookman Old Style" w:hAnsi="Bookman Old Style" w:cs="Arial"/>
                <w:b/>
                <w:bCs/>
                <w:color w:val="000000"/>
                <w:bdr w:val="none" w:sz="0" w:space="0" w:color="auto" w:frame="1"/>
              </w:rPr>
              <w:fldChar w:fldCharType="end"/>
            </w:r>
            <w:r w:rsidRPr="000630CE">
              <w:rPr>
                <w:rFonts w:ascii="Bookman Old Style" w:hAnsi="Bookman Old Style" w:cs="Arial"/>
                <w:b/>
                <w:bCs/>
                <w:lang w:val="es-ES_tradnl"/>
              </w:rPr>
              <w:t>JOSÉ DANIEL LÓPEZ</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r w:rsidRPr="000630CE">
              <w:rPr>
                <w:rFonts w:ascii="Bookman Old Style" w:hAnsi="Bookman Old Style" w:cs="Arial"/>
                <w:b/>
                <w:bCs/>
                <w:lang w:val="es-ES_tradnl"/>
              </w:rPr>
              <w:t>Representante a la Cámara</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sz w:val="22"/>
                <w:szCs w:val="22"/>
                <w:lang w:val="es-ES_tradnl"/>
              </w:rPr>
              <w:t>Cambio Radical</w:t>
            </w:r>
          </w:p>
        </w:tc>
        <w:tc>
          <w:tcPr>
            <w:tcW w:w="4559" w:type="dxa"/>
          </w:tcPr>
          <w:p w:rsidR="0013321A" w:rsidRDefault="0013321A" w:rsidP="0013321A">
            <w:pPr>
              <w:pStyle w:val="NormalWeb"/>
              <w:tabs>
                <w:tab w:val="left" w:pos="383"/>
                <w:tab w:val="center" w:pos="2171"/>
              </w:tabs>
              <w:spacing w:before="0" w:beforeAutospacing="0" w:after="0" w:afterAutospacing="0"/>
              <w:jc w:val="center"/>
              <w:rPr>
                <w:rFonts w:ascii="Bookman Old Style" w:hAnsi="Bookman Old Style" w:cs="Arial"/>
                <w:b/>
                <w:bCs/>
                <w:color w:val="000000"/>
                <w:sz w:val="22"/>
                <w:szCs w:val="22"/>
              </w:rPr>
            </w:pPr>
          </w:p>
          <w:p w:rsidR="0013321A" w:rsidRDefault="0013321A" w:rsidP="0013321A">
            <w:pPr>
              <w:pStyle w:val="NormalWeb"/>
              <w:tabs>
                <w:tab w:val="left" w:pos="383"/>
                <w:tab w:val="center" w:pos="2171"/>
              </w:tabs>
              <w:spacing w:before="0" w:beforeAutospacing="0" w:after="0" w:afterAutospacing="0"/>
              <w:jc w:val="center"/>
              <w:rPr>
                <w:rFonts w:ascii="Bookman Old Style" w:hAnsi="Bookman Old Style" w:cs="Arial"/>
                <w:b/>
                <w:bCs/>
                <w:color w:val="000000"/>
                <w:sz w:val="22"/>
                <w:szCs w:val="22"/>
              </w:rPr>
            </w:pPr>
          </w:p>
          <w:p w:rsidR="0013321A" w:rsidRPr="000630CE" w:rsidRDefault="0013321A" w:rsidP="0013321A">
            <w:pPr>
              <w:pStyle w:val="NormalWeb"/>
              <w:tabs>
                <w:tab w:val="left" w:pos="383"/>
                <w:tab w:val="center" w:pos="2171"/>
              </w:tabs>
              <w:spacing w:before="0" w:beforeAutospacing="0" w:after="0" w:afterAutospacing="0"/>
              <w:jc w:val="center"/>
              <w:rPr>
                <w:rFonts w:ascii="Bookman Old Style" w:hAnsi="Bookman Old Style"/>
                <w:sz w:val="22"/>
                <w:szCs w:val="22"/>
              </w:rPr>
            </w:pPr>
            <w:r w:rsidRPr="000630CE">
              <w:rPr>
                <w:rFonts w:ascii="Bookman Old Style" w:hAnsi="Bookman Old Style" w:cs="Arial"/>
                <w:b/>
                <w:bCs/>
                <w:color w:val="000000"/>
                <w:sz w:val="22"/>
                <w:szCs w:val="22"/>
              </w:rPr>
              <w:t>CÉSAR AUGUSTO LORDUY</w:t>
            </w:r>
          </w:p>
          <w:p w:rsidR="0013321A" w:rsidRPr="000630CE" w:rsidRDefault="0013321A" w:rsidP="0013321A">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bCs/>
                <w:color w:val="000000"/>
                <w:sz w:val="22"/>
                <w:szCs w:val="22"/>
              </w:rPr>
              <w:t>Representante a la Cámara</w:t>
            </w:r>
          </w:p>
          <w:p w:rsidR="002F0580" w:rsidRPr="000630CE" w:rsidRDefault="0013321A" w:rsidP="0013321A">
            <w:pPr>
              <w:tabs>
                <w:tab w:val="right" w:pos="8838"/>
              </w:tabs>
              <w:spacing w:line="276" w:lineRule="auto"/>
              <w:jc w:val="center"/>
              <w:rPr>
                <w:rFonts w:ascii="Bookman Old Style" w:hAnsi="Bookman Old Style" w:cs="Arial"/>
                <w:b/>
                <w:bCs/>
                <w:color w:val="000000"/>
              </w:rPr>
            </w:pPr>
            <w:r w:rsidRPr="000630CE">
              <w:rPr>
                <w:rFonts w:ascii="Bookman Old Style" w:hAnsi="Bookman Old Style" w:cs="Arial"/>
                <w:b/>
                <w:bCs/>
                <w:color w:val="000000"/>
              </w:rPr>
              <w:t>Cambio Radical</w:t>
            </w:r>
          </w:p>
        </w:tc>
      </w:tr>
      <w:tr w:rsidR="002F0580" w:rsidRPr="00FC2712" w:rsidTr="0013321A">
        <w:trPr>
          <w:jc w:val="center"/>
        </w:trPr>
        <w:tc>
          <w:tcPr>
            <w:tcW w:w="4179" w:type="dxa"/>
          </w:tcPr>
          <w:p w:rsidR="000630CE" w:rsidRDefault="000630CE" w:rsidP="000630CE">
            <w:pPr>
              <w:pStyle w:val="NormalWeb"/>
              <w:spacing w:before="0" w:beforeAutospacing="0" w:after="0" w:afterAutospacing="0"/>
              <w:jc w:val="center"/>
              <w:rPr>
                <w:rFonts w:ascii="Bookman Old Style" w:hAnsi="Bookman Old Style" w:cs="Arial"/>
                <w:b/>
                <w:bCs/>
                <w:color w:val="000000"/>
                <w:sz w:val="22"/>
                <w:szCs w:val="22"/>
              </w:rPr>
            </w:pPr>
          </w:p>
          <w:p w:rsidR="002F0580" w:rsidRPr="000630CE" w:rsidRDefault="002F0580" w:rsidP="000630CE">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bCs/>
                <w:color w:val="000000"/>
                <w:sz w:val="22"/>
                <w:szCs w:val="22"/>
              </w:rPr>
              <w:t>ALFREDO RAFAEL DELUQUE</w:t>
            </w:r>
          </w:p>
          <w:p w:rsidR="002F0580" w:rsidRPr="000630CE" w:rsidRDefault="002F0580" w:rsidP="000630CE">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color w:val="000000"/>
                <w:sz w:val="22"/>
                <w:szCs w:val="22"/>
              </w:rPr>
              <w:t>Representante a la Cámara</w:t>
            </w:r>
          </w:p>
          <w:p w:rsidR="002F0580" w:rsidRPr="000630CE" w:rsidRDefault="002F0580" w:rsidP="000630CE">
            <w:pPr>
              <w:pStyle w:val="NormalWeb"/>
              <w:spacing w:before="0" w:beforeAutospacing="0" w:after="0" w:afterAutospacing="0"/>
              <w:jc w:val="center"/>
              <w:rPr>
                <w:rFonts w:ascii="Bookman Old Style" w:hAnsi="Bookman Old Style"/>
                <w:b/>
                <w:sz w:val="22"/>
                <w:szCs w:val="22"/>
              </w:rPr>
            </w:pPr>
            <w:r w:rsidRPr="000630CE">
              <w:rPr>
                <w:rFonts w:ascii="Bookman Old Style" w:hAnsi="Bookman Old Style" w:cs="Arial"/>
                <w:b/>
                <w:color w:val="000000"/>
                <w:sz w:val="22"/>
                <w:szCs w:val="22"/>
              </w:rPr>
              <w:t>Departamento de La Guajira</w:t>
            </w:r>
          </w:p>
        </w:tc>
        <w:tc>
          <w:tcPr>
            <w:tcW w:w="4559" w:type="dxa"/>
          </w:tcPr>
          <w:p w:rsidR="0013321A" w:rsidRDefault="0013321A" w:rsidP="000630CE">
            <w:pPr>
              <w:jc w:val="center"/>
              <w:rPr>
                <w:rFonts w:ascii="Bookman Old Style" w:hAnsi="Bookman Old Style" w:cs="Arial"/>
                <w:b/>
                <w:bCs/>
                <w:noProof/>
                <w:color w:val="000000"/>
                <w:bdr w:val="none" w:sz="0" w:space="0" w:color="auto" w:frame="1"/>
              </w:rPr>
            </w:pPr>
          </w:p>
          <w:p w:rsidR="002F0580" w:rsidRPr="000630CE" w:rsidRDefault="002F0580" w:rsidP="000630CE">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INTI RAUL ASPRILLA</w:t>
            </w:r>
          </w:p>
          <w:p w:rsidR="002F0580" w:rsidRPr="000630CE" w:rsidRDefault="002F0580" w:rsidP="000630CE">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Representante a la Cámara</w:t>
            </w:r>
          </w:p>
          <w:p w:rsidR="002F0580" w:rsidRPr="000630CE" w:rsidRDefault="002F0580" w:rsidP="000630CE">
            <w:pPr>
              <w:jc w:val="center"/>
              <w:rPr>
                <w:rFonts w:ascii="Bookman Old Style" w:hAnsi="Bookman Old Style" w:cs="Arial"/>
                <w:b/>
                <w:bCs/>
                <w:noProof/>
                <w:color w:val="000000"/>
                <w:bdr w:val="none" w:sz="0" w:space="0" w:color="auto" w:frame="1"/>
              </w:rPr>
            </w:pPr>
            <w:r w:rsidRPr="000630CE">
              <w:rPr>
                <w:rFonts w:ascii="Bookman Old Style" w:hAnsi="Bookman Old Style" w:cs="Arial"/>
                <w:b/>
                <w:bCs/>
                <w:noProof/>
                <w:color w:val="000000"/>
                <w:bdr w:val="none" w:sz="0" w:space="0" w:color="auto" w:frame="1"/>
              </w:rPr>
              <w:t>Alianza Verde</w:t>
            </w:r>
          </w:p>
          <w:p w:rsidR="002F0580" w:rsidRPr="000630CE" w:rsidRDefault="002F0580" w:rsidP="000630CE">
            <w:pPr>
              <w:tabs>
                <w:tab w:val="right" w:pos="8838"/>
              </w:tabs>
              <w:spacing w:line="276" w:lineRule="auto"/>
              <w:jc w:val="center"/>
              <w:rPr>
                <w:rFonts w:ascii="Bookman Old Style" w:hAnsi="Bookman Old Style" w:cs="Arial"/>
                <w:b/>
                <w:bCs/>
                <w:lang w:val="es-ES_tradnl"/>
              </w:rPr>
            </w:pPr>
          </w:p>
        </w:tc>
      </w:tr>
      <w:tr w:rsidR="002F0580" w:rsidRPr="00FC2712" w:rsidTr="0013321A">
        <w:trPr>
          <w:jc w:val="center"/>
        </w:trPr>
        <w:tc>
          <w:tcPr>
            <w:tcW w:w="4179" w:type="dxa"/>
          </w:tcPr>
          <w:p w:rsidR="002F0580" w:rsidRPr="000630CE" w:rsidRDefault="002F0580" w:rsidP="000630CE">
            <w:pPr>
              <w:jc w:val="center"/>
              <w:rPr>
                <w:rFonts w:ascii="Bookman Old Style" w:hAnsi="Bookman Old Style" w:cs="Arial"/>
                <w:b/>
                <w:noProof/>
              </w:rPr>
            </w:pPr>
          </w:p>
          <w:p w:rsidR="002F0580" w:rsidRPr="000630CE" w:rsidRDefault="002F0580" w:rsidP="000630CE">
            <w:pPr>
              <w:jc w:val="center"/>
              <w:rPr>
                <w:rFonts w:ascii="Bookman Old Style" w:hAnsi="Bookman Old Style" w:cs="Arial"/>
                <w:b/>
                <w:noProof/>
              </w:rPr>
            </w:pPr>
            <w:r w:rsidRPr="000630CE">
              <w:rPr>
                <w:rFonts w:ascii="Bookman Old Style" w:hAnsi="Bookman Old Style" w:cs="Arial"/>
                <w:b/>
                <w:noProof/>
              </w:rPr>
              <w:t>ÁNGEL MARÍA GAITÁN</w:t>
            </w:r>
          </w:p>
          <w:p w:rsidR="002F0580" w:rsidRPr="000630CE" w:rsidRDefault="002F0580" w:rsidP="000630CE">
            <w:pPr>
              <w:jc w:val="center"/>
              <w:rPr>
                <w:rFonts w:ascii="Bookman Old Style" w:hAnsi="Bookman Old Style" w:cs="Arial"/>
                <w:b/>
                <w:noProof/>
              </w:rPr>
            </w:pPr>
            <w:r w:rsidRPr="000630CE">
              <w:rPr>
                <w:rFonts w:ascii="Bookman Old Style" w:hAnsi="Bookman Old Style" w:cs="Arial"/>
                <w:b/>
                <w:noProof/>
              </w:rPr>
              <w:t>Representante a la Cámara</w:t>
            </w:r>
          </w:p>
          <w:p w:rsidR="002F0580" w:rsidRPr="000630CE" w:rsidRDefault="002F0580" w:rsidP="000630CE">
            <w:pPr>
              <w:pStyle w:val="NormalWeb"/>
              <w:spacing w:before="0" w:beforeAutospacing="0" w:after="0" w:afterAutospacing="0"/>
              <w:jc w:val="center"/>
              <w:rPr>
                <w:rFonts w:ascii="Bookman Old Style" w:hAnsi="Bookman Old Style" w:cs="Arial"/>
                <w:b/>
                <w:bCs/>
                <w:color w:val="000000"/>
                <w:sz w:val="22"/>
                <w:szCs w:val="22"/>
              </w:rPr>
            </w:pPr>
            <w:r w:rsidRPr="000630CE">
              <w:rPr>
                <w:rFonts w:ascii="Bookman Old Style" w:hAnsi="Bookman Old Style" w:cs="Arial"/>
                <w:b/>
                <w:noProof/>
                <w:sz w:val="22"/>
                <w:szCs w:val="22"/>
              </w:rPr>
              <w:t>Partido Liberal</w:t>
            </w:r>
          </w:p>
        </w:tc>
        <w:tc>
          <w:tcPr>
            <w:tcW w:w="4559" w:type="dxa"/>
          </w:tcPr>
          <w:p w:rsidR="002F0580" w:rsidRPr="000630CE" w:rsidRDefault="002F0580" w:rsidP="000630CE">
            <w:pPr>
              <w:jc w:val="center"/>
              <w:rPr>
                <w:rFonts w:ascii="Bookman Old Style" w:hAnsi="Bookman Old Style" w:cs="Arial"/>
                <w:b/>
                <w:bCs/>
                <w:noProof/>
                <w:color w:val="000000"/>
                <w:bdr w:val="none" w:sz="0" w:space="0" w:color="auto" w:frame="1"/>
              </w:rPr>
            </w:pPr>
          </w:p>
        </w:tc>
      </w:tr>
    </w:tbl>
    <w:p w:rsidR="006A4844" w:rsidRPr="006A4844" w:rsidRDefault="006A4844" w:rsidP="002F0580">
      <w:pPr>
        <w:ind w:left="-709" w:right="-466"/>
        <w:rPr>
          <w:rFonts w:ascii="Bookman Old Style" w:eastAsia="Calibri" w:hAnsi="Bookman Old Style" w:cs="Calibri"/>
          <w:szCs w:val="24"/>
        </w:rPr>
      </w:pPr>
    </w:p>
    <w:sectPr w:rsidR="006A4844" w:rsidRPr="006A4844"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4C" w:rsidRDefault="0036234C">
      <w:r>
        <w:separator/>
      </w:r>
    </w:p>
  </w:endnote>
  <w:endnote w:type="continuationSeparator" w:id="0">
    <w:p w:rsidR="0036234C" w:rsidRDefault="0036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rsidR="00C04E96" w:rsidRDefault="00C04E96" w:rsidP="006C0501">
            <w:pPr>
              <w:pStyle w:val="Piedepgina"/>
              <w:ind w:left="-1701"/>
            </w:pPr>
            <w:r>
              <w:rPr>
                <w:noProof/>
                <w:sz w:val="20"/>
                <w:szCs w:val="20"/>
              </w:rPr>
              <w:drawing>
                <wp:anchor distT="0" distB="0" distL="114300" distR="114300" simplePos="0" relativeHeight="251659264" behindDoc="1" locked="0" layoutInCell="1" allowOverlap="1">
                  <wp:simplePos x="0" y="0"/>
                  <wp:positionH relativeFrom="column">
                    <wp:posOffset>19050</wp:posOffset>
                  </wp:positionH>
                  <wp:positionV relativeFrom="paragraph">
                    <wp:posOffset>-11430</wp:posOffset>
                  </wp:positionV>
                  <wp:extent cx="1102360" cy="564515"/>
                  <wp:effectExtent l="0" t="0" r="2540" b="0"/>
                  <wp:wrapTight wrapText="bothSides">
                    <wp:wrapPolygon edited="0">
                      <wp:start x="0" y="0"/>
                      <wp:lineTo x="0" y="20895"/>
                      <wp:lineTo x="21401" y="20895"/>
                      <wp:lineTo x="21401" y="0"/>
                      <wp:lineTo x="0" y="0"/>
                    </wp:wrapPolygon>
                  </wp:wrapTight>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02360" cy="5645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4047450</wp:posOffset>
                  </wp:positionH>
                  <wp:positionV relativeFrom="paragraph">
                    <wp:posOffset>-10819</wp:posOffset>
                  </wp:positionV>
                  <wp:extent cx="1435261" cy="52086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49393" cy="52599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997F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7F25">
              <w:rPr>
                <w:b/>
                <w:bCs/>
                <w:noProof/>
              </w:rPr>
              <w:t>33</w:t>
            </w:r>
            <w:r>
              <w:rPr>
                <w:b/>
                <w:bCs/>
                <w:sz w:val="24"/>
                <w:szCs w:val="24"/>
              </w:rPr>
              <w:fldChar w:fldCharType="end"/>
            </w:r>
          </w:p>
        </w:sdtContent>
      </w:sdt>
    </w:sdtContent>
  </w:sdt>
  <w:p w:rsidR="00C04E96" w:rsidRDefault="00C04E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4C" w:rsidRDefault="0036234C">
      <w:r>
        <w:separator/>
      </w:r>
    </w:p>
  </w:footnote>
  <w:footnote w:type="continuationSeparator" w:id="0">
    <w:p w:rsidR="0036234C" w:rsidRDefault="0036234C">
      <w:r>
        <w:continuationSeparator/>
      </w:r>
    </w:p>
  </w:footnote>
  <w:footnote w:id="1">
    <w:p w:rsidR="00C04E96" w:rsidRPr="00EC7C59" w:rsidRDefault="00C04E96" w:rsidP="00510F82">
      <w:pPr>
        <w:pStyle w:val="Textonotapie"/>
        <w:rPr>
          <w:rFonts w:ascii="Times New Roman" w:hAnsi="Times New Roman" w:cs="Times New Roman"/>
          <w:sz w:val="14"/>
          <w:szCs w:val="14"/>
        </w:rPr>
      </w:pPr>
      <w:r w:rsidRPr="00EC7C59">
        <w:rPr>
          <w:rStyle w:val="Refdenotaalpie"/>
          <w:rFonts w:ascii="Times New Roman" w:hAnsi="Times New Roman" w:cs="Times New Roman"/>
          <w:sz w:val="14"/>
          <w:szCs w:val="14"/>
        </w:rPr>
        <w:footnoteRef/>
      </w:r>
      <w:r w:rsidRPr="00EC7C59">
        <w:rPr>
          <w:rFonts w:ascii="Times New Roman" w:hAnsi="Times New Roman" w:cs="Times New Roman"/>
          <w:sz w:val="14"/>
          <w:szCs w:val="14"/>
        </w:rPr>
        <w:t xml:space="preserve"> </w:t>
      </w:r>
      <w:r w:rsidRPr="00EC7C59">
        <w:rPr>
          <w:rFonts w:ascii="Times New Roman" w:eastAsia="Calibri" w:hAnsi="Times New Roman" w:cs="Times New Roman"/>
          <w:sz w:val="14"/>
          <w:szCs w:val="14"/>
        </w:rPr>
        <w:t>“</w:t>
      </w:r>
      <w:r w:rsidRPr="00EC7C59">
        <w:rPr>
          <w:rFonts w:ascii="Times New Roman" w:eastAsia="Calibri" w:hAnsi="Times New Roman" w:cs="Times New Roman"/>
          <w:i/>
          <w:sz w:val="14"/>
          <w:szCs w:val="14"/>
        </w:rPr>
        <w:t>Por el cual se reforma el artículo 49 de la Constitución Política</w:t>
      </w:r>
      <w:r w:rsidRPr="00EC7C59">
        <w:rPr>
          <w:rFonts w:ascii="Times New Roman" w:eastAsia="Calibri" w:hAnsi="Times New Roman" w:cs="Times New Roman"/>
          <w:sz w:val="14"/>
          <w:szCs w:val="14"/>
        </w:rPr>
        <w:t>.”</w:t>
      </w:r>
    </w:p>
  </w:footnote>
  <w:footnote w:id="2">
    <w:p w:rsidR="00C04E96" w:rsidRPr="00EC7C59" w:rsidRDefault="00C04E96" w:rsidP="00510F82">
      <w:pPr>
        <w:pStyle w:val="Textonotapie"/>
        <w:jc w:val="both"/>
        <w:rPr>
          <w:rFonts w:ascii="Times New Roman" w:hAnsi="Times New Roman" w:cs="Times New Roman"/>
          <w:sz w:val="14"/>
          <w:szCs w:val="14"/>
        </w:rPr>
      </w:pPr>
      <w:r w:rsidRPr="00EC7C59">
        <w:rPr>
          <w:rStyle w:val="Refdenotaalpie"/>
          <w:rFonts w:ascii="Times New Roman" w:hAnsi="Times New Roman" w:cs="Times New Roman"/>
          <w:sz w:val="14"/>
          <w:szCs w:val="14"/>
        </w:rPr>
        <w:footnoteRef/>
      </w:r>
      <w:r w:rsidRPr="00EC7C59">
        <w:rPr>
          <w:rFonts w:ascii="Times New Roman" w:hAnsi="Times New Roman" w:cs="Times New Roman"/>
          <w:sz w:val="14"/>
          <w:szCs w:val="14"/>
        </w:rPr>
        <w:t xml:space="preserve"> </w:t>
      </w:r>
      <w:r w:rsidRPr="00EC7C59">
        <w:rPr>
          <w:rFonts w:ascii="Times New Roman" w:hAnsi="Times New Roman" w:cs="Times New Roman"/>
          <w:i/>
          <w:iCs/>
          <w:sz w:val="14"/>
          <w:szCs w:val="14"/>
        </w:rPr>
        <w:t>Roberto Serpa Flórez, Psiquiatría médica y jurídica, 2007.</w:t>
      </w:r>
    </w:p>
  </w:footnote>
  <w:footnote w:id="3">
    <w:p w:rsidR="00C04E96" w:rsidRPr="00EC7C59" w:rsidRDefault="00C04E96" w:rsidP="00510F82">
      <w:pPr>
        <w:pStyle w:val="Textonotapie"/>
        <w:jc w:val="both"/>
        <w:rPr>
          <w:rFonts w:ascii="Times New Roman" w:hAnsi="Times New Roman" w:cs="Times New Roman"/>
          <w:i/>
          <w:iCs/>
          <w:sz w:val="14"/>
          <w:szCs w:val="14"/>
        </w:rPr>
      </w:pPr>
      <w:r w:rsidRPr="00EC7C59">
        <w:rPr>
          <w:rStyle w:val="Refdenotaalpie"/>
          <w:rFonts w:ascii="Times New Roman" w:hAnsi="Times New Roman" w:cs="Times New Roman"/>
          <w:i/>
          <w:iCs/>
          <w:sz w:val="14"/>
          <w:szCs w:val="14"/>
        </w:rPr>
        <w:footnoteRef/>
      </w:r>
      <w:r w:rsidRPr="00EC7C59">
        <w:rPr>
          <w:rFonts w:ascii="Times New Roman" w:hAnsi="Times New Roman" w:cs="Times New Roman"/>
          <w:i/>
          <w:iCs/>
          <w:sz w:val="14"/>
          <w:szCs w:val="14"/>
        </w:rPr>
        <w:t xml:space="preserve"> </w:t>
      </w:r>
      <w:r w:rsidRPr="00EC7C59">
        <w:rPr>
          <w:rFonts w:ascii="Times New Roman" w:eastAsia="Calibri" w:hAnsi="Times New Roman" w:cs="Times New Roman"/>
          <w:i/>
          <w:iCs/>
          <w:sz w:val="14"/>
          <w:szCs w:val="14"/>
        </w:rPr>
        <w:t>(la categoría más restrictiva de la convención sobre drogas de 1961 que reúne las sustancias que se consideran particularmente dañinas y con beneficios médicos limitados).</w:t>
      </w:r>
    </w:p>
  </w:footnote>
  <w:footnote w:id="4">
    <w:p w:rsidR="00C04E96" w:rsidRPr="00EC7C59" w:rsidRDefault="00C04E96" w:rsidP="00510F82">
      <w:pPr>
        <w:pStyle w:val="Textonotapie"/>
        <w:jc w:val="both"/>
        <w:rPr>
          <w:rFonts w:ascii="Times New Roman" w:hAnsi="Times New Roman" w:cs="Times New Roman"/>
          <w:b/>
          <w:bCs/>
          <w:sz w:val="14"/>
          <w:szCs w:val="14"/>
        </w:rPr>
      </w:pPr>
      <w:r w:rsidRPr="00EC7C59">
        <w:rPr>
          <w:rStyle w:val="Refdenotaalpie"/>
          <w:rFonts w:ascii="Times New Roman" w:hAnsi="Times New Roman" w:cs="Times New Roman"/>
          <w:sz w:val="14"/>
          <w:szCs w:val="14"/>
        </w:rPr>
        <w:footnoteRef/>
      </w:r>
      <w:r w:rsidRPr="00EC7C59">
        <w:rPr>
          <w:rFonts w:ascii="Times New Roman" w:hAnsi="Times New Roman" w:cs="Times New Roman"/>
          <w:sz w:val="14"/>
          <w:szCs w:val="14"/>
        </w:rPr>
        <w:t xml:space="preserve"> </w:t>
      </w:r>
      <w:r w:rsidRPr="00EC7C59">
        <w:rPr>
          <w:rFonts w:ascii="Times New Roman" w:hAnsi="Times New Roman" w:cs="Times New Roman"/>
          <w:i/>
          <w:iCs/>
          <w:sz w:val="14"/>
          <w:szCs w:val="14"/>
        </w:rPr>
        <w:t>International Drug Policy Consortium, 2019. La OMS cambia su posición con respecto a la marihuana, recuperado de: https://idpc.net/es/alerts/2019/02/la-OMS-cambia-su-posicion#.XTS1wX3xB0k.whatsapp.</w:t>
      </w:r>
    </w:p>
  </w:footnote>
  <w:footnote w:id="5">
    <w:p w:rsidR="00C04E96" w:rsidRPr="00EC7C59" w:rsidRDefault="00C04E96" w:rsidP="00F36280">
      <w:pPr>
        <w:jc w:val="both"/>
        <w:rPr>
          <w:i/>
          <w:sz w:val="16"/>
          <w:szCs w:val="16"/>
        </w:rPr>
      </w:pPr>
      <w:r w:rsidRPr="00EC7C59">
        <w:rPr>
          <w:rStyle w:val="Refdenotaalpie"/>
          <w:i/>
          <w:sz w:val="16"/>
          <w:szCs w:val="16"/>
        </w:rPr>
        <w:footnoteRef/>
      </w:r>
      <w:r w:rsidRPr="00EC7C59">
        <w:rPr>
          <w:i/>
          <w:sz w:val="16"/>
          <w:szCs w:val="16"/>
        </w:rPr>
        <w:t xml:space="preserve"> Corte Constitucional, Comunicado de Prensa del 6 de junio de 2019.</w:t>
      </w:r>
    </w:p>
  </w:footnote>
  <w:footnote w:id="6">
    <w:p w:rsidR="00C04E96" w:rsidRPr="001E18FE" w:rsidRDefault="00C04E96" w:rsidP="00F36280">
      <w:pPr>
        <w:pStyle w:val="Textonotapie"/>
        <w:jc w:val="both"/>
        <w:rPr>
          <w:rFonts w:ascii="Times New Roman" w:hAnsi="Times New Roman" w:cs="Times New Roman"/>
        </w:rPr>
      </w:pPr>
      <w:r w:rsidRPr="00EC7C59">
        <w:rPr>
          <w:rStyle w:val="Refdenotaalpie"/>
          <w:rFonts w:ascii="Times New Roman" w:hAnsi="Times New Roman" w:cs="Times New Roman"/>
          <w:i/>
          <w:sz w:val="16"/>
          <w:szCs w:val="16"/>
        </w:rPr>
        <w:footnoteRef/>
      </w:r>
      <w:r w:rsidRPr="00EC7C59">
        <w:rPr>
          <w:rFonts w:ascii="Times New Roman" w:hAnsi="Times New Roman" w:cs="Times New Roman"/>
          <w:i/>
          <w:sz w:val="16"/>
          <w:szCs w:val="16"/>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7">
    <w:p w:rsidR="00C04E96" w:rsidRPr="00F62A94" w:rsidRDefault="00C04E96">
      <w:pPr>
        <w:pStyle w:val="Textonotapie"/>
      </w:pPr>
      <w:r>
        <w:rPr>
          <w:rStyle w:val="Refdenotaalpie"/>
        </w:rPr>
        <w:footnoteRef/>
      </w:r>
      <w:r w:rsidRPr="001E18FE">
        <w:rPr>
          <w:rFonts w:ascii="Bookman Old Style" w:hAnsi="Bookman Old Style"/>
          <w:i/>
          <w:sz w:val="16"/>
          <w:szCs w:val="16"/>
        </w:rPr>
        <w:t xml:space="preserve"> https://www.drugpolicy.org/issues/marijuana-legalization-and-regulation</w:t>
      </w:r>
    </w:p>
  </w:footnote>
  <w:footnote w:id="8">
    <w:p w:rsidR="00C04E96" w:rsidRPr="000D695E" w:rsidRDefault="00C04E96" w:rsidP="00F36280">
      <w:pPr>
        <w:pStyle w:val="Textonotapie"/>
        <w:jc w:val="both"/>
        <w:rPr>
          <w:rFonts w:ascii="Times New Roman" w:hAnsi="Times New Roman" w:cs="Times New Roman"/>
          <w:i/>
          <w:sz w:val="16"/>
          <w:szCs w:val="16"/>
          <w:lang w:val="en-US"/>
        </w:rPr>
      </w:pPr>
      <w:r w:rsidRPr="00EC7C59">
        <w:rPr>
          <w:rStyle w:val="Refdenotaalpie"/>
          <w:rFonts w:ascii="Times New Roman" w:hAnsi="Times New Roman" w:cs="Times New Roman"/>
          <w:i/>
          <w:sz w:val="16"/>
          <w:szCs w:val="16"/>
        </w:rPr>
        <w:footnoteRef/>
      </w:r>
      <w:r w:rsidRPr="00644E30">
        <w:rPr>
          <w:rFonts w:ascii="Times New Roman" w:hAnsi="Times New Roman" w:cs="Times New Roman"/>
          <w:i/>
          <w:sz w:val="16"/>
          <w:szCs w:val="16"/>
          <w:lang w:val="en-US"/>
        </w:rPr>
        <w:t xml:space="preserve"> Drug Policy Alliance. 2018. From Prohibition to Progress: A Status Report on Marijuana Legalization. What We Know About Marijuana Legalization i</w:t>
      </w:r>
      <w:r w:rsidRPr="000D695E">
        <w:rPr>
          <w:rFonts w:ascii="Times New Roman" w:hAnsi="Times New Roman" w:cs="Times New Roman"/>
          <w:i/>
          <w:sz w:val="16"/>
          <w:szCs w:val="16"/>
          <w:lang w:val="en-US"/>
        </w:rPr>
        <w:t>n Eight States and Washington, D.C. (pp.2) Recuperado de: http://fileserver.idpc.net/library/dpa_marijuana_legalization_report_v8_0.pdf</w:t>
      </w:r>
    </w:p>
  </w:footnote>
  <w:footnote w:id="9">
    <w:p w:rsidR="00C04E96" w:rsidRPr="001E18FE" w:rsidRDefault="00C04E96" w:rsidP="00F36280">
      <w:pPr>
        <w:pStyle w:val="Textonotapie"/>
        <w:jc w:val="both"/>
        <w:rPr>
          <w:rFonts w:ascii="Times New Roman" w:hAnsi="Times New Roman" w:cs="Times New Roman"/>
          <w:lang w:val="en-US"/>
        </w:rPr>
      </w:pPr>
      <w:r w:rsidRPr="00A56F31">
        <w:rPr>
          <w:rStyle w:val="Refdenotaalpie"/>
          <w:rFonts w:ascii="Times New Roman" w:hAnsi="Times New Roman" w:cs="Times New Roman"/>
          <w:i/>
          <w:sz w:val="16"/>
          <w:szCs w:val="16"/>
        </w:rPr>
        <w:footnoteRef/>
      </w:r>
      <w:r w:rsidRPr="0086491B">
        <w:rPr>
          <w:rFonts w:ascii="Times New Roman" w:hAnsi="Times New Roman" w:cs="Times New Roman"/>
          <w:i/>
          <w:sz w:val="16"/>
          <w:szCs w:val="16"/>
          <w:lang w:val="en-US"/>
        </w:rPr>
        <w:t xml:space="preserve"> Ibidem.</w:t>
      </w:r>
    </w:p>
  </w:footnote>
  <w:footnote w:id="10">
    <w:p w:rsidR="00C04E96" w:rsidRPr="00A56F31" w:rsidRDefault="00C04E96" w:rsidP="00F36280">
      <w:pPr>
        <w:pStyle w:val="Textonotapie"/>
        <w:jc w:val="both"/>
        <w:rPr>
          <w:rFonts w:ascii="Times New Roman" w:hAnsi="Times New Roman" w:cs="Times New Roman"/>
          <w:i/>
          <w:sz w:val="16"/>
          <w:szCs w:val="16"/>
        </w:rPr>
      </w:pPr>
      <w:r w:rsidRPr="00EC7C59">
        <w:rPr>
          <w:rStyle w:val="Refdenotaalpie"/>
          <w:rFonts w:ascii="Times New Roman" w:hAnsi="Times New Roman" w:cs="Times New Roman"/>
          <w:i/>
          <w:sz w:val="16"/>
          <w:szCs w:val="16"/>
        </w:rPr>
        <w:footnoteRef/>
      </w:r>
      <w:r w:rsidRPr="00644E30">
        <w:rPr>
          <w:rFonts w:ascii="Times New Roman" w:hAnsi="Times New Roman" w:cs="Times New Roman"/>
          <w:i/>
          <w:sz w:val="16"/>
          <w:szCs w:val="16"/>
          <w:lang w:val="en-US"/>
        </w:rPr>
        <w:t xml:space="preserve"> Drug Policy Alliance. 2018. From Prohibition to Progress: A Status Report on Marijuana Legalization. What We</w:t>
      </w:r>
      <w:r w:rsidRPr="000D695E">
        <w:rPr>
          <w:rFonts w:ascii="Times New Roman" w:hAnsi="Times New Roman" w:cs="Times New Roman"/>
          <w:i/>
          <w:sz w:val="16"/>
          <w:szCs w:val="16"/>
          <w:lang w:val="en-US"/>
        </w:rPr>
        <w:t xml:space="preserve"> Know About Marijuana Legalization in Eight States and Washington, D.C.  </w:t>
      </w:r>
      <w:r w:rsidRPr="00A56F31">
        <w:rPr>
          <w:rFonts w:ascii="Times New Roman" w:hAnsi="Times New Roman" w:cs="Times New Roman"/>
          <w:i/>
          <w:sz w:val="16"/>
          <w:szCs w:val="16"/>
        </w:rPr>
        <w:t>(Pp.1) Recuperado de: http://fileserver.idpc.net/library/dpa_marijuana_legalization_report_v8_0.pdf</w:t>
      </w:r>
    </w:p>
  </w:footnote>
  <w:footnote w:id="11">
    <w:p w:rsidR="00C04E96" w:rsidRPr="0086491B" w:rsidRDefault="00C04E96" w:rsidP="00F36280">
      <w:pPr>
        <w:pStyle w:val="Textonotapie"/>
        <w:jc w:val="both"/>
        <w:rPr>
          <w:rFonts w:ascii="Times New Roman" w:hAnsi="Times New Roman" w:cs="Times New Roman"/>
          <w:i/>
          <w:sz w:val="16"/>
          <w:szCs w:val="16"/>
          <w:lang w:val="en-US"/>
        </w:rPr>
      </w:pPr>
      <w:r w:rsidRPr="0086491B">
        <w:rPr>
          <w:rStyle w:val="Refdenotaalpie"/>
          <w:rFonts w:ascii="Times New Roman" w:hAnsi="Times New Roman" w:cs="Times New Roman"/>
          <w:i/>
          <w:sz w:val="16"/>
          <w:szCs w:val="16"/>
        </w:rPr>
        <w:footnoteRef/>
      </w:r>
      <w:r w:rsidRPr="0086491B">
        <w:rPr>
          <w:rFonts w:ascii="Times New Roman" w:hAnsi="Times New Roman" w:cs="Times New Roman"/>
          <w:i/>
          <w:sz w:val="16"/>
          <w:szCs w:val="16"/>
          <w:lang w:val="en-US"/>
        </w:rPr>
        <w:t xml:space="preserve"> Ibidem</w:t>
      </w:r>
    </w:p>
  </w:footnote>
  <w:footnote w:id="12">
    <w:p w:rsidR="00C04E96" w:rsidRPr="005A693D" w:rsidRDefault="00C04E96" w:rsidP="00F36280">
      <w:pPr>
        <w:pStyle w:val="Textonotapie"/>
        <w:jc w:val="both"/>
        <w:rPr>
          <w:rFonts w:ascii="Times New Roman" w:hAnsi="Times New Roman" w:cs="Times New Roman"/>
          <w:sz w:val="16"/>
          <w:szCs w:val="16"/>
        </w:rPr>
      </w:pPr>
      <w:r w:rsidRPr="002566D0">
        <w:rPr>
          <w:rStyle w:val="Refdenotaalpie"/>
          <w:rFonts w:ascii="Times New Roman" w:hAnsi="Times New Roman" w:cs="Times New Roman"/>
          <w:i/>
          <w:sz w:val="16"/>
          <w:szCs w:val="16"/>
        </w:rPr>
        <w:footnoteRef/>
      </w:r>
      <w:r w:rsidRPr="00673F79">
        <w:rPr>
          <w:rFonts w:ascii="Times New Roman" w:hAnsi="Times New Roman" w:cs="Times New Roman"/>
          <w:i/>
          <w:sz w:val="16"/>
          <w:szCs w:val="16"/>
          <w:lang w:val="en-US"/>
        </w:rPr>
        <w:t xml:space="preserve"> Drug Policy Alliance. 2018. From Prohibition to Progress: A Status Repor</w:t>
      </w:r>
      <w:r w:rsidRPr="00A04304">
        <w:rPr>
          <w:rFonts w:ascii="Times New Roman" w:hAnsi="Times New Roman" w:cs="Times New Roman"/>
          <w:i/>
          <w:sz w:val="16"/>
          <w:szCs w:val="16"/>
          <w:lang w:val="en-US"/>
        </w:rPr>
        <w:t xml:space="preserve">t on Marijuana Legalization. What We Know About Marijuana Legalization in Eight States and Washington, D.C.  </w:t>
      </w:r>
      <w:r w:rsidRPr="005A693D">
        <w:rPr>
          <w:rFonts w:ascii="Times New Roman" w:hAnsi="Times New Roman" w:cs="Times New Roman"/>
          <w:i/>
          <w:sz w:val="16"/>
          <w:szCs w:val="16"/>
        </w:rPr>
        <w:t>(Pp.2) Recuperado de: http://fileserver.idpc.net/library/dpa_marijuana_legalization_report_v8_0.pdf</w:t>
      </w:r>
    </w:p>
  </w:footnote>
  <w:footnote w:id="13">
    <w:p w:rsidR="00C04E96" w:rsidRPr="001E18FE" w:rsidRDefault="00C04E96" w:rsidP="00F36280">
      <w:pPr>
        <w:pStyle w:val="Textonotapie"/>
        <w:jc w:val="both"/>
        <w:rPr>
          <w:rFonts w:ascii="Times New Roman" w:hAnsi="Times New Roman" w:cs="Times New Roman"/>
          <w:i/>
          <w:lang w:val="en-US"/>
        </w:rPr>
      </w:pPr>
      <w:r w:rsidRPr="00D740BA">
        <w:rPr>
          <w:rStyle w:val="Refdenotaalpie"/>
          <w:rFonts w:ascii="Times New Roman" w:hAnsi="Times New Roman" w:cs="Times New Roman"/>
          <w:i/>
          <w:sz w:val="16"/>
          <w:szCs w:val="16"/>
        </w:rPr>
        <w:footnoteRef/>
      </w:r>
      <w:r w:rsidRPr="00D740BA">
        <w:rPr>
          <w:rFonts w:ascii="Times New Roman" w:hAnsi="Times New Roman" w:cs="Times New Roman"/>
          <w:i/>
          <w:sz w:val="16"/>
          <w:szCs w:val="16"/>
          <w:lang w:val="en-US"/>
        </w:rPr>
        <w:t xml:space="preserve"> Ibidem.</w:t>
      </w:r>
    </w:p>
  </w:footnote>
  <w:footnote w:id="14">
    <w:p w:rsidR="00C04E96" w:rsidRPr="00A56F31" w:rsidRDefault="00C04E96" w:rsidP="00F36280">
      <w:pPr>
        <w:pStyle w:val="Textonotapie"/>
        <w:jc w:val="both"/>
        <w:rPr>
          <w:rFonts w:ascii="Times New Roman" w:hAnsi="Times New Roman" w:cs="Times New Roman"/>
          <w:i/>
          <w:sz w:val="16"/>
          <w:szCs w:val="16"/>
        </w:rPr>
      </w:pPr>
      <w:r w:rsidRPr="00EC7C59">
        <w:rPr>
          <w:rStyle w:val="Refdenotaalpie"/>
          <w:rFonts w:ascii="Times New Roman" w:hAnsi="Times New Roman" w:cs="Times New Roman"/>
          <w:i/>
          <w:sz w:val="16"/>
          <w:szCs w:val="16"/>
        </w:rPr>
        <w:footnoteRef/>
      </w:r>
      <w:r w:rsidRPr="00644E30">
        <w:rPr>
          <w:rFonts w:ascii="Times New Roman" w:hAnsi="Times New Roman" w:cs="Times New Roman"/>
          <w:i/>
          <w:sz w:val="16"/>
          <w:szCs w:val="16"/>
          <w:lang w:val="en-US"/>
        </w:rPr>
        <w:t xml:space="preserve"> Drug Policy Alliance. 2018. From Pr</w:t>
      </w:r>
      <w:r w:rsidRPr="000D695E">
        <w:rPr>
          <w:rFonts w:ascii="Times New Roman" w:hAnsi="Times New Roman" w:cs="Times New Roman"/>
          <w:i/>
          <w:sz w:val="16"/>
          <w:szCs w:val="16"/>
          <w:lang w:val="en-US"/>
        </w:rPr>
        <w:t xml:space="preserve">ohibition to Progress: A Status Report on Marijuana Legalization. What We Know About Marijuana Legalization in Eight States and Washington, D.C.  </w:t>
      </w:r>
      <w:r w:rsidRPr="00A56F31">
        <w:rPr>
          <w:rFonts w:ascii="Times New Roman" w:hAnsi="Times New Roman" w:cs="Times New Roman"/>
          <w:i/>
          <w:sz w:val="16"/>
          <w:szCs w:val="16"/>
        </w:rPr>
        <w:t xml:space="preserve">(Pp.2) Recuperado de: http://fileserver.idpc.net/library/dpa_marijuana_legalization_report_v8_0.pdf    </w:t>
      </w:r>
    </w:p>
  </w:footnote>
  <w:footnote w:id="15">
    <w:p w:rsidR="00C04E96" w:rsidRPr="001E18FE" w:rsidRDefault="00C04E96">
      <w:pPr>
        <w:pStyle w:val="Textonotapie"/>
        <w:rPr>
          <w:rFonts w:ascii="Bookman Old Style" w:hAnsi="Bookman Old Style"/>
          <w:i/>
          <w:sz w:val="16"/>
          <w:szCs w:val="16"/>
        </w:rPr>
      </w:pPr>
      <w:r w:rsidRPr="001E18FE">
        <w:rPr>
          <w:rStyle w:val="Refdenotaalpie"/>
          <w:rFonts w:ascii="Bookman Old Style" w:hAnsi="Bookman Old Style"/>
          <w:i/>
          <w:sz w:val="16"/>
          <w:szCs w:val="16"/>
        </w:rPr>
        <w:footnoteRef/>
      </w:r>
      <w:r w:rsidRPr="001E18FE">
        <w:rPr>
          <w:rFonts w:ascii="Bookman Old Style" w:hAnsi="Bookman Old Style"/>
          <w:i/>
          <w:sz w:val="16"/>
          <w:szCs w:val="16"/>
        </w:rPr>
        <w:t xml:space="preserve"> https://www.nytimes.com/2019/12/03/business/hemp-producers-banks.html</w:t>
      </w:r>
    </w:p>
  </w:footnote>
  <w:footnote w:id="16">
    <w:p w:rsidR="00C04E96" w:rsidRPr="001E18FE" w:rsidRDefault="00C04E96">
      <w:pPr>
        <w:pStyle w:val="Textonotapie"/>
        <w:rPr>
          <w:rFonts w:ascii="Bookman Old Style" w:hAnsi="Bookman Old Style"/>
          <w:i/>
          <w:sz w:val="16"/>
          <w:szCs w:val="16"/>
        </w:rPr>
      </w:pPr>
      <w:r w:rsidRPr="001E18FE">
        <w:rPr>
          <w:rStyle w:val="Refdenotaalpie"/>
          <w:rFonts w:ascii="Bookman Old Style" w:hAnsi="Bookman Old Style"/>
          <w:i/>
          <w:sz w:val="16"/>
          <w:szCs w:val="16"/>
        </w:rPr>
        <w:footnoteRef/>
      </w:r>
      <w:r w:rsidRPr="001E18FE">
        <w:rPr>
          <w:rFonts w:ascii="Bookman Old Style" w:hAnsi="Bookman Old Style"/>
          <w:i/>
          <w:sz w:val="16"/>
          <w:szCs w:val="16"/>
        </w:rPr>
        <w:t xml:space="preserve"> https://www.law360.com/articles/1286752/congress-could-still-pass-cannabis-legislation-in-2020</w:t>
      </w:r>
    </w:p>
  </w:footnote>
  <w:footnote w:id="17">
    <w:p w:rsidR="00C04E96" w:rsidRPr="0086491B" w:rsidRDefault="00C04E96" w:rsidP="00F36280">
      <w:pPr>
        <w:pStyle w:val="Textonotapie"/>
        <w:jc w:val="both"/>
        <w:rPr>
          <w:rFonts w:ascii="Times New Roman" w:hAnsi="Times New Roman" w:cs="Times New Roman"/>
          <w:i/>
          <w:sz w:val="16"/>
          <w:szCs w:val="16"/>
        </w:rPr>
      </w:pPr>
      <w:r w:rsidRPr="00A56F31">
        <w:rPr>
          <w:rStyle w:val="Refdenotaalpie"/>
          <w:rFonts w:ascii="Times New Roman" w:hAnsi="Times New Roman" w:cs="Times New Roman"/>
          <w:i/>
          <w:sz w:val="16"/>
          <w:szCs w:val="16"/>
        </w:rPr>
        <w:footnoteRef/>
      </w:r>
      <w:r w:rsidRPr="0086491B">
        <w:rPr>
          <w:rFonts w:ascii="Times New Roman" w:hAnsi="Times New Roman" w:cs="Times New Roman"/>
          <w:i/>
          <w:sz w:val="16"/>
          <w:szCs w:val="16"/>
          <w:lang w:val="en-US"/>
        </w:rPr>
        <w:t xml:space="preserve"> Moody´s. 2018. Recreational Marijuana Tax Revenues are Marginal Credit Positives. </w:t>
      </w:r>
      <w:r w:rsidRPr="0086491B">
        <w:rPr>
          <w:rFonts w:ascii="Times New Roman" w:hAnsi="Times New Roman" w:cs="Times New Roman"/>
          <w:i/>
          <w:sz w:val="16"/>
          <w:szCs w:val="16"/>
        </w:rPr>
        <w:t>Recuperado de: https://www.capitaliq.com/CIQDotNet/CreditResearch/RenderArticle.aspx?articleId=2170361&amp;SctArtId=467339&amp;from=CM&amp;nsl_code=LIME&amp;sourceObjectId=10882078&amp;sourceRevId=3&amp;fee_ind=N&amp;exp_date=20290221-02:28:22</w:t>
      </w:r>
    </w:p>
  </w:footnote>
  <w:footnote w:id="18">
    <w:p w:rsidR="00C04E96" w:rsidRPr="00673F79" w:rsidRDefault="00C04E96" w:rsidP="00F36280">
      <w:pPr>
        <w:pStyle w:val="Textonotapie"/>
        <w:jc w:val="both"/>
        <w:rPr>
          <w:rFonts w:ascii="Times New Roman" w:hAnsi="Times New Roman" w:cs="Times New Roman"/>
          <w:i/>
          <w:sz w:val="16"/>
          <w:szCs w:val="16"/>
          <w:lang w:val="en-US"/>
        </w:rPr>
      </w:pPr>
      <w:r w:rsidRPr="0086491B">
        <w:rPr>
          <w:rStyle w:val="Refdenotaalpie"/>
          <w:rFonts w:ascii="Times New Roman" w:hAnsi="Times New Roman" w:cs="Times New Roman"/>
          <w:i/>
          <w:sz w:val="16"/>
          <w:szCs w:val="16"/>
        </w:rPr>
        <w:footnoteRef/>
      </w:r>
      <w:r w:rsidRPr="0086491B">
        <w:rPr>
          <w:rFonts w:ascii="Times New Roman" w:hAnsi="Times New Roman" w:cs="Times New Roman"/>
          <w:i/>
          <w:sz w:val="16"/>
          <w:szCs w:val="16"/>
          <w:lang w:val="en-US"/>
        </w:rPr>
        <w:t xml:space="preserve"> Drug Policy Alliance. 2018. From Prohibition to Progress: A Status Report on Marijuana Legalization. What We Know About Marijuana Legalization in Eight States and Washington, D.C. Recuperado de: http://fileserver.idp</w:t>
      </w:r>
      <w:r w:rsidRPr="00673F79">
        <w:rPr>
          <w:rFonts w:ascii="Times New Roman" w:hAnsi="Times New Roman" w:cs="Times New Roman"/>
          <w:i/>
          <w:sz w:val="16"/>
          <w:szCs w:val="16"/>
          <w:lang w:val="en-US"/>
        </w:rPr>
        <w:t>c.net/library/dpa_marijuana_legalization_report_v8_0.pdf</w:t>
      </w:r>
    </w:p>
  </w:footnote>
  <w:footnote w:id="19">
    <w:p w:rsidR="00C04E96" w:rsidRPr="001E18FE" w:rsidRDefault="00C04E96" w:rsidP="00F36280">
      <w:pPr>
        <w:pStyle w:val="Textonotapie"/>
        <w:jc w:val="both"/>
        <w:rPr>
          <w:rFonts w:ascii="Times New Roman" w:hAnsi="Times New Roman" w:cs="Times New Roman"/>
        </w:rPr>
      </w:pPr>
      <w:r w:rsidRPr="00A04304">
        <w:rPr>
          <w:rStyle w:val="Refdenotaalpie"/>
          <w:rFonts w:ascii="Times New Roman" w:hAnsi="Times New Roman" w:cs="Times New Roman"/>
          <w:i/>
          <w:sz w:val="16"/>
          <w:szCs w:val="16"/>
        </w:rPr>
        <w:footnoteRef/>
      </w:r>
      <w:r w:rsidRPr="00A04304">
        <w:rPr>
          <w:rFonts w:ascii="Times New Roman" w:hAnsi="Times New Roman" w:cs="Times New Roman"/>
          <w:i/>
          <w:sz w:val="16"/>
          <w:szCs w:val="16"/>
          <w:lang w:val="en-US"/>
        </w:rPr>
        <w:t xml:space="preserve"> Blumenauer, E. 2018. The Path Forward: Rethinking Federal Marijuana Policy. </w:t>
      </w:r>
      <w:r w:rsidRPr="00157A02">
        <w:rPr>
          <w:rFonts w:ascii="Times New Roman" w:hAnsi="Times New Roman" w:cs="Times New Roman"/>
          <w:i/>
          <w:sz w:val="16"/>
          <w:szCs w:val="16"/>
        </w:rPr>
        <w:t>(P.p.10).  Recuperado de: https://blumenauer.house.gov/sites/blumenauer.house.gov/files/BlumenauerReport_ThePathForward.p</w:t>
      </w:r>
      <w:r w:rsidRPr="00E13EFE">
        <w:rPr>
          <w:rFonts w:ascii="Times New Roman" w:hAnsi="Times New Roman" w:cs="Times New Roman"/>
          <w:i/>
          <w:sz w:val="16"/>
          <w:szCs w:val="16"/>
        </w:rPr>
        <w:t>df</w:t>
      </w:r>
    </w:p>
  </w:footnote>
  <w:footnote w:id="20">
    <w:p w:rsidR="00C04E96" w:rsidRPr="00EC7C59" w:rsidRDefault="00C04E96" w:rsidP="00F36280">
      <w:pPr>
        <w:pStyle w:val="Textonotapie"/>
        <w:jc w:val="both"/>
        <w:rPr>
          <w:rFonts w:ascii="Times New Roman" w:hAnsi="Times New Roman" w:cs="Times New Roman"/>
          <w:i/>
          <w:sz w:val="16"/>
          <w:szCs w:val="16"/>
        </w:rPr>
      </w:pPr>
      <w:r w:rsidRPr="00EC7C59">
        <w:rPr>
          <w:rStyle w:val="Refdenotaalpie"/>
          <w:rFonts w:ascii="Times New Roman" w:hAnsi="Times New Roman" w:cs="Times New Roman"/>
          <w:i/>
          <w:sz w:val="16"/>
          <w:szCs w:val="16"/>
        </w:rPr>
        <w:footnoteRef/>
      </w:r>
      <w:r w:rsidRPr="00EC7C59">
        <w:rPr>
          <w:rFonts w:ascii="Times New Roman" w:hAnsi="Times New Roman" w:cs="Times New Roman"/>
          <w:i/>
          <w:sz w:val="16"/>
          <w:szCs w:val="16"/>
          <w:lang w:val="en-US"/>
        </w:rPr>
        <w:t xml:space="preserve"> Washington Post.  2016. Justin Trudeau may have made the best case for legal pot ever. </w:t>
      </w:r>
      <w:r w:rsidRPr="00EC7C59">
        <w:rPr>
          <w:rFonts w:ascii="Times New Roman" w:hAnsi="Times New Roman" w:cs="Times New Roman"/>
          <w:i/>
          <w:sz w:val="16"/>
          <w:szCs w:val="16"/>
        </w:rPr>
        <w:t>Recuperado de: https://www.washingtonpost.com/news/wonk/wp/2016/06/10/why-people-who-hate-marijuana-should-legalize-it-anyway-according-to-justin-trudeau/?noredirect=on&amp;utm_term=.75678dd510b9</w:t>
      </w:r>
    </w:p>
  </w:footnote>
  <w:footnote w:id="21">
    <w:p w:rsidR="00C04E96" w:rsidRPr="002566D0" w:rsidRDefault="00C04E96" w:rsidP="00F36280">
      <w:pPr>
        <w:pStyle w:val="Textonotapie"/>
        <w:jc w:val="both"/>
        <w:rPr>
          <w:rFonts w:ascii="Times New Roman" w:hAnsi="Times New Roman" w:cs="Times New Roman"/>
          <w:i/>
          <w:sz w:val="16"/>
          <w:szCs w:val="16"/>
        </w:rPr>
      </w:pPr>
      <w:r w:rsidRPr="00EC7C59">
        <w:rPr>
          <w:rStyle w:val="Refdenotaalpie"/>
          <w:rFonts w:ascii="Times New Roman" w:hAnsi="Times New Roman" w:cs="Times New Roman"/>
          <w:i/>
          <w:sz w:val="16"/>
          <w:szCs w:val="16"/>
        </w:rPr>
        <w:footnoteRef/>
      </w:r>
      <w:r w:rsidRPr="00EC7C59">
        <w:rPr>
          <w:rFonts w:ascii="Times New Roman" w:hAnsi="Times New Roman" w:cs="Times New Roman"/>
          <w:i/>
          <w:sz w:val="16"/>
          <w:szCs w:val="16"/>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w:t>
      </w:r>
      <w:r w:rsidRPr="00422FC6">
        <w:rPr>
          <w:rFonts w:ascii="Times New Roman" w:hAnsi="Times New Roman" w:cs="Times New Roman"/>
          <w:i/>
          <w:sz w:val="16"/>
          <w:szCs w:val="16"/>
        </w:rPr>
        <w:t>nfoques de salud pública al uso de drogas sino también descriminalización y experimentación de regulaciones legales”. Algunos de los comisionados son:  Louise Arbour (Ex-Alta Comisionada para los Derechos Humanos de las Naciones Unidas), Sir Richard Branso</w:t>
      </w:r>
      <w:r w:rsidRPr="00A56F31">
        <w:rPr>
          <w:rFonts w:ascii="Times New Roman" w:hAnsi="Times New Roman" w:cs="Times New Roman"/>
          <w:i/>
          <w:sz w:val="16"/>
          <w:szCs w:val="16"/>
        </w:rPr>
        <w:t>n (Fundador Virgin Group), Fernando Henrique Cardoso (Expresidente de Brazil), Helen Clark (Ex Primer Ministra de Nueva Zelanda), Ruth Dreifuss (Expresidenta de Suiza), Mohamed ElBaradei (Director General Emerito del Organismo Internacional de Energía Atóm</w:t>
      </w:r>
      <w:r w:rsidRPr="0086491B">
        <w:rPr>
          <w:rFonts w:ascii="Times New Roman" w:hAnsi="Times New Roman" w:cs="Times New Roman"/>
          <w:i/>
          <w:sz w:val="16"/>
          <w:szCs w:val="16"/>
        </w:rPr>
        <w:t>ica y premio Nobel de Paz), Joyce Banda (Expresidenta de Malawi), César Gaviria (Expresidente de Colombia, Ricardo Lagos (Expresidente de Chile), José Ramos-Horta (Expresidente de Timor-Leste y premio Nobel de Paz), Juan Manuel Santos (Expresidente de Colo</w:t>
      </w:r>
      <w:r w:rsidRPr="002566D0">
        <w:rPr>
          <w:rFonts w:ascii="Times New Roman" w:hAnsi="Times New Roman" w:cs="Times New Roman"/>
          <w:i/>
          <w:sz w:val="16"/>
          <w:szCs w:val="16"/>
        </w:rPr>
        <w:t>mbia y Premio Nobel de Paz). Recuperado de:  http://www.globalcommissionondrugs.org/wp-content/themes/gcdp_v1/pdf/Global_Commission_on_Drug_Policy_Press_Release_Spanish.pdf</w:t>
      </w:r>
    </w:p>
  </w:footnote>
  <w:footnote w:id="22">
    <w:p w:rsidR="00C04E96" w:rsidRPr="00D740BA" w:rsidRDefault="00C04E96" w:rsidP="00F36280">
      <w:pPr>
        <w:pStyle w:val="Textonotapie"/>
        <w:jc w:val="both"/>
        <w:rPr>
          <w:rFonts w:ascii="Times New Roman" w:hAnsi="Times New Roman" w:cs="Times New Roman"/>
          <w:sz w:val="16"/>
          <w:szCs w:val="16"/>
        </w:rPr>
      </w:pPr>
      <w:r w:rsidRPr="00673F79">
        <w:rPr>
          <w:rStyle w:val="Refdenotaalpie"/>
          <w:rFonts w:ascii="Times New Roman" w:hAnsi="Times New Roman" w:cs="Times New Roman"/>
          <w:i/>
          <w:sz w:val="16"/>
          <w:szCs w:val="16"/>
        </w:rPr>
        <w:footnoteRef/>
      </w:r>
      <w:r w:rsidRPr="00A04304">
        <w:rPr>
          <w:rFonts w:ascii="Times New Roman" w:hAnsi="Times New Roman" w:cs="Times New Roman"/>
          <w:i/>
          <w:sz w:val="16"/>
          <w:szCs w:val="16"/>
        </w:rPr>
        <w:t xml:space="preserve"> Comisión Global de Políticas de Drogas. 2018. Regulación: El Control Responsable </w:t>
      </w:r>
      <w:r w:rsidRPr="00E13EFE">
        <w:rPr>
          <w:rFonts w:ascii="Times New Roman" w:hAnsi="Times New Roman" w:cs="Times New Roman"/>
          <w:i/>
          <w:sz w:val="16"/>
          <w:szCs w:val="16"/>
        </w:rPr>
        <w:t>de las Drogas. Recuperado de: http://fileserver.idpc.net/library/SPA-2018_Regulation_Report_WEB-FINAL.pdf</w:t>
      </w:r>
    </w:p>
  </w:footnote>
  <w:footnote w:id="23">
    <w:p w:rsidR="00C04E96" w:rsidRPr="001E18FE" w:rsidRDefault="00C04E96" w:rsidP="00F36280">
      <w:pPr>
        <w:pStyle w:val="Textonotapie"/>
        <w:rPr>
          <w:rFonts w:ascii="Times New Roman" w:hAnsi="Times New Roman" w:cs="Times New Roman"/>
        </w:rPr>
      </w:pPr>
      <w:r w:rsidRPr="00D740BA">
        <w:rPr>
          <w:rStyle w:val="Refdenotaalpie"/>
          <w:rFonts w:ascii="Times New Roman" w:hAnsi="Times New Roman" w:cs="Times New Roman"/>
          <w:sz w:val="16"/>
          <w:szCs w:val="16"/>
        </w:rPr>
        <w:footnoteRef/>
      </w:r>
      <w:r w:rsidRPr="00D740BA">
        <w:rPr>
          <w:rFonts w:ascii="Times New Roman" w:hAnsi="Times New Roman" w:cs="Times New Roman"/>
          <w:sz w:val="16"/>
          <w:szCs w:val="16"/>
        </w:rPr>
        <w:t xml:space="preserve"> </w:t>
      </w:r>
      <w:r w:rsidRPr="00EC7C59">
        <w:rPr>
          <w:rFonts w:ascii="Times New Roman" w:hAnsi="Times New Roman" w:cs="Times New Roman"/>
          <w:i/>
          <w:iCs/>
          <w:sz w:val="16"/>
          <w:szCs w:val="16"/>
        </w:rPr>
        <w:t>Ibidem.</w:t>
      </w:r>
    </w:p>
  </w:footnote>
  <w:footnote w:id="24">
    <w:p w:rsidR="00C04E96" w:rsidRPr="00EC7C59" w:rsidRDefault="00C04E96" w:rsidP="00F36280">
      <w:pPr>
        <w:pStyle w:val="Textonotapie"/>
        <w:jc w:val="both"/>
        <w:rPr>
          <w:rFonts w:ascii="Times New Roman" w:hAnsi="Times New Roman" w:cs="Times New Roman"/>
          <w:i/>
          <w:color w:val="0000FF" w:themeColor="hyperlink"/>
          <w:sz w:val="16"/>
          <w:szCs w:val="16"/>
          <w:u w:val="single"/>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Comisión Global de Políticas de Drogas. 2018. Regulación: El Control Responsable de las Drogas. (P.p. 33). Recuperado de: http://fileserver.idpc.net/library/SPA-2018_Regulation_Report_WEB-FINAL.pdf.</w:t>
      </w:r>
    </w:p>
  </w:footnote>
  <w:footnote w:id="25">
    <w:p w:rsidR="00C04E96" w:rsidRPr="001E18FE" w:rsidRDefault="00C04E96" w:rsidP="00422FC6">
      <w:pPr>
        <w:pStyle w:val="Textonotapie"/>
        <w:rPr>
          <w:rFonts w:ascii="Times New Roman" w:hAnsi="Times New Roman" w:cs="Times New Roman"/>
          <w:i/>
          <w:sz w:val="16"/>
        </w:rPr>
      </w:pPr>
      <w:r w:rsidRPr="00B806A0">
        <w:rPr>
          <w:rStyle w:val="Refdenotaalpie"/>
          <w:rFonts w:ascii="Times New Roman" w:hAnsi="Times New Roman" w:cs="Times New Roman"/>
          <w:i/>
          <w:sz w:val="16"/>
        </w:rPr>
        <w:footnoteRef/>
      </w:r>
      <w:r w:rsidRPr="00B806A0">
        <w:rPr>
          <w:rFonts w:ascii="Times New Roman" w:hAnsi="Times New Roman" w:cs="Times New Roman"/>
          <w:i/>
          <w:sz w:val="16"/>
        </w:rPr>
        <w:t>https://www.unodc.org/documents/commissions/CND/CND_Sessions/CND_63/Statements63_02.03.2020/Country_03.03.2020/Canada.pdf</w:t>
      </w:r>
    </w:p>
  </w:footnote>
  <w:footnote w:id="26">
    <w:p w:rsidR="00C04E96" w:rsidRPr="001E18FE" w:rsidRDefault="00C04E96" w:rsidP="00283F81">
      <w:pPr>
        <w:pStyle w:val="Textonotapie"/>
        <w:rPr>
          <w:rFonts w:ascii="Bookman Old Style" w:hAnsi="Bookman Old Style"/>
          <w:i/>
          <w:sz w:val="16"/>
          <w:szCs w:val="16"/>
        </w:rPr>
      </w:pPr>
      <w:r w:rsidRPr="00B806A0">
        <w:rPr>
          <w:rStyle w:val="Refdenotaalpie"/>
          <w:rFonts w:ascii="Bookman Old Style" w:hAnsi="Bookman Old Style"/>
          <w:i/>
          <w:sz w:val="16"/>
          <w:szCs w:val="16"/>
        </w:rPr>
        <w:footnoteRef/>
      </w:r>
      <w:r w:rsidRPr="00B806A0">
        <w:rPr>
          <w:rFonts w:ascii="Bookman Old Style" w:hAnsi="Bookman Old Style"/>
          <w:i/>
          <w:sz w:val="16"/>
          <w:szCs w:val="16"/>
        </w:rPr>
        <w:t xml:space="preserve"> https://www.ircca.gub.uy/wp-content/uploads/2020/04/InformeMercadoReguladoCannabis-29feb2020.pdf</w:t>
      </w:r>
    </w:p>
  </w:footnote>
  <w:footnote w:id="27">
    <w:p w:rsidR="00C04E96" w:rsidRPr="001E18FE" w:rsidRDefault="00C04E96" w:rsidP="00273E46">
      <w:pPr>
        <w:pStyle w:val="Textonotapie"/>
        <w:rPr>
          <w:rFonts w:ascii="Bookman Old Style" w:hAnsi="Bookman Old Style"/>
          <w:i/>
          <w:sz w:val="16"/>
          <w:szCs w:val="16"/>
        </w:rPr>
      </w:pPr>
      <w:r w:rsidRPr="00B806A0">
        <w:rPr>
          <w:rStyle w:val="Refdenotaalpie"/>
          <w:rFonts w:ascii="Bookman Old Style" w:hAnsi="Bookman Old Style"/>
          <w:i/>
          <w:sz w:val="16"/>
          <w:szCs w:val="16"/>
        </w:rPr>
        <w:footnoteRef/>
      </w:r>
      <w:r w:rsidRPr="00B806A0">
        <w:rPr>
          <w:rFonts w:ascii="Bookman Old Style" w:hAnsi="Bookman Old Style"/>
          <w:i/>
          <w:sz w:val="16"/>
          <w:szCs w:val="16"/>
        </w:rPr>
        <w:t xml:space="preserve"> https://www.ircca.gub.uy/wp-content/uploads/2020/04/InformeMercadoReguladoCannabis-29feb2020.pdf</w:t>
      </w:r>
    </w:p>
  </w:footnote>
  <w:footnote w:id="28">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F61263">
        <w:rPr>
          <w:rFonts w:ascii="Times New Roman" w:hAnsi="Times New Roman" w:cs="Times New Roman"/>
          <w:i/>
          <w:sz w:val="16"/>
          <w:szCs w:val="16"/>
        </w:rPr>
        <w:t>https://eleconomista.com.ar/2020-04-cannabis-en-uruguay-los-problemas-de-suministro-siguen-obstaculizando-el-crecimiento-del-mercado/</w:t>
      </w:r>
    </w:p>
  </w:footnote>
  <w:footnote w:id="29">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Referencia a “Sobredosis Carcelaria” tomada del título del informe de Dejusticia de 2017 titulado “Sobredosis Carcelaria y Política de Drogas en América Latina”.</w:t>
      </w:r>
    </w:p>
  </w:footnote>
  <w:footnote w:id="30">
    <w:p w:rsidR="00C04E96" w:rsidRPr="001E18FE" w:rsidRDefault="00C04E96" w:rsidP="00F36280">
      <w:pPr>
        <w:pStyle w:val="Textonotapie"/>
        <w:jc w:val="both"/>
        <w:rPr>
          <w:rFonts w:ascii="Times New Roman" w:hAnsi="Times New Roman" w:cs="Times New Roman"/>
          <w:lang w:val="en-US"/>
        </w:rPr>
      </w:pPr>
      <w:r w:rsidRPr="001E18FE">
        <w:rPr>
          <w:rStyle w:val="Refdenotaalpie"/>
          <w:rFonts w:ascii="Times New Roman" w:hAnsi="Times New Roman" w:cs="Times New Roman"/>
          <w:i/>
        </w:rPr>
        <w:footnoteRef/>
      </w:r>
      <w:r w:rsidRPr="001E18FE">
        <w:rPr>
          <w:rFonts w:ascii="Times New Roman" w:hAnsi="Times New Roman" w:cs="Times New Roman"/>
          <w:i/>
          <w:lang w:val="en-US"/>
        </w:rPr>
        <w:t xml:space="preserve"> </w:t>
      </w:r>
      <w:r w:rsidRPr="00EC7C59">
        <w:rPr>
          <w:rFonts w:ascii="Times New Roman" w:hAnsi="Times New Roman" w:cs="Times New Roman"/>
          <w:i/>
          <w:sz w:val="16"/>
          <w:szCs w:val="16"/>
          <w:lang w:val="en-US"/>
        </w:rPr>
        <w:t>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31">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Ibidem.</w:t>
      </w:r>
    </w:p>
  </w:footnote>
  <w:footnote w:id="32">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Rodrigo Uprimny, “Una oportunidad perdida”, Dejusticia. 2019.</w:t>
      </w:r>
    </w:p>
  </w:footnote>
  <w:footnote w:id="33">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Preámbulo de la Constitución Política de 1991.</w:t>
      </w:r>
    </w:p>
  </w:footnote>
  <w:footnote w:id="34">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Corte Constitucional, Sentencia C-336 de 2008. M.P. Clara Inés Vargas Hernández.</w:t>
      </w:r>
    </w:p>
  </w:footnote>
  <w:footnote w:id="35">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iCs/>
          <w:sz w:val="16"/>
          <w:szCs w:val="16"/>
        </w:rPr>
        <w:t>Ibidem.</w:t>
      </w:r>
    </w:p>
  </w:footnote>
  <w:footnote w:id="36">
    <w:p w:rsidR="00C04E96" w:rsidRPr="00EC7C59" w:rsidRDefault="00C04E96" w:rsidP="00F36280">
      <w:pPr>
        <w:pStyle w:val="Textonotapie"/>
        <w:jc w:val="both"/>
        <w:rPr>
          <w:rFonts w:ascii="Times New Roman" w:hAnsi="Times New Roman" w:cs="Times New Roman"/>
          <w:sz w:val="16"/>
          <w:szCs w:val="16"/>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No le corresponde al Estado, ni a la sociedad, sino a las propias personas, decidir sobre la manera en como desarrollan sus derechos y construyen sus proyectos y modelos de realización personal”. Corte Constitucional Sentencia T-516 de 1998 M.P.: Antonio Barrera.</w:t>
      </w:r>
    </w:p>
  </w:footnote>
  <w:footnote w:id="37">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Corte Constitucional, Sentencia C-221 de 1994. M.P. Carlos Gaviria Díaz.</w:t>
      </w:r>
    </w:p>
  </w:footnote>
  <w:footnote w:id="38">
    <w:p w:rsidR="00C04E96" w:rsidRPr="00EC7C59" w:rsidRDefault="00C04E96" w:rsidP="00F36280">
      <w:pPr>
        <w:pStyle w:val="Textonotapie"/>
        <w:jc w:val="both"/>
        <w:rPr>
          <w:rFonts w:ascii="Times New Roman" w:hAnsi="Times New Roman" w:cs="Times New Roman"/>
          <w:i/>
          <w:sz w:val="16"/>
          <w:szCs w:val="16"/>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rsidR="00C04E96" w:rsidRPr="00EC7C59" w:rsidRDefault="00C04E96" w:rsidP="00F36280">
      <w:pPr>
        <w:jc w:val="both"/>
        <w:rPr>
          <w:i/>
          <w:sz w:val="16"/>
          <w:szCs w:val="16"/>
        </w:rPr>
      </w:pPr>
      <w:r w:rsidRPr="00EC7C59">
        <w:rPr>
          <w:i/>
          <w:sz w:val="16"/>
          <w:szCs w:val="16"/>
        </w:rPr>
        <w:t>El Estado protegerá especialmente a aquellas personas que, por su condición económica, física o mental, se encuentren en circunstancia de debilidad manifiesta y sancionará los abusos o maltratos que contra ellas se cometan”</w:t>
      </w:r>
    </w:p>
  </w:footnote>
  <w:footnote w:id="39">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Corte Constitucional, sentencia C-220 de 2017. M.P. José Antonio Cepeda Amarís (E).</w:t>
      </w:r>
    </w:p>
  </w:footnote>
  <w:footnote w:id="40">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lang w:eastAsia="es-CO"/>
        </w:rPr>
        <w:t>Corte Constitucional, Sentencia C-104 de 2016. M.P. Luis Guillermo Guerrero Pérez.</w:t>
      </w:r>
    </w:p>
  </w:footnote>
  <w:footnote w:id="41">
    <w:p w:rsidR="00C04E96" w:rsidRPr="001E18FE" w:rsidRDefault="00C04E96" w:rsidP="00F36280">
      <w:pPr>
        <w:pStyle w:val="Textonotapie"/>
        <w:jc w:val="both"/>
        <w:rPr>
          <w:rFonts w:ascii="Times New Roman" w:hAnsi="Times New Roman" w:cs="Times New Roman"/>
          <w:i/>
          <w:lang w:val="en-US"/>
        </w:rPr>
      </w:pPr>
      <w:r w:rsidRPr="001E18FE">
        <w:rPr>
          <w:rStyle w:val="Refdenotaalpie"/>
          <w:rFonts w:ascii="Times New Roman" w:hAnsi="Times New Roman" w:cs="Times New Roman"/>
          <w:i/>
        </w:rPr>
        <w:footnoteRef/>
      </w:r>
      <w:r w:rsidRPr="001E18FE">
        <w:rPr>
          <w:rFonts w:ascii="Times New Roman" w:hAnsi="Times New Roman" w:cs="Times New Roman"/>
          <w:i/>
          <w:lang w:val="en-US"/>
        </w:rPr>
        <w:t xml:space="preserve"> </w:t>
      </w:r>
      <w:r w:rsidRPr="00EC7C59">
        <w:rPr>
          <w:rFonts w:ascii="Times New Roman" w:eastAsia="Calibri" w:hAnsi="Times New Roman" w:cs="Times New Roman"/>
          <w:i/>
          <w:sz w:val="16"/>
          <w:szCs w:val="16"/>
          <w:lang w:val="en-US"/>
        </w:rPr>
        <w:t>P. Westen. Speaking of equality. An Analisis of the Rhetorical forcé of Equality” in moral and legal discoruse, Princenton University Press, 1990, cap.v.</w:t>
      </w:r>
    </w:p>
  </w:footnote>
  <w:footnote w:id="42">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lang w:eastAsia="es-CO"/>
        </w:rPr>
        <w:t>Corte Constitucional, Sentencia T-171 de 2018. Cristina Pardo Schlesinger.</w:t>
      </w:r>
    </w:p>
  </w:footnote>
  <w:footnote w:id="43">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lang w:eastAsia="es-CO"/>
        </w:rPr>
        <w:t>Corte Constitucional, Sentencia T-452 de 2018 M.P. José Fernando Reyes Cuartas.</w:t>
      </w:r>
    </w:p>
  </w:footnote>
  <w:footnote w:id="44">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lang w:eastAsia="es-CO"/>
        </w:rPr>
        <w:t>Corte Constitucional, sentencia C-420 de 2002, M.P. Jaime Córdoba Triviño.</w:t>
      </w:r>
    </w:p>
  </w:footnote>
  <w:footnote w:id="45">
    <w:p w:rsidR="00C04E96" w:rsidRPr="001E18FE" w:rsidRDefault="00C04E96" w:rsidP="00F36280">
      <w:pPr>
        <w:pStyle w:val="Textonotapie"/>
        <w:jc w:val="both"/>
        <w:rPr>
          <w:rFonts w:ascii="Times New Roman" w:hAnsi="Times New Roman" w:cs="Times New Roman"/>
          <w:lang w:val="en-US"/>
        </w:rPr>
      </w:pPr>
      <w:r w:rsidRPr="001E18FE">
        <w:rPr>
          <w:rStyle w:val="Refdenotaalpie"/>
          <w:rFonts w:ascii="Times New Roman" w:hAnsi="Times New Roman" w:cs="Times New Roman"/>
          <w:i/>
        </w:rPr>
        <w:footnoteRef/>
      </w:r>
      <w:r w:rsidRPr="001E18FE">
        <w:rPr>
          <w:rFonts w:ascii="Times New Roman" w:hAnsi="Times New Roman" w:cs="Times New Roman"/>
          <w:i/>
          <w:lang w:val="en-US"/>
        </w:rPr>
        <w:t xml:space="preserve"> </w:t>
      </w:r>
      <w:r w:rsidRPr="00EC7C59">
        <w:rPr>
          <w:rFonts w:ascii="Times New Roman" w:hAnsi="Times New Roman" w:cs="Times New Roman"/>
          <w:i/>
          <w:iCs/>
          <w:sz w:val="16"/>
          <w:szCs w:val="16"/>
          <w:lang w:val="en-US"/>
        </w:rPr>
        <w:t>Ibidem.</w:t>
      </w:r>
    </w:p>
  </w:footnote>
  <w:footnote w:id="46">
    <w:p w:rsidR="00C04E96" w:rsidRPr="00EC7C59" w:rsidRDefault="00C04E96" w:rsidP="00F36280">
      <w:pPr>
        <w:pStyle w:val="Textonotapie"/>
        <w:jc w:val="both"/>
        <w:rPr>
          <w:rFonts w:ascii="Times New Roman" w:hAnsi="Times New Roman" w:cs="Times New Roman"/>
          <w:sz w:val="16"/>
          <w:szCs w:val="16"/>
        </w:rPr>
      </w:pPr>
      <w:r w:rsidRPr="001E18FE">
        <w:rPr>
          <w:rStyle w:val="Refdenotaalpie"/>
          <w:rFonts w:ascii="Times New Roman" w:hAnsi="Times New Roman" w:cs="Times New Roman"/>
          <w:i/>
        </w:rPr>
        <w:footnoteRef/>
      </w:r>
      <w:r w:rsidRPr="001E18FE">
        <w:rPr>
          <w:rFonts w:ascii="Times New Roman" w:hAnsi="Times New Roman" w:cs="Times New Roman"/>
          <w:i/>
          <w:lang w:val="en-US"/>
        </w:rPr>
        <w:t xml:space="preserve"> </w:t>
      </w:r>
      <w:r w:rsidRPr="00EC7C59">
        <w:rPr>
          <w:rFonts w:ascii="Times New Roman" w:hAnsi="Times New Roman" w:cs="Times New Roman"/>
          <w:i/>
          <w:sz w:val="16"/>
          <w:szCs w:val="16"/>
          <w:lang w:val="en-US"/>
        </w:rPr>
        <w:t xml:space="preserve">Leslie King and Lawrence Phillips. “Drug harms in the UK: a multicriteria decision analysis”. </w:t>
      </w:r>
      <w:r w:rsidRPr="00EC7C59">
        <w:rPr>
          <w:rFonts w:ascii="Times New Roman" w:hAnsi="Times New Roman" w:cs="Times New Roman"/>
          <w:i/>
          <w:sz w:val="16"/>
          <w:szCs w:val="16"/>
        </w:rPr>
        <w:t>David Nutt. The Lancet, 2010.</w:t>
      </w:r>
    </w:p>
  </w:footnote>
  <w:footnote w:id="47">
    <w:p w:rsidR="00C04E96" w:rsidRPr="001E18FE" w:rsidRDefault="00C04E96" w:rsidP="00F36280">
      <w:pPr>
        <w:pStyle w:val="Textonotapie"/>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Corte Constitucional, Sentencia C-221 de 1994. M.P. Carlos Gaviria Díaz.</w:t>
      </w:r>
    </w:p>
  </w:footnote>
  <w:footnote w:id="48">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iCs/>
        </w:rPr>
        <w:footnoteRef/>
      </w:r>
      <w:r w:rsidRPr="001E18FE">
        <w:rPr>
          <w:rFonts w:ascii="Times New Roman" w:hAnsi="Times New Roman" w:cs="Times New Roman"/>
          <w:i/>
          <w:iCs/>
        </w:rPr>
        <w:t xml:space="preserve"> </w:t>
      </w:r>
      <w:r w:rsidRPr="00EC7C59">
        <w:rPr>
          <w:rFonts w:ascii="Times New Roman" w:hAnsi="Times New Roman" w:cs="Times New Roman"/>
          <w:i/>
          <w:iCs/>
          <w:sz w:val="16"/>
          <w:szCs w:val="16"/>
          <w:lang w:val="es-ES_tradnl"/>
        </w:rPr>
        <w:t>“</w:t>
      </w:r>
      <w:r w:rsidRPr="00EC7C59">
        <w:rPr>
          <w:rFonts w:ascii="Times New Roman" w:hAnsi="Times New Roman" w:cs="Times New Roman"/>
          <w:i/>
          <w:sz w:val="16"/>
          <w:szCs w:val="16"/>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422FC6">
        <w:rPr>
          <w:rFonts w:ascii="Times New Roman" w:hAnsi="Times New Roman" w:cs="Times New Roman"/>
          <w:sz w:val="16"/>
          <w:szCs w:val="16"/>
          <w:lang w:val="es-ES_tradnl"/>
        </w:rPr>
        <w:t xml:space="preserve">, la cual indica en su Artículo 2 que </w:t>
      </w:r>
      <w:r w:rsidRPr="00422FC6">
        <w:rPr>
          <w:rFonts w:ascii="Times New Roman" w:hAnsi="Times New Roman" w:cs="Times New Roman"/>
          <w:i/>
          <w:sz w:val="16"/>
          <w:szCs w:val="16"/>
          <w:lang w:val="es-ES_tradnl"/>
        </w:rPr>
        <w:t>“toda persona que sufra trastornos mentales o cualquier otra patología derivada del co</w:t>
      </w:r>
      <w:r w:rsidRPr="000D695E">
        <w:rPr>
          <w:rFonts w:ascii="Times New Roman" w:hAnsi="Times New Roman" w:cs="Times New Roman"/>
          <w:i/>
          <w:sz w:val="16"/>
          <w:szCs w:val="16"/>
          <w:lang w:val="es-ES_tradnl"/>
        </w:rPr>
        <w:t>nsumo, abuso y adicción a sustancias psicoactivas lícitas o ilícitas, tendrá derecho a ser atendida en forma integral por las entidades que conforman el Sistema General de Seguridad Social en Salud y las instituciones públicas o privadas especializadas par</w:t>
      </w:r>
      <w:r w:rsidRPr="00A56F31">
        <w:rPr>
          <w:rFonts w:ascii="Times New Roman" w:hAnsi="Times New Roman" w:cs="Times New Roman"/>
          <w:i/>
          <w:sz w:val="16"/>
          <w:szCs w:val="16"/>
          <w:lang w:val="es-ES_tradnl"/>
        </w:rPr>
        <w:t>a el tratamiento de dichos trastornos”</w:t>
      </w:r>
    </w:p>
  </w:footnote>
  <w:footnote w:id="49">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50">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rPr>
        <w:t>Medina-Mora, Real, Villatoro, &amp; Natera, “Las drogas y la salud pública: ¿hacia dónde vamos?”, 2013; página 68</w:t>
      </w:r>
    </w:p>
  </w:footnote>
  <w:footnote w:id="51">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rPr>
        <w:t>Ministerio de Salud, Dirección de Promoción y prevención,”El consumo de SPA en Colombia” 2015.</w:t>
      </w:r>
    </w:p>
  </w:footnote>
  <w:footnote w:id="52">
    <w:p w:rsidR="00C04E96" w:rsidRPr="00EC7C59" w:rsidRDefault="00C04E96" w:rsidP="00F36280">
      <w:pPr>
        <w:jc w:val="both"/>
        <w:rPr>
          <w:rFonts w:eastAsia="Calibri"/>
          <w:i/>
          <w:sz w:val="16"/>
          <w:szCs w:val="16"/>
        </w:rPr>
      </w:pPr>
      <w:r w:rsidRPr="00EC7C59">
        <w:rPr>
          <w:rStyle w:val="Refdenotaalpie"/>
          <w:i/>
          <w:sz w:val="16"/>
          <w:szCs w:val="16"/>
        </w:rPr>
        <w:footnoteRef/>
      </w:r>
      <w:r w:rsidRPr="00EC7C59">
        <w:rPr>
          <w:i/>
          <w:sz w:val="16"/>
          <w:szCs w:val="16"/>
        </w:rPr>
        <w:t xml:space="preserve"> Rodrigo Uprimny, “Una oportunidad perdida”, Dejusticia. 2019</w:t>
      </w:r>
    </w:p>
  </w:footnote>
  <w:footnote w:id="53">
    <w:p w:rsidR="00C04E96" w:rsidRPr="00A56F31" w:rsidRDefault="00C04E96" w:rsidP="001B4F33">
      <w:pPr>
        <w:pStyle w:val="Textonotapie"/>
        <w:jc w:val="both"/>
        <w:rPr>
          <w:rFonts w:ascii="Times New Roman" w:hAnsi="Times New Roman" w:cs="Times New Roman"/>
          <w:sz w:val="16"/>
          <w:szCs w:val="16"/>
        </w:rPr>
      </w:pPr>
      <w:r w:rsidRPr="00897A62">
        <w:rPr>
          <w:rStyle w:val="Refdenotaalpie"/>
          <w:rFonts w:ascii="Times New Roman" w:hAnsi="Times New Roman" w:cs="Times New Roman"/>
          <w:szCs w:val="16"/>
        </w:rPr>
        <w:footnoteRef/>
      </w:r>
      <w:r w:rsidRPr="00897A62">
        <w:rPr>
          <w:rFonts w:ascii="Times New Roman" w:hAnsi="Times New Roman" w:cs="Times New Roman"/>
          <w:szCs w:val="16"/>
        </w:rPr>
        <w:t xml:space="preserve"> </w:t>
      </w:r>
      <w:r w:rsidRPr="00422FC6">
        <w:rPr>
          <w:rFonts w:ascii="Times New Roman" w:hAnsi="Times New Roman" w:cs="Times New Roman"/>
          <w:i/>
          <w:sz w:val="16"/>
          <w:szCs w:val="16"/>
        </w:rPr>
        <w:t>British Broadcasting Corporation BBC Cuáles son las sustancias más adictivas del mundo y qué le hacen a nuestro cerebro, recuperado de https://www.bbc.com/mundo/noticias-46877409</w:t>
      </w:r>
    </w:p>
  </w:footnote>
  <w:footnote w:id="54">
    <w:p w:rsidR="00C04E96" w:rsidRPr="002566D0" w:rsidRDefault="00C04E96" w:rsidP="001B4F33">
      <w:pPr>
        <w:pStyle w:val="Textonotapie"/>
        <w:jc w:val="both"/>
        <w:rPr>
          <w:rFonts w:ascii="Times New Roman" w:hAnsi="Times New Roman" w:cs="Times New Roman"/>
          <w:sz w:val="16"/>
          <w:szCs w:val="16"/>
        </w:rPr>
      </w:pPr>
      <w:r w:rsidRPr="0086491B">
        <w:rPr>
          <w:rStyle w:val="Refdenotaalpie"/>
          <w:rFonts w:ascii="Times New Roman" w:hAnsi="Times New Roman" w:cs="Times New Roman"/>
          <w:szCs w:val="16"/>
        </w:rPr>
        <w:footnoteRef/>
      </w:r>
      <w:r w:rsidRPr="002566D0">
        <w:rPr>
          <w:rFonts w:ascii="Times New Roman" w:hAnsi="Times New Roman" w:cs="Times New Roman"/>
          <w:sz w:val="16"/>
          <w:szCs w:val="16"/>
        </w:rPr>
        <w:t xml:space="preserve"> </w:t>
      </w:r>
      <w:r w:rsidRPr="002566D0">
        <w:rPr>
          <w:rFonts w:ascii="Times New Roman" w:hAnsi="Times New Roman" w:cs="Times New Roman"/>
          <w:i/>
          <w:sz w:val="16"/>
          <w:szCs w:val="16"/>
        </w:rPr>
        <w:t>Cesar Augusto Giraldo Giraldo, Medicina Forense, 2009.</w:t>
      </w:r>
    </w:p>
  </w:footnote>
  <w:footnote w:id="55">
    <w:p w:rsidR="00C04E96" w:rsidRPr="00BF54C2" w:rsidRDefault="00C04E96" w:rsidP="001B4F33">
      <w:pPr>
        <w:pStyle w:val="Textonotapie"/>
        <w:jc w:val="both"/>
        <w:rPr>
          <w:rFonts w:ascii="Times New Roman" w:hAnsi="Times New Roman" w:cs="Times New Roman"/>
          <w:sz w:val="16"/>
          <w:szCs w:val="16"/>
        </w:rPr>
      </w:pPr>
      <w:r w:rsidRPr="00673F79">
        <w:rPr>
          <w:rStyle w:val="Refdenotaalpie"/>
          <w:rFonts w:ascii="Times New Roman" w:hAnsi="Times New Roman" w:cs="Times New Roman"/>
          <w:szCs w:val="16"/>
        </w:rPr>
        <w:footnoteRef/>
      </w:r>
      <w:r w:rsidRPr="00F61263">
        <w:rPr>
          <w:rFonts w:ascii="Times New Roman" w:hAnsi="Times New Roman" w:cs="Times New Roman"/>
          <w:sz w:val="16"/>
          <w:szCs w:val="16"/>
          <w:lang w:val="en-US"/>
        </w:rPr>
        <w:t xml:space="preserve"> </w:t>
      </w:r>
      <w:r w:rsidRPr="00A04304">
        <w:rPr>
          <w:rFonts w:ascii="Times New Roman" w:hAnsi="Times New Roman" w:cs="Times New Roman"/>
          <w:i/>
          <w:sz w:val="16"/>
          <w:szCs w:val="16"/>
          <w:lang w:val="en-US"/>
        </w:rPr>
        <w:t xml:space="preserve">Leslie King and Lawrence Phillips. “Drug harms in the UK: a multicriteria decision analysis”. </w:t>
      </w:r>
      <w:r w:rsidRPr="00A04304">
        <w:rPr>
          <w:rFonts w:ascii="Times New Roman" w:hAnsi="Times New Roman" w:cs="Times New Roman"/>
          <w:i/>
          <w:sz w:val="16"/>
          <w:szCs w:val="16"/>
        </w:rPr>
        <w:t>David Nutt. The Lancet, 2010.</w:t>
      </w:r>
    </w:p>
  </w:footnote>
  <w:footnote w:id="56">
    <w:p w:rsidR="00C04E96" w:rsidRPr="00273E46" w:rsidRDefault="00C04E96" w:rsidP="001B4F33">
      <w:pPr>
        <w:pStyle w:val="Textonotapie"/>
        <w:jc w:val="both"/>
        <w:rPr>
          <w:rFonts w:ascii="Times New Roman" w:hAnsi="Times New Roman" w:cs="Times New Roman"/>
          <w:szCs w:val="16"/>
        </w:rPr>
      </w:pPr>
      <w:r w:rsidRPr="00273E46">
        <w:rPr>
          <w:rStyle w:val="Refdenotaalpie"/>
          <w:rFonts w:ascii="Times New Roman" w:hAnsi="Times New Roman" w:cs="Times New Roman"/>
          <w:szCs w:val="16"/>
        </w:rPr>
        <w:footnoteRef/>
      </w:r>
      <w:r w:rsidRPr="00273E46">
        <w:rPr>
          <w:rFonts w:ascii="Times New Roman" w:hAnsi="Times New Roman" w:cs="Times New Roman"/>
          <w:szCs w:val="16"/>
        </w:rPr>
        <w:t xml:space="preserve"> </w:t>
      </w:r>
      <w:r w:rsidRPr="00273E46">
        <w:rPr>
          <w:rFonts w:ascii="Times New Roman" w:hAnsi="Times New Roman" w:cs="Times New Roman"/>
          <w:i/>
          <w:sz w:val="16"/>
          <w:szCs w:val="16"/>
        </w:rPr>
        <w:t>Cesar Augusto Giraldo Giraldo, Medicina Forense, 2009.</w:t>
      </w:r>
    </w:p>
  </w:footnote>
  <w:footnote w:id="57">
    <w:p w:rsidR="00C04E96" w:rsidRPr="00897A62" w:rsidRDefault="00C04E96" w:rsidP="001B4F33">
      <w:pPr>
        <w:jc w:val="both"/>
        <w:rPr>
          <w:sz w:val="16"/>
          <w:szCs w:val="16"/>
        </w:rPr>
      </w:pPr>
      <w:r w:rsidRPr="00EC7C59">
        <w:rPr>
          <w:rStyle w:val="Refdenotaalpie"/>
          <w:sz w:val="20"/>
          <w:szCs w:val="16"/>
        </w:rPr>
        <w:footnoteRef/>
      </w:r>
      <w:r w:rsidRPr="00EC7C59">
        <w:rPr>
          <w:sz w:val="16"/>
          <w:szCs w:val="16"/>
        </w:rPr>
        <w:t xml:space="preserve"> </w:t>
      </w:r>
      <w:r w:rsidRPr="00EC7C59">
        <w:rPr>
          <w:i/>
          <w:sz w:val="16"/>
          <w:szCs w:val="16"/>
        </w:rPr>
        <w:t>UNODC, Estudio Nacional de Consumo de Sustancias Psicoactivas en Colombia 2013 – Informe Final, 2013, recuperado de: htt</w:t>
      </w:r>
      <w:r w:rsidRPr="00897A62">
        <w:rPr>
          <w:i/>
          <w:sz w:val="16"/>
          <w:szCs w:val="16"/>
        </w:rPr>
        <w:t>ps://www.unodc.org/documents/colombia/2014/Julio/Estudio_de_Consumo_UNODC.pdf</w:t>
      </w:r>
    </w:p>
  </w:footnote>
  <w:footnote w:id="58">
    <w:p w:rsidR="00C04E96" w:rsidRPr="00A56F31" w:rsidRDefault="00C04E96" w:rsidP="001B4F33">
      <w:pPr>
        <w:pStyle w:val="Textonotapie"/>
        <w:jc w:val="both"/>
        <w:rPr>
          <w:rFonts w:ascii="Times New Roman" w:hAnsi="Times New Roman" w:cs="Times New Roman"/>
          <w:sz w:val="16"/>
          <w:szCs w:val="16"/>
        </w:rPr>
      </w:pPr>
      <w:r w:rsidRPr="00422FC6">
        <w:rPr>
          <w:rStyle w:val="Refdenotaalpie"/>
          <w:rFonts w:ascii="Times New Roman" w:hAnsi="Times New Roman" w:cs="Times New Roman"/>
          <w:szCs w:val="16"/>
        </w:rPr>
        <w:footnoteRef/>
      </w:r>
      <w:r w:rsidRPr="00422FC6">
        <w:rPr>
          <w:rFonts w:ascii="Times New Roman" w:hAnsi="Times New Roman" w:cs="Times New Roman"/>
          <w:szCs w:val="16"/>
        </w:rPr>
        <w:t xml:space="preserve"> </w:t>
      </w:r>
      <w:r w:rsidRPr="000D695E">
        <w:rPr>
          <w:rFonts w:ascii="Times New Roman" w:hAnsi="Times New Roman" w:cs="Times New Roman"/>
          <w:i/>
          <w:sz w:val="16"/>
          <w:szCs w:val="16"/>
        </w:rPr>
        <w:t>Cesar Augusto Giraldo Giraldo, Medicina Forense, 2009.</w:t>
      </w:r>
    </w:p>
  </w:footnote>
  <w:footnote w:id="59">
    <w:p w:rsidR="00C04E96" w:rsidRPr="002566D0" w:rsidRDefault="00C04E96" w:rsidP="001B4F33">
      <w:pPr>
        <w:pStyle w:val="Textonotapie"/>
        <w:jc w:val="both"/>
        <w:rPr>
          <w:rFonts w:ascii="Times New Roman" w:hAnsi="Times New Roman" w:cs="Times New Roman"/>
          <w:sz w:val="16"/>
          <w:szCs w:val="16"/>
        </w:rPr>
      </w:pPr>
      <w:r w:rsidRPr="00A56F31">
        <w:rPr>
          <w:rStyle w:val="Refdenotaalpie"/>
          <w:rFonts w:ascii="Times New Roman" w:hAnsi="Times New Roman" w:cs="Times New Roman"/>
          <w:szCs w:val="16"/>
        </w:rPr>
        <w:footnoteRef/>
      </w:r>
      <w:r w:rsidRPr="0086491B">
        <w:rPr>
          <w:rFonts w:ascii="Times New Roman" w:hAnsi="Times New Roman" w:cs="Times New Roman"/>
          <w:sz w:val="16"/>
          <w:szCs w:val="16"/>
        </w:rPr>
        <w:t xml:space="preserve"> </w:t>
      </w:r>
      <w:r w:rsidRPr="002566D0">
        <w:rPr>
          <w:rFonts w:ascii="Times New Roman" w:hAnsi="Times New Roman" w:cs="Times New Roman"/>
          <w:i/>
          <w:sz w:val="16"/>
          <w:szCs w:val="16"/>
        </w:rPr>
        <w:t>Roberto Solórzano Niño, Medicina Lega, criminalística y toxicología para abogados, 1996.</w:t>
      </w:r>
    </w:p>
  </w:footnote>
  <w:footnote w:id="60">
    <w:p w:rsidR="00C04E96" w:rsidRPr="001E18FE" w:rsidRDefault="00C04E96" w:rsidP="001B4F33">
      <w:pPr>
        <w:pStyle w:val="Textonotapie"/>
        <w:jc w:val="both"/>
        <w:rPr>
          <w:rFonts w:ascii="Times New Roman" w:hAnsi="Times New Roman" w:cs="Times New Roman"/>
        </w:rPr>
      </w:pPr>
      <w:r w:rsidRPr="001E18FE">
        <w:rPr>
          <w:rStyle w:val="Refdenotaalpie"/>
          <w:rFonts w:ascii="Times New Roman" w:hAnsi="Times New Roman" w:cs="Times New Roman"/>
        </w:rPr>
        <w:footnoteRef/>
      </w:r>
      <w:r w:rsidRPr="001E18FE">
        <w:rPr>
          <w:rFonts w:ascii="Times New Roman" w:hAnsi="Times New Roman" w:cs="Times New Roman"/>
        </w:rPr>
        <w:t xml:space="preserve"> </w:t>
      </w:r>
      <w:r w:rsidRPr="00EC7C59">
        <w:rPr>
          <w:rFonts w:ascii="Times New Roman" w:hAnsi="Times New Roman" w:cs="Times New Roman"/>
          <w:i/>
          <w:sz w:val="16"/>
          <w:szCs w:val="16"/>
        </w:rPr>
        <w:t>Cesar Augusto Giraldo Giraldo, Medicina Forense, 2009.</w:t>
      </w:r>
    </w:p>
  </w:footnote>
  <w:footnote w:id="61">
    <w:p w:rsidR="00C04E96" w:rsidRPr="001E18FE" w:rsidRDefault="00C04E96" w:rsidP="001B4F33">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lang w:val="en-US"/>
        </w:rPr>
        <w:t xml:space="preserve"> </w:t>
      </w:r>
      <w:r w:rsidRPr="00EC7C59">
        <w:rPr>
          <w:rFonts w:ascii="Times New Roman" w:hAnsi="Times New Roman" w:cs="Times New Roman"/>
          <w:i/>
          <w:sz w:val="16"/>
          <w:szCs w:val="16"/>
          <w:lang w:val="en-US"/>
        </w:rPr>
        <w:t xml:space="preserve">German Lopez. </w:t>
      </w:r>
      <w:hyperlink r:id="rId1" w:tgtFrame="_blank" w:history="1">
        <w:r w:rsidRPr="00EC7C59">
          <w:rPr>
            <w:rFonts w:ascii="Times New Roman" w:hAnsi="Times New Roman" w:cs="Times New Roman"/>
            <w:i/>
            <w:sz w:val="16"/>
            <w:szCs w:val="16"/>
            <w:lang w:val="en-US"/>
          </w:rPr>
          <w:t xml:space="preserve">The three deathliest drugs in America. </w:t>
        </w:r>
        <w:r w:rsidRPr="00EC7C59">
          <w:rPr>
            <w:rFonts w:ascii="Times New Roman" w:hAnsi="Times New Roman" w:cs="Times New Roman"/>
            <w:i/>
            <w:sz w:val="16"/>
            <w:szCs w:val="16"/>
          </w:rPr>
          <w:t>Vox 2017</w:t>
        </w:r>
      </w:hyperlink>
      <w:r w:rsidRPr="00EC7C59">
        <w:rPr>
          <w:rFonts w:ascii="Times New Roman" w:hAnsi="Times New Roman" w:cs="Times New Roman"/>
          <w:i/>
          <w:sz w:val="16"/>
          <w:szCs w:val="16"/>
        </w:rPr>
        <w:t>.</w:t>
      </w:r>
    </w:p>
  </w:footnote>
  <w:footnote w:id="62">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Pretendiendo que cada uno de los sub-principios del test se pudiese aplicar de manera gradual, de acuerdo con la extensión del margen de apreciación del legislador o la administración.</w:t>
      </w:r>
    </w:p>
  </w:footnote>
  <w:footnote w:id="63">
    <w:p w:rsidR="00C04E96" w:rsidRPr="00897A62" w:rsidRDefault="00C04E96" w:rsidP="00F36280">
      <w:pPr>
        <w:jc w:val="both"/>
        <w:rPr>
          <w:rFonts w:eastAsia="Calibri"/>
          <w:i/>
          <w:sz w:val="16"/>
          <w:szCs w:val="16"/>
        </w:rPr>
      </w:pPr>
      <w:r w:rsidRPr="00EC7C59">
        <w:rPr>
          <w:rStyle w:val="Refdenotaalpie"/>
          <w:i/>
        </w:rPr>
        <w:footnoteRef/>
      </w:r>
      <w:r w:rsidRPr="00EC7C59">
        <w:rPr>
          <w:i/>
        </w:rPr>
        <w:t xml:space="preserve"> </w:t>
      </w:r>
      <w:r w:rsidRPr="00EC7C59">
        <w:rPr>
          <w:i/>
          <w:sz w:val="16"/>
          <w:szCs w:val="16"/>
        </w:rPr>
        <w:t>Corte Constitucional, Sentencia C-104 de 2016, M.P. Luis Guillermo Guerrero Pérez.</w:t>
      </w:r>
    </w:p>
  </w:footnote>
  <w:footnote w:id="64">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eastAsia="Calibri" w:hAnsi="Times New Roman" w:cs="Times New Roman"/>
          <w:i/>
          <w:sz w:val="16"/>
          <w:szCs w:val="16"/>
        </w:rPr>
        <w:t>Corte Constitucional, Sentencia C-144 de 2015. M.P. Martha Victoria Sáchica Méndez.</w:t>
      </w:r>
    </w:p>
  </w:footnote>
  <w:footnote w:id="65">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Ibidem.</w:t>
      </w:r>
    </w:p>
  </w:footnote>
  <w:footnote w:id="66">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Corte Constitucional, Sentencia C-104 de 2016, M.P. Luis Guillermo Guerrero Pérez.</w:t>
      </w:r>
    </w:p>
  </w:footnote>
  <w:footnote w:id="67">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Ibidem.</w:t>
      </w:r>
    </w:p>
  </w:footnote>
  <w:footnote w:id="68">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Corte Constitucional, Sentencia C-221 de 1994. M.P. Carlos Gaviria Díaz.</w:t>
      </w:r>
    </w:p>
  </w:footnote>
  <w:footnote w:id="69">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(PP.10) Recuperado de: https://www.dejusticia.org/wp-content/uploads/2017/07/Delitos-de-drogas-y-sobredosis-carcelaria-en-Colombia-Version-final-PDF</w:t>
      </w:r>
      <w:r w:rsidRPr="00897A62">
        <w:rPr>
          <w:rFonts w:ascii="Times New Roman" w:hAnsi="Times New Roman" w:cs="Times New Roman"/>
          <w:i/>
          <w:sz w:val="16"/>
          <w:szCs w:val="16"/>
        </w:rPr>
        <w:t>-para-WEB.pdf</w:t>
      </w:r>
    </w:p>
  </w:footnote>
  <w:footnote w:id="70">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(PP.20) Recuperado de: https://www.dejusticia.org/wp-content/uploads/2017/07/Delit</w:t>
      </w:r>
      <w:r w:rsidRPr="00897A62">
        <w:rPr>
          <w:rFonts w:ascii="Times New Roman" w:hAnsi="Times New Roman" w:cs="Times New Roman"/>
          <w:i/>
          <w:sz w:val="16"/>
          <w:szCs w:val="16"/>
        </w:rPr>
        <w:t>os-de-drogas-y-sobredosis-carcelaria-en-Colombia-Version-final-PDF-para-WEB.pdf</w:t>
      </w:r>
    </w:p>
  </w:footnote>
  <w:footnote w:id="71">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(PP.10) Recupera</w:t>
      </w:r>
      <w:r w:rsidRPr="00897A62">
        <w:rPr>
          <w:rFonts w:ascii="Times New Roman" w:hAnsi="Times New Roman" w:cs="Times New Roman"/>
          <w:i/>
          <w:sz w:val="16"/>
          <w:szCs w:val="16"/>
        </w:rPr>
        <w:t>do de: https://www.dejusticia.org/wp-content/uploads/2017/07/Delitos-de-drogas-y-sobredosis-carcelaria-en-Colombia-Version-final-PDF-para-WEB.pdf</w:t>
      </w:r>
    </w:p>
  </w:footnote>
  <w:footnote w:id="72">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73">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lang w:val="en-US"/>
        </w:rPr>
        <w:t xml:space="preserve"> </w:t>
      </w:r>
      <w:r w:rsidRPr="00EC7C59">
        <w:rPr>
          <w:rFonts w:ascii="Times New Roman" w:hAnsi="Times New Roman" w:cs="Times New Roman"/>
          <w:i/>
          <w:sz w:val="16"/>
          <w:szCs w:val="16"/>
          <w:lang w:val="en-US"/>
        </w:rPr>
        <w:t xml:space="preserve">World Prison Brief, Institute for Criminal Policy Research. </w:t>
      </w:r>
      <w:r w:rsidRPr="00897A62">
        <w:rPr>
          <w:rFonts w:ascii="Times New Roman" w:hAnsi="Times New Roman" w:cs="Times New Roman"/>
          <w:i/>
          <w:sz w:val="16"/>
          <w:szCs w:val="16"/>
        </w:rPr>
        <w:t>Recuperado de: http://www.prisonstudies.org/highest-to-lowest/prison-population-total y http://www.prisonstudies.org/country/colombia</w:t>
      </w:r>
    </w:p>
  </w:footnote>
  <w:footnote w:id="74">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DANE. Estimaciones De Población 1985-2005 Y Proyecciones De Población 2005-2020 Nacional y Departamental Desagregado por Área, Sexo Y Grupos Quinquenales De Edad. Recuperado de: https://sitios.dane.gov.co/cnpv-presentacion/src/#cuantos00</w:t>
      </w:r>
    </w:p>
  </w:footnote>
  <w:footnote w:id="75">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76">
    <w:p w:rsidR="00C04E96" w:rsidRPr="001E18FE" w:rsidRDefault="00C04E96" w:rsidP="00F36280">
      <w:pPr>
        <w:pStyle w:val="Textonotapie"/>
        <w:rPr>
          <w:rFonts w:ascii="Times New Roman" w:hAnsi="Times New Roman" w:cs="Times New Roman"/>
        </w:rPr>
      </w:pPr>
      <w:r w:rsidRPr="001E18FE">
        <w:rPr>
          <w:rStyle w:val="Refdenotaalpie"/>
          <w:rFonts w:ascii="Times New Roman" w:hAnsi="Times New Roman" w:cs="Times New Roman"/>
          <w:i/>
          <w:iCs/>
        </w:rPr>
        <w:footnoteRef/>
      </w:r>
      <w:r w:rsidRPr="001E18FE">
        <w:rPr>
          <w:rFonts w:ascii="Times New Roman" w:hAnsi="Times New Roman" w:cs="Times New Roman"/>
          <w:i/>
          <w:iCs/>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77">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78">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 58) Recuperado de: https:/</w:t>
      </w:r>
      <w:r w:rsidRPr="00897A62">
        <w:rPr>
          <w:rFonts w:ascii="Times New Roman" w:hAnsi="Times New Roman" w:cs="Times New Roman"/>
          <w:i/>
          <w:sz w:val="16"/>
          <w:szCs w:val="16"/>
        </w:rPr>
        <w:t>/www.dejusticia.org/wp-content/uploads/2017/07/Delitos-de-drogas-y-sobredosis-carcelaria-en-Colombia-Version-final-PDF-para-WEB.pdf</w:t>
      </w:r>
    </w:p>
  </w:footnote>
  <w:footnote w:id="79">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80">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 xml:space="preserve">Centro de Estudios de Derecho, Justicia y Sociedad, Dejusticia. 2017. Sobredosis Carcelaria y Política de Drogas en América Latina. Documentos Dejusticia 37. (Pp. 73) Recuperado de: </w:t>
      </w:r>
      <w:hyperlink r:id="rId2" w:history="1">
        <w:r w:rsidRPr="00EC7C59">
          <w:rPr>
            <w:rStyle w:val="Hipervnculo"/>
            <w:rFonts w:ascii="Times New Roman" w:hAnsi="Times New Roman" w:cs="Times New Roman"/>
            <w:i/>
            <w:color w:val="auto"/>
            <w:sz w:val="16"/>
            <w:szCs w:val="16"/>
            <w:u w:val="none"/>
          </w:rPr>
          <w:t>https://www.dejusticia.org/wp-content/uploads/2017/07/Delitos-de-drogas-y-sobredosis-carcelaria-en-Colombia-Version-final-PDF-para-WEB.pdf</w:t>
        </w:r>
      </w:hyperlink>
    </w:p>
  </w:footnote>
  <w:footnote w:id="81">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 xml:space="preserve">Comisión Global de Políticas de Drogas. 2018. Políticas De Drogas Y La Agenda Para El Desarrollo Sostenible. Recuperado de: </w:t>
      </w:r>
      <w:hyperlink r:id="rId3" w:history="1">
        <w:r w:rsidRPr="00EC7C59">
          <w:rPr>
            <w:rStyle w:val="Hipervnculo"/>
            <w:rFonts w:ascii="Times New Roman" w:hAnsi="Times New Roman" w:cs="Times New Roman"/>
            <w:i/>
            <w:color w:val="auto"/>
            <w:sz w:val="16"/>
            <w:szCs w:val="16"/>
            <w:u w:val="none"/>
          </w:rPr>
          <w:t>http://www.globalcommissionondrugs.org/wp-content/uploads/2018/11/SPA-2018_SDGPaper_WEB.pdf</w:t>
        </w:r>
      </w:hyperlink>
    </w:p>
  </w:footnote>
  <w:footnote w:id="82">
    <w:p w:rsidR="00C04E96" w:rsidRPr="001E18FE" w:rsidRDefault="00C04E96" w:rsidP="00F36280">
      <w:pPr>
        <w:pStyle w:val="Textonotapie"/>
        <w:rPr>
          <w:rFonts w:ascii="Times New Roman" w:hAnsi="Times New Roman" w:cs="Times New Roman"/>
          <w:i/>
          <w:iCs/>
        </w:rPr>
      </w:pPr>
      <w:r w:rsidRPr="001E18FE">
        <w:rPr>
          <w:rStyle w:val="Refdenotaalpie"/>
          <w:rFonts w:ascii="Times New Roman" w:hAnsi="Times New Roman" w:cs="Times New Roman"/>
          <w:i/>
          <w:iCs/>
        </w:rPr>
        <w:footnoteRef/>
      </w:r>
      <w:r w:rsidRPr="001E18FE">
        <w:rPr>
          <w:rFonts w:ascii="Times New Roman" w:hAnsi="Times New Roman" w:cs="Times New Roman"/>
          <w:i/>
          <w:iCs/>
        </w:rPr>
        <w:t xml:space="preserve"> </w:t>
      </w:r>
      <w:r w:rsidRPr="00EC7C59">
        <w:rPr>
          <w:rFonts w:ascii="Times New Roman" w:hAnsi="Times New Roman" w:cs="Times New Roman"/>
          <w:i/>
          <w:iCs/>
          <w:sz w:val="16"/>
          <w:szCs w:val="16"/>
        </w:rPr>
        <w:t xml:space="preserve">Comisión Global de Políticas de Drogas. 2018. Políticas De Drogas Y La Agenda Para El Desarrollo Sostenible. (Pp.6) Recuperado de: </w:t>
      </w:r>
      <w:hyperlink r:id="rId4" w:history="1">
        <w:r w:rsidRPr="00EC7C59">
          <w:rPr>
            <w:rStyle w:val="Hipervnculo"/>
            <w:rFonts w:ascii="Times New Roman" w:hAnsi="Times New Roman" w:cs="Times New Roman"/>
            <w:i/>
            <w:iCs/>
            <w:color w:val="auto"/>
            <w:sz w:val="16"/>
            <w:szCs w:val="16"/>
            <w:u w:val="none"/>
          </w:rPr>
          <w:t>http://www.globalcommissionondrugs.org/wp-content/uploads/2018/11/SPA-2018_SDGPaper_WEB.pdf</w:t>
        </w:r>
      </w:hyperlink>
    </w:p>
  </w:footnote>
  <w:footnote w:id="83">
    <w:p w:rsidR="00C04E96" w:rsidRPr="001E18FE" w:rsidRDefault="00C04E96" w:rsidP="00F36280">
      <w:pPr>
        <w:pStyle w:val="Textonotapie"/>
        <w:rPr>
          <w:rFonts w:ascii="Times New Roman" w:hAnsi="Times New Roman" w:cs="Times New Roman"/>
          <w:i/>
          <w:iCs/>
        </w:rPr>
      </w:pPr>
      <w:r w:rsidRPr="001E18FE">
        <w:rPr>
          <w:rStyle w:val="Refdenotaalpie"/>
          <w:rFonts w:ascii="Times New Roman" w:hAnsi="Times New Roman" w:cs="Times New Roman"/>
          <w:i/>
          <w:iCs/>
        </w:rPr>
        <w:footnoteRef/>
      </w:r>
      <w:r w:rsidRPr="001E18FE">
        <w:rPr>
          <w:rFonts w:ascii="Times New Roman" w:hAnsi="Times New Roman" w:cs="Times New Roman"/>
          <w:i/>
          <w:iCs/>
        </w:rPr>
        <w:t xml:space="preserve"> </w:t>
      </w:r>
      <w:r w:rsidRPr="00EC7C59">
        <w:rPr>
          <w:rFonts w:ascii="Times New Roman" w:hAnsi="Times New Roman" w:cs="Times New Roman"/>
          <w:i/>
          <w:iCs/>
          <w:sz w:val="16"/>
          <w:szCs w:val="16"/>
        </w:rPr>
        <w:t>Ibidem.</w:t>
      </w:r>
    </w:p>
  </w:footnote>
  <w:footnote w:id="84">
    <w:p w:rsidR="00C04E96" w:rsidRPr="001E18FE" w:rsidRDefault="00C04E96" w:rsidP="00F36280">
      <w:pPr>
        <w:pStyle w:val="Textonotapie"/>
        <w:rPr>
          <w:rFonts w:ascii="Times New Roman" w:hAnsi="Times New Roman" w:cs="Times New Roman"/>
        </w:rPr>
      </w:pPr>
      <w:r w:rsidRPr="001E18FE">
        <w:rPr>
          <w:rStyle w:val="Refdenotaalpie"/>
          <w:rFonts w:ascii="Times New Roman" w:hAnsi="Times New Roman" w:cs="Times New Roman"/>
        </w:rPr>
        <w:footnoteRef/>
      </w:r>
      <w:r w:rsidRPr="001E18FE">
        <w:rPr>
          <w:rFonts w:ascii="Times New Roman" w:hAnsi="Times New Roman" w:cs="Times New Roman"/>
        </w:rPr>
        <w:t xml:space="preserve"> </w:t>
      </w:r>
      <w:r w:rsidRPr="00EC7C59">
        <w:rPr>
          <w:rFonts w:ascii="Times New Roman" w:hAnsi="Times New Roman" w:cs="Times New Roman"/>
          <w:i/>
          <w:iCs/>
          <w:sz w:val="16"/>
          <w:szCs w:val="16"/>
        </w:rPr>
        <w:t>Ibidem.</w:t>
      </w:r>
    </w:p>
  </w:footnote>
  <w:footnote w:id="85">
    <w:p w:rsidR="00C04E96" w:rsidRPr="001E18FE" w:rsidRDefault="00C04E96" w:rsidP="00F36280">
      <w:pPr>
        <w:pStyle w:val="Textonotapie"/>
        <w:rPr>
          <w:rFonts w:ascii="Times New Roman" w:hAnsi="Times New Roman" w:cs="Times New Roman"/>
        </w:rPr>
      </w:pPr>
      <w:r w:rsidRPr="001E18FE">
        <w:rPr>
          <w:rStyle w:val="Refdenotaalpie"/>
          <w:rFonts w:ascii="Times New Roman" w:hAnsi="Times New Roman" w:cs="Times New Roman"/>
        </w:rPr>
        <w:footnoteRef/>
      </w:r>
      <w:r w:rsidRPr="001E18FE">
        <w:rPr>
          <w:rFonts w:ascii="Times New Roman" w:hAnsi="Times New Roman" w:cs="Times New Roman"/>
        </w:rPr>
        <w:t xml:space="preserve"> </w:t>
      </w:r>
      <w:r w:rsidRPr="00EC7C59">
        <w:rPr>
          <w:rFonts w:ascii="Times New Roman" w:hAnsi="Times New Roman" w:cs="Times New Roman"/>
          <w:i/>
          <w:sz w:val="16"/>
          <w:szCs w:val="16"/>
        </w:rPr>
        <w:t xml:space="preserve">Comisión Global de Políticas de Drogas. 2018. Políticas De Drogas Y La Agenda Para El Desarrollo Sostenible. (Pp.8) Recuperado de: </w:t>
      </w:r>
      <w:hyperlink r:id="rId5" w:history="1">
        <w:r w:rsidRPr="00EC7C59">
          <w:rPr>
            <w:rStyle w:val="Hipervnculo"/>
            <w:rFonts w:ascii="Times New Roman" w:hAnsi="Times New Roman" w:cs="Times New Roman"/>
            <w:i/>
            <w:color w:val="auto"/>
            <w:sz w:val="16"/>
            <w:szCs w:val="16"/>
            <w:u w:val="none"/>
          </w:rPr>
          <w:t>http://www.globalcommissionondrugs.org/wp-content/uploads/2018/11/SPA-2018_SDGPaper_WEB.pdf</w:t>
        </w:r>
      </w:hyperlink>
    </w:p>
  </w:footnote>
  <w:footnote w:id="86">
    <w:p w:rsidR="00C04E96" w:rsidRPr="001E18FE" w:rsidRDefault="00C04E96" w:rsidP="00F36280">
      <w:pPr>
        <w:pStyle w:val="Textonotapie"/>
        <w:rPr>
          <w:rFonts w:ascii="Times New Roman" w:hAnsi="Times New Roman" w:cs="Times New Roman"/>
        </w:rPr>
      </w:pPr>
      <w:r w:rsidRPr="001E18FE">
        <w:rPr>
          <w:rStyle w:val="Refdenotaalpie"/>
          <w:rFonts w:ascii="Times New Roman" w:hAnsi="Times New Roman" w:cs="Times New Roman"/>
        </w:rPr>
        <w:footnoteRef/>
      </w:r>
      <w:r w:rsidRPr="001E18FE">
        <w:rPr>
          <w:rFonts w:ascii="Times New Roman" w:hAnsi="Times New Roman" w:cs="Times New Roman"/>
        </w:rPr>
        <w:t xml:space="preserve"> </w:t>
      </w:r>
      <w:r w:rsidRPr="00EC7C59">
        <w:rPr>
          <w:rFonts w:ascii="Times New Roman" w:hAnsi="Times New Roman" w:cs="Times New Roman"/>
          <w:sz w:val="16"/>
          <w:szCs w:val="16"/>
        </w:rPr>
        <w:t>Comisión Global de Políticas de Drogas. 2018. Políticas De Drogas Y La Agenda Para El Desarrollo Sost</w:t>
      </w:r>
      <w:r w:rsidRPr="00897A62">
        <w:rPr>
          <w:rFonts w:ascii="Times New Roman" w:hAnsi="Times New Roman" w:cs="Times New Roman"/>
          <w:sz w:val="16"/>
          <w:szCs w:val="16"/>
        </w:rPr>
        <w:t xml:space="preserve">enible. (Pp.7) Recuperado de: </w:t>
      </w:r>
      <w:hyperlink r:id="rId6" w:history="1">
        <w:r w:rsidRPr="00EC7C59">
          <w:rPr>
            <w:rStyle w:val="Hipervnculo"/>
            <w:rFonts w:ascii="Times New Roman" w:hAnsi="Times New Roman" w:cs="Times New Roman"/>
            <w:color w:val="auto"/>
            <w:sz w:val="16"/>
            <w:szCs w:val="16"/>
            <w:u w:val="none"/>
          </w:rPr>
          <w:t>http://www.globalcommissionondrugs.org/wp-content/uploads/2018/11/SPA-2018_SDGPaper_WEB.pdf</w:t>
        </w:r>
      </w:hyperlink>
    </w:p>
  </w:footnote>
  <w:footnote w:id="87">
    <w:p w:rsidR="00C04E96" w:rsidRPr="00897A62" w:rsidRDefault="00C04E96" w:rsidP="00F36280">
      <w:pPr>
        <w:pStyle w:val="Textonotapie"/>
        <w:rPr>
          <w:rFonts w:ascii="Times New Roman" w:hAnsi="Times New Roman" w:cs="Times New Roman"/>
          <w:i/>
          <w:iCs/>
          <w:sz w:val="16"/>
          <w:szCs w:val="16"/>
        </w:rPr>
      </w:pPr>
      <w:r w:rsidRPr="00EC7C59">
        <w:rPr>
          <w:rStyle w:val="Refdenotaalpie"/>
          <w:rFonts w:ascii="Times New Roman" w:hAnsi="Times New Roman" w:cs="Times New Roman"/>
          <w:i/>
          <w:iCs/>
        </w:rPr>
        <w:footnoteRef/>
      </w:r>
      <w:r w:rsidRPr="00897A62">
        <w:rPr>
          <w:rFonts w:ascii="Times New Roman" w:hAnsi="Times New Roman" w:cs="Times New Roman"/>
          <w:i/>
          <w:iCs/>
          <w:sz w:val="16"/>
          <w:szCs w:val="16"/>
        </w:rPr>
        <w:t xml:space="preserve"> Ibidem.</w:t>
      </w:r>
    </w:p>
  </w:footnote>
  <w:footnote w:id="88">
    <w:p w:rsidR="00C04E96" w:rsidRPr="001E18FE" w:rsidRDefault="00C04E96" w:rsidP="00F36280">
      <w:pPr>
        <w:pStyle w:val="Textonotapie"/>
        <w:rPr>
          <w:rFonts w:ascii="Times New Roman" w:hAnsi="Times New Roman" w:cs="Times New Roman"/>
        </w:rPr>
      </w:pPr>
      <w:r w:rsidRPr="001E18FE">
        <w:rPr>
          <w:rStyle w:val="Refdenotaalpie"/>
          <w:rFonts w:ascii="Times New Roman" w:hAnsi="Times New Roman" w:cs="Times New Roman"/>
        </w:rPr>
        <w:footnoteRef/>
      </w:r>
      <w:r w:rsidRPr="001E18FE">
        <w:rPr>
          <w:rFonts w:ascii="Times New Roman" w:hAnsi="Times New Roman" w:cs="Times New Roman"/>
        </w:rPr>
        <w:t xml:space="preserve"> </w:t>
      </w:r>
      <w:r w:rsidRPr="00EC7C59">
        <w:rPr>
          <w:rFonts w:ascii="Times New Roman" w:hAnsi="Times New Roman" w:cs="Times New Roman"/>
          <w:i/>
          <w:iCs/>
          <w:sz w:val="16"/>
          <w:szCs w:val="16"/>
        </w:rPr>
        <w:t>Ibidem.</w:t>
      </w:r>
    </w:p>
  </w:footnote>
  <w:footnote w:id="89">
    <w:p w:rsidR="00C04E96" w:rsidRPr="001E18FE" w:rsidRDefault="00C04E96" w:rsidP="00F36280">
      <w:pPr>
        <w:pStyle w:val="Textonotapie"/>
        <w:rPr>
          <w:rFonts w:ascii="Times New Roman" w:hAnsi="Times New Roman" w:cs="Times New Roman"/>
          <w:i/>
          <w:iCs/>
        </w:rPr>
      </w:pPr>
      <w:r w:rsidRPr="001E18FE">
        <w:rPr>
          <w:rStyle w:val="Refdenotaalpie"/>
          <w:rFonts w:ascii="Times New Roman" w:hAnsi="Times New Roman" w:cs="Times New Roman"/>
          <w:i/>
          <w:iCs/>
        </w:rPr>
        <w:footnoteRef/>
      </w:r>
      <w:r w:rsidRPr="001E18FE">
        <w:rPr>
          <w:rFonts w:ascii="Times New Roman" w:hAnsi="Times New Roman" w:cs="Times New Roman"/>
          <w:i/>
          <w:iCs/>
        </w:rPr>
        <w:t xml:space="preserve"> </w:t>
      </w:r>
      <w:r w:rsidRPr="00EC7C59">
        <w:rPr>
          <w:rFonts w:ascii="Times New Roman" w:hAnsi="Times New Roman" w:cs="Times New Roman"/>
          <w:i/>
          <w:iCs/>
          <w:sz w:val="16"/>
          <w:szCs w:val="16"/>
        </w:rPr>
        <w:t>Comi</w:t>
      </w:r>
      <w:r w:rsidRPr="00897A62">
        <w:rPr>
          <w:rFonts w:ascii="Times New Roman" w:hAnsi="Times New Roman" w:cs="Times New Roman"/>
          <w:i/>
          <w:iCs/>
          <w:sz w:val="16"/>
          <w:szCs w:val="16"/>
        </w:rPr>
        <w:t xml:space="preserve">sión Global de Políticas de Drogas. 2018. Políticas De Drogas Y La Agenda Para El Desarrollo Sostenible. (Pp.7) Recuperado de: </w:t>
      </w:r>
      <w:hyperlink r:id="rId7" w:history="1">
        <w:r w:rsidRPr="00EC7C59">
          <w:rPr>
            <w:rStyle w:val="Hipervnculo"/>
            <w:rFonts w:ascii="Times New Roman" w:hAnsi="Times New Roman" w:cs="Times New Roman"/>
            <w:i/>
            <w:iCs/>
            <w:color w:val="auto"/>
            <w:sz w:val="16"/>
            <w:szCs w:val="16"/>
            <w:u w:val="none"/>
          </w:rPr>
          <w:t>http://www.globalcommissionondrugs.org/wp-content/uploads/2018/11/SPA-2018_SDGPaper_WEB.pdf</w:t>
        </w:r>
      </w:hyperlink>
    </w:p>
  </w:footnote>
  <w:footnote w:id="90">
    <w:p w:rsidR="00C04E96" w:rsidRPr="001E18FE" w:rsidRDefault="00C04E96" w:rsidP="00F36280">
      <w:pPr>
        <w:pStyle w:val="Textonotapie"/>
        <w:jc w:val="both"/>
        <w:rPr>
          <w:rFonts w:ascii="Times New Roman" w:hAnsi="Times New Roman" w:cs="Times New Roman"/>
          <w:i/>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EC7C59">
        <w:rPr>
          <w:rFonts w:ascii="Times New Roman" w:hAnsi="Times New Roman" w:cs="Times New Roman"/>
          <w:i/>
          <w:sz w:val="16"/>
          <w:szCs w:val="16"/>
        </w:rPr>
        <w:t xml:space="preserve">Comisión Global de Políticas de Drogas. 2018. Políticas De Drogas Y La Agenda Para El Desarrollo Sostenible. (Pp.8) Recuperado de: </w:t>
      </w:r>
      <w:hyperlink r:id="rId8" w:history="1">
        <w:r w:rsidRPr="00EC7C59">
          <w:rPr>
            <w:rStyle w:val="Hipervnculo"/>
            <w:rFonts w:ascii="Times New Roman" w:hAnsi="Times New Roman" w:cs="Times New Roman"/>
            <w:i/>
            <w:color w:val="auto"/>
            <w:sz w:val="16"/>
            <w:szCs w:val="16"/>
            <w:u w:val="none"/>
          </w:rPr>
          <w:t>http://www.globalcommissionondrugs.org/wp-content/uploads/2018/11/SPA-2018_SDGPaper_WEB.pdf</w:t>
        </w:r>
      </w:hyperlink>
    </w:p>
  </w:footnote>
  <w:footnote w:id="91">
    <w:p w:rsidR="00C04E96" w:rsidRPr="00422FC6" w:rsidRDefault="00C04E96" w:rsidP="00F36280">
      <w:pPr>
        <w:jc w:val="both"/>
        <w:rPr>
          <w:i/>
          <w:sz w:val="16"/>
          <w:szCs w:val="16"/>
        </w:rPr>
      </w:pPr>
      <w:r w:rsidRPr="00897A62">
        <w:rPr>
          <w:rStyle w:val="Refdenotaalpie"/>
          <w:i/>
        </w:rPr>
        <w:footnoteRef/>
      </w:r>
      <w:r w:rsidRPr="00897A62">
        <w:rPr>
          <w:i/>
        </w:rPr>
        <w:t xml:space="preserve"> </w:t>
      </w:r>
      <w:r w:rsidRPr="00897A62">
        <w:rPr>
          <w:i/>
          <w:iCs/>
          <w:sz w:val="16"/>
          <w:szCs w:val="16"/>
        </w:rPr>
        <w:t>Ibidem.</w:t>
      </w:r>
    </w:p>
  </w:footnote>
  <w:footnote w:id="92">
    <w:p w:rsidR="00C04E96" w:rsidRPr="00897A62" w:rsidRDefault="00C04E96" w:rsidP="00F36280">
      <w:pPr>
        <w:jc w:val="both"/>
        <w:rPr>
          <w:i/>
          <w:sz w:val="16"/>
          <w:szCs w:val="16"/>
        </w:rPr>
      </w:pPr>
      <w:r w:rsidRPr="00897A62">
        <w:rPr>
          <w:rStyle w:val="Refdenotaalpie"/>
          <w:i/>
        </w:rPr>
        <w:footnoteRef/>
      </w:r>
      <w:r w:rsidRPr="00897A62">
        <w:rPr>
          <w:i/>
        </w:rPr>
        <w:t xml:space="preserve"> </w:t>
      </w:r>
      <w:r w:rsidRPr="00897A62">
        <w:rPr>
          <w:i/>
          <w:sz w:val="16"/>
          <w:szCs w:val="16"/>
        </w:rPr>
        <w:t>Comisión Global de Políticas de Drogas. 2018. Políticas De Drogas Y La Agenda Para El Desarrollo</w:t>
      </w:r>
      <w:r w:rsidRPr="00422FC6">
        <w:rPr>
          <w:i/>
          <w:sz w:val="16"/>
          <w:szCs w:val="16"/>
        </w:rPr>
        <w:t xml:space="preserve"> Sostenible. (Pp.9) Recuperado de: </w:t>
      </w:r>
      <w:hyperlink r:id="rId9" w:history="1">
        <w:r w:rsidRPr="00897A62">
          <w:rPr>
            <w:rStyle w:val="Hipervnculo"/>
            <w:i/>
            <w:color w:val="auto"/>
            <w:sz w:val="16"/>
            <w:szCs w:val="16"/>
            <w:u w:val="none"/>
          </w:rPr>
          <w:t>http://www.globalcommissionondrugs.org/wp-content/uploads/2018/11/SPA-2018_SDGPaper_WEB.pdf</w:t>
        </w:r>
      </w:hyperlink>
    </w:p>
  </w:footnote>
  <w:footnote w:id="93">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rPr>
        <w:footnoteRef/>
      </w:r>
      <w:r w:rsidRPr="001E18FE">
        <w:rPr>
          <w:rFonts w:ascii="Times New Roman" w:hAnsi="Times New Roman" w:cs="Times New Roman"/>
          <w:i/>
        </w:rPr>
        <w:t xml:space="preserve"> </w:t>
      </w:r>
      <w:r w:rsidRPr="00897A62">
        <w:rPr>
          <w:rFonts w:ascii="Times New Roman" w:hAnsi="Times New Roman" w:cs="Times New Roman"/>
          <w:i/>
          <w:sz w:val="16"/>
          <w:szCs w:val="16"/>
        </w:rPr>
        <w:t xml:space="preserve">Comisión Global de Políticas de Drogas. 2018. Políticas De Drogas Y La Agenda Para El Desarrollo Sostenible. (Pp.10) Recuperado de: </w:t>
      </w:r>
      <w:hyperlink r:id="rId10" w:history="1">
        <w:r w:rsidRPr="00EC7C59">
          <w:rPr>
            <w:rStyle w:val="Hipervnculo"/>
            <w:rFonts w:ascii="Times New Roman" w:hAnsi="Times New Roman" w:cs="Times New Roman"/>
            <w:i/>
            <w:color w:val="auto"/>
            <w:sz w:val="16"/>
            <w:szCs w:val="16"/>
            <w:u w:val="none"/>
          </w:rPr>
          <w:t>http://www.globalcommissionondrugs.org/wp-content/uploads/2018/11/SPA-2018_SDGPaper_WEB.pdf</w:t>
        </w:r>
      </w:hyperlink>
    </w:p>
  </w:footnote>
  <w:footnote w:id="94">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i/>
          <w:iCs/>
        </w:rPr>
        <w:footnoteRef/>
      </w:r>
      <w:r w:rsidRPr="001E18FE">
        <w:rPr>
          <w:rFonts w:ascii="Times New Roman" w:hAnsi="Times New Roman" w:cs="Times New Roman"/>
          <w:i/>
          <w:iCs/>
        </w:rPr>
        <w:t xml:space="preserve"> </w:t>
      </w:r>
      <w:r w:rsidRPr="00897A62">
        <w:rPr>
          <w:rFonts w:ascii="Times New Roman" w:hAnsi="Times New Roman" w:cs="Times New Roman"/>
          <w:i/>
          <w:sz w:val="16"/>
          <w:szCs w:val="16"/>
        </w:rPr>
        <w:t xml:space="preserve">Comisión Global de Políticas de Drogas. 2018. Políticas De Drogas Y La Agenda Para El Desarrollo Sostenible. (Pp.16) Recuperado de: </w:t>
      </w:r>
      <w:hyperlink r:id="rId11" w:history="1">
        <w:r w:rsidRPr="00EC7C59">
          <w:rPr>
            <w:rStyle w:val="Hipervnculo"/>
            <w:rFonts w:ascii="Times New Roman" w:hAnsi="Times New Roman" w:cs="Times New Roman"/>
            <w:i/>
            <w:color w:val="auto"/>
            <w:sz w:val="16"/>
            <w:szCs w:val="16"/>
            <w:u w:val="none"/>
          </w:rPr>
          <w:t>http://www.globalcommissionondrugs.org/wp-content/uploads/2018/11/SPA-2018_SDGPaper_WEB.pdf</w:t>
        </w:r>
      </w:hyperlink>
    </w:p>
  </w:footnote>
  <w:footnote w:id="95">
    <w:p w:rsidR="00C04E96" w:rsidRPr="001E18FE" w:rsidRDefault="00C04E96" w:rsidP="00F36280">
      <w:pPr>
        <w:pStyle w:val="Textonotapie"/>
        <w:jc w:val="both"/>
        <w:rPr>
          <w:rFonts w:ascii="Times New Roman" w:hAnsi="Times New Roman" w:cs="Times New Roman"/>
        </w:rPr>
      </w:pPr>
      <w:r w:rsidRPr="001E18FE">
        <w:rPr>
          <w:rStyle w:val="Refdenotaalpie"/>
          <w:rFonts w:ascii="Times New Roman" w:hAnsi="Times New Roman" w:cs="Times New Roman"/>
        </w:rPr>
        <w:footnoteRef/>
      </w:r>
      <w:r w:rsidRPr="001E18FE">
        <w:rPr>
          <w:rFonts w:ascii="Times New Roman" w:hAnsi="Times New Roman" w:cs="Times New Roman"/>
        </w:rPr>
        <w:t xml:space="preserve"> </w:t>
      </w:r>
      <w:r w:rsidRPr="00897A62">
        <w:rPr>
          <w:rFonts w:ascii="Times New Roman" w:hAnsi="Times New Roman" w:cs="Times New Roman"/>
          <w:i/>
          <w:sz w:val="16"/>
          <w:szCs w:val="16"/>
        </w:rPr>
        <w:t xml:space="preserve">Comisión Global de Políticas de Drogas. 2018. Políticas De Drogas Y La Agenda Para El Desarrollo Sostenible. (Pp.17) Recuperado de: </w:t>
      </w:r>
      <w:hyperlink r:id="rId12" w:history="1">
        <w:r w:rsidRPr="00EC7C59">
          <w:rPr>
            <w:rStyle w:val="Hipervnculo"/>
            <w:rFonts w:ascii="Times New Roman" w:hAnsi="Times New Roman" w:cs="Times New Roman"/>
            <w:i/>
            <w:color w:val="auto"/>
            <w:sz w:val="16"/>
            <w:szCs w:val="16"/>
            <w:u w:val="none"/>
          </w:rPr>
          <w:t>http://www.globalcommissionondrugs.org/wp-content/uploads/2018/11/SPA-2018_SDGPaper_WEB.pdf</w:t>
        </w:r>
      </w:hyperlink>
    </w:p>
  </w:footnote>
  <w:footnote w:id="96">
    <w:p w:rsidR="00C04E96" w:rsidRPr="00422FC6" w:rsidRDefault="00C04E96" w:rsidP="00F36280">
      <w:pPr>
        <w:pStyle w:val="Textonotapie"/>
        <w:rPr>
          <w:rFonts w:ascii="Times New Roman" w:hAnsi="Times New Roman" w:cs="Times New Roman"/>
          <w:i/>
          <w:iCs/>
          <w:sz w:val="16"/>
          <w:szCs w:val="16"/>
        </w:rPr>
      </w:pPr>
      <w:r w:rsidRPr="00897A62">
        <w:rPr>
          <w:rStyle w:val="Refdenotaalpie"/>
          <w:rFonts w:ascii="Times New Roman" w:hAnsi="Times New Roman" w:cs="Times New Roman"/>
          <w:i/>
          <w:iCs/>
          <w:sz w:val="16"/>
          <w:szCs w:val="16"/>
        </w:rPr>
        <w:footnoteRef/>
      </w:r>
      <w:r w:rsidRPr="00897A62">
        <w:rPr>
          <w:rFonts w:ascii="Times New Roman" w:hAnsi="Times New Roman" w:cs="Times New Roman"/>
          <w:i/>
          <w:iCs/>
          <w:sz w:val="16"/>
          <w:szCs w:val="16"/>
        </w:rPr>
        <w:t xml:space="preserve"> Ibidem.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rsidR="00C04E96" w:rsidRDefault="00C04E96">
    <w:pPr>
      <w:pBdr>
        <w:top w:val="nil"/>
        <w:left w:val="nil"/>
        <w:bottom w:val="nil"/>
        <w:right w:val="nil"/>
        <w:between w:val="nil"/>
      </w:pBdr>
      <w:rPr>
        <w:sz w:val="20"/>
        <w:szCs w:val="20"/>
      </w:rPr>
    </w:pPr>
  </w:p>
  <w:p w:rsidR="00C04E96" w:rsidRDefault="00C04E96">
    <w:pPr>
      <w:pBdr>
        <w:top w:val="nil"/>
        <w:left w:val="nil"/>
        <w:bottom w:val="nil"/>
        <w:right w:val="nil"/>
        <w:between w:val="nil"/>
      </w:pBdr>
      <w:ind w:left="-1133"/>
      <w:rPr>
        <w:sz w:val="20"/>
        <w:szCs w:val="20"/>
      </w:rPr>
    </w:pPr>
  </w:p>
  <w:p w:rsidR="00C04E96" w:rsidRDefault="00C04E96">
    <w:pPr>
      <w:pBdr>
        <w:top w:val="nil"/>
        <w:left w:val="nil"/>
        <w:bottom w:val="nil"/>
        <w:right w:val="nil"/>
        <w:between w:val="nil"/>
      </w:pBdr>
      <w:rPr>
        <w:sz w:val="20"/>
        <w:szCs w:val="20"/>
      </w:rPr>
    </w:pPr>
  </w:p>
  <w:p w:rsidR="00C04E96" w:rsidRDefault="00C04E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3"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1"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6"/>
  </w:num>
  <w:num w:numId="2">
    <w:abstractNumId w:val="30"/>
  </w:num>
  <w:num w:numId="3">
    <w:abstractNumId w:val="27"/>
  </w:num>
  <w:num w:numId="4">
    <w:abstractNumId w:val="23"/>
  </w:num>
  <w:num w:numId="5">
    <w:abstractNumId w:val="9"/>
  </w:num>
  <w:num w:numId="6">
    <w:abstractNumId w:val="14"/>
  </w:num>
  <w:num w:numId="7">
    <w:abstractNumId w:val="6"/>
  </w:num>
  <w:num w:numId="8">
    <w:abstractNumId w:val="29"/>
  </w:num>
  <w:num w:numId="9">
    <w:abstractNumId w:val="0"/>
  </w:num>
  <w:num w:numId="10">
    <w:abstractNumId w:val="4"/>
  </w:num>
  <w:num w:numId="11">
    <w:abstractNumId w:val="26"/>
  </w:num>
  <w:num w:numId="12">
    <w:abstractNumId w:val="34"/>
  </w:num>
  <w:num w:numId="13">
    <w:abstractNumId w:val="19"/>
  </w:num>
  <w:num w:numId="14">
    <w:abstractNumId w:val="18"/>
  </w:num>
  <w:num w:numId="15">
    <w:abstractNumId w:val="5"/>
  </w:num>
  <w:num w:numId="16">
    <w:abstractNumId w:val="11"/>
  </w:num>
  <w:num w:numId="17">
    <w:abstractNumId w:val="33"/>
  </w:num>
  <w:num w:numId="18">
    <w:abstractNumId w:val="36"/>
  </w:num>
  <w:num w:numId="19">
    <w:abstractNumId w:val="24"/>
  </w:num>
  <w:num w:numId="20">
    <w:abstractNumId w:val="20"/>
  </w:num>
  <w:num w:numId="21">
    <w:abstractNumId w:val="13"/>
  </w:num>
  <w:num w:numId="22">
    <w:abstractNumId w:val="15"/>
  </w:num>
  <w:num w:numId="23">
    <w:abstractNumId w:val="3"/>
  </w:num>
  <w:num w:numId="24">
    <w:abstractNumId w:val="28"/>
  </w:num>
  <w:num w:numId="25">
    <w:abstractNumId w:val="37"/>
  </w:num>
  <w:num w:numId="26">
    <w:abstractNumId w:val="1"/>
  </w:num>
  <w:num w:numId="27">
    <w:abstractNumId w:val="32"/>
  </w:num>
  <w:num w:numId="28">
    <w:abstractNumId w:val="7"/>
  </w:num>
  <w:num w:numId="29">
    <w:abstractNumId w:val="17"/>
  </w:num>
  <w:num w:numId="30">
    <w:abstractNumId w:val="12"/>
  </w:num>
  <w:num w:numId="31">
    <w:abstractNumId w:val="10"/>
  </w:num>
  <w:num w:numId="32">
    <w:abstractNumId w:val="8"/>
  </w:num>
  <w:num w:numId="33">
    <w:abstractNumId w:val="35"/>
  </w:num>
  <w:num w:numId="34">
    <w:abstractNumId w:val="31"/>
  </w:num>
  <w:num w:numId="35">
    <w:abstractNumId w:val="22"/>
  </w:num>
  <w:num w:numId="36">
    <w:abstractNumId w:val="25"/>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14056"/>
    <w:rsid w:val="000162F9"/>
    <w:rsid w:val="000270BE"/>
    <w:rsid w:val="00042193"/>
    <w:rsid w:val="00046119"/>
    <w:rsid w:val="00052783"/>
    <w:rsid w:val="00052A0B"/>
    <w:rsid w:val="0005414D"/>
    <w:rsid w:val="000630CE"/>
    <w:rsid w:val="00065154"/>
    <w:rsid w:val="000722E4"/>
    <w:rsid w:val="000735F7"/>
    <w:rsid w:val="00076CAE"/>
    <w:rsid w:val="00077ACA"/>
    <w:rsid w:val="0008764E"/>
    <w:rsid w:val="000A0C3F"/>
    <w:rsid w:val="000A1BE0"/>
    <w:rsid w:val="000B09F5"/>
    <w:rsid w:val="000B0FBF"/>
    <w:rsid w:val="000B2201"/>
    <w:rsid w:val="000B60A8"/>
    <w:rsid w:val="000C1A6A"/>
    <w:rsid w:val="000C7D93"/>
    <w:rsid w:val="000D695E"/>
    <w:rsid w:val="000E4706"/>
    <w:rsid w:val="000F026E"/>
    <w:rsid w:val="000F230B"/>
    <w:rsid w:val="000F6DEA"/>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7B55"/>
    <w:rsid w:val="00181D6F"/>
    <w:rsid w:val="001A4AA6"/>
    <w:rsid w:val="001A51DC"/>
    <w:rsid w:val="001B1C71"/>
    <w:rsid w:val="001B4F33"/>
    <w:rsid w:val="001C6197"/>
    <w:rsid w:val="001C7182"/>
    <w:rsid w:val="001C7E8C"/>
    <w:rsid w:val="001D0620"/>
    <w:rsid w:val="001D3C09"/>
    <w:rsid w:val="001D40DA"/>
    <w:rsid w:val="001D665B"/>
    <w:rsid w:val="001E18FE"/>
    <w:rsid w:val="001E3462"/>
    <w:rsid w:val="001E4F39"/>
    <w:rsid w:val="001E7A73"/>
    <w:rsid w:val="00201497"/>
    <w:rsid w:val="0020374C"/>
    <w:rsid w:val="0020530C"/>
    <w:rsid w:val="00205F20"/>
    <w:rsid w:val="0020675D"/>
    <w:rsid w:val="00216F89"/>
    <w:rsid w:val="00217CCE"/>
    <w:rsid w:val="00221308"/>
    <w:rsid w:val="00226CBA"/>
    <w:rsid w:val="00227788"/>
    <w:rsid w:val="00233318"/>
    <w:rsid w:val="0023556E"/>
    <w:rsid w:val="00241DE6"/>
    <w:rsid w:val="00243376"/>
    <w:rsid w:val="00246DEE"/>
    <w:rsid w:val="00251DA4"/>
    <w:rsid w:val="00254DDC"/>
    <w:rsid w:val="002566D0"/>
    <w:rsid w:val="002604DB"/>
    <w:rsid w:val="00265ECD"/>
    <w:rsid w:val="00267BD5"/>
    <w:rsid w:val="00273E46"/>
    <w:rsid w:val="0027789D"/>
    <w:rsid w:val="002801C2"/>
    <w:rsid w:val="00282F87"/>
    <w:rsid w:val="00283F81"/>
    <w:rsid w:val="00286901"/>
    <w:rsid w:val="00286FA3"/>
    <w:rsid w:val="002921B3"/>
    <w:rsid w:val="0029353A"/>
    <w:rsid w:val="002B0DF0"/>
    <w:rsid w:val="002B11D9"/>
    <w:rsid w:val="002B237E"/>
    <w:rsid w:val="002B31F4"/>
    <w:rsid w:val="002B66B2"/>
    <w:rsid w:val="002C24BA"/>
    <w:rsid w:val="002E0C5F"/>
    <w:rsid w:val="002E130A"/>
    <w:rsid w:val="002E290A"/>
    <w:rsid w:val="002E341B"/>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7E6E"/>
    <w:rsid w:val="003C1F07"/>
    <w:rsid w:val="003D75D6"/>
    <w:rsid w:val="003E0039"/>
    <w:rsid w:val="003E1ACA"/>
    <w:rsid w:val="003E6C6A"/>
    <w:rsid w:val="003F4FE8"/>
    <w:rsid w:val="003F5182"/>
    <w:rsid w:val="003F6420"/>
    <w:rsid w:val="003F6492"/>
    <w:rsid w:val="003F7B12"/>
    <w:rsid w:val="00404730"/>
    <w:rsid w:val="00407458"/>
    <w:rsid w:val="00413FBA"/>
    <w:rsid w:val="0041471B"/>
    <w:rsid w:val="004151CA"/>
    <w:rsid w:val="00422FC6"/>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69B9"/>
    <w:rsid w:val="0048735C"/>
    <w:rsid w:val="004920BC"/>
    <w:rsid w:val="00497D15"/>
    <w:rsid w:val="004A0B24"/>
    <w:rsid w:val="004A7291"/>
    <w:rsid w:val="004B07EF"/>
    <w:rsid w:val="004C1887"/>
    <w:rsid w:val="004C6694"/>
    <w:rsid w:val="004D0A44"/>
    <w:rsid w:val="004D515A"/>
    <w:rsid w:val="004E207C"/>
    <w:rsid w:val="004E2D40"/>
    <w:rsid w:val="004E6155"/>
    <w:rsid w:val="004F34EA"/>
    <w:rsid w:val="004F37BA"/>
    <w:rsid w:val="004F4302"/>
    <w:rsid w:val="004F57D0"/>
    <w:rsid w:val="004F666C"/>
    <w:rsid w:val="00500B87"/>
    <w:rsid w:val="00507DF0"/>
    <w:rsid w:val="00510F82"/>
    <w:rsid w:val="00513841"/>
    <w:rsid w:val="0051582D"/>
    <w:rsid w:val="0051681E"/>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8171F"/>
    <w:rsid w:val="00582C8C"/>
    <w:rsid w:val="00590D4F"/>
    <w:rsid w:val="00591595"/>
    <w:rsid w:val="0059231F"/>
    <w:rsid w:val="005947A7"/>
    <w:rsid w:val="00596B89"/>
    <w:rsid w:val="00597B4D"/>
    <w:rsid w:val="005A0028"/>
    <w:rsid w:val="005A1EE1"/>
    <w:rsid w:val="005A2DD7"/>
    <w:rsid w:val="005A42C0"/>
    <w:rsid w:val="005A581B"/>
    <w:rsid w:val="005A693D"/>
    <w:rsid w:val="005B214D"/>
    <w:rsid w:val="005B5606"/>
    <w:rsid w:val="005B598C"/>
    <w:rsid w:val="005B5FC0"/>
    <w:rsid w:val="005B76C1"/>
    <w:rsid w:val="005C5218"/>
    <w:rsid w:val="005D0EC2"/>
    <w:rsid w:val="005D2978"/>
    <w:rsid w:val="005D4361"/>
    <w:rsid w:val="005D43AE"/>
    <w:rsid w:val="005E1CCC"/>
    <w:rsid w:val="005E2983"/>
    <w:rsid w:val="005F39A4"/>
    <w:rsid w:val="005F6149"/>
    <w:rsid w:val="00604B59"/>
    <w:rsid w:val="00604EFF"/>
    <w:rsid w:val="0060522E"/>
    <w:rsid w:val="0061072A"/>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816C1"/>
    <w:rsid w:val="006905C7"/>
    <w:rsid w:val="006A4844"/>
    <w:rsid w:val="006A4C6D"/>
    <w:rsid w:val="006B01C7"/>
    <w:rsid w:val="006B5396"/>
    <w:rsid w:val="006B572D"/>
    <w:rsid w:val="006C0501"/>
    <w:rsid w:val="006C75A9"/>
    <w:rsid w:val="006D04A0"/>
    <w:rsid w:val="006E0162"/>
    <w:rsid w:val="006E2F1E"/>
    <w:rsid w:val="006E36F8"/>
    <w:rsid w:val="006F1A50"/>
    <w:rsid w:val="00700900"/>
    <w:rsid w:val="00701F81"/>
    <w:rsid w:val="00706B77"/>
    <w:rsid w:val="00710A07"/>
    <w:rsid w:val="00726850"/>
    <w:rsid w:val="00731C8C"/>
    <w:rsid w:val="007450AC"/>
    <w:rsid w:val="007457F0"/>
    <w:rsid w:val="00750120"/>
    <w:rsid w:val="00753C73"/>
    <w:rsid w:val="007570F5"/>
    <w:rsid w:val="007625A8"/>
    <w:rsid w:val="00767B0B"/>
    <w:rsid w:val="00773D52"/>
    <w:rsid w:val="00774D1B"/>
    <w:rsid w:val="007840E2"/>
    <w:rsid w:val="00787B1D"/>
    <w:rsid w:val="007946CC"/>
    <w:rsid w:val="0079491D"/>
    <w:rsid w:val="007A100A"/>
    <w:rsid w:val="007A6349"/>
    <w:rsid w:val="007B0B54"/>
    <w:rsid w:val="007B2B1D"/>
    <w:rsid w:val="007B514F"/>
    <w:rsid w:val="007B7910"/>
    <w:rsid w:val="007C00D8"/>
    <w:rsid w:val="007C03BC"/>
    <w:rsid w:val="007C33E0"/>
    <w:rsid w:val="007D64B5"/>
    <w:rsid w:val="007E394B"/>
    <w:rsid w:val="007E41E3"/>
    <w:rsid w:val="007E446F"/>
    <w:rsid w:val="007E657A"/>
    <w:rsid w:val="007E733E"/>
    <w:rsid w:val="007F5631"/>
    <w:rsid w:val="008029BE"/>
    <w:rsid w:val="00804E6C"/>
    <w:rsid w:val="00805F5F"/>
    <w:rsid w:val="00807589"/>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E0EB9"/>
    <w:rsid w:val="008E35A3"/>
    <w:rsid w:val="008E6A66"/>
    <w:rsid w:val="008F056B"/>
    <w:rsid w:val="008F0CBB"/>
    <w:rsid w:val="008F6E74"/>
    <w:rsid w:val="00900BD5"/>
    <w:rsid w:val="009039AD"/>
    <w:rsid w:val="00905273"/>
    <w:rsid w:val="00905CE1"/>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903A6"/>
    <w:rsid w:val="009934B7"/>
    <w:rsid w:val="00997F25"/>
    <w:rsid w:val="009A70F4"/>
    <w:rsid w:val="009B6C3A"/>
    <w:rsid w:val="009C4756"/>
    <w:rsid w:val="009C479B"/>
    <w:rsid w:val="009C61AC"/>
    <w:rsid w:val="009D7859"/>
    <w:rsid w:val="009D7CC7"/>
    <w:rsid w:val="009E16C0"/>
    <w:rsid w:val="009E179B"/>
    <w:rsid w:val="009F60DE"/>
    <w:rsid w:val="00A04304"/>
    <w:rsid w:val="00A10791"/>
    <w:rsid w:val="00A11C45"/>
    <w:rsid w:val="00A14815"/>
    <w:rsid w:val="00A201BB"/>
    <w:rsid w:val="00A21D0F"/>
    <w:rsid w:val="00A2457B"/>
    <w:rsid w:val="00A32C8F"/>
    <w:rsid w:val="00A35E2B"/>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D0A33"/>
    <w:rsid w:val="00AD4551"/>
    <w:rsid w:val="00AD56C3"/>
    <w:rsid w:val="00AD5D59"/>
    <w:rsid w:val="00AD61CB"/>
    <w:rsid w:val="00AE0FDA"/>
    <w:rsid w:val="00AE3A7E"/>
    <w:rsid w:val="00AE3D41"/>
    <w:rsid w:val="00AF2FE8"/>
    <w:rsid w:val="00AF4F69"/>
    <w:rsid w:val="00AF6DD4"/>
    <w:rsid w:val="00B01914"/>
    <w:rsid w:val="00B022B6"/>
    <w:rsid w:val="00B03B20"/>
    <w:rsid w:val="00B1424D"/>
    <w:rsid w:val="00B17C6A"/>
    <w:rsid w:val="00B221B8"/>
    <w:rsid w:val="00B23AD0"/>
    <w:rsid w:val="00B2465B"/>
    <w:rsid w:val="00B3493B"/>
    <w:rsid w:val="00B355AD"/>
    <w:rsid w:val="00B4025D"/>
    <w:rsid w:val="00B53136"/>
    <w:rsid w:val="00B54281"/>
    <w:rsid w:val="00B5664B"/>
    <w:rsid w:val="00B605AC"/>
    <w:rsid w:val="00B6105E"/>
    <w:rsid w:val="00B61122"/>
    <w:rsid w:val="00B735CE"/>
    <w:rsid w:val="00B80FC0"/>
    <w:rsid w:val="00B81B8D"/>
    <w:rsid w:val="00B84B23"/>
    <w:rsid w:val="00B91B6E"/>
    <w:rsid w:val="00B94F08"/>
    <w:rsid w:val="00BA1722"/>
    <w:rsid w:val="00BA5C86"/>
    <w:rsid w:val="00BA6309"/>
    <w:rsid w:val="00BB26C0"/>
    <w:rsid w:val="00BB2D93"/>
    <w:rsid w:val="00BB5B9A"/>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45082"/>
    <w:rsid w:val="00C45625"/>
    <w:rsid w:val="00C467D1"/>
    <w:rsid w:val="00C53D01"/>
    <w:rsid w:val="00C624D6"/>
    <w:rsid w:val="00C65360"/>
    <w:rsid w:val="00C7479B"/>
    <w:rsid w:val="00C817BF"/>
    <w:rsid w:val="00C84051"/>
    <w:rsid w:val="00C8439A"/>
    <w:rsid w:val="00C91164"/>
    <w:rsid w:val="00C923AB"/>
    <w:rsid w:val="00C9240D"/>
    <w:rsid w:val="00C924B4"/>
    <w:rsid w:val="00C9513E"/>
    <w:rsid w:val="00CA0C96"/>
    <w:rsid w:val="00CA3D60"/>
    <w:rsid w:val="00CA737A"/>
    <w:rsid w:val="00CB2EEF"/>
    <w:rsid w:val="00CB6ED5"/>
    <w:rsid w:val="00CD102D"/>
    <w:rsid w:val="00CD271D"/>
    <w:rsid w:val="00CE2C9F"/>
    <w:rsid w:val="00CF0C66"/>
    <w:rsid w:val="00CF48D8"/>
    <w:rsid w:val="00D03B38"/>
    <w:rsid w:val="00D05A5D"/>
    <w:rsid w:val="00D06788"/>
    <w:rsid w:val="00D101BB"/>
    <w:rsid w:val="00D1322B"/>
    <w:rsid w:val="00D13D58"/>
    <w:rsid w:val="00D22848"/>
    <w:rsid w:val="00D27C48"/>
    <w:rsid w:val="00D333F2"/>
    <w:rsid w:val="00D3676C"/>
    <w:rsid w:val="00D42C20"/>
    <w:rsid w:val="00D44225"/>
    <w:rsid w:val="00D56D03"/>
    <w:rsid w:val="00D6651D"/>
    <w:rsid w:val="00D67A46"/>
    <w:rsid w:val="00D728A4"/>
    <w:rsid w:val="00D740BA"/>
    <w:rsid w:val="00D76136"/>
    <w:rsid w:val="00D854B0"/>
    <w:rsid w:val="00DA10E6"/>
    <w:rsid w:val="00DA1347"/>
    <w:rsid w:val="00DA389D"/>
    <w:rsid w:val="00DA6F85"/>
    <w:rsid w:val="00DA77BE"/>
    <w:rsid w:val="00DB51C1"/>
    <w:rsid w:val="00DB66BE"/>
    <w:rsid w:val="00DC06BB"/>
    <w:rsid w:val="00DC48E0"/>
    <w:rsid w:val="00DC49AD"/>
    <w:rsid w:val="00DD1BF4"/>
    <w:rsid w:val="00DD418E"/>
    <w:rsid w:val="00DE2721"/>
    <w:rsid w:val="00DE3C8F"/>
    <w:rsid w:val="00DF146E"/>
    <w:rsid w:val="00DF40EE"/>
    <w:rsid w:val="00DF426A"/>
    <w:rsid w:val="00DF4698"/>
    <w:rsid w:val="00DF6048"/>
    <w:rsid w:val="00E02A58"/>
    <w:rsid w:val="00E02F41"/>
    <w:rsid w:val="00E044E7"/>
    <w:rsid w:val="00E07E5E"/>
    <w:rsid w:val="00E110A9"/>
    <w:rsid w:val="00E11144"/>
    <w:rsid w:val="00E1154E"/>
    <w:rsid w:val="00E13EFE"/>
    <w:rsid w:val="00E2053B"/>
    <w:rsid w:val="00E21E2B"/>
    <w:rsid w:val="00E244CF"/>
    <w:rsid w:val="00E26778"/>
    <w:rsid w:val="00E3517E"/>
    <w:rsid w:val="00E35558"/>
    <w:rsid w:val="00E37B3B"/>
    <w:rsid w:val="00E44C45"/>
    <w:rsid w:val="00E51EBE"/>
    <w:rsid w:val="00E5373A"/>
    <w:rsid w:val="00E55B3E"/>
    <w:rsid w:val="00E63CEF"/>
    <w:rsid w:val="00E71FBE"/>
    <w:rsid w:val="00E762A1"/>
    <w:rsid w:val="00E819E1"/>
    <w:rsid w:val="00E921B4"/>
    <w:rsid w:val="00E972B3"/>
    <w:rsid w:val="00EB478E"/>
    <w:rsid w:val="00EC206B"/>
    <w:rsid w:val="00EC741C"/>
    <w:rsid w:val="00EC7C59"/>
    <w:rsid w:val="00ED4C76"/>
    <w:rsid w:val="00EE7F6C"/>
    <w:rsid w:val="00EF1152"/>
    <w:rsid w:val="00EF33D7"/>
    <w:rsid w:val="00F06C98"/>
    <w:rsid w:val="00F15185"/>
    <w:rsid w:val="00F201CD"/>
    <w:rsid w:val="00F2141D"/>
    <w:rsid w:val="00F2439C"/>
    <w:rsid w:val="00F36280"/>
    <w:rsid w:val="00F36D2F"/>
    <w:rsid w:val="00F41E7E"/>
    <w:rsid w:val="00F46986"/>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2E01"/>
    <w:rsid w:val="00FE4DF6"/>
    <w:rsid w:val="00FE5D6D"/>
    <w:rsid w:val="00FF2ED8"/>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ios.dane.gov.co/cnpv-presentacion/sr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obalcommissionondrugs.org/wp-content/uploads/2018/11/SPA-2018_SDGPaper_WEB.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isonstudies.org/country/colomb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vox.com/2014/5/19/5727712/drug-alcohol-death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as.org.uk/uploads/pdf/News%20stories/dnutt-lancet-011110.pdf" TargetMode="External"/><Relationship Id="rId14" Type="http://schemas.openxmlformats.org/officeDocument/2006/relationships/hyperlink" Target="http://fileserver.idpc.net/library/dpa_marijuana_legalization_report_v8_0.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www.globalcommissionondrugs.org/wp-content/uploads/2018/11/SPA-2018_SDGPaper_WEB.pdf"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dejusticia.org/wp-content/uploads/2017/07/Delitos-de-drogas-y-sobredosis-carcelaria-en-Colombia-Version-final-PDF-para-WEB.pdf" TargetMode="External"/><Relationship Id="rId1" Type="http://schemas.openxmlformats.org/officeDocument/2006/relationships/hyperlink" Target="https://www.vox.com/2014/5/19/5727712/drug-alcohol-deaths"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www.globalcommissionondrugs.org/wp-content/uploads/2018/11/SPA-2018_SDGPaper_WEB.pdf" TargetMode="External"/><Relationship Id="rId9"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7E6D-2F1C-4BA8-AB4A-A1A5638B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15476</Words>
  <Characters>85122</Characters>
  <Application>Microsoft Office Word</Application>
  <DocSecurity>0</DocSecurity>
  <Lines>709</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100398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camilo acuna</cp:lastModifiedBy>
  <cp:revision>2</cp:revision>
  <cp:lastPrinted>2020-07-20T04:47:00Z</cp:lastPrinted>
  <dcterms:created xsi:type="dcterms:W3CDTF">2020-07-20T21:34:00Z</dcterms:created>
  <dcterms:modified xsi:type="dcterms:W3CDTF">2020-07-20T21:34:00Z</dcterms:modified>
</cp:coreProperties>
</file>