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3BD4" w14:textId="77777777" w:rsidR="00FA0665" w:rsidRDefault="00FA0665">
      <w:pPr>
        <w:spacing w:after="0" w:line="276" w:lineRule="auto"/>
        <w:jc w:val="center"/>
        <w:rPr>
          <w:rFonts w:ascii="Bookman Old Style" w:eastAsia="Bookman Old Style" w:hAnsi="Bookman Old Style" w:cs="Bookman Old Style"/>
        </w:rPr>
      </w:pPr>
    </w:p>
    <w:p w14:paraId="40AE02FE" w14:textId="77777777" w:rsidR="00FA0665" w:rsidRDefault="00FA0665">
      <w:pPr>
        <w:spacing w:after="0" w:line="276" w:lineRule="auto"/>
        <w:jc w:val="center"/>
        <w:rPr>
          <w:rFonts w:ascii="Bookman Old Style" w:eastAsia="Bookman Old Style" w:hAnsi="Bookman Old Style" w:cs="Bookman Old Style"/>
        </w:rPr>
      </w:pPr>
    </w:p>
    <w:p w14:paraId="6EB58EFB" w14:textId="77777777" w:rsidR="00FA0665" w:rsidRDefault="00000000">
      <w:pPr>
        <w:spacing w:after="0" w:line="276" w:lineRule="auto"/>
        <w:jc w:val="right"/>
        <w:rPr>
          <w:rFonts w:ascii="Bookman Old Style" w:eastAsia="Bookman Old Style" w:hAnsi="Bookman Old Style" w:cs="Bookman Old Style"/>
          <w:b/>
        </w:rPr>
      </w:pPr>
      <w:r>
        <w:rPr>
          <w:rFonts w:ascii="Bookman Old Style" w:eastAsia="Bookman Old Style" w:hAnsi="Bookman Old Style" w:cs="Bookman Old Style"/>
          <w:b/>
        </w:rPr>
        <w:t>Bogotá D.C., 20 de julio de 2022</w:t>
      </w:r>
    </w:p>
    <w:p w14:paraId="463B22AD" w14:textId="77777777" w:rsidR="00FA0665" w:rsidRDefault="00FA0665">
      <w:pPr>
        <w:spacing w:after="0" w:line="276" w:lineRule="auto"/>
        <w:jc w:val="right"/>
        <w:rPr>
          <w:rFonts w:ascii="Bookman Old Style" w:eastAsia="Bookman Old Style" w:hAnsi="Bookman Old Style" w:cs="Bookman Old Style"/>
          <w:b/>
        </w:rPr>
      </w:pPr>
    </w:p>
    <w:p w14:paraId="65AE2B79" w14:textId="77777777" w:rsidR="00FA0665" w:rsidRDefault="00FA0665">
      <w:pPr>
        <w:spacing w:after="0" w:line="276" w:lineRule="auto"/>
        <w:rPr>
          <w:rFonts w:ascii="Bookman Old Style" w:eastAsia="Bookman Old Style" w:hAnsi="Bookman Old Style" w:cs="Bookman Old Style"/>
        </w:rPr>
      </w:pPr>
    </w:p>
    <w:p w14:paraId="65C6BEFC" w14:textId="77777777" w:rsidR="00FA0665" w:rsidRDefault="00FA0665">
      <w:pPr>
        <w:spacing w:after="0" w:line="276" w:lineRule="auto"/>
        <w:rPr>
          <w:rFonts w:ascii="Bookman Old Style" w:eastAsia="Bookman Old Style" w:hAnsi="Bookman Old Style" w:cs="Bookman Old Style"/>
        </w:rPr>
      </w:pPr>
    </w:p>
    <w:p w14:paraId="1499B752" w14:textId="77777777" w:rsidR="00FA0665" w:rsidRDefault="00000000">
      <w:pPr>
        <w:spacing w:after="0" w:line="276" w:lineRule="auto"/>
        <w:rPr>
          <w:rFonts w:ascii="Bookman Old Style" w:eastAsia="Bookman Old Style" w:hAnsi="Bookman Old Style" w:cs="Bookman Old Style"/>
        </w:rPr>
      </w:pPr>
      <w:r>
        <w:rPr>
          <w:rFonts w:ascii="Bookman Old Style" w:eastAsia="Bookman Old Style" w:hAnsi="Bookman Old Style" w:cs="Bookman Old Style"/>
        </w:rPr>
        <w:t>Doctor</w:t>
      </w:r>
    </w:p>
    <w:p w14:paraId="5B1CF385" w14:textId="594A785C" w:rsidR="00FA0665" w:rsidRPr="008A65BE" w:rsidRDefault="008A65BE" w:rsidP="00785E66">
      <w:pPr>
        <w:spacing w:after="0"/>
        <w:rPr>
          <w:rFonts w:ascii="Bookman Old Style" w:eastAsia="Bookman Old Style" w:hAnsi="Bookman Old Style" w:cs="Bookman Old Style"/>
          <w:b/>
          <w:bCs/>
        </w:rPr>
      </w:pPr>
      <w:r w:rsidRPr="008A65BE">
        <w:rPr>
          <w:rFonts w:ascii="Bookman Old Style" w:eastAsia="Bookman Old Style" w:hAnsi="Bookman Old Style" w:cs="Bookman Old Style"/>
          <w:b/>
          <w:bCs/>
        </w:rPr>
        <w:t>SECRETAR</w:t>
      </w:r>
      <w:r>
        <w:rPr>
          <w:rFonts w:ascii="Bookman Old Style" w:eastAsia="Bookman Old Style" w:hAnsi="Bookman Old Style" w:cs="Bookman Old Style"/>
          <w:b/>
          <w:bCs/>
        </w:rPr>
        <w:t>IO</w:t>
      </w:r>
      <w:r w:rsidRPr="008A65BE">
        <w:rPr>
          <w:rFonts w:ascii="Bookman Old Style" w:eastAsia="Bookman Old Style" w:hAnsi="Bookman Old Style" w:cs="Bookman Old Style"/>
          <w:b/>
          <w:bCs/>
        </w:rPr>
        <w:t xml:space="preserve"> GENERAL </w:t>
      </w:r>
    </w:p>
    <w:p w14:paraId="00B71A79" w14:textId="77777777" w:rsidR="00FA0665" w:rsidRDefault="00000000" w:rsidP="00785E66">
      <w:pPr>
        <w:spacing w:after="0" w:line="276" w:lineRule="auto"/>
        <w:rPr>
          <w:rFonts w:ascii="Bookman Old Style" w:eastAsia="Bookman Old Style" w:hAnsi="Bookman Old Style" w:cs="Bookman Old Style"/>
        </w:rPr>
      </w:pPr>
      <w:r>
        <w:rPr>
          <w:rFonts w:ascii="Bookman Old Style" w:eastAsia="Bookman Old Style" w:hAnsi="Bookman Old Style" w:cs="Bookman Old Style"/>
        </w:rPr>
        <w:t>Honorable Cámara de Representantes</w:t>
      </w:r>
    </w:p>
    <w:p w14:paraId="0B7F4FAE" w14:textId="77777777" w:rsidR="00FA0665" w:rsidRDefault="00000000" w:rsidP="00785E66">
      <w:pPr>
        <w:spacing w:after="0" w:line="276" w:lineRule="auto"/>
        <w:rPr>
          <w:rFonts w:ascii="Bookman Old Style" w:eastAsia="Bookman Old Style" w:hAnsi="Bookman Old Style" w:cs="Bookman Old Style"/>
        </w:rPr>
      </w:pPr>
      <w:r>
        <w:rPr>
          <w:rFonts w:ascii="Bookman Old Style" w:eastAsia="Bookman Old Style" w:hAnsi="Bookman Old Style" w:cs="Bookman Old Style"/>
        </w:rPr>
        <w:t>Ciudad</w:t>
      </w:r>
    </w:p>
    <w:p w14:paraId="2E2070C6" w14:textId="77777777" w:rsidR="00FA0665" w:rsidRDefault="00FA0665">
      <w:pPr>
        <w:spacing w:after="0" w:line="276" w:lineRule="auto"/>
        <w:rPr>
          <w:rFonts w:ascii="Bookman Old Style" w:eastAsia="Bookman Old Style" w:hAnsi="Bookman Old Style" w:cs="Bookman Old Style"/>
        </w:rPr>
      </w:pPr>
    </w:p>
    <w:p w14:paraId="2D932181" w14:textId="77777777" w:rsidR="00FA0665" w:rsidRDefault="00000000">
      <w:pPr>
        <w:spacing w:after="0" w:line="276" w:lineRule="auto"/>
        <w:jc w:val="right"/>
        <w:rPr>
          <w:rFonts w:ascii="Bookman Old Style" w:eastAsia="Bookman Old Style" w:hAnsi="Bookman Old Style" w:cs="Bookman Old Style"/>
          <w:b/>
        </w:rPr>
      </w:pPr>
      <w:r>
        <w:rPr>
          <w:rFonts w:ascii="Bookman Old Style" w:eastAsia="Bookman Old Style" w:hAnsi="Bookman Old Style" w:cs="Bookman Old Style"/>
          <w:b/>
        </w:rPr>
        <w:t xml:space="preserve">REF: RADICACIÓN PROYECTO DE ACTO LEGISLATIVO </w:t>
      </w:r>
    </w:p>
    <w:p w14:paraId="00790B3A" w14:textId="77777777" w:rsidR="00FA0665" w:rsidRDefault="00FA0665">
      <w:pPr>
        <w:spacing w:after="0" w:line="276" w:lineRule="auto"/>
        <w:jc w:val="right"/>
        <w:rPr>
          <w:rFonts w:ascii="Bookman Old Style" w:eastAsia="Bookman Old Style" w:hAnsi="Bookman Old Style" w:cs="Bookman Old Style"/>
          <w:b/>
        </w:rPr>
      </w:pPr>
    </w:p>
    <w:p w14:paraId="3EB05220" w14:textId="77777777" w:rsidR="00FA0665" w:rsidRDefault="00FA0665">
      <w:pPr>
        <w:spacing w:after="0" w:line="276" w:lineRule="auto"/>
        <w:jc w:val="right"/>
        <w:rPr>
          <w:rFonts w:ascii="Bookman Old Style" w:eastAsia="Bookman Old Style" w:hAnsi="Bookman Old Style" w:cs="Bookman Old Style"/>
          <w:b/>
        </w:rPr>
      </w:pPr>
    </w:p>
    <w:p w14:paraId="0D4B719B" w14:textId="77777777" w:rsidR="00FA0665" w:rsidRDefault="00000000">
      <w:pPr>
        <w:spacing w:after="0" w:line="276" w:lineRule="auto"/>
        <w:jc w:val="both"/>
        <w:rPr>
          <w:rFonts w:ascii="Bookman Old Style" w:eastAsia="Bookman Old Style" w:hAnsi="Bookman Old Style" w:cs="Bookman Old Style"/>
          <w:b/>
        </w:rPr>
      </w:pPr>
      <w:r>
        <w:rPr>
          <w:rFonts w:ascii="Bookman Old Style" w:eastAsia="Bookman Old Style" w:hAnsi="Bookman Old Style" w:cs="Bookman Old Style"/>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Acto Legislativo “Por el cual se modifica el artículo 65 de la Constitución Política de Colombia”. </w:t>
      </w:r>
      <w:r>
        <w:rPr>
          <w:rFonts w:ascii="Bookman Old Style" w:eastAsia="Bookman Old Style" w:hAnsi="Bookman Old Style" w:cs="Bookman Old Style"/>
          <w:b/>
        </w:rPr>
        <w:t>(Derecho a la alimentación)</w:t>
      </w:r>
    </w:p>
    <w:p w14:paraId="2251F1B8" w14:textId="77777777" w:rsidR="00FA0665" w:rsidRDefault="00FA0665">
      <w:pPr>
        <w:spacing w:after="0" w:line="276" w:lineRule="auto"/>
        <w:jc w:val="both"/>
        <w:rPr>
          <w:rFonts w:ascii="Bookman Old Style" w:eastAsia="Bookman Old Style" w:hAnsi="Bookman Old Style" w:cs="Bookman Old Style"/>
          <w:b/>
        </w:rPr>
      </w:pPr>
    </w:p>
    <w:p w14:paraId="3CB2F257" w14:textId="77777777" w:rsidR="00FA0665" w:rsidRDefault="00FA0665">
      <w:pPr>
        <w:spacing w:after="0" w:line="276" w:lineRule="auto"/>
        <w:jc w:val="both"/>
        <w:rPr>
          <w:rFonts w:ascii="Bookman Old Style" w:eastAsia="Bookman Old Style" w:hAnsi="Bookman Old Style" w:cs="Bookman Old Style"/>
          <w:b/>
        </w:rPr>
      </w:pPr>
    </w:p>
    <w:p w14:paraId="3807CCEC" w14:textId="77777777" w:rsidR="00FA0665" w:rsidRPr="00785E66" w:rsidRDefault="00000000">
      <w:pPr>
        <w:spacing w:after="0" w:line="276" w:lineRule="auto"/>
        <w:jc w:val="both"/>
        <w:rPr>
          <w:rFonts w:ascii="Bookman Old Style" w:eastAsia="Bookman Old Style" w:hAnsi="Bookman Old Style" w:cs="Bookman Old Style"/>
          <w:bCs/>
        </w:rPr>
      </w:pPr>
      <w:r w:rsidRPr="00785E66">
        <w:rPr>
          <w:rFonts w:ascii="Bookman Old Style" w:eastAsia="Bookman Old Style" w:hAnsi="Bookman Old Style" w:cs="Bookman Old Style"/>
          <w:bCs/>
        </w:rPr>
        <w:t xml:space="preserve">Cordialmente, </w:t>
      </w:r>
    </w:p>
    <w:p w14:paraId="1E4D40FE" w14:textId="77777777" w:rsidR="00FA0665" w:rsidRDefault="00FA0665">
      <w:pPr>
        <w:spacing w:after="0" w:line="276" w:lineRule="auto"/>
        <w:jc w:val="center"/>
        <w:rPr>
          <w:rFonts w:ascii="Bookman Old Style" w:eastAsia="Bookman Old Style" w:hAnsi="Bookman Old Style" w:cs="Bookman Old Style"/>
          <w:b/>
        </w:rPr>
      </w:pPr>
    </w:p>
    <w:p w14:paraId="6780676E" w14:textId="73FAA6DE" w:rsidR="00785E66" w:rsidRDefault="00785E66" w:rsidP="00785E66">
      <w:pPr>
        <w:tabs>
          <w:tab w:val="right" w:pos="8838"/>
        </w:tabs>
        <w:jc w:val="center"/>
        <w:rPr>
          <w:rFonts w:ascii="Bookman Old Style" w:eastAsia="Bookman Old Style" w:hAnsi="Bookman Old Style" w:cs="Bookman Old Style"/>
          <w:b/>
          <w:sz w:val="20"/>
          <w:szCs w:val="20"/>
        </w:rPr>
      </w:pPr>
    </w:p>
    <w:p w14:paraId="4D261DF0" w14:textId="3C0D250B" w:rsidR="00785E66" w:rsidRDefault="00785E66" w:rsidP="00785E66">
      <w:pPr>
        <w:tabs>
          <w:tab w:val="right" w:pos="8838"/>
        </w:tabs>
        <w:jc w:val="center"/>
        <w:rPr>
          <w:rFonts w:ascii="Bookman Old Style" w:eastAsia="Bookman Old Style" w:hAnsi="Bookman Old Style" w:cs="Bookman Old Style"/>
          <w:b/>
          <w:sz w:val="20"/>
          <w:szCs w:val="20"/>
        </w:rPr>
      </w:pPr>
    </w:p>
    <w:p w14:paraId="16253933" w14:textId="46D1C2D1" w:rsidR="00785E66" w:rsidRDefault="00785E66" w:rsidP="00785E66">
      <w:pPr>
        <w:tabs>
          <w:tab w:val="right" w:pos="8838"/>
        </w:tabs>
        <w:jc w:val="center"/>
        <w:rPr>
          <w:rFonts w:ascii="Bookman Old Style" w:eastAsia="Bookman Old Style" w:hAnsi="Bookman Old Style" w:cs="Bookman Old Style"/>
          <w:b/>
          <w:sz w:val="20"/>
          <w:szCs w:val="20"/>
        </w:rPr>
      </w:pPr>
    </w:p>
    <w:p w14:paraId="5B0C39D4" w14:textId="77777777" w:rsidR="00785E66" w:rsidRDefault="00785E66" w:rsidP="00785E66">
      <w:pPr>
        <w:tabs>
          <w:tab w:val="right" w:pos="8838"/>
        </w:tabs>
        <w:spacing w:after="0"/>
        <w:jc w:val="center"/>
        <w:rPr>
          <w:rFonts w:ascii="Bookman Old Style" w:eastAsia="Bookman Old Style" w:hAnsi="Bookman Old Style" w:cs="Bookman Old Style"/>
          <w:b/>
          <w:sz w:val="20"/>
          <w:szCs w:val="20"/>
        </w:rPr>
      </w:pPr>
    </w:p>
    <w:p w14:paraId="440CCB11" w14:textId="77777777" w:rsidR="00785E66" w:rsidRDefault="00785E66" w:rsidP="00785E66">
      <w:pPr>
        <w:tabs>
          <w:tab w:val="right" w:pos="8838"/>
        </w:tabs>
        <w:spacing w:after="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JUAN CARLOS LOZADA VARGAS</w:t>
      </w:r>
    </w:p>
    <w:p w14:paraId="39D7186D" w14:textId="77777777" w:rsidR="00785E66" w:rsidRDefault="00785E66" w:rsidP="00785E66">
      <w:pPr>
        <w:tabs>
          <w:tab w:val="right" w:pos="8838"/>
        </w:tabs>
        <w:spacing w:after="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Bogotá</w:t>
      </w:r>
    </w:p>
    <w:p w14:paraId="14C32026" w14:textId="0BD0F1DB" w:rsidR="00FA0665" w:rsidRDefault="00785E66" w:rsidP="00785E66">
      <w:pPr>
        <w:spacing w:after="0" w:line="276" w:lineRule="auto"/>
        <w:jc w:val="center"/>
        <w:rPr>
          <w:rFonts w:ascii="Bookman Old Style" w:eastAsia="Bookman Old Style" w:hAnsi="Bookman Old Style" w:cs="Bookman Old Style"/>
          <w:b/>
        </w:rPr>
      </w:pPr>
      <w:r>
        <w:rPr>
          <w:rFonts w:ascii="Bookman Old Style" w:eastAsia="Bookman Old Style" w:hAnsi="Bookman Old Style" w:cs="Bookman Old Style"/>
          <w:sz w:val="20"/>
          <w:szCs w:val="20"/>
        </w:rPr>
        <w:t>Partido Liberal Colombiano</w:t>
      </w:r>
    </w:p>
    <w:p w14:paraId="1CB51D69" w14:textId="77777777" w:rsidR="00FA0665" w:rsidRDefault="00FA0665">
      <w:pPr>
        <w:spacing w:after="0" w:line="276" w:lineRule="auto"/>
        <w:jc w:val="center"/>
        <w:rPr>
          <w:rFonts w:ascii="Bookman Old Style" w:eastAsia="Bookman Old Style" w:hAnsi="Bookman Old Style" w:cs="Bookman Old Style"/>
          <w:b/>
        </w:rPr>
      </w:pPr>
    </w:p>
    <w:p w14:paraId="6B36032F" w14:textId="77777777" w:rsidR="00FA0665" w:rsidRDefault="00FA0665">
      <w:pPr>
        <w:spacing w:after="0" w:line="276" w:lineRule="auto"/>
        <w:jc w:val="center"/>
        <w:rPr>
          <w:rFonts w:ascii="Bookman Old Style" w:eastAsia="Bookman Old Style" w:hAnsi="Bookman Old Style" w:cs="Bookman Old Style"/>
          <w:b/>
        </w:rPr>
      </w:pPr>
    </w:p>
    <w:p w14:paraId="12250B34" w14:textId="1254416E" w:rsidR="00FA0665" w:rsidRDefault="00FA0665">
      <w:pPr>
        <w:spacing w:after="0" w:line="276" w:lineRule="auto"/>
        <w:jc w:val="center"/>
        <w:rPr>
          <w:rFonts w:ascii="Bookman Old Style" w:eastAsia="Bookman Old Style" w:hAnsi="Bookman Old Style" w:cs="Bookman Old Style"/>
          <w:b/>
        </w:rPr>
      </w:pPr>
    </w:p>
    <w:p w14:paraId="455ECBB0" w14:textId="601397C2" w:rsidR="00785E66" w:rsidRDefault="00785E66">
      <w:pPr>
        <w:spacing w:after="0" w:line="276" w:lineRule="auto"/>
        <w:jc w:val="center"/>
        <w:rPr>
          <w:rFonts w:ascii="Bookman Old Style" w:eastAsia="Bookman Old Style" w:hAnsi="Bookman Old Style" w:cs="Bookman Old Style"/>
          <w:b/>
        </w:rPr>
      </w:pPr>
    </w:p>
    <w:p w14:paraId="6AB1DC71" w14:textId="4462DBA1" w:rsidR="00785E66" w:rsidRDefault="00785E66">
      <w:pPr>
        <w:spacing w:after="0" w:line="276" w:lineRule="auto"/>
        <w:jc w:val="center"/>
        <w:rPr>
          <w:rFonts w:ascii="Bookman Old Style" w:eastAsia="Bookman Old Style" w:hAnsi="Bookman Old Style" w:cs="Bookman Old Style"/>
          <w:b/>
        </w:rPr>
      </w:pPr>
    </w:p>
    <w:p w14:paraId="1F907DA4" w14:textId="0530C15E" w:rsidR="00785E66" w:rsidRDefault="00785E66">
      <w:pPr>
        <w:spacing w:after="0" w:line="276" w:lineRule="auto"/>
        <w:jc w:val="center"/>
        <w:rPr>
          <w:rFonts w:ascii="Bookman Old Style" w:eastAsia="Bookman Old Style" w:hAnsi="Bookman Old Style" w:cs="Bookman Old Style"/>
          <w:b/>
        </w:rPr>
      </w:pPr>
    </w:p>
    <w:p w14:paraId="3A76DCE2" w14:textId="7D04AA9B" w:rsidR="00785E66" w:rsidRDefault="00785E66">
      <w:pPr>
        <w:spacing w:after="0" w:line="276" w:lineRule="auto"/>
        <w:jc w:val="center"/>
        <w:rPr>
          <w:rFonts w:ascii="Bookman Old Style" w:eastAsia="Bookman Old Style" w:hAnsi="Bookman Old Style" w:cs="Bookman Old Style"/>
          <w:b/>
        </w:rPr>
      </w:pPr>
    </w:p>
    <w:p w14:paraId="3711FAB7" w14:textId="47CC0271" w:rsidR="00785E66" w:rsidRDefault="00785E66">
      <w:pPr>
        <w:spacing w:after="0" w:line="276" w:lineRule="auto"/>
        <w:jc w:val="center"/>
        <w:rPr>
          <w:rFonts w:ascii="Bookman Old Style" w:eastAsia="Bookman Old Style" w:hAnsi="Bookman Old Style" w:cs="Bookman Old Style"/>
          <w:b/>
        </w:rPr>
      </w:pPr>
    </w:p>
    <w:p w14:paraId="6A88CA20" w14:textId="77777777" w:rsidR="00785E66" w:rsidRDefault="00785E66">
      <w:pPr>
        <w:spacing w:after="0" w:line="276" w:lineRule="auto"/>
        <w:jc w:val="center"/>
        <w:rPr>
          <w:rFonts w:ascii="Bookman Old Style" w:eastAsia="Bookman Old Style" w:hAnsi="Bookman Old Style" w:cs="Bookman Old Style"/>
          <w:b/>
        </w:rPr>
      </w:pPr>
    </w:p>
    <w:p w14:paraId="22AD0314" w14:textId="77777777" w:rsidR="00F51457" w:rsidRDefault="00F51457" w:rsidP="00F51457">
      <w:pPr>
        <w:spacing w:after="0" w:line="276" w:lineRule="auto"/>
        <w:jc w:val="center"/>
        <w:rPr>
          <w:rFonts w:ascii="Bookman Old Style" w:eastAsia="Bookman Old Style" w:hAnsi="Bookman Old Style" w:cs="Bookman Old Style"/>
          <w:b/>
        </w:rPr>
      </w:pPr>
    </w:p>
    <w:tbl>
      <w:tblPr>
        <w:tblStyle w:val="a"/>
        <w:tblW w:w="87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348"/>
      </w:tblGrid>
      <w:tr w:rsidR="00F51457" w14:paraId="38DD95AA" w14:textId="77777777" w:rsidTr="00F067D5">
        <w:trPr>
          <w:trHeight w:val="70"/>
          <w:jc w:val="center"/>
        </w:trPr>
        <w:tc>
          <w:tcPr>
            <w:tcW w:w="4390" w:type="dxa"/>
          </w:tcPr>
          <w:p w14:paraId="4368A410" w14:textId="77777777" w:rsidR="00F51457" w:rsidRPr="0037077D" w:rsidRDefault="00F51457" w:rsidP="0037077D">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lastRenderedPageBreak/>
              <w:t>ANDRÉS DAVID CALLE AGUAS</w:t>
            </w:r>
          </w:p>
          <w:p w14:paraId="206AC352" w14:textId="77777777" w:rsidR="00F51457" w:rsidRPr="0037077D" w:rsidRDefault="00F51457"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Córdoba</w:t>
            </w:r>
          </w:p>
          <w:p w14:paraId="3AD3DB89" w14:textId="77777777" w:rsidR="00F51457" w:rsidRPr="0037077D" w:rsidRDefault="00F51457"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Liberal Colombiano</w:t>
            </w:r>
          </w:p>
        </w:tc>
        <w:tc>
          <w:tcPr>
            <w:tcW w:w="4348" w:type="dxa"/>
          </w:tcPr>
          <w:p w14:paraId="654689A8" w14:textId="77777777" w:rsidR="00F51457" w:rsidRPr="0037077D" w:rsidRDefault="00F51457" w:rsidP="0037077D">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ALEJANDRO VEGA PÉREZ</w:t>
            </w:r>
          </w:p>
          <w:p w14:paraId="5E1BE4BF" w14:textId="77777777" w:rsidR="00F51457" w:rsidRPr="0037077D" w:rsidRDefault="00F51457"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6F2350BF" w14:textId="77777777" w:rsidR="00F51457" w:rsidRPr="0037077D" w:rsidRDefault="00F51457"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Liberal Colombiano</w:t>
            </w:r>
          </w:p>
        </w:tc>
      </w:tr>
      <w:tr w:rsidR="00F51457" w14:paraId="785FE4EF" w14:textId="77777777" w:rsidTr="00F067D5">
        <w:trPr>
          <w:jc w:val="center"/>
        </w:trPr>
        <w:tc>
          <w:tcPr>
            <w:tcW w:w="4390" w:type="dxa"/>
          </w:tcPr>
          <w:p w14:paraId="1006A723" w14:textId="4BA68DD6" w:rsidR="00F51457" w:rsidRPr="0037077D" w:rsidRDefault="00F51457" w:rsidP="0037077D">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FABIÁN DÍAZ PLATA</w:t>
            </w:r>
          </w:p>
          <w:p w14:paraId="6A46A548" w14:textId="77777777" w:rsidR="00F51457" w:rsidRPr="0037077D" w:rsidRDefault="00F51457"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Senador de la República </w:t>
            </w:r>
          </w:p>
          <w:p w14:paraId="333FA482" w14:textId="77777777" w:rsidR="00F51457" w:rsidRPr="0037077D" w:rsidRDefault="00F51457"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Alianza Verde</w:t>
            </w:r>
          </w:p>
        </w:tc>
        <w:tc>
          <w:tcPr>
            <w:tcW w:w="4348" w:type="dxa"/>
          </w:tcPr>
          <w:p w14:paraId="53F16B74" w14:textId="4F9C27BA" w:rsidR="00F51457" w:rsidRPr="0037077D" w:rsidRDefault="0037077D" w:rsidP="0037077D">
            <w:pPr>
              <w:spacing w:line="276" w:lineRule="auto"/>
              <w:jc w:val="center"/>
              <w:rPr>
                <w:rFonts w:ascii="Bookman Old Style" w:eastAsia="Arial" w:hAnsi="Bookman Old Style" w:cs="Arial"/>
                <w:b/>
                <w:bCs/>
                <w:sz w:val="20"/>
                <w:szCs w:val="20"/>
              </w:rPr>
            </w:pPr>
            <w:r w:rsidRPr="0037077D">
              <w:rPr>
                <w:rFonts w:ascii="Bookman Old Style" w:eastAsia="Arial" w:hAnsi="Bookman Old Style" w:cs="Arial"/>
                <w:b/>
                <w:bCs/>
                <w:sz w:val="20"/>
                <w:szCs w:val="20"/>
              </w:rPr>
              <w:t>NICOLÁS ALBEIRO ECHEVERRY ALVARÁN</w:t>
            </w:r>
          </w:p>
          <w:p w14:paraId="6FB4368D" w14:textId="77777777" w:rsidR="00F51457" w:rsidRPr="0037077D" w:rsidRDefault="00F51457" w:rsidP="00F067D5">
            <w:pPr>
              <w:spacing w:line="276" w:lineRule="auto"/>
              <w:jc w:val="center"/>
              <w:rPr>
                <w:rFonts w:ascii="Bookman Old Style" w:eastAsia="Arial" w:hAnsi="Bookman Old Style" w:cs="Arial"/>
                <w:sz w:val="20"/>
                <w:szCs w:val="20"/>
              </w:rPr>
            </w:pPr>
            <w:r w:rsidRPr="0037077D">
              <w:rPr>
                <w:rFonts w:ascii="Bookman Old Style" w:eastAsia="Arial" w:hAnsi="Bookman Old Style" w:cs="Arial"/>
                <w:sz w:val="20"/>
                <w:szCs w:val="20"/>
              </w:rPr>
              <w:t xml:space="preserve">Senador de la Republica                                      </w:t>
            </w:r>
          </w:p>
          <w:p w14:paraId="0FA642DD" w14:textId="1C269E2D" w:rsidR="00F51457" w:rsidRPr="0037077D" w:rsidRDefault="00F51457" w:rsidP="0037077D">
            <w:pPr>
              <w:spacing w:after="160" w:line="256" w:lineRule="auto"/>
              <w:jc w:val="center"/>
              <w:rPr>
                <w:rFonts w:ascii="Bookman Old Style" w:eastAsia="Arial" w:hAnsi="Bookman Old Style" w:cs="Arial"/>
                <w:sz w:val="20"/>
                <w:szCs w:val="20"/>
              </w:rPr>
            </w:pPr>
            <w:r w:rsidRPr="0037077D">
              <w:rPr>
                <w:rFonts w:ascii="Bookman Old Style" w:eastAsia="Arial" w:hAnsi="Bookman Old Style" w:cs="Arial"/>
                <w:sz w:val="20"/>
                <w:szCs w:val="20"/>
              </w:rPr>
              <w:t>Partido Conservador Colombiano</w:t>
            </w:r>
          </w:p>
        </w:tc>
      </w:tr>
      <w:tr w:rsidR="00F51457" w14:paraId="166E6DCC" w14:textId="77777777" w:rsidTr="00F067D5">
        <w:trPr>
          <w:jc w:val="center"/>
        </w:trPr>
        <w:tc>
          <w:tcPr>
            <w:tcW w:w="4390" w:type="dxa"/>
          </w:tcPr>
          <w:p w14:paraId="24627B65" w14:textId="108EDAD3" w:rsidR="00F51457" w:rsidRPr="0037077D" w:rsidRDefault="00F51457" w:rsidP="0037077D">
            <w:pPr>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INTI RAÚL ASPRILLA</w:t>
            </w:r>
          </w:p>
          <w:p w14:paraId="71249247" w14:textId="77777777" w:rsidR="00F51457" w:rsidRPr="0037077D" w:rsidRDefault="00F51457"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230C9DAA" w14:textId="77777777" w:rsidR="00F51457" w:rsidRPr="0037077D" w:rsidRDefault="00F51457"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Partido Verde </w:t>
            </w:r>
          </w:p>
          <w:p w14:paraId="36093D94" w14:textId="77777777" w:rsidR="00F51457" w:rsidRPr="0037077D" w:rsidRDefault="00F51457" w:rsidP="00F067D5">
            <w:pPr>
              <w:widowControl w:val="0"/>
              <w:jc w:val="center"/>
              <w:rPr>
                <w:rFonts w:ascii="Bookman Old Style" w:eastAsia="Bookman Old Style" w:hAnsi="Bookman Old Style" w:cs="Bookman Old Style"/>
                <w:sz w:val="20"/>
                <w:szCs w:val="20"/>
              </w:rPr>
            </w:pPr>
          </w:p>
        </w:tc>
        <w:tc>
          <w:tcPr>
            <w:tcW w:w="4348" w:type="dxa"/>
          </w:tcPr>
          <w:p w14:paraId="5D64DEA4" w14:textId="77777777" w:rsidR="00F51457" w:rsidRPr="0037077D" w:rsidRDefault="00F51457" w:rsidP="0037077D">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ALEJANDRO CARLOS CHACÓN C.</w:t>
            </w:r>
          </w:p>
          <w:p w14:paraId="01BE2BD9" w14:textId="77777777" w:rsidR="00F51457" w:rsidRPr="0037077D" w:rsidRDefault="00F51457"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77A4D761" w14:textId="77777777" w:rsidR="00F51457" w:rsidRPr="0037077D" w:rsidRDefault="00F51457"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Liberal</w:t>
            </w:r>
          </w:p>
          <w:p w14:paraId="09E7A33F" w14:textId="77777777" w:rsidR="00F51457" w:rsidRPr="0037077D" w:rsidRDefault="00F51457" w:rsidP="00F067D5">
            <w:pPr>
              <w:widowControl w:val="0"/>
              <w:jc w:val="center"/>
              <w:rPr>
                <w:rFonts w:ascii="Bookman Old Style" w:eastAsia="Bookman Old Style" w:hAnsi="Bookman Old Style" w:cs="Bookman Old Style"/>
                <w:b/>
                <w:sz w:val="20"/>
                <w:szCs w:val="20"/>
              </w:rPr>
            </w:pPr>
          </w:p>
        </w:tc>
      </w:tr>
      <w:tr w:rsidR="00F51457" w14:paraId="1625640D" w14:textId="77777777" w:rsidTr="00F067D5">
        <w:trPr>
          <w:jc w:val="center"/>
        </w:trPr>
        <w:tc>
          <w:tcPr>
            <w:tcW w:w="4390" w:type="dxa"/>
          </w:tcPr>
          <w:p w14:paraId="2576F0A5" w14:textId="6CCA9303" w:rsidR="00F51457" w:rsidRPr="0037077D" w:rsidRDefault="00F51457" w:rsidP="00F067D5">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ALFREDO MONDRAGON GARZÓN</w:t>
            </w:r>
          </w:p>
          <w:p w14:paraId="5EFAB2FF" w14:textId="77777777" w:rsidR="00F51457" w:rsidRPr="0037077D" w:rsidRDefault="00F51457"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el  Valle del Cauca</w:t>
            </w:r>
          </w:p>
          <w:p w14:paraId="52B1BE4C" w14:textId="77777777" w:rsidR="00F51457" w:rsidRPr="0037077D" w:rsidRDefault="00F51457"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Coalición Pacto Histórico </w:t>
            </w:r>
          </w:p>
        </w:tc>
        <w:tc>
          <w:tcPr>
            <w:tcW w:w="4348" w:type="dxa"/>
          </w:tcPr>
          <w:p w14:paraId="75192115" w14:textId="77777777" w:rsidR="00F51457" w:rsidRPr="0037077D" w:rsidRDefault="00F51457" w:rsidP="0037077D">
            <w:pPr>
              <w:jc w:val="center"/>
              <w:rPr>
                <w:rFonts w:ascii="Bookman Old Style" w:eastAsia="Bookman Old Style" w:hAnsi="Bookman Old Style" w:cs="Bookman Old Style"/>
                <w:b/>
                <w:bCs/>
                <w:sz w:val="20"/>
                <w:szCs w:val="20"/>
              </w:rPr>
            </w:pPr>
            <w:r w:rsidRPr="0037077D">
              <w:rPr>
                <w:rFonts w:ascii="Bookman Old Style" w:eastAsia="Bookman Old Style" w:hAnsi="Bookman Old Style" w:cs="Bookman Old Style"/>
                <w:b/>
                <w:bCs/>
                <w:sz w:val="20"/>
                <w:szCs w:val="20"/>
              </w:rPr>
              <w:t>WILSON ARIAS CASTILLO</w:t>
            </w:r>
          </w:p>
          <w:p w14:paraId="60172A53" w14:textId="77777777" w:rsidR="00F51457" w:rsidRPr="0037077D" w:rsidRDefault="00F51457"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73BF8A31" w14:textId="77777777" w:rsidR="00F51457" w:rsidRPr="0037077D" w:rsidRDefault="00F51457"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  Coalición Pacto Histórico</w:t>
            </w:r>
          </w:p>
        </w:tc>
      </w:tr>
      <w:tr w:rsidR="00F51457" w14:paraId="101F7870" w14:textId="77777777" w:rsidTr="00F067D5">
        <w:trPr>
          <w:jc w:val="center"/>
        </w:trPr>
        <w:tc>
          <w:tcPr>
            <w:tcW w:w="4390" w:type="dxa"/>
          </w:tcPr>
          <w:p w14:paraId="3981A270" w14:textId="536D8626" w:rsidR="00F51457" w:rsidRPr="0037077D" w:rsidRDefault="00F51457" w:rsidP="0037077D">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b/>
                <w:sz w:val="20"/>
                <w:szCs w:val="20"/>
              </w:rPr>
              <w:t>JORGE ANDRÉS CANCIMANCE LÓPEZ</w:t>
            </w:r>
          </w:p>
          <w:p w14:paraId="3D416DFE" w14:textId="77777777" w:rsidR="00F51457" w:rsidRPr="0037077D" w:rsidRDefault="00F51457"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Representante a la Cámara por Putumayo </w:t>
            </w:r>
          </w:p>
          <w:p w14:paraId="122571CF" w14:textId="77777777" w:rsidR="00F51457" w:rsidRPr="0037077D" w:rsidRDefault="00F51457" w:rsidP="00F067D5">
            <w:pPr>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Coalición Pacto Histórico</w:t>
            </w:r>
          </w:p>
          <w:p w14:paraId="418BBF15" w14:textId="77777777" w:rsidR="00F51457" w:rsidRPr="0037077D" w:rsidRDefault="00F51457" w:rsidP="00F067D5">
            <w:pPr>
              <w:tabs>
                <w:tab w:val="right" w:pos="8838"/>
              </w:tabs>
              <w:jc w:val="center"/>
              <w:rPr>
                <w:rFonts w:ascii="Bookman Old Style" w:eastAsia="Bookman Old Style" w:hAnsi="Bookman Old Style" w:cs="Bookman Old Style"/>
                <w:sz w:val="20"/>
                <w:szCs w:val="20"/>
              </w:rPr>
            </w:pPr>
          </w:p>
        </w:tc>
        <w:tc>
          <w:tcPr>
            <w:tcW w:w="4348" w:type="dxa"/>
          </w:tcPr>
          <w:p w14:paraId="61F21004" w14:textId="77777777" w:rsidR="00F51457" w:rsidRPr="0037077D" w:rsidRDefault="00F51457" w:rsidP="0037077D">
            <w:pPr>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LUIS ALBERTO ALBÁN URBANO</w:t>
            </w:r>
          </w:p>
          <w:p w14:paraId="1E5D4851" w14:textId="77777777" w:rsidR="00F51457" w:rsidRPr="0037077D" w:rsidRDefault="00F51457"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w:t>
            </w:r>
          </w:p>
          <w:p w14:paraId="7BABFD40" w14:textId="77777777" w:rsidR="00F51457" w:rsidRPr="0037077D" w:rsidRDefault="00F51457"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Comunes</w:t>
            </w:r>
          </w:p>
        </w:tc>
      </w:tr>
      <w:tr w:rsidR="00F51457" w14:paraId="77D7B1E7" w14:textId="77777777" w:rsidTr="00F067D5">
        <w:trPr>
          <w:jc w:val="center"/>
        </w:trPr>
        <w:tc>
          <w:tcPr>
            <w:tcW w:w="4390" w:type="dxa"/>
          </w:tcPr>
          <w:p w14:paraId="31DBD82C" w14:textId="77777777" w:rsidR="00F51457" w:rsidRPr="0037077D" w:rsidRDefault="00F51457" w:rsidP="0037077D">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LEYLA MARLENY RINCÓN TRUJILLO</w:t>
            </w:r>
          </w:p>
          <w:p w14:paraId="5A00D4EB" w14:textId="77777777" w:rsidR="00F51457" w:rsidRPr="0037077D" w:rsidRDefault="00F51457"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el Huila</w:t>
            </w:r>
          </w:p>
          <w:p w14:paraId="6CF51967" w14:textId="77777777" w:rsidR="00F51457" w:rsidRPr="0037077D" w:rsidRDefault="00F51457" w:rsidP="00F067D5">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 xml:space="preserve"> Coalición Pacto Histórico</w:t>
            </w:r>
          </w:p>
        </w:tc>
        <w:tc>
          <w:tcPr>
            <w:tcW w:w="4348" w:type="dxa"/>
          </w:tcPr>
          <w:p w14:paraId="2BC220C1" w14:textId="77777777" w:rsidR="00F51457" w:rsidRPr="0037077D" w:rsidRDefault="00F51457" w:rsidP="0037077D">
            <w:pPr>
              <w:tabs>
                <w:tab w:val="right" w:pos="8838"/>
              </w:tabs>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OMAR DE JESUS RESTREPO CORREA</w:t>
            </w:r>
          </w:p>
          <w:p w14:paraId="516F4A3A" w14:textId="77777777" w:rsidR="00F51457" w:rsidRPr="0037077D" w:rsidRDefault="00F51457"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357F832A" w14:textId="77777777" w:rsidR="00F51457" w:rsidRPr="0037077D" w:rsidRDefault="00F51457" w:rsidP="00F067D5">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Partido Comunes</w:t>
            </w:r>
          </w:p>
        </w:tc>
      </w:tr>
      <w:tr w:rsidR="00F51457" w14:paraId="52F28383" w14:textId="77777777" w:rsidTr="00F067D5">
        <w:trPr>
          <w:jc w:val="center"/>
        </w:trPr>
        <w:tc>
          <w:tcPr>
            <w:tcW w:w="4390" w:type="dxa"/>
          </w:tcPr>
          <w:p w14:paraId="72547085" w14:textId="77777777" w:rsidR="00F51457" w:rsidRPr="0037077D" w:rsidRDefault="00F51457" w:rsidP="0037077D">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DAVID RICARDO RACERO MAYORCA</w:t>
            </w:r>
          </w:p>
          <w:p w14:paraId="2C6D9441" w14:textId="77777777" w:rsidR="00F51457" w:rsidRPr="0037077D" w:rsidRDefault="00F51457"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Bogotá</w:t>
            </w:r>
          </w:p>
          <w:p w14:paraId="02DD57DC" w14:textId="77777777" w:rsidR="00F51457" w:rsidRPr="0037077D" w:rsidRDefault="00F51457" w:rsidP="00F067D5">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Coalición Pacto Histórico</w:t>
            </w:r>
          </w:p>
        </w:tc>
        <w:tc>
          <w:tcPr>
            <w:tcW w:w="4348" w:type="dxa"/>
          </w:tcPr>
          <w:p w14:paraId="547E2434" w14:textId="77777777" w:rsidR="00F51457" w:rsidRPr="0037077D" w:rsidRDefault="00F51457"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rPr>
              <w:t>CARLOS ALBERTO CARREÑO MARÍN</w:t>
            </w:r>
          </w:p>
          <w:p w14:paraId="063FB222" w14:textId="77777777" w:rsidR="00F51457" w:rsidRPr="0037077D" w:rsidRDefault="00F51457"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Representante a la Cámara</w:t>
            </w:r>
          </w:p>
          <w:p w14:paraId="54A18184" w14:textId="77777777" w:rsidR="00F51457" w:rsidRPr="0037077D" w:rsidRDefault="00F51457"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Partido Comunes</w:t>
            </w:r>
          </w:p>
        </w:tc>
      </w:tr>
      <w:tr w:rsidR="00F51457" w14:paraId="39B04AAE" w14:textId="77777777" w:rsidTr="00F067D5">
        <w:trPr>
          <w:jc w:val="center"/>
        </w:trPr>
        <w:tc>
          <w:tcPr>
            <w:tcW w:w="4390" w:type="dxa"/>
          </w:tcPr>
          <w:p w14:paraId="3D110A57" w14:textId="77777777" w:rsidR="00F51457" w:rsidRPr="0037077D" w:rsidRDefault="00F51457"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rPr>
              <w:t>ESMERALDA HERNÁNDEZ SILVA</w:t>
            </w:r>
          </w:p>
          <w:p w14:paraId="51C67FAD" w14:textId="77777777" w:rsidR="00F51457" w:rsidRPr="0037077D" w:rsidRDefault="00F51457"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Senadora de la República</w:t>
            </w:r>
          </w:p>
          <w:p w14:paraId="471CE20B" w14:textId="77777777" w:rsidR="00F51457" w:rsidRPr="0037077D" w:rsidRDefault="00F51457"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Coalición Pacto Histórico</w:t>
            </w:r>
          </w:p>
          <w:p w14:paraId="3A18A3CD" w14:textId="77777777" w:rsidR="00F51457" w:rsidRPr="0037077D" w:rsidRDefault="00F51457" w:rsidP="00F067D5">
            <w:pPr>
              <w:tabs>
                <w:tab w:val="right" w:pos="8838"/>
              </w:tabs>
              <w:rPr>
                <w:rFonts w:ascii="Bookman Old Style" w:eastAsia="Bookman Old Style" w:hAnsi="Bookman Old Style" w:cs="Bookman Old Style"/>
                <w:b/>
                <w:sz w:val="20"/>
                <w:szCs w:val="20"/>
              </w:rPr>
            </w:pPr>
          </w:p>
        </w:tc>
        <w:tc>
          <w:tcPr>
            <w:tcW w:w="4348" w:type="dxa"/>
          </w:tcPr>
          <w:p w14:paraId="5BF7575B" w14:textId="2BC0542B" w:rsidR="00F51457" w:rsidRPr="0037077D" w:rsidRDefault="00F51457"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bdr w:val="none" w:sz="0" w:space="0" w:color="auto" w:frame="1"/>
              </w:rPr>
              <w:fldChar w:fldCharType="begin"/>
            </w:r>
            <w:r w:rsidRPr="0037077D">
              <w:rPr>
                <w:rFonts w:ascii="Bookman Old Style" w:hAnsi="Bookman Old Style"/>
                <w:b/>
                <w:bCs/>
                <w:color w:val="000000"/>
                <w:sz w:val="20"/>
                <w:szCs w:val="20"/>
                <w:bdr w:val="none" w:sz="0" w:space="0" w:color="auto" w:frame="1"/>
              </w:rPr>
              <w:instrText xml:space="preserve"> INCLUDEPICTURE "https://lh4.googleusercontent.com/fs8QlfLnD7BwYOrBlFUU-AusOkOmU-F_Ric7Dc8xhgxS8_8GAxxpOkc-1ESEdr7glbZV1AnsexMaVu-8umHPXLfH4dOUGs8wtnUt6oBYr0PoiKW-ULy7zUW6OtYApxAD0UN_IvNzgBis" \* MERGEFORMATINET </w:instrText>
            </w:r>
            <w:r w:rsidR="00000000" w:rsidRPr="0037077D">
              <w:rPr>
                <w:rFonts w:ascii="Bookman Old Style" w:hAnsi="Bookman Old Style"/>
                <w:b/>
                <w:bCs/>
                <w:color w:val="000000"/>
                <w:sz w:val="20"/>
                <w:szCs w:val="20"/>
                <w:bdr w:val="none" w:sz="0" w:space="0" w:color="auto" w:frame="1"/>
              </w:rPr>
              <w:fldChar w:fldCharType="separate"/>
            </w:r>
            <w:r w:rsidRPr="0037077D">
              <w:rPr>
                <w:rFonts w:ascii="Bookman Old Style" w:hAnsi="Bookman Old Style"/>
                <w:b/>
                <w:bCs/>
                <w:color w:val="000000"/>
                <w:sz w:val="20"/>
                <w:szCs w:val="20"/>
                <w:bdr w:val="none" w:sz="0" w:space="0" w:color="auto" w:frame="1"/>
              </w:rPr>
              <w:fldChar w:fldCharType="end"/>
            </w:r>
            <w:r w:rsidRPr="0037077D">
              <w:rPr>
                <w:rFonts w:ascii="Bookman Old Style" w:hAnsi="Bookman Old Style"/>
                <w:b/>
                <w:bCs/>
                <w:color w:val="000000"/>
                <w:sz w:val="20"/>
                <w:szCs w:val="20"/>
              </w:rPr>
              <w:t>SANDRA RAMIREZ LOBO SILVA</w:t>
            </w:r>
          </w:p>
          <w:p w14:paraId="3ADF17C0" w14:textId="77777777" w:rsidR="00F51457" w:rsidRPr="0037077D" w:rsidRDefault="00F51457"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Senadora de la República</w:t>
            </w:r>
          </w:p>
          <w:p w14:paraId="1B9EE47D" w14:textId="77777777" w:rsidR="00F51457" w:rsidRPr="0037077D" w:rsidRDefault="00F51457" w:rsidP="00F067D5">
            <w:pPr>
              <w:pStyle w:val="NormalWeb"/>
              <w:spacing w:before="0" w:beforeAutospacing="0" w:after="0" w:afterAutospacing="0"/>
              <w:jc w:val="center"/>
              <w:rPr>
                <w:rFonts w:ascii="Bookman Old Style" w:eastAsia="Bookman Old Style" w:hAnsi="Bookman Old Style" w:cs="Bookman Old Style"/>
                <w:b/>
                <w:sz w:val="20"/>
                <w:szCs w:val="20"/>
              </w:rPr>
            </w:pPr>
            <w:r w:rsidRPr="0037077D">
              <w:rPr>
                <w:rFonts w:ascii="Bookman Old Style" w:hAnsi="Bookman Old Style"/>
                <w:color w:val="000000"/>
                <w:sz w:val="20"/>
                <w:szCs w:val="20"/>
              </w:rPr>
              <w:t>Partido Comunes</w:t>
            </w:r>
          </w:p>
        </w:tc>
      </w:tr>
      <w:tr w:rsidR="00F51457" w14:paraId="2CEC2223" w14:textId="77777777" w:rsidTr="00F067D5">
        <w:trPr>
          <w:jc w:val="center"/>
        </w:trPr>
        <w:tc>
          <w:tcPr>
            <w:tcW w:w="4390" w:type="dxa"/>
          </w:tcPr>
          <w:p w14:paraId="46F9771F" w14:textId="2C7D2B9B" w:rsidR="00F51457" w:rsidRPr="0037077D" w:rsidRDefault="00F51457"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bdr w:val="none" w:sz="0" w:space="0" w:color="auto" w:frame="1"/>
              </w:rPr>
              <w:fldChar w:fldCharType="begin"/>
            </w:r>
            <w:r w:rsidRPr="0037077D">
              <w:rPr>
                <w:rFonts w:ascii="Bookman Old Style" w:hAnsi="Bookman Old Style"/>
                <w:b/>
                <w:bCs/>
                <w:color w:val="000000"/>
                <w:sz w:val="20"/>
                <w:szCs w:val="20"/>
                <w:bdr w:val="none" w:sz="0" w:space="0" w:color="auto" w:frame="1"/>
              </w:rPr>
              <w:instrText xml:space="preserve"> INCLUDEPICTURE "https://lh5.googleusercontent.com/9uZkkSBJzLrhzCOMyAW1C210aGX9HlcSkrF0kaJEREHBw_zukTtCGkt0oSMJaKacRuHivHn6SPLdmalrURBCscaGhs_w7Z0KHwsYjikrV7cmmfrS7THh29lnl43hGeKn4YBdjnDQ2OEu" \* MERGEFORMATINET </w:instrText>
            </w:r>
            <w:r w:rsidR="00000000" w:rsidRPr="0037077D">
              <w:rPr>
                <w:rFonts w:ascii="Bookman Old Style" w:hAnsi="Bookman Old Style"/>
                <w:b/>
                <w:bCs/>
                <w:color w:val="000000"/>
                <w:sz w:val="20"/>
                <w:szCs w:val="20"/>
                <w:bdr w:val="none" w:sz="0" w:space="0" w:color="auto" w:frame="1"/>
              </w:rPr>
              <w:fldChar w:fldCharType="separate"/>
            </w:r>
            <w:r w:rsidRPr="0037077D">
              <w:rPr>
                <w:rFonts w:ascii="Bookman Old Style" w:hAnsi="Bookman Old Style"/>
                <w:b/>
                <w:bCs/>
                <w:color w:val="000000"/>
                <w:sz w:val="20"/>
                <w:szCs w:val="20"/>
                <w:bdr w:val="none" w:sz="0" w:space="0" w:color="auto" w:frame="1"/>
              </w:rPr>
              <w:fldChar w:fldCharType="end"/>
            </w:r>
            <w:r w:rsidRPr="0037077D">
              <w:rPr>
                <w:rFonts w:ascii="Bookman Old Style" w:hAnsi="Bookman Old Style"/>
                <w:b/>
                <w:bCs/>
                <w:color w:val="000000"/>
                <w:sz w:val="20"/>
                <w:szCs w:val="20"/>
              </w:rPr>
              <w:t>SANTIAGO OSORIO MARIN</w:t>
            </w:r>
          </w:p>
          <w:p w14:paraId="6B5BBD65" w14:textId="77777777" w:rsidR="00F51457" w:rsidRPr="0037077D" w:rsidRDefault="00F51457"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Representante a la Cámara</w:t>
            </w:r>
          </w:p>
          <w:p w14:paraId="397DC36D" w14:textId="77777777" w:rsidR="00F51457" w:rsidRPr="0037077D" w:rsidRDefault="00F51457"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Coalición Alianza Verde - Pacto Histórico</w:t>
            </w:r>
          </w:p>
          <w:p w14:paraId="28BF10A1" w14:textId="77777777" w:rsidR="00F51457" w:rsidRPr="0037077D" w:rsidRDefault="00F51457" w:rsidP="00F067D5">
            <w:pPr>
              <w:tabs>
                <w:tab w:val="right" w:pos="8838"/>
              </w:tabs>
              <w:rPr>
                <w:rFonts w:ascii="Bookman Old Style" w:eastAsia="Bookman Old Style" w:hAnsi="Bookman Old Style" w:cs="Bookman Old Style"/>
                <w:b/>
                <w:sz w:val="20"/>
                <w:szCs w:val="20"/>
              </w:rPr>
            </w:pPr>
          </w:p>
        </w:tc>
        <w:tc>
          <w:tcPr>
            <w:tcW w:w="4348" w:type="dxa"/>
          </w:tcPr>
          <w:p w14:paraId="2DCA775E" w14:textId="0C69D2D6" w:rsidR="00F51457" w:rsidRPr="0037077D" w:rsidRDefault="00F51457"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bdr w:val="none" w:sz="0" w:space="0" w:color="auto" w:frame="1"/>
              </w:rPr>
              <w:fldChar w:fldCharType="begin"/>
            </w:r>
            <w:r w:rsidRPr="0037077D">
              <w:rPr>
                <w:rFonts w:ascii="Bookman Old Style" w:hAnsi="Bookman Old Style"/>
                <w:b/>
                <w:bCs/>
                <w:color w:val="000000"/>
                <w:sz w:val="20"/>
                <w:szCs w:val="20"/>
                <w:bdr w:val="none" w:sz="0" w:space="0" w:color="auto" w:frame="1"/>
              </w:rPr>
              <w:instrText xml:space="preserve"> INCLUDEPICTURE "https://lh5.googleusercontent.com/9uZkkSBJzLrhzCOMyAW1C210aGX9HlcSkrF0kaJEREHBw_zukTtCGkt0oSMJaKacRuHivHn6SPLdmalrURBCscaGhs_w7Z0KHwsYjikrV7cmmfrS7THh29lnl43hGeKn4YBdjnDQ2OEu" \* MERGEFORMATINET </w:instrText>
            </w:r>
            <w:r w:rsidR="00000000" w:rsidRPr="0037077D">
              <w:rPr>
                <w:rFonts w:ascii="Bookman Old Style" w:hAnsi="Bookman Old Style"/>
                <w:b/>
                <w:bCs/>
                <w:color w:val="000000"/>
                <w:sz w:val="20"/>
                <w:szCs w:val="20"/>
                <w:bdr w:val="none" w:sz="0" w:space="0" w:color="auto" w:frame="1"/>
              </w:rPr>
              <w:fldChar w:fldCharType="separate"/>
            </w:r>
            <w:r w:rsidRPr="0037077D">
              <w:rPr>
                <w:rFonts w:ascii="Bookman Old Style" w:hAnsi="Bookman Old Style"/>
                <w:b/>
                <w:bCs/>
                <w:color w:val="000000"/>
                <w:sz w:val="20"/>
                <w:szCs w:val="20"/>
                <w:bdr w:val="none" w:sz="0" w:space="0" w:color="auto" w:frame="1"/>
              </w:rPr>
              <w:fldChar w:fldCharType="end"/>
            </w:r>
            <w:r w:rsidRPr="0037077D">
              <w:rPr>
                <w:rFonts w:ascii="Bookman Old Style" w:hAnsi="Bookman Old Style"/>
                <w:b/>
                <w:bCs/>
                <w:color w:val="000000"/>
                <w:sz w:val="20"/>
                <w:szCs w:val="20"/>
              </w:rPr>
              <w:t>DOLCEY OSCAR TORRES ROMERO</w:t>
            </w:r>
          </w:p>
          <w:p w14:paraId="4B520A52" w14:textId="021C06C8" w:rsidR="00F51457" w:rsidRPr="0037077D" w:rsidRDefault="00F51457"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 xml:space="preserve">Representante a la </w:t>
            </w:r>
            <w:r w:rsidR="0037077D" w:rsidRPr="0037077D">
              <w:rPr>
                <w:rFonts w:ascii="Bookman Old Style" w:hAnsi="Bookman Old Style"/>
                <w:color w:val="000000"/>
                <w:sz w:val="20"/>
                <w:szCs w:val="20"/>
              </w:rPr>
              <w:t>Cámara</w:t>
            </w:r>
          </w:p>
          <w:p w14:paraId="2562B5F8" w14:textId="77777777" w:rsidR="00F51457" w:rsidRPr="0037077D" w:rsidRDefault="00F51457"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 xml:space="preserve">Partido Liberal </w:t>
            </w:r>
          </w:p>
          <w:p w14:paraId="56EBBE30" w14:textId="77777777" w:rsidR="00F51457" w:rsidRPr="0037077D" w:rsidRDefault="00F51457" w:rsidP="00F067D5">
            <w:pPr>
              <w:pStyle w:val="NormalWeb"/>
              <w:spacing w:before="0" w:beforeAutospacing="0" w:after="0" w:afterAutospacing="0"/>
              <w:jc w:val="center"/>
              <w:rPr>
                <w:rFonts w:ascii="Bookman Old Style" w:eastAsia="Bookman Old Style" w:hAnsi="Bookman Old Style" w:cs="Bookman Old Style"/>
                <w:b/>
                <w:sz w:val="20"/>
                <w:szCs w:val="20"/>
              </w:rPr>
            </w:pPr>
          </w:p>
        </w:tc>
      </w:tr>
    </w:tbl>
    <w:p w14:paraId="2201A4C7" w14:textId="77777777" w:rsidR="00785E66" w:rsidRDefault="00785E66" w:rsidP="00F51457">
      <w:pPr>
        <w:spacing w:after="0" w:line="276" w:lineRule="auto"/>
        <w:rPr>
          <w:rFonts w:ascii="Bookman Old Style" w:eastAsia="Bookman Old Style" w:hAnsi="Bookman Old Style" w:cs="Bookman Old Style"/>
          <w:b/>
        </w:rPr>
      </w:pPr>
    </w:p>
    <w:p w14:paraId="393503A4" w14:textId="77777777" w:rsidR="0037077D" w:rsidRDefault="0037077D" w:rsidP="00785E66">
      <w:pPr>
        <w:spacing w:after="0" w:line="276" w:lineRule="auto"/>
        <w:jc w:val="center"/>
        <w:rPr>
          <w:rFonts w:ascii="Bookman Old Style" w:eastAsia="Bookman Old Style" w:hAnsi="Bookman Old Style" w:cs="Bookman Old Style"/>
          <w:b/>
        </w:rPr>
      </w:pPr>
    </w:p>
    <w:p w14:paraId="4DABF1B8" w14:textId="77777777" w:rsidR="0037077D" w:rsidRDefault="0037077D" w:rsidP="00785E66">
      <w:pPr>
        <w:spacing w:after="0" w:line="276" w:lineRule="auto"/>
        <w:jc w:val="center"/>
        <w:rPr>
          <w:rFonts w:ascii="Bookman Old Style" w:eastAsia="Bookman Old Style" w:hAnsi="Bookman Old Style" w:cs="Bookman Old Style"/>
          <w:b/>
        </w:rPr>
      </w:pPr>
    </w:p>
    <w:p w14:paraId="35FC328A" w14:textId="77777777" w:rsidR="0037077D" w:rsidRDefault="0037077D" w:rsidP="00785E66">
      <w:pPr>
        <w:spacing w:after="0" w:line="276" w:lineRule="auto"/>
        <w:jc w:val="center"/>
        <w:rPr>
          <w:rFonts w:ascii="Bookman Old Style" w:eastAsia="Bookman Old Style" w:hAnsi="Bookman Old Style" w:cs="Bookman Old Style"/>
          <w:b/>
        </w:rPr>
      </w:pPr>
    </w:p>
    <w:p w14:paraId="500D0983" w14:textId="77777777" w:rsidR="0037077D" w:rsidRDefault="0037077D" w:rsidP="00785E66">
      <w:pPr>
        <w:spacing w:after="0" w:line="276" w:lineRule="auto"/>
        <w:jc w:val="center"/>
        <w:rPr>
          <w:rFonts w:ascii="Bookman Old Style" w:eastAsia="Bookman Old Style" w:hAnsi="Bookman Old Style" w:cs="Bookman Old Style"/>
          <w:b/>
        </w:rPr>
      </w:pPr>
    </w:p>
    <w:p w14:paraId="787D5419" w14:textId="77777777" w:rsidR="0037077D" w:rsidRDefault="0037077D" w:rsidP="00785E66">
      <w:pPr>
        <w:spacing w:after="0" w:line="276" w:lineRule="auto"/>
        <w:jc w:val="center"/>
        <w:rPr>
          <w:rFonts w:ascii="Bookman Old Style" w:eastAsia="Bookman Old Style" w:hAnsi="Bookman Old Style" w:cs="Bookman Old Style"/>
          <w:b/>
        </w:rPr>
      </w:pPr>
    </w:p>
    <w:p w14:paraId="364343B0" w14:textId="77777777" w:rsidR="0037077D" w:rsidRDefault="0037077D" w:rsidP="00785E66">
      <w:pPr>
        <w:spacing w:after="0" w:line="276" w:lineRule="auto"/>
        <w:jc w:val="center"/>
        <w:rPr>
          <w:rFonts w:ascii="Bookman Old Style" w:eastAsia="Bookman Old Style" w:hAnsi="Bookman Old Style" w:cs="Bookman Old Style"/>
          <w:b/>
        </w:rPr>
      </w:pPr>
    </w:p>
    <w:p w14:paraId="07BD1B49" w14:textId="77777777" w:rsidR="0037077D" w:rsidRDefault="0037077D" w:rsidP="00785E66">
      <w:pPr>
        <w:spacing w:after="0" w:line="276" w:lineRule="auto"/>
        <w:jc w:val="center"/>
        <w:rPr>
          <w:rFonts w:ascii="Bookman Old Style" w:eastAsia="Bookman Old Style" w:hAnsi="Bookman Old Style" w:cs="Bookman Old Style"/>
          <w:b/>
        </w:rPr>
      </w:pPr>
    </w:p>
    <w:p w14:paraId="485949D8" w14:textId="77777777" w:rsidR="0037077D" w:rsidRDefault="0037077D" w:rsidP="00785E66">
      <w:pPr>
        <w:spacing w:after="0" w:line="276" w:lineRule="auto"/>
        <w:jc w:val="center"/>
        <w:rPr>
          <w:rFonts w:ascii="Bookman Old Style" w:eastAsia="Bookman Old Style" w:hAnsi="Bookman Old Style" w:cs="Bookman Old Style"/>
          <w:b/>
        </w:rPr>
      </w:pPr>
    </w:p>
    <w:p w14:paraId="63EEADAD" w14:textId="77777777" w:rsidR="0037077D" w:rsidRDefault="0037077D" w:rsidP="00785E66">
      <w:pPr>
        <w:spacing w:after="0" w:line="276" w:lineRule="auto"/>
        <w:jc w:val="center"/>
        <w:rPr>
          <w:rFonts w:ascii="Bookman Old Style" w:eastAsia="Bookman Old Style" w:hAnsi="Bookman Old Style" w:cs="Bookman Old Style"/>
          <w:b/>
        </w:rPr>
      </w:pPr>
    </w:p>
    <w:p w14:paraId="7AB41E1A" w14:textId="77777777" w:rsidR="0037077D" w:rsidRDefault="0037077D" w:rsidP="00785E66">
      <w:pPr>
        <w:spacing w:after="0" w:line="276" w:lineRule="auto"/>
        <w:jc w:val="center"/>
        <w:rPr>
          <w:rFonts w:ascii="Bookman Old Style" w:eastAsia="Bookman Old Style" w:hAnsi="Bookman Old Style" w:cs="Bookman Old Style"/>
          <w:b/>
        </w:rPr>
      </w:pPr>
    </w:p>
    <w:p w14:paraId="278D5D65" w14:textId="77777777" w:rsidR="0037077D" w:rsidRDefault="0037077D" w:rsidP="00785E66">
      <w:pPr>
        <w:spacing w:after="0" w:line="276" w:lineRule="auto"/>
        <w:jc w:val="center"/>
        <w:rPr>
          <w:rFonts w:ascii="Bookman Old Style" w:eastAsia="Bookman Old Style" w:hAnsi="Bookman Old Style" w:cs="Bookman Old Style"/>
          <w:b/>
        </w:rPr>
      </w:pPr>
    </w:p>
    <w:p w14:paraId="6974CE6C" w14:textId="77777777" w:rsidR="0037077D" w:rsidRDefault="0037077D" w:rsidP="00785E66">
      <w:pPr>
        <w:spacing w:after="0" w:line="276" w:lineRule="auto"/>
        <w:jc w:val="center"/>
        <w:rPr>
          <w:rFonts w:ascii="Bookman Old Style" w:eastAsia="Bookman Old Style" w:hAnsi="Bookman Old Style" w:cs="Bookman Old Style"/>
          <w:b/>
        </w:rPr>
      </w:pPr>
    </w:p>
    <w:p w14:paraId="3F92A2D0" w14:textId="7544BF89" w:rsidR="00FA0665" w:rsidRDefault="00000000" w:rsidP="00785E66">
      <w:pPr>
        <w:spacing w:after="0" w:line="276" w:lineRule="auto"/>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PROYECTO DE ACTO LEGISLATIVO ______ DE 2022</w:t>
      </w:r>
    </w:p>
    <w:p w14:paraId="777CE34B" w14:textId="77777777" w:rsidR="00FA0665" w:rsidRDefault="00000000">
      <w:pPr>
        <w:spacing w:after="0" w:line="276" w:lineRule="auto"/>
        <w:jc w:val="center"/>
        <w:rPr>
          <w:rFonts w:ascii="Bookman Old Style" w:eastAsia="Bookman Old Style" w:hAnsi="Bookman Old Style" w:cs="Bookman Old Style"/>
          <w:b/>
        </w:rPr>
      </w:pPr>
      <w:r>
        <w:rPr>
          <w:rFonts w:ascii="Bookman Old Style" w:eastAsia="Bookman Old Style" w:hAnsi="Bookman Old Style" w:cs="Bookman Old Style"/>
          <w:b/>
        </w:rPr>
        <w:t>“POR EL CUAL SE MODIFICA EL ARTÍCULO 65 DE LA CONSTITUCIÓN POLÍTICA DE COLOMBIA”</w:t>
      </w:r>
    </w:p>
    <w:p w14:paraId="0D28BD5E" w14:textId="77777777" w:rsidR="00FA0665" w:rsidRDefault="00FA0665">
      <w:pPr>
        <w:spacing w:after="0" w:line="276" w:lineRule="auto"/>
        <w:jc w:val="center"/>
        <w:rPr>
          <w:rFonts w:ascii="Bookman Old Style" w:eastAsia="Bookman Old Style" w:hAnsi="Bookman Old Style" w:cs="Bookman Old Style"/>
          <w:b/>
        </w:rPr>
      </w:pPr>
    </w:p>
    <w:p w14:paraId="6EF58235" w14:textId="77777777" w:rsidR="00FA0665" w:rsidRDefault="00FA0665">
      <w:pPr>
        <w:spacing w:after="0" w:line="276" w:lineRule="auto"/>
        <w:jc w:val="center"/>
        <w:rPr>
          <w:rFonts w:ascii="Bookman Old Style" w:eastAsia="Bookman Old Style" w:hAnsi="Bookman Old Style" w:cs="Bookman Old Style"/>
          <w:b/>
        </w:rPr>
      </w:pPr>
    </w:p>
    <w:p w14:paraId="5B911AE5" w14:textId="77777777" w:rsidR="00FA0665" w:rsidRDefault="00000000">
      <w:pPr>
        <w:spacing w:after="0" w:line="276" w:lineRule="auto"/>
        <w:jc w:val="center"/>
        <w:rPr>
          <w:rFonts w:ascii="Bookman Old Style" w:eastAsia="Bookman Old Style" w:hAnsi="Bookman Old Style" w:cs="Bookman Old Style"/>
          <w:b/>
        </w:rPr>
      </w:pPr>
      <w:r>
        <w:rPr>
          <w:rFonts w:ascii="Bookman Old Style" w:eastAsia="Bookman Old Style" w:hAnsi="Bookman Old Style" w:cs="Bookman Old Style"/>
          <w:b/>
        </w:rPr>
        <w:t>EL CONGRESO DE LA REPÚBLICA</w:t>
      </w:r>
    </w:p>
    <w:p w14:paraId="6A6C62A4" w14:textId="77777777" w:rsidR="00FA0665" w:rsidRDefault="00FA0665" w:rsidP="00785E66">
      <w:pPr>
        <w:spacing w:after="0" w:line="276" w:lineRule="auto"/>
        <w:rPr>
          <w:rFonts w:ascii="Bookman Old Style" w:eastAsia="Bookman Old Style" w:hAnsi="Bookman Old Style" w:cs="Bookman Old Style"/>
          <w:b/>
        </w:rPr>
      </w:pPr>
    </w:p>
    <w:p w14:paraId="5B1113DB" w14:textId="77777777" w:rsidR="00FA0665" w:rsidRDefault="00000000">
      <w:pPr>
        <w:spacing w:after="0" w:line="276" w:lineRule="auto"/>
        <w:jc w:val="center"/>
        <w:rPr>
          <w:rFonts w:ascii="Bookman Old Style" w:eastAsia="Bookman Old Style" w:hAnsi="Bookman Old Style" w:cs="Bookman Old Style"/>
          <w:b/>
        </w:rPr>
      </w:pPr>
      <w:r>
        <w:rPr>
          <w:rFonts w:ascii="Bookman Old Style" w:eastAsia="Bookman Old Style" w:hAnsi="Bookman Old Style" w:cs="Bookman Old Style"/>
          <w:b/>
        </w:rPr>
        <w:t>DECRETA:</w:t>
      </w:r>
    </w:p>
    <w:p w14:paraId="39339013" w14:textId="77777777" w:rsidR="00FA0665" w:rsidRDefault="00FA0665">
      <w:pPr>
        <w:spacing w:after="0" w:line="276" w:lineRule="auto"/>
        <w:jc w:val="center"/>
        <w:rPr>
          <w:rFonts w:ascii="Bookman Old Style" w:eastAsia="Bookman Old Style" w:hAnsi="Bookman Old Style" w:cs="Bookman Old Style"/>
          <w:b/>
        </w:rPr>
      </w:pPr>
    </w:p>
    <w:p w14:paraId="0A2B08BD"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b/>
        </w:rPr>
        <w:t>Artículo 1º.</w:t>
      </w:r>
      <w:r>
        <w:rPr>
          <w:rFonts w:ascii="Bookman Old Style" w:eastAsia="Bookman Old Style" w:hAnsi="Bookman Old Style" w:cs="Bookman Old Style"/>
        </w:rPr>
        <w:t xml:space="preserve"> Modifíquese el artículo 65 de la Constitución Política de Colombia, el cual quedará así:</w:t>
      </w:r>
    </w:p>
    <w:p w14:paraId="2FFAFA5A" w14:textId="77777777" w:rsidR="00FA0665" w:rsidRDefault="00FA0665">
      <w:pPr>
        <w:spacing w:after="0" w:line="276" w:lineRule="auto"/>
        <w:rPr>
          <w:rFonts w:ascii="Bookman Old Style" w:eastAsia="Bookman Old Style" w:hAnsi="Bookman Old Style" w:cs="Bookman Old Style"/>
          <w:b/>
        </w:rPr>
      </w:pPr>
    </w:p>
    <w:p w14:paraId="4A63114E" w14:textId="77777777" w:rsidR="00FA0665" w:rsidRDefault="00000000" w:rsidP="00785E66">
      <w:pPr>
        <w:spacing w:after="0" w:line="240" w:lineRule="atLeast"/>
        <w:jc w:val="both"/>
        <w:rPr>
          <w:rFonts w:ascii="Bookman Old Style" w:eastAsia="Bookman Old Style" w:hAnsi="Bookman Old Style" w:cs="Bookman Old Style"/>
        </w:rPr>
      </w:pPr>
      <w:r>
        <w:rPr>
          <w:rFonts w:ascii="Bookman Old Style" w:eastAsia="Bookman Old Style" w:hAnsi="Bookman Old Style" w:cs="Bookman Old Style"/>
        </w:rPr>
        <w:t xml:space="preserve">Artículo 65. El Estado garantizará el derecho a la alimentación adecuada, a no padecer hambre y a proteger a las personas contra el hambre y la desnutrición. Así mismo promoverá condiciones de seguridad y soberanía alimentaria en el territorio nacional. </w:t>
      </w:r>
    </w:p>
    <w:p w14:paraId="559BC988" w14:textId="77777777" w:rsidR="00FA0665" w:rsidRDefault="00FA0665" w:rsidP="00785E66">
      <w:pPr>
        <w:spacing w:after="0" w:line="240" w:lineRule="atLeast"/>
        <w:jc w:val="both"/>
        <w:rPr>
          <w:rFonts w:ascii="Bookman Old Style" w:eastAsia="Bookman Old Style" w:hAnsi="Bookman Old Style" w:cs="Bookman Old Style"/>
        </w:rPr>
      </w:pPr>
    </w:p>
    <w:p w14:paraId="548F4B55" w14:textId="77777777" w:rsidR="00FA0665" w:rsidRDefault="00000000" w:rsidP="00785E66">
      <w:pPr>
        <w:spacing w:after="0" w:line="240" w:lineRule="atLeast"/>
        <w:jc w:val="both"/>
        <w:rPr>
          <w:rFonts w:ascii="Bookman Old Style" w:eastAsia="Bookman Old Style" w:hAnsi="Bookman Old Style" w:cs="Bookman Old Style"/>
        </w:rPr>
      </w:pPr>
      <w:r>
        <w:rPr>
          <w:rFonts w:ascii="Bookman Old Style" w:eastAsia="Bookman Old Style" w:hAnsi="Bookman Old Style" w:cs="Bookman Old Style"/>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El Estado definirá una estrategia para el acompañamiento de las cadenas de producción y distribución nacional de alimentos, así como para evitar la pérdida de los mismos.</w:t>
      </w:r>
    </w:p>
    <w:p w14:paraId="1849EF6C" w14:textId="77777777" w:rsidR="00FA0665" w:rsidRDefault="00FA0665" w:rsidP="00785E66">
      <w:pPr>
        <w:spacing w:after="0" w:line="240" w:lineRule="atLeast"/>
        <w:jc w:val="both"/>
        <w:rPr>
          <w:rFonts w:ascii="Bookman Old Style" w:eastAsia="Bookman Old Style" w:hAnsi="Bookman Old Style" w:cs="Bookman Old Style"/>
        </w:rPr>
      </w:pPr>
    </w:p>
    <w:p w14:paraId="6772B928" w14:textId="77777777" w:rsidR="00FA0665" w:rsidRDefault="00000000" w:rsidP="00785E66">
      <w:pPr>
        <w:spacing w:after="0" w:line="240" w:lineRule="atLeast"/>
        <w:jc w:val="both"/>
        <w:rPr>
          <w:rFonts w:ascii="Bookman Old Style" w:eastAsia="Bookman Old Style" w:hAnsi="Bookman Old Style" w:cs="Bookman Old Style"/>
        </w:rPr>
      </w:pPr>
      <w:r>
        <w:rPr>
          <w:rFonts w:ascii="Bookman Old Style" w:eastAsia="Bookman Old Style" w:hAnsi="Bookman Old Style" w:cs="Bookman Old Style"/>
        </w:rPr>
        <w:t>De igual manera, el Estado promoverá la investigación y la transferencia de tecnología para la producción de alimentos y materias primas de origen agropecuario, con el propósito de incrementar la productividad, dando prioridad a las formas de producción de alimentos que estén acorde con una dieta saludable y que generen un menor impacto ambiental.</w:t>
      </w:r>
    </w:p>
    <w:p w14:paraId="307D9DBE" w14:textId="4E188D1C" w:rsidR="00FA0665" w:rsidRDefault="00FA0665">
      <w:pPr>
        <w:spacing w:after="0" w:line="276" w:lineRule="auto"/>
        <w:jc w:val="both"/>
        <w:rPr>
          <w:rFonts w:ascii="Bookman Old Style" w:eastAsia="Bookman Old Style" w:hAnsi="Bookman Old Style" w:cs="Bookman Old Style"/>
        </w:rPr>
      </w:pPr>
    </w:p>
    <w:p w14:paraId="5E19617B"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b/>
        </w:rPr>
        <w:t>Artículo 2º.</w:t>
      </w:r>
      <w:r>
        <w:rPr>
          <w:rFonts w:ascii="Bookman Old Style" w:eastAsia="Bookman Old Style" w:hAnsi="Bookman Old Style" w:cs="Bookman Old Style"/>
        </w:rPr>
        <w:t xml:space="preserve"> El presente Acto Legislativo rige a partir de su promulgación y deroga todas las normas que le sean contrarias.</w:t>
      </w:r>
    </w:p>
    <w:p w14:paraId="0EBD9543" w14:textId="77777777" w:rsidR="00FA0665" w:rsidRDefault="00FA0665">
      <w:pPr>
        <w:spacing w:after="0" w:line="276" w:lineRule="auto"/>
        <w:jc w:val="both"/>
        <w:rPr>
          <w:rFonts w:ascii="Bookman Old Style" w:eastAsia="Bookman Old Style" w:hAnsi="Bookman Old Style" w:cs="Bookman Old Style"/>
          <w:b/>
        </w:rPr>
      </w:pPr>
    </w:p>
    <w:p w14:paraId="1A13DC32" w14:textId="77777777" w:rsidR="00FA0665" w:rsidRDefault="00FA0665">
      <w:pPr>
        <w:spacing w:after="0" w:line="276" w:lineRule="auto"/>
        <w:jc w:val="both"/>
        <w:rPr>
          <w:rFonts w:ascii="Bookman Old Style" w:eastAsia="Bookman Old Style" w:hAnsi="Bookman Old Style" w:cs="Bookman Old Style"/>
          <w:b/>
        </w:rPr>
      </w:pPr>
    </w:p>
    <w:p w14:paraId="06F32E21" w14:textId="01657753"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Cordialmente,</w:t>
      </w:r>
    </w:p>
    <w:p w14:paraId="11D1C88C" w14:textId="5C7FD522" w:rsidR="00785E66" w:rsidRDefault="00785E66">
      <w:pPr>
        <w:spacing w:after="0" w:line="276" w:lineRule="auto"/>
        <w:jc w:val="both"/>
        <w:rPr>
          <w:rFonts w:ascii="Bookman Old Style" w:eastAsia="Bookman Old Style" w:hAnsi="Bookman Old Style" w:cs="Bookman Old Style"/>
        </w:rPr>
      </w:pPr>
    </w:p>
    <w:p w14:paraId="4A5ACD5F" w14:textId="0CCD8359" w:rsidR="00785E66" w:rsidRDefault="00785E66" w:rsidP="00785E66">
      <w:pPr>
        <w:spacing w:after="0" w:line="276" w:lineRule="auto"/>
        <w:jc w:val="both"/>
        <w:rPr>
          <w:rFonts w:ascii="Bookman Old Style" w:eastAsia="Bookman Old Style" w:hAnsi="Bookman Old Style" w:cs="Bookman Old Style"/>
          <w:b/>
        </w:rPr>
      </w:pPr>
    </w:p>
    <w:p w14:paraId="5920C71D" w14:textId="636B974D" w:rsidR="00785E66" w:rsidRDefault="00785E66" w:rsidP="00785E66">
      <w:pPr>
        <w:spacing w:after="0" w:line="276" w:lineRule="auto"/>
        <w:jc w:val="center"/>
        <w:rPr>
          <w:rFonts w:ascii="Bookman Old Style" w:eastAsia="Bookman Old Style" w:hAnsi="Bookman Old Style" w:cs="Bookman Old Style"/>
          <w:b/>
        </w:rPr>
      </w:pPr>
    </w:p>
    <w:p w14:paraId="588AD155" w14:textId="77777777" w:rsidR="00785E66" w:rsidRDefault="00785E66" w:rsidP="00785E66">
      <w:pPr>
        <w:tabs>
          <w:tab w:val="right" w:pos="8838"/>
        </w:tabs>
        <w:spacing w:after="0"/>
        <w:rPr>
          <w:rFonts w:ascii="Bookman Old Style" w:eastAsia="Bookman Old Style" w:hAnsi="Bookman Old Style" w:cs="Bookman Old Style"/>
          <w:b/>
          <w:sz w:val="20"/>
          <w:szCs w:val="20"/>
        </w:rPr>
      </w:pPr>
    </w:p>
    <w:p w14:paraId="608D8763" w14:textId="77777777" w:rsidR="00785E66" w:rsidRDefault="00785E66" w:rsidP="00785E66">
      <w:pPr>
        <w:tabs>
          <w:tab w:val="right" w:pos="8838"/>
        </w:tabs>
        <w:spacing w:after="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JUAN CARLOS LOZADA VARGAS</w:t>
      </w:r>
    </w:p>
    <w:p w14:paraId="308FD52E" w14:textId="77777777" w:rsidR="00785E66" w:rsidRDefault="00785E66" w:rsidP="00785E66">
      <w:pPr>
        <w:tabs>
          <w:tab w:val="right" w:pos="8838"/>
        </w:tabs>
        <w:spacing w:after="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Bogotá</w:t>
      </w:r>
    </w:p>
    <w:p w14:paraId="08CA029C" w14:textId="1E1DB9C2" w:rsidR="00785E66" w:rsidRDefault="00785E66" w:rsidP="00F51457">
      <w:pPr>
        <w:spacing w:after="0" w:line="276" w:lineRule="auto"/>
        <w:jc w:val="center"/>
        <w:rPr>
          <w:rFonts w:ascii="Bookman Old Style" w:eastAsia="Bookman Old Style" w:hAnsi="Bookman Old Style" w:cs="Bookman Old Style"/>
          <w:b/>
        </w:rPr>
      </w:pPr>
      <w:r>
        <w:rPr>
          <w:rFonts w:ascii="Bookman Old Style" w:eastAsia="Bookman Old Style" w:hAnsi="Bookman Old Style" w:cs="Bookman Old Style"/>
          <w:sz w:val="20"/>
          <w:szCs w:val="20"/>
        </w:rPr>
        <w:t>Partido Liberal Colombian</w:t>
      </w:r>
      <w:r w:rsidR="00F51457">
        <w:rPr>
          <w:rFonts w:ascii="Bookman Old Style" w:eastAsia="Bookman Old Style" w:hAnsi="Bookman Old Style" w:cs="Bookman Old Style"/>
          <w:sz w:val="20"/>
          <w:szCs w:val="20"/>
        </w:rPr>
        <w:t>o</w:t>
      </w:r>
    </w:p>
    <w:p w14:paraId="7F40FDC5" w14:textId="77777777" w:rsidR="00F51457" w:rsidRDefault="00F51457" w:rsidP="00F51457">
      <w:pPr>
        <w:spacing w:after="0" w:line="276" w:lineRule="auto"/>
        <w:jc w:val="center"/>
        <w:rPr>
          <w:rFonts w:ascii="Bookman Old Style" w:eastAsia="Bookman Old Style" w:hAnsi="Bookman Old Style" w:cs="Bookman Old Style"/>
          <w:b/>
        </w:rPr>
      </w:pPr>
    </w:p>
    <w:tbl>
      <w:tblPr>
        <w:tblStyle w:val="a"/>
        <w:tblW w:w="87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348"/>
      </w:tblGrid>
      <w:tr w:rsidR="0037077D" w14:paraId="1B4A97C4" w14:textId="77777777" w:rsidTr="00F067D5">
        <w:trPr>
          <w:trHeight w:val="70"/>
          <w:jc w:val="center"/>
        </w:trPr>
        <w:tc>
          <w:tcPr>
            <w:tcW w:w="4390" w:type="dxa"/>
          </w:tcPr>
          <w:p w14:paraId="215C7132" w14:textId="77777777" w:rsidR="0037077D" w:rsidRPr="0037077D" w:rsidRDefault="0037077D" w:rsidP="0037077D">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lastRenderedPageBreak/>
              <w:t>ANDRÉS DAVID CALLE AGUAS</w:t>
            </w:r>
          </w:p>
          <w:p w14:paraId="726F3F9C" w14:textId="77777777" w:rsidR="0037077D" w:rsidRPr="0037077D" w:rsidRDefault="0037077D" w:rsidP="0037077D">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Córdoba</w:t>
            </w:r>
          </w:p>
          <w:p w14:paraId="59BAD28F" w14:textId="30E84992" w:rsidR="0037077D" w:rsidRDefault="0037077D" w:rsidP="0037077D">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Liberal Colombiano</w:t>
            </w:r>
          </w:p>
        </w:tc>
        <w:tc>
          <w:tcPr>
            <w:tcW w:w="4348" w:type="dxa"/>
          </w:tcPr>
          <w:p w14:paraId="7758874F" w14:textId="77777777" w:rsidR="0037077D" w:rsidRPr="0037077D" w:rsidRDefault="0037077D" w:rsidP="0037077D">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ALEJANDRO VEGA PÉREZ</w:t>
            </w:r>
          </w:p>
          <w:p w14:paraId="1A4BC847" w14:textId="77777777" w:rsidR="0037077D" w:rsidRPr="0037077D" w:rsidRDefault="0037077D" w:rsidP="0037077D">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61808A68" w14:textId="684F18E4" w:rsidR="0037077D" w:rsidRDefault="0037077D" w:rsidP="0037077D">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Liberal Colombiano</w:t>
            </w:r>
          </w:p>
        </w:tc>
      </w:tr>
      <w:tr w:rsidR="0037077D" w14:paraId="079F8481" w14:textId="77777777" w:rsidTr="00F067D5">
        <w:trPr>
          <w:jc w:val="center"/>
        </w:trPr>
        <w:tc>
          <w:tcPr>
            <w:tcW w:w="4390" w:type="dxa"/>
          </w:tcPr>
          <w:p w14:paraId="2DDD61A8" w14:textId="77777777" w:rsidR="0037077D" w:rsidRPr="0037077D" w:rsidRDefault="0037077D" w:rsidP="0037077D">
            <w:pPr>
              <w:widowControl w:val="0"/>
              <w:jc w:val="center"/>
              <w:rPr>
                <w:rFonts w:ascii="Bookman Old Style" w:eastAsia="Bookman Old Style" w:hAnsi="Bookman Old Style" w:cs="Bookman Old Style"/>
                <w:b/>
                <w:sz w:val="20"/>
                <w:szCs w:val="20"/>
              </w:rPr>
            </w:pPr>
          </w:p>
          <w:p w14:paraId="20F8454C" w14:textId="77777777" w:rsidR="0037077D" w:rsidRPr="0037077D" w:rsidRDefault="0037077D" w:rsidP="0037077D">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 xml:space="preserve">FABIÁN DÍAZ PLATA </w:t>
            </w:r>
          </w:p>
          <w:p w14:paraId="6F873139" w14:textId="77777777" w:rsidR="0037077D" w:rsidRPr="0037077D" w:rsidRDefault="0037077D" w:rsidP="0037077D">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Senador de la República </w:t>
            </w:r>
          </w:p>
          <w:p w14:paraId="73B126C3" w14:textId="307855E3" w:rsidR="0037077D" w:rsidRDefault="0037077D" w:rsidP="0037077D">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Alianza Verde</w:t>
            </w:r>
          </w:p>
        </w:tc>
        <w:tc>
          <w:tcPr>
            <w:tcW w:w="4348" w:type="dxa"/>
          </w:tcPr>
          <w:p w14:paraId="1383BAD0" w14:textId="77777777" w:rsidR="0037077D" w:rsidRPr="0037077D" w:rsidRDefault="0037077D" w:rsidP="0037077D">
            <w:pPr>
              <w:pBdr>
                <w:top w:val="nil"/>
                <w:left w:val="nil"/>
                <w:bottom w:val="nil"/>
                <w:right w:val="nil"/>
                <w:between w:val="nil"/>
              </w:pBdr>
              <w:jc w:val="center"/>
              <w:rPr>
                <w:rFonts w:ascii="Bookman Old Style" w:eastAsia="Bookman Old Style" w:hAnsi="Bookman Old Style" w:cs="Bookman Old Style"/>
                <w:sz w:val="20"/>
                <w:szCs w:val="20"/>
              </w:rPr>
            </w:pPr>
          </w:p>
          <w:p w14:paraId="3FA26CC5" w14:textId="77777777" w:rsidR="0037077D" w:rsidRPr="0037077D" w:rsidRDefault="0037077D" w:rsidP="0037077D">
            <w:pPr>
              <w:spacing w:line="276" w:lineRule="auto"/>
              <w:jc w:val="center"/>
              <w:rPr>
                <w:rFonts w:ascii="Bookman Old Style" w:eastAsia="Arial" w:hAnsi="Bookman Old Style" w:cs="Arial"/>
                <w:b/>
                <w:bCs/>
                <w:sz w:val="20"/>
                <w:szCs w:val="20"/>
              </w:rPr>
            </w:pPr>
            <w:r w:rsidRPr="0037077D">
              <w:rPr>
                <w:rFonts w:ascii="Bookman Old Style" w:eastAsia="Arial" w:hAnsi="Bookman Old Style" w:cs="Arial"/>
                <w:b/>
                <w:bCs/>
                <w:sz w:val="20"/>
                <w:szCs w:val="20"/>
              </w:rPr>
              <w:t xml:space="preserve">NICOLÁS ALBEIRO ECHEVERRY ALVARÁN                                 </w:t>
            </w:r>
          </w:p>
          <w:p w14:paraId="553385AD" w14:textId="77777777" w:rsidR="0037077D" w:rsidRPr="0037077D" w:rsidRDefault="0037077D" w:rsidP="0037077D">
            <w:pPr>
              <w:spacing w:line="276" w:lineRule="auto"/>
              <w:jc w:val="center"/>
              <w:rPr>
                <w:rFonts w:ascii="Bookman Old Style" w:eastAsia="Arial" w:hAnsi="Bookman Old Style" w:cs="Arial"/>
                <w:sz w:val="20"/>
                <w:szCs w:val="20"/>
              </w:rPr>
            </w:pPr>
            <w:r w:rsidRPr="0037077D">
              <w:rPr>
                <w:rFonts w:ascii="Bookman Old Style" w:eastAsia="Arial" w:hAnsi="Bookman Old Style" w:cs="Arial"/>
                <w:sz w:val="20"/>
                <w:szCs w:val="20"/>
              </w:rPr>
              <w:t xml:space="preserve">Senador de la Republica                                      </w:t>
            </w:r>
          </w:p>
          <w:p w14:paraId="12C0C057" w14:textId="349C1BF5" w:rsidR="0037077D" w:rsidRDefault="0037077D" w:rsidP="0037077D">
            <w:pPr>
              <w:pBdr>
                <w:top w:val="nil"/>
                <w:left w:val="nil"/>
                <w:bottom w:val="nil"/>
                <w:right w:val="nil"/>
                <w:between w:val="nil"/>
              </w:pBdr>
              <w:jc w:val="center"/>
              <w:rPr>
                <w:rFonts w:ascii="Bookman Old Style" w:eastAsia="Bookman Old Style" w:hAnsi="Bookman Old Style" w:cs="Bookman Old Style"/>
                <w:sz w:val="20"/>
                <w:szCs w:val="20"/>
              </w:rPr>
            </w:pPr>
            <w:r w:rsidRPr="0037077D">
              <w:rPr>
                <w:rFonts w:ascii="Bookman Old Style" w:eastAsia="Arial" w:hAnsi="Bookman Old Style" w:cs="Arial"/>
                <w:sz w:val="20"/>
                <w:szCs w:val="20"/>
              </w:rPr>
              <w:t>Partido Conservador Colombiano</w:t>
            </w:r>
          </w:p>
        </w:tc>
      </w:tr>
      <w:tr w:rsidR="0037077D" w14:paraId="2DEFE836" w14:textId="77777777" w:rsidTr="00F067D5">
        <w:trPr>
          <w:jc w:val="center"/>
        </w:trPr>
        <w:tc>
          <w:tcPr>
            <w:tcW w:w="4390" w:type="dxa"/>
          </w:tcPr>
          <w:p w14:paraId="63E9653C" w14:textId="77777777" w:rsidR="0037077D" w:rsidRPr="0037077D" w:rsidRDefault="0037077D" w:rsidP="0037077D">
            <w:pPr>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INTI RAÚL ASPRILLA</w:t>
            </w:r>
          </w:p>
          <w:p w14:paraId="0BDDA9D5" w14:textId="77777777" w:rsidR="0037077D" w:rsidRPr="0037077D" w:rsidRDefault="0037077D" w:rsidP="0037077D">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51C90D98" w14:textId="77777777" w:rsidR="0037077D" w:rsidRPr="0037077D" w:rsidRDefault="0037077D" w:rsidP="0037077D">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Partido Verde </w:t>
            </w:r>
          </w:p>
          <w:p w14:paraId="64B2ED21" w14:textId="77777777" w:rsidR="0037077D" w:rsidRDefault="0037077D" w:rsidP="0037077D">
            <w:pPr>
              <w:widowControl w:val="0"/>
              <w:jc w:val="center"/>
              <w:rPr>
                <w:rFonts w:ascii="Bookman Old Style" w:eastAsia="Bookman Old Style" w:hAnsi="Bookman Old Style" w:cs="Bookman Old Style"/>
                <w:sz w:val="20"/>
                <w:szCs w:val="20"/>
              </w:rPr>
            </w:pPr>
          </w:p>
        </w:tc>
        <w:tc>
          <w:tcPr>
            <w:tcW w:w="4348" w:type="dxa"/>
          </w:tcPr>
          <w:p w14:paraId="291B696B" w14:textId="77777777" w:rsidR="0037077D" w:rsidRPr="0037077D" w:rsidRDefault="0037077D" w:rsidP="0037077D">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ALEJANDRO CARLOS CHACÓN C.</w:t>
            </w:r>
          </w:p>
          <w:p w14:paraId="1BA8089D" w14:textId="77777777" w:rsidR="0037077D" w:rsidRPr="0037077D" w:rsidRDefault="0037077D" w:rsidP="0037077D">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185F213D" w14:textId="77777777" w:rsidR="0037077D" w:rsidRPr="0037077D" w:rsidRDefault="0037077D" w:rsidP="0037077D">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Liberal</w:t>
            </w:r>
          </w:p>
          <w:p w14:paraId="7E6CC5DF" w14:textId="77777777" w:rsidR="0037077D" w:rsidRDefault="0037077D" w:rsidP="0037077D">
            <w:pPr>
              <w:widowControl w:val="0"/>
              <w:jc w:val="center"/>
              <w:rPr>
                <w:rFonts w:ascii="Bookman Old Style" w:eastAsia="Bookman Old Style" w:hAnsi="Bookman Old Style" w:cs="Bookman Old Style"/>
                <w:b/>
              </w:rPr>
            </w:pPr>
          </w:p>
        </w:tc>
      </w:tr>
      <w:tr w:rsidR="0037077D" w14:paraId="3E021EFF" w14:textId="77777777" w:rsidTr="00F067D5">
        <w:trPr>
          <w:jc w:val="center"/>
        </w:trPr>
        <w:tc>
          <w:tcPr>
            <w:tcW w:w="4390" w:type="dxa"/>
          </w:tcPr>
          <w:p w14:paraId="31115497" w14:textId="77777777" w:rsidR="0037077D" w:rsidRPr="0037077D" w:rsidRDefault="0037077D" w:rsidP="0037077D">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ALFREDO MONDRAGON GARZÓN</w:t>
            </w:r>
          </w:p>
          <w:p w14:paraId="00E6ECB7" w14:textId="77777777" w:rsidR="0037077D" w:rsidRPr="0037077D" w:rsidRDefault="0037077D" w:rsidP="0037077D">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el  Valle del Cauca</w:t>
            </w:r>
          </w:p>
          <w:p w14:paraId="3DA57A89" w14:textId="3613E360" w:rsidR="0037077D" w:rsidRDefault="0037077D" w:rsidP="0037077D">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Coalición Pacto Histórico </w:t>
            </w:r>
          </w:p>
        </w:tc>
        <w:tc>
          <w:tcPr>
            <w:tcW w:w="4348" w:type="dxa"/>
          </w:tcPr>
          <w:p w14:paraId="7ED61FE0" w14:textId="77777777" w:rsidR="0037077D" w:rsidRPr="0037077D" w:rsidRDefault="0037077D" w:rsidP="0037077D">
            <w:pPr>
              <w:jc w:val="center"/>
              <w:rPr>
                <w:rFonts w:ascii="Bookman Old Style" w:eastAsia="Bookman Old Style" w:hAnsi="Bookman Old Style" w:cs="Bookman Old Style"/>
                <w:b/>
                <w:bCs/>
                <w:sz w:val="20"/>
                <w:szCs w:val="20"/>
              </w:rPr>
            </w:pPr>
            <w:r w:rsidRPr="0037077D">
              <w:rPr>
                <w:rFonts w:ascii="Bookman Old Style" w:eastAsia="Bookman Old Style" w:hAnsi="Bookman Old Style" w:cs="Bookman Old Style"/>
                <w:b/>
                <w:bCs/>
                <w:sz w:val="20"/>
                <w:szCs w:val="20"/>
              </w:rPr>
              <w:t>WILSON ARIAS CASTILLO</w:t>
            </w:r>
          </w:p>
          <w:p w14:paraId="7791BFAB" w14:textId="77777777" w:rsidR="0037077D" w:rsidRPr="0037077D" w:rsidRDefault="0037077D" w:rsidP="0037077D">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4E9B7C73" w14:textId="2D730785" w:rsidR="0037077D" w:rsidRDefault="0037077D" w:rsidP="0037077D">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  Coalición Pacto Histórico</w:t>
            </w:r>
          </w:p>
        </w:tc>
      </w:tr>
      <w:tr w:rsidR="0037077D" w14:paraId="735BFD03" w14:textId="77777777" w:rsidTr="00F067D5">
        <w:trPr>
          <w:jc w:val="center"/>
        </w:trPr>
        <w:tc>
          <w:tcPr>
            <w:tcW w:w="4390" w:type="dxa"/>
          </w:tcPr>
          <w:p w14:paraId="30F451A8" w14:textId="77777777" w:rsidR="0037077D" w:rsidRPr="0037077D" w:rsidRDefault="0037077D" w:rsidP="0037077D">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b/>
                <w:sz w:val="20"/>
                <w:szCs w:val="20"/>
              </w:rPr>
              <w:t>JORGE ANDRÉS CANCIMANCE LÓPEZ</w:t>
            </w:r>
          </w:p>
          <w:p w14:paraId="27ED79CB" w14:textId="77777777" w:rsidR="0037077D" w:rsidRPr="0037077D" w:rsidRDefault="0037077D" w:rsidP="0037077D">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Representante a la Cámara por Putumayo </w:t>
            </w:r>
          </w:p>
          <w:p w14:paraId="5C661977" w14:textId="77777777" w:rsidR="0037077D" w:rsidRPr="0037077D" w:rsidRDefault="0037077D" w:rsidP="0037077D">
            <w:pPr>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Coalición Pacto Histórico</w:t>
            </w:r>
          </w:p>
          <w:p w14:paraId="43FACA56" w14:textId="77777777" w:rsidR="0037077D" w:rsidRDefault="0037077D" w:rsidP="0037077D">
            <w:pPr>
              <w:tabs>
                <w:tab w:val="right" w:pos="8838"/>
              </w:tabs>
              <w:jc w:val="center"/>
              <w:rPr>
                <w:rFonts w:ascii="Bookman Old Style" w:eastAsia="Bookman Old Style" w:hAnsi="Bookman Old Style" w:cs="Bookman Old Style"/>
                <w:sz w:val="20"/>
                <w:szCs w:val="20"/>
              </w:rPr>
            </w:pPr>
          </w:p>
        </w:tc>
        <w:tc>
          <w:tcPr>
            <w:tcW w:w="4348" w:type="dxa"/>
          </w:tcPr>
          <w:p w14:paraId="19B076FA" w14:textId="77777777" w:rsidR="0037077D" w:rsidRPr="0037077D" w:rsidRDefault="0037077D" w:rsidP="0037077D">
            <w:pPr>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LUIS ALBERTO ALBÁN URBANO</w:t>
            </w:r>
          </w:p>
          <w:p w14:paraId="21D116E9" w14:textId="77777777" w:rsidR="0037077D" w:rsidRPr="0037077D" w:rsidRDefault="0037077D" w:rsidP="0037077D">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w:t>
            </w:r>
          </w:p>
          <w:p w14:paraId="1E851AA5" w14:textId="6D68A40F" w:rsidR="0037077D" w:rsidRDefault="0037077D" w:rsidP="0037077D">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Comunes</w:t>
            </w:r>
          </w:p>
        </w:tc>
      </w:tr>
      <w:tr w:rsidR="0037077D" w14:paraId="2781639D" w14:textId="77777777" w:rsidTr="00F067D5">
        <w:trPr>
          <w:jc w:val="center"/>
        </w:trPr>
        <w:tc>
          <w:tcPr>
            <w:tcW w:w="4390" w:type="dxa"/>
          </w:tcPr>
          <w:p w14:paraId="3782DCA0" w14:textId="77777777" w:rsidR="0037077D" w:rsidRPr="0037077D" w:rsidRDefault="0037077D" w:rsidP="0037077D">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LEYLA MARLENY RINCÓN TRUJILLO</w:t>
            </w:r>
          </w:p>
          <w:p w14:paraId="3256B5B3" w14:textId="77777777" w:rsidR="0037077D" w:rsidRPr="0037077D" w:rsidRDefault="0037077D" w:rsidP="0037077D">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el Huila</w:t>
            </w:r>
          </w:p>
          <w:p w14:paraId="604BEB4F" w14:textId="43856A1F" w:rsidR="0037077D" w:rsidRDefault="0037077D" w:rsidP="0037077D">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 xml:space="preserve"> Coalición Pacto Histórico</w:t>
            </w:r>
          </w:p>
        </w:tc>
        <w:tc>
          <w:tcPr>
            <w:tcW w:w="4348" w:type="dxa"/>
          </w:tcPr>
          <w:p w14:paraId="209607A6" w14:textId="77777777" w:rsidR="0037077D" w:rsidRPr="0037077D" w:rsidRDefault="0037077D" w:rsidP="0037077D">
            <w:pPr>
              <w:tabs>
                <w:tab w:val="right" w:pos="8838"/>
              </w:tabs>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OMAR DE JESUS RESTREPO CORREA</w:t>
            </w:r>
          </w:p>
          <w:p w14:paraId="36B026E0" w14:textId="77777777" w:rsidR="0037077D" w:rsidRPr="0037077D" w:rsidRDefault="0037077D" w:rsidP="0037077D">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1B83B9F3" w14:textId="1ED0225D" w:rsidR="0037077D" w:rsidRDefault="0037077D" w:rsidP="0037077D">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Partido Comunes</w:t>
            </w:r>
          </w:p>
        </w:tc>
      </w:tr>
      <w:tr w:rsidR="0037077D" w:rsidRPr="00F51457" w14:paraId="5DA00BE1" w14:textId="77777777" w:rsidTr="00F067D5">
        <w:trPr>
          <w:jc w:val="center"/>
        </w:trPr>
        <w:tc>
          <w:tcPr>
            <w:tcW w:w="4390" w:type="dxa"/>
          </w:tcPr>
          <w:p w14:paraId="22B3EB68" w14:textId="77777777" w:rsidR="0037077D" w:rsidRPr="0037077D" w:rsidRDefault="0037077D" w:rsidP="0037077D">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DAVID RICARDO RACERO MAYORCA</w:t>
            </w:r>
          </w:p>
          <w:p w14:paraId="6B5AC3D4" w14:textId="77777777" w:rsidR="0037077D" w:rsidRPr="0037077D" w:rsidRDefault="0037077D" w:rsidP="0037077D">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Bogotá</w:t>
            </w:r>
          </w:p>
          <w:p w14:paraId="0D31CF4B" w14:textId="14178E0F" w:rsidR="0037077D" w:rsidRDefault="0037077D" w:rsidP="0037077D">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Coalición Pacto Histórico</w:t>
            </w:r>
          </w:p>
        </w:tc>
        <w:tc>
          <w:tcPr>
            <w:tcW w:w="4348" w:type="dxa"/>
          </w:tcPr>
          <w:p w14:paraId="46851F40"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rPr>
              <w:t>CARLOS ALBERTO CARREÑO MARÍN</w:t>
            </w:r>
          </w:p>
          <w:p w14:paraId="7C0CA626"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Representante a la Cámara</w:t>
            </w:r>
          </w:p>
          <w:p w14:paraId="71F1A050" w14:textId="0C4F0016" w:rsidR="0037077D" w:rsidRPr="00F51457" w:rsidRDefault="0037077D" w:rsidP="0037077D">
            <w:pPr>
              <w:pStyle w:val="NormalWeb"/>
              <w:spacing w:before="0" w:beforeAutospacing="0" w:after="0" w:afterAutospacing="0"/>
              <w:jc w:val="center"/>
            </w:pPr>
            <w:r w:rsidRPr="0037077D">
              <w:rPr>
                <w:rFonts w:ascii="Bookman Old Style" w:hAnsi="Bookman Old Style"/>
                <w:color w:val="000000"/>
                <w:sz w:val="20"/>
                <w:szCs w:val="20"/>
              </w:rPr>
              <w:t>Partido Comunes</w:t>
            </w:r>
          </w:p>
        </w:tc>
      </w:tr>
      <w:tr w:rsidR="0037077D" w14:paraId="781AD4A9" w14:textId="77777777" w:rsidTr="00F067D5">
        <w:trPr>
          <w:jc w:val="center"/>
        </w:trPr>
        <w:tc>
          <w:tcPr>
            <w:tcW w:w="4390" w:type="dxa"/>
          </w:tcPr>
          <w:p w14:paraId="4DC2FE45"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rPr>
              <w:t>ESMERALDA HERNÁNDEZ SILVA</w:t>
            </w:r>
          </w:p>
          <w:p w14:paraId="4CA17256"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Senadora de la República</w:t>
            </w:r>
          </w:p>
          <w:p w14:paraId="68AC1BD7"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Coalición Pacto Histórico</w:t>
            </w:r>
          </w:p>
          <w:p w14:paraId="0A294E77" w14:textId="77777777" w:rsidR="0037077D" w:rsidRDefault="0037077D" w:rsidP="0037077D">
            <w:pPr>
              <w:tabs>
                <w:tab w:val="right" w:pos="8838"/>
              </w:tabs>
              <w:rPr>
                <w:rFonts w:ascii="Bookman Old Style" w:eastAsia="Bookman Old Style" w:hAnsi="Bookman Old Style" w:cs="Bookman Old Style"/>
                <w:b/>
                <w:sz w:val="20"/>
                <w:szCs w:val="20"/>
              </w:rPr>
            </w:pPr>
          </w:p>
        </w:tc>
        <w:tc>
          <w:tcPr>
            <w:tcW w:w="4348" w:type="dxa"/>
          </w:tcPr>
          <w:p w14:paraId="1242B1C4"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bdr w:val="none" w:sz="0" w:space="0" w:color="auto" w:frame="1"/>
              </w:rPr>
              <w:fldChar w:fldCharType="begin"/>
            </w:r>
            <w:r w:rsidRPr="0037077D">
              <w:rPr>
                <w:rFonts w:ascii="Bookman Old Style" w:hAnsi="Bookman Old Style"/>
                <w:b/>
                <w:bCs/>
                <w:color w:val="000000"/>
                <w:sz w:val="20"/>
                <w:szCs w:val="20"/>
                <w:bdr w:val="none" w:sz="0" w:space="0" w:color="auto" w:frame="1"/>
              </w:rPr>
              <w:instrText xml:space="preserve"> INCLUDEPICTURE "https://lh4.googleusercontent.com/fs8QlfLnD7BwYOrBlFUU-AusOkOmU-F_Ric7Dc8xhgxS8_8GAxxpOkc-1ESEdr7glbZV1AnsexMaVu-8umHPXLfH4dOUGs8wtnUt6oBYr0PoiKW-ULy7zUW6OtYApxAD0UN_IvNzgBis" \* MERGEFORMATINET </w:instrText>
            </w:r>
            <w:r w:rsidRPr="0037077D">
              <w:rPr>
                <w:rFonts w:ascii="Bookman Old Style" w:hAnsi="Bookman Old Style"/>
                <w:b/>
                <w:bCs/>
                <w:color w:val="000000"/>
                <w:sz w:val="20"/>
                <w:szCs w:val="20"/>
                <w:bdr w:val="none" w:sz="0" w:space="0" w:color="auto" w:frame="1"/>
              </w:rPr>
              <w:fldChar w:fldCharType="separate"/>
            </w:r>
            <w:r w:rsidRPr="0037077D">
              <w:rPr>
                <w:rFonts w:ascii="Bookman Old Style" w:hAnsi="Bookman Old Style"/>
                <w:b/>
                <w:bCs/>
                <w:color w:val="000000"/>
                <w:sz w:val="20"/>
                <w:szCs w:val="20"/>
                <w:bdr w:val="none" w:sz="0" w:space="0" w:color="auto" w:frame="1"/>
              </w:rPr>
              <w:fldChar w:fldCharType="end"/>
            </w:r>
            <w:r w:rsidRPr="0037077D">
              <w:rPr>
                <w:rFonts w:ascii="Bookman Old Style" w:hAnsi="Bookman Old Style"/>
                <w:b/>
                <w:bCs/>
                <w:color w:val="000000"/>
                <w:sz w:val="20"/>
                <w:szCs w:val="20"/>
              </w:rPr>
              <w:t>SANDRA RAMIREZ LOBO SILVA</w:t>
            </w:r>
          </w:p>
          <w:p w14:paraId="23AA6899"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Senadora de la República</w:t>
            </w:r>
          </w:p>
          <w:p w14:paraId="523C8DDA" w14:textId="5B7B787E" w:rsidR="0037077D" w:rsidRDefault="0037077D" w:rsidP="0037077D">
            <w:pPr>
              <w:pStyle w:val="NormalWeb"/>
              <w:spacing w:before="0" w:beforeAutospacing="0" w:after="0" w:afterAutospacing="0"/>
              <w:jc w:val="center"/>
              <w:rPr>
                <w:rFonts w:ascii="Bookman Old Style" w:eastAsia="Bookman Old Style" w:hAnsi="Bookman Old Style" w:cs="Bookman Old Style"/>
                <w:b/>
                <w:sz w:val="20"/>
                <w:szCs w:val="20"/>
              </w:rPr>
            </w:pPr>
            <w:r w:rsidRPr="0037077D">
              <w:rPr>
                <w:rFonts w:ascii="Bookman Old Style" w:hAnsi="Bookman Old Style"/>
                <w:color w:val="000000"/>
                <w:sz w:val="20"/>
                <w:szCs w:val="20"/>
              </w:rPr>
              <w:t>Partido Comunes</w:t>
            </w:r>
          </w:p>
        </w:tc>
      </w:tr>
      <w:tr w:rsidR="0037077D" w14:paraId="6455E65B" w14:textId="77777777" w:rsidTr="00F067D5">
        <w:trPr>
          <w:jc w:val="center"/>
        </w:trPr>
        <w:tc>
          <w:tcPr>
            <w:tcW w:w="4390" w:type="dxa"/>
          </w:tcPr>
          <w:p w14:paraId="2ACA5B7B"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bdr w:val="none" w:sz="0" w:space="0" w:color="auto" w:frame="1"/>
              </w:rPr>
              <w:fldChar w:fldCharType="begin"/>
            </w:r>
            <w:r w:rsidRPr="0037077D">
              <w:rPr>
                <w:rFonts w:ascii="Bookman Old Style" w:hAnsi="Bookman Old Style"/>
                <w:b/>
                <w:bCs/>
                <w:color w:val="000000"/>
                <w:sz w:val="20"/>
                <w:szCs w:val="20"/>
                <w:bdr w:val="none" w:sz="0" w:space="0" w:color="auto" w:frame="1"/>
              </w:rPr>
              <w:instrText xml:space="preserve"> INCLUDEPICTURE "https://lh5.googleusercontent.com/9uZkkSBJzLrhzCOMyAW1C210aGX9HlcSkrF0kaJEREHBw_zukTtCGkt0oSMJaKacRuHivHn6SPLdmalrURBCscaGhs_w7Z0KHwsYjikrV7cmmfrS7THh29lnl43hGeKn4YBdjnDQ2OEu" \* MERGEFORMATINET </w:instrText>
            </w:r>
            <w:r w:rsidRPr="0037077D">
              <w:rPr>
                <w:rFonts w:ascii="Bookman Old Style" w:hAnsi="Bookman Old Style"/>
                <w:b/>
                <w:bCs/>
                <w:color w:val="000000"/>
                <w:sz w:val="20"/>
                <w:szCs w:val="20"/>
                <w:bdr w:val="none" w:sz="0" w:space="0" w:color="auto" w:frame="1"/>
              </w:rPr>
              <w:fldChar w:fldCharType="separate"/>
            </w:r>
            <w:r w:rsidRPr="0037077D">
              <w:rPr>
                <w:rFonts w:ascii="Bookman Old Style" w:hAnsi="Bookman Old Style"/>
                <w:b/>
                <w:bCs/>
                <w:color w:val="000000"/>
                <w:sz w:val="20"/>
                <w:szCs w:val="20"/>
                <w:bdr w:val="none" w:sz="0" w:space="0" w:color="auto" w:frame="1"/>
              </w:rPr>
              <w:fldChar w:fldCharType="end"/>
            </w:r>
            <w:r w:rsidRPr="0037077D">
              <w:rPr>
                <w:rFonts w:ascii="Bookman Old Style" w:hAnsi="Bookman Old Style"/>
                <w:b/>
                <w:bCs/>
                <w:color w:val="000000"/>
                <w:sz w:val="20"/>
                <w:szCs w:val="20"/>
              </w:rPr>
              <w:t>SANTIAGO OSORIO MARIN</w:t>
            </w:r>
          </w:p>
          <w:p w14:paraId="30245221"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Representante a la Cámara</w:t>
            </w:r>
          </w:p>
          <w:p w14:paraId="7C6F8AA9"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Coalición Alianza Verde - Pacto Histórico</w:t>
            </w:r>
          </w:p>
          <w:p w14:paraId="168B698E" w14:textId="77777777" w:rsidR="0037077D" w:rsidRDefault="0037077D" w:rsidP="0037077D">
            <w:pPr>
              <w:tabs>
                <w:tab w:val="right" w:pos="8838"/>
              </w:tabs>
              <w:rPr>
                <w:rFonts w:ascii="Bookman Old Style" w:eastAsia="Bookman Old Style" w:hAnsi="Bookman Old Style" w:cs="Bookman Old Style"/>
                <w:b/>
                <w:sz w:val="20"/>
                <w:szCs w:val="20"/>
              </w:rPr>
            </w:pPr>
          </w:p>
        </w:tc>
        <w:tc>
          <w:tcPr>
            <w:tcW w:w="4348" w:type="dxa"/>
          </w:tcPr>
          <w:p w14:paraId="5E276AF5"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bdr w:val="none" w:sz="0" w:space="0" w:color="auto" w:frame="1"/>
              </w:rPr>
              <w:fldChar w:fldCharType="begin"/>
            </w:r>
            <w:r w:rsidRPr="0037077D">
              <w:rPr>
                <w:rFonts w:ascii="Bookman Old Style" w:hAnsi="Bookman Old Style"/>
                <w:b/>
                <w:bCs/>
                <w:color w:val="000000"/>
                <w:sz w:val="20"/>
                <w:szCs w:val="20"/>
                <w:bdr w:val="none" w:sz="0" w:space="0" w:color="auto" w:frame="1"/>
              </w:rPr>
              <w:instrText xml:space="preserve"> INCLUDEPICTURE "https://lh5.googleusercontent.com/9uZkkSBJzLrhzCOMyAW1C210aGX9HlcSkrF0kaJEREHBw_zukTtCGkt0oSMJaKacRuHivHn6SPLdmalrURBCscaGhs_w7Z0KHwsYjikrV7cmmfrS7THh29lnl43hGeKn4YBdjnDQ2OEu" \* MERGEFORMATINET </w:instrText>
            </w:r>
            <w:r w:rsidRPr="0037077D">
              <w:rPr>
                <w:rFonts w:ascii="Bookman Old Style" w:hAnsi="Bookman Old Style"/>
                <w:b/>
                <w:bCs/>
                <w:color w:val="000000"/>
                <w:sz w:val="20"/>
                <w:szCs w:val="20"/>
                <w:bdr w:val="none" w:sz="0" w:space="0" w:color="auto" w:frame="1"/>
              </w:rPr>
              <w:fldChar w:fldCharType="separate"/>
            </w:r>
            <w:r w:rsidRPr="0037077D">
              <w:rPr>
                <w:rFonts w:ascii="Bookman Old Style" w:hAnsi="Bookman Old Style"/>
                <w:b/>
                <w:bCs/>
                <w:color w:val="000000"/>
                <w:sz w:val="20"/>
                <w:szCs w:val="20"/>
                <w:bdr w:val="none" w:sz="0" w:space="0" w:color="auto" w:frame="1"/>
              </w:rPr>
              <w:fldChar w:fldCharType="end"/>
            </w:r>
            <w:r w:rsidRPr="0037077D">
              <w:rPr>
                <w:rFonts w:ascii="Bookman Old Style" w:hAnsi="Bookman Old Style"/>
                <w:b/>
                <w:bCs/>
                <w:color w:val="000000"/>
                <w:sz w:val="20"/>
                <w:szCs w:val="20"/>
              </w:rPr>
              <w:t>DOLCEY OSCAR TORRES ROMERO</w:t>
            </w:r>
          </w:p>
          <w:p w14:paraId="293F12B2"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Representante a la Cámara</w:t>
            </w:r>
          </w:p>
          <w:p w14:paraId="73BCFA65" w14:textId="77777777" w:rsidR="0037077D" w:rsidRPr="0037077D" w:rsidRDefault="0037077D" w:rsidP="0037077D">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 xml:space="preserve">Partido Liberal </w:t>
            </w:r>
          </w:p>
          <w:p w14:paraId="5B4AEC3E" w14:textId="77777777" w:rsidR="0037077D" w:rsidRDefault="0037077D" w:rsidP="0037077D">
            <w:pPr>
              <w:pStyle w:val="NormalWeb"/>
              <w:spacing w:before="0" w:beforeAutospacing="0" w:after="0" w:afterAutospacing="0"/>
              <w:jc w:val="center"/>
              <w:rPr>
                <w:rFonts w:ascii="Bookman Old Style" w:eastAsia="Bookman Old Style" w:hAnsi="Bookman Old Style" w:cs="Bookman Old Style"/>
                <w:b/>
                <w:sz w:val="20"/>
                <w:szCs w:val="20"/>
              </w:rPr>
            </w:pPr>
          </w:p>
        </w:tc>
      </w:tr>
    </w:tbl>
    <w:p w14:paraId="3DAF4F3E" w14:textId="77777777" w:rsidR="00FA0665" w:rsidRDefault="00FA0665" w:rsidP="00F51457">
      <w:pPr>
        <w:spacing w:after="0" w:line="276" w:lineRule="auto"/>
        <w:rPr>
          <w:rFonts w:ascii="Bookman Old Style" w:eastAsia="Bookman Old Style" w:hAnsi="Bookman Old Style" w:cs="Bookman Old Style"/>
          <w:b/>
        </w:rPr>
      </w:pPr>
    </w:p>
    <w:p w14:paraId="69ED6C5B" w14:textId="77777777" w:rsidR="00FA0665" w:rsidRDefault="00FA0665" w:rsidP="00785E66">
      <w:pPr>
        <w:spacing w:after="0" w:line="276" w:lineRule="auto"/>
        <w:rPr>
          <w:rFonts w:ascii="Bookman Old Style" w:eastAsia="Bookman Old Style" w:hAnsi="Bookman Old Style" w:cs="Bookman Old Style"/>
          <w:b/>
        </w:rPr>
      </w:pPr>
    </w:p>
    <w:p w14:paraId="0C90B97E" w14:textId="77777777" w:rsidR="0037077D" w:rsidRDefault="0037077D">
      <w:pPr>
        <w:spacing w:after="0" w:line="276" w:lineRule="auto"/>
        <w:jc w:val="center"/>
        <w:rPr>
          <w:rFonts w:ascii="Bookman Old Style" w:eastAsia="Bookman Old Style" w:hAnsi="Bookman Old Style" w:cs="Bookman Old Style"/>
          <w:b/>
          <w:u w:val="single"/>
        </w:rPr>
      </w:pPr>
    </w:p>
    <w:p w14:paraId="62E0EB0D" w14:textId="77777777" w:rsidR="0037077D" w:rsidRDefault="0037077D">
      <w:pPr>
        <w:spacing w:after="0" w:line="276" w:lineRule="auto"/>
        <w:jc w:val="center"/>
        <w:rPr>
          <w:rFonts w:ascii="Bookman Old Style" w:eastAsia="Bookman Old Style" w:hAnsi="Bookman Old Style" w:cs="Bookman Old Style"/>
          <w:b/>
          <w:u w:val="single"/>
        </w:rPr>
      </w:pPr>
    </w:p>
    <w:p w14:paraId="276EDEA6" w14:textId="77777777" w:rsidR="0037077D" w:rsidRDefault="0037077D">
      <w:pPr>
        <w:spacing w:after="0" w:line="276" w:lineRule="auto"/>
        <w:jc w:val="center"/>
        <w:rPr>
          <w:rFonts w:ascii="Bookman Old Style" w:eastAsia="Bookman Old Style" w:hAnsi="Bookman Old Style" w:cs="Bookman Old Style"/>
          <w:b/>
          <w:u w:val="single"/>
        </w:rPr>
      </w:pPr>
    </w:p>
    <w:p w14:paraId="01BFEF5A" w14:textId="77777777" w:rsidR="0037077D" w:rsidRDefault="0037077D">
      <w:pPr>
        <w:spacing w:after="0" w:line="276" w:lineRule="auto"/>
        <w:jc w:val="center"/>
        <w:rPr>
          <w:rFonts w:ascii="Bookman Old Style" w:eastAsia="Bookman Old Style" w:hAnsi="Bookman Old Style" w:cs="Bookman Old Style"/>
          <w:b/>
          <w:u w:val="single"/>
        </w:rPr>
      </w:pPr>
    </w:p>
    <w:p w14:paraId="3BA2D7BC" w14:textId="77777777" w:rsidR="0037077D" w:rsidRDefault="0037077D">
      <w:pPr>
        <w:spacing w:after="0" w:line="276" w:lineRule="auto"/>
        <w:jc w:val="center"/>
        <w:rPr>
          <w:rFonts w:ascii="Bookman Old Style" w:eastAsia="Bookman Old Style" w:hAnsi="Bookman Old Style" w:cs="Bookman Old Style"/>
          <w:b/>
          <w:u w:val="single"/>
        </w:rPr>
      </w:pPr>
    </w:p>
    <w:p w14:paraId="0575C1C0" w14:textId="77777777" w:rsidR="0037077D" w:rsidRDefault="0037077D">
      <w:pPr>
        <w:spacing w:after="0" w:line="276" w:lineRule="auto"/>
        <w:jc w:val="center"/>
        <w:rPr>
          <w:rFonts w:ascii="Bookman Old Style" w:eastAsia="Bookman Old Style" w:hAnsi="Bookman Old Style" w:cs="Bookman Old Style"/>
          <w:b/>
          <w:u w:val="single"/>
        </w:rPr>
      </w:pPr>
    </w:p>
    <w:p w14:paraId="5AE56B88" w14:textId="77777777" w:rsidR="0037077D" w:rsidRDefault="0037077D">
      <w:pPr>
        <w:spacing w:after="0" w:line="276" w:lineRule="auto"/>
        <w:jc w:val="center"/>
        <w:rPr>
          <w:rFonts w:ascii="Bookman Old Style" w:eastAsia="Bookman Old Style" w:hAnsi="Bookman Old Style" w:cs="Bookman Old Style"/>
          <w:b/>
          <w:u w:val="single"/>
        </w:rPr>
      </w:pPr>
    </w:p>
    <w:p w14:paraId="7A2CDBFC" w14:textId="77777777" w:rsidR="0037077D" w:rsidRDefault="0037077D">
      <w:pPr>
        <w:spacing w:after="0" w:line="276" w:lineRule="auto"/>
        <w:jc w:val="center"/>
        <w:rPr>
          <w:rFonts w:ascii="Bookman Old Style" w:eastAsia="Bookman Old Style" w:hAnsi="Bookman Old Style" w:cs="Bookman Old Style"/>
          <w:b/>
          <w:u w:val="single"/>
        </w:rPr>
      </w:pPr>
    </w:p>
    <w:p w14:paraId="73067D6E" w14:textId="77777777" w:rsidR="0037077D" w:rsidRDefault="0037077D">
      <w:pPr>
        <w:spacing w:after="0" w:line="276" w:lineRule="auto"/>
        <w:jc w:val="center"/>
        <w:rPr>
          <w:rFonts w:ascii="Bookman Old Style" w:eastAsia="Bookman Old Style" w:hAnsi="Bookman Old Style" w:cs="Bookman Old Style"/>
          <w:b/>
          <w:u w:val="single"/>
        </w:rPr>
      </w:pPr>
    </w:p>
    <w:p w14:paraId="2EF79798" w14:textId="77777777" w:rsidR="0037077D" w:rsidRDefault="0037077D">
      <w:pPr>
        <w:spacing w:after="0" w:line="276" w:lineRule="auto"/>
        <w:jc w:val="center"/>
        <w:rPr>
          <w:rFonts w:ascii="Bookman Old Style" w:eastAsia="Bookman Old Style" w:hAnsi="Bookman Old Style" w:cs="Bookman Old Style"/>
          <w:b/>
          <w:u w:val="single"/>
        </w:rPr>
      </w:pPr>
    </w:p>
    <w:p w14:paraId="5462DECF" w14:textId="5B06CD1C" w:rsidR="00FA0665" w:rsidRDefault="00000000">
      <w:pPr>
        <w:spacing w:after="0" w:line="276" w:lineRule="auto"/>
        <w:jc w:val="center"/>
        <w:rPr>
          <w:rFonts w:ascii="Bookman Old Style" w:eastAsia="Bookman Old Style" w:hAnsi="Bookman Old Style" w:cs="Bookman Old Style"/>
          <w:b/>
        </w:rPr>
      </w:pPr>
      <w:r>
        <w:rPr>
          <w:rFonts w:ascii="Bookman Old Style" w:eastAsia="Bookman Old Style" w:hAnsi="Bookman Old Style" w:cs="Bookman Old Style"/>
          <w:b/>
          <w:u w:val="single"/>
        </w:rPr>
        <w:t>EXPOSICIÓN DE MOTIVOS</w:t>
      </w:r>
    </w:p>
    <w:p w14:paraId="700A9FC9" w14:textId="77777777" w:rsidR="00FA0665" w:rsidRDefault="00FA0665">
      <w:pPr>
        <w:spacing w:after="0" w:line="276" w:lineRule="auto"/>
        <w:jc w:val="both"/>
        <w:rPr>
          <w:rFonts w:ascii="Bookman Old Style" w:eastAsia="Bookman Old Style" w:hAnsi="Bookman Old Style" w:cs="Bookman Old Style"/>
          <w:b/>
        </w:rPr>
      </w:pPr>
    </w:p>
    <w:p w14:paraId="62A0D422" w14:textId="77777777" w:rsidR="00FA0665" w:rsidRDefault="00FA0665">
      <w:pPr>
        <w:spacing w:after="0" w:line="276" w:lineRule="auto"/>
        <w:jc w:val="both"/>
        <w:rPr>
          <w:rFonts w:ascii="Bookman Old Style" w:eastAsia="Bookman Old Style" w:hAnsi="Bookman Old Style" w:cs="Bookman Old Style"/>
          <w:b/>
        </w:rPr>
      </w:pPr>
    </w:p>
    <w:p w14:paraId="4EF70EC4" w14:textId="77777777" w:rsidR="00FA0665" w:rsidRDefault="00000000">
      <w:pPr>
        <w:numPr>
          <w:ilvl w:val="0"/>
          <w:numId w:val="4"/>
        </w:numPr>
        <w:pBdr>
          <w:top w:val="nil"/>
          <w:left w:val="nil"/>
          <w:bottom w:val="nil"/>
          <w:right w:val="nil"/>
          <w:between w:val="nil"/>
        </w:pBdr>
        <w:spacing w:after="0" w:line="276"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rPr>
        <w:t>Antecedentes del proyecto</w:t>
      </w:r>
    </w:p>
    <w:p w14:paraId="76FE5D0D" w14:textId="77777777" w:rsidR="00FA0665" w:rsidRDefault="00FA0665">
      <w:pPr>
        <w:pBdr>
          <w:top w:val="nil"/>
          <w:left w:val="nil"/>
          <w:bottom w:val="nil"/>
          <w:right w:val="nil"/>
          <w:between w:val="nil"/>
        </w:pBdr>
        <w:spacing w:after="0" w:line="276" w:lineRule="auto"/>
        <w:jc w:val="both"/>
        <w:rPr>
          <w:rFonts w:ascii="Bookman Old Style" w:eastAsia="Bookman Old Style" w:hAnsi="Bookman Old Style" w:cs="Bookman Old Style"/>
          <w:b/>
        </w:rPr>
      </w:pPr>
    </w:p>
    <w:p w14:paraId="1744B27D"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presente Proyecto de Acto Legislativo No. 011 de 2021 Senado, 366 de 2021 Cámara, fue radicado ante la Secretaría General del Senado de la República, el 27 de julio de 2021, por los Honorables Senadores: Maritza Martínez Aristizábal, </w:t>
      </w:r>
      <w:proofErr w:type="spellStart"/>
      <w:r>
        <w:rPr>
          <w:rFonts w:ascii="Bookman Old Style" w:eastAsia="Bookman Old Style" w:hAnsi="Bookman Old Style" w:cs="Bookman Old Style"/>
        </w:rPr>
        <w:t>Roosvelt</w:t>
      </w:r>
      <w:proofErr w:type="spellEnd"/>
      <w:r>
        <w:rPr>
          <w:rFonts w:ascii="Bookman Old Style" w:eastAsia="Bookman Old Style" w:hAnsi="Bookman Old Style" w:cs="Bookman Old Style"/>
        </w:rPr>
        <w:t xml:space="preserve"> Rodríguez Rengifo, Roy Leonardo Barreras Montealegre, Emma Claudia Castellanos, Daira de Jesús Galvis Méndez, Juan Felipe Lemos Uribe, Juan Diego Gómez Jiménez, Rodrigo Villalba Mosquera, Iván Darío Agudelo Zapata y Guillermo García Realpe, siendo posteriormente publicado en la Gaceta del Congreso No. 1001 de 2021 de fecha 13 de agosto de 2021.</w:t>
      </w:r>
    </w:p>
    <w:p w14:paraId="41801524"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69B7D49A"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No obstante, y pese a que el proyecto surtió los ocho debates requeridos, no pudo completar su trámite en el Congreso de la República y volvió a ser radicado el 30 de marzo de 2022 por los </w:t>
      </w:r>
      <w:proofErr w:type="spellStart"/>
      <w:r>
        <w:rPr>
          <w:rFonts w:ascii="Bookman Old Style" w:eastAsia="Bookman Old Style" w:hAnsi="Bookman Old Style" w:cs="Bookman Old Style"/>
        </w:rPr>
        <w:t>H.S.</w:t>
      </w:r>
      <w:hyperlink r:id="rId8">
        <w:r>
          <w:rPr>
            <w:rFonts w:ascii="Bookman Old Style" w:eastAsia="Bookman Old Style" w:hAnsi="Bookman Old Style" w:cs="Bookman Old Style"/>
          </w:rPr>
          <w:t>Maritza</w:t>
        </w:r>
        <w:proofErr w:type="spellEnd"/>
        <w:r>
          <w:rPr>
            <w:rFonts w:ascii="Bookman Old Style" w:eastAsia="Bookman Old Style" w:hAnsi="Bookman Old Style" w:cs="Bookman Old Style"/>
          </w:rPr>
          <w:t xml:space="preserve"> Martínez Aristizábal</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H.S.</w:t>
      </w:r>
      <w:hyperlink r:id="rId9">
        <w:r>
          <w:rPr>
            <w:rFonts w:ascii="Bookman Old Style" w:eastAsia="Bookman Old Style" w:hAnsi="Bookman Old Style" w:cs="Bookman Old Style"/>
          </w:rPr>
          <w:t>Berner</w:t>
        </w:r>
        <w:proofErr w:type="spellEnd"/>
        <w:r>
          <w:rPr>
            <w:rFonts w:ascii="Bookman Old Style" w:eastAsia="Bookman Old Style" w:hAnsi="Bookman Old Style" w:cs="Bookman Old Style"/>
          </w:rPr>
          <w:t xml:space="preserve"> león Zambrano Erazo</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H.S.</w:t>
      </w:r>
      <w:hyperlink r:id="rId10">
        <w:r>
          <w:rPr>
            <w:rFonts w:ascii="Bookman Old Style" w:eastAsia="Bookman Old Style" w:hAnsi="Bookman Old Style" w:cs="Bookman Old Style"/>
          </w:rPr>
          <w:t>Myriam</w:t>
        </w:r>
        <w:proofErr w:type="spellEnd"/>
        <w:r>
          <w:rPr>
            <w:rFonts w:ascii="Bookman Old Style" w:eastAsia="Bookman Old Style" w:hAnsi="Bookman Old Style" w:cs="Bookman Old Style"/>
          </w:rPr>
          <w:t xml:space="preserve"> Alicia Paredes Aguirre</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H.S.</w:t>
      </w:r>
      <w:hyperlink r:id="rId11">
        <w:r>
          <w:rPr>
            <w:rFonts w:ascii="Bookman Old Style" w:eastAsia="Bookman Old Style" w:hAnsi="Bookman Old Style" w:cs="Bookman Old Style"/>
          </w:rPr>
          <w:t>Aida</w:t>
        </w:r>
        <w:proofErr w:type="spellEnd"/>
        <w:r>
          <w:rPr>
            <w:rFonts w:ascii="Bookman Old Style" w:eastAsia="Bookman Old Style" w:hAnsi="Bookman Old Style" w:cs="Bookman Old Style"/>
          </w:rPr>
          <w:t xml:space="preserve"> Yolanda Avella Esquivel</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H.S.</w:t>
      </w:r>
      <w:hyperlink r:id="rId12">
        <w:r>
          <w:rPr>
            <w:rFonts w:ascii="Bookman Old Style" w:eastAsia="Bookman Old Style" w:hAnsi="Bookman Old Style" w:cs="Bookman Old Style"/>
          </w:rPr>
          <w:t>Roosvelt</w:t>
        </w:r>
        <w:proofErr w:type="spellEnd"/>
        <w:r>
          <w:rPr>
            <w:rFonts w:ascii="Bookman Old Style" w:eastAsia="Bookman Old Style" w:hAnsi="Bookman Old Style" w:cs="Bookman Old Style"/>
          </w:rPr>
          <w:t xml:space="preserve"> Rodríguez Rengifo</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H.S.</w:t>
      </w:r>
      <w:hyperlink r:id="rId13">
        <w:r>
          <w:rPr>
            <w:rFonts w:ascii="Bookman Old Style" w:eastAsia="Bookman Old Style" w:hAnsi="Bookman Old Style" w:cs="Bookman Old Style"/>
          </w:rPr>
          <w:t>Guillermo</w:t>
        </w:r>
        <w:proofErr w:type="spellEnd"/>
        <w:r>
          <w:rPr>
            <w:rFonts w:ascii="Bookman Old Style" w:eastAsia="Bookman Old Style" w:hAnsi="Bookman Old Style" w:cs="Bookman Old Style"/>
          </w:rPr>
          <w:t xml:space="preserve"> García Realpe</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H.S.</w:t>
      </w:r>
      <w:hyperlink r:id="rId14">
        <w:r>
          <w:rPr>
            <w:rFonts w:ascii="Bookman Old Style" w:eastAsia="Bookman Old Style" w:hAnsi="Bookman Old Style" w:cs="Bookman Old Style"/>
          </w:rPr>
          <w:t>Iván</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Leonidas</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Name</w:t>
        </w:r>
        <w:proofErr w:type="spellEnd"/>
        <w:r>
          <w:rPr>
            <w:rFonts w:ascii="Bookman Old Style" w:eastAsia="Bookman Old Style" w:hAnsi="Bookman Old Style" w:cs="Bookman Old Style"/>
          </w:rPr>
          <w:t xml:space="preserve"> Vásquez</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H.S.</w:t>
      </w:r>
      <w:hyperlink r:id="rId15">
        <w:r>
          <w:rPr>
            <w:rFonts w:ascii="Bookman Old Style" w:eastAsia="Bookman Old Style" w:hAnsi="Bookman Old Style" w:cs="Bookman Old Style"/>
          </w:rPr>
          <w:t>Angélica</w:t>
        </w:r>
        <w:proofErr w:type="spellEnd"/>
        <w:r>
          <w:rPr>
            <w:rFonts w:ascii="Bookman Old Style" w:eastAsia="Bookman Old Style" w:hAnsi="Bookman Old Style" w:cs="Bookman Old Style"/>
          </w:rPr>
          <w:t xml:space="preserve"> Lisbeth Lozano Correa</w:t>
        </w:r>
      </w:hyperlink>
      <w:r>
        <w:rPr>
          <w:rFonts w:ascii="Bookman Old Style" w:eastAsia="Bookman Old Style" w:hAnsi="Bookman Old Style" w:cs="Bookman Old Style"/>
        </w:rPr>
        <w:t xml:space="preserve">, H.S. </w:t>
      </w:r>
      <w:hyperlink r:id="rId16">
        <w:r>
          <w:rPr>
            <w:rFonts w:ascii="Bookman Old Style" w:eastAsia="Bookman Old Style" w:hAnsi="Bookman Old Style" w:cs="Bookman Old Style"/>
          </w:rPr>
          <w:t>Jorge Eduardo Londoño Ulloa</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H.R.</w:t>
      </w:r>
      <w:hyperlink r:id="rId17">
        <w:r>
          <w:rPr>
            <w:rFonts w:ascii="Bookman Old Style" w:eastAsia="Bookman Old Style" w:hAnsi="Bookman Old Style" w:cs="Bookman Old Style"/>
          </w:rPr>
          <w:t>Norma</w:t>
        </w:r>
        <w:proofErr w:type="spellEnd"/>
        <w:r>
          <w:rPr>
            <w:rFonts w:ascii="Bookman Old Style" w:eastAsia="Bookman Old Style" w:hAnsi="Bookman Old Style" w:cs="Bookman Old Style"/>
          </w:rPr>
          <w:t xml:space="preserve"> Hurtado Sánchez</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H.R.</w:t>
      </w:r>
      <w:hyperlink r:id="rId18">
        <w:r>
          <w:rPr>
            <w:rFonts w:ascii="Bookman Old Style" w:eastAsia="Bookman Old Style" w:hAnsi="Bookman Old Style" w:cs="Bookman Old Style"/>
          </w:rPr>
          <w:t>Juan</w:t>
        </w:r>
        <w:proofErr w:type="spellEnd"/>
        <w:r>
          <w:rPr>
            <w:rFonts w:ascii="Bookman Old Style" w:eastAsia="Bookman Old Style" w:hAnsi="Bookman Old Style" w:cs="Bookman Old Style"/>
          </w:rPr>
          <w:t xml:space="preserve"> Carlos Lozada Vargas</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H.R.</w:t>
      </w:r>
      <w:hyperlink r:id="rId19">
        <w:r>
          <w:rPr>
            <w:rFonts w:ascii="Bookman Old Style" w:eastAsia="Bookman Old Style" w:hAnsi="Bookman Old Style" w:cs="Bookman Old Style"/>
          </w:rPr>
          <w:t>Alejandro</w:t>
        </w:r>
        <w:proofErr w:type="spellEnd"/>
        <w:r>
          <w:rPr>
            <w:rFonts w:ascii="Bookman Old Style" w:eastAsia="Bookman Old Style" w:hAnsi="Bookman Old Style" w:cs="Bookman Old Style"/>
          </w:rPr>
          <w:t xml:space="preserve"> Alberto Vega Pérez</w:t>
        </w:r>
      </w:hyperlink>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H.R.</w:t>
      </w:r>
      <w:hyperlink r:id="rId20">
        <w:r>
          <w:rPr>
            <w:rFonts w:ascii="Bookman Old Style" w:eastAsia="Bookman Old Style" w:hAnsi="Bookman Old Style" w:cs="Bookman Old Style"/>
          </w:rPr>
          <w:t>Juanita</w:t>
        </w:r>
        <w:proofErr w:type="spellEnd"/>
        <w:r>
          <w:rPr>
            <w:rFonts w:ascii="Bookman Old Style" w:eastAsia="Bookman Old Style" w:hAnsi="Bookman Old Style" w:cs="Bookman Old Style"/>
          </w:rPr>
          <w:t xml:space="preserve"> María </w:t>
        </w:r>
        <w:proofErr w:type="spellStart"/>
        <w:r>
          <w:rPr>
            <w:rFonts w:ascii="Bookman Old Style" w:eastAsia="Bookman Old Style" w:hAnsi="Bookman Old Style" w:cs="Bookman Old Style"/>
          </w:rPr>
          <w:t>Goebertus</w:t>
        </w:r>
        <w:proofErr w:type="spellEnd"/>
        <w:r>
          <w:rPr>
            <w:rFonts w:ascii="Bookman Old Style" w:eastAsia="Bookman Old Style" w:hAnsi="Bookman Old Style" w:cs="Bookman Old Style"/>
          </w:rPr>
          <w:t xml:space="preserve"> Estrada</w:t>
        </w:r>
      </w:hyperlink>
    </w:p>
    <w:p w14:paraId="4C63FF92" w14:textId="77777777" w:rsidR="00FA0665" w:rsidRDefault="00FA0665">
      <w:pPr>
        <w:spacing w:after="0" w:line="276" w:lineRule="auto"/>
        <w:jc w:val="both"/>
        <w:rPr>
          <w:rFonts w:ascii="Bookman Old Style" w:eastAsia="Bookman Old Style" w:hAnsi="Bookman Old Style" w:cs="Bookman Old Style"/>
        </w:rPr>
      </w:pPr>
    </w:p>
    <w:p w14:paraId="335065E6"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proyecto no alcanzó a ser discutido y se archivó de conformidad con lo previsto en el artículo 162 de la Constitución Política de 1991 y del artículo 190 de la Ley 5 de 1992. </w:t>
      </w:r>
    </w:p>
    <w:p w14:paraId="2E61E493" w14:textId="77777777" w:rsidR="00FA0665" w:rsidRDefault="00FA0665">
      <w:pPr>
        <w:spacing w:after="0" w:line="276" w:lineRule="auto"/>
        <w:jc w:val="both"/>
        <w:rPr>
          <w:rFonts w:ascii="Bookman Old Style" w:eastAsia="Bookman Old Style" w:hAnsi="Bookman Old Style" w:cs="Bookman Old Style"/>
        </w:rPr>
      </w:pPr>
    </w:p>
    <w:p w14:paraId="7C8AA1D5" w14:textId="77777777" w:rsidR="00FA0665" w:rsidRDefault="00000000">
      <w:pPr>
        <w:spacing w:after="0" w:line="276" w:lineRule="auto"/>
        <w:jc w:val="both"/>
      </w:pPr>
      <w:r>
        <w:rPr>
          <w:rFonts w:ascii="Bookman Old Style" w:eastAsia="Bookman Old Style" w:hAnsi="Bookman Old Style" w:cs="Bookman Old Style"/>
        </w:rPr>
        <w:t>Por esta razón, y resaltando los esfuerzos de los autores anteriores y en especial de la Honorable Senadora Maritza Martínez Aristizábal, se considera oportuno volver a radicar este proyecto, atendiendo a las razones que se exponen a continuación.</w:t>
      </w:r>
      <w:r>
        <w:fldChar w:fldCharType="begin"/>
      </w:r>
      <w:r>
        <w:instrText xml:space="preserve"> HYPERLINK "http://svrpubindc.imprenta.gov.co/senado/index2.xhtml?ent=C%C3%A1mara&amp;fec=20-12-2021&amp;num=1899" </w:instrText>
      </w:r>
      <w:r>
        <w:fldChar w:fldCharType="separate"/>
      </w:r>
    </w:p>
    <w:p w14:paraId="6D6F5EB0" w14:textId="77777777" w:rsidR="00FA0665" w:rsidRDefault="00000000">
      <w:pPr>
        <w:spacing w:after="0" w:line="276" w:lineRule="auto"/>
        <w:jc w:val="both"/>
        <w:rPr>
          <w:rFonts w:ascii="Bookman Old Style" w:eastAsia="Bookman Old Style" w:hAnsi="Bookman Old Style" w:cs="Bookman Old Style"/>
        </w:rPr>
      </w:pPr>
      <w:r>
        <w:fldChar w:fldCharType="end"/>
      </w:r>
    </w:p>
    <w:p w14:paraId="64907EF2" w14:textId="77777777" w:rsidR="00FA0665" w:rsidRDefault="00FA0665">
      <w:pPr>
        <w:pBdr>
          <w:top w:val="nil"/>
          <w:left w:val="nil"/>
          <w:bottom w:val="nil"/>
          <w:right w:val="nil"/>
          <w:between w:val="nil"/>
        </w:pBdr>
        <w:spacing w:after="0" w:line="276" w:lineRule="auto"/>
        <w:jc w:val="both"/>
        <w:rPr>
          <w:rFonts w:ascii="Bookman Old Style" w:eastAsia="Bookman Old Style" w:hAnsi="Bookman Old Style" w:cs="Bookman Old Style"/>
          <w:b/>
        </w:rPr>
      </w:pPr>
    </w:p>
    <w:p w14:paraId="1662F13E" w14:textId="77777777" w:rsidR="00FA0665" w:rsidRDefault="00000000">
      <w:pPr>
        <w:numPr>
          <w:ilvl w:val="0"/>
          <w:numId w:val="4"/>
        </w:numPr>
        <w:pBdr>
          <w:top w:val="nil"/>
          <w:left w:val="nil"/>
          <w:bottom w:val="nil"/>
          <w:right w:val="nil"/>
          <w:between w:val="nil"/>
        </w:pBdr>
        <w:spacing w:after="0" w:line="276"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Objeto y contenido del proyecto:</w:t>
      </w:r>
    </w:p>
    <w:p w14:paraId="6CCD9D81" w14:textId="77777777" w:rsidR="00FA0665" w:rsidRDefault="00FA0665">
      <w:pPr>
        <w:spacing w:after="0" w:line="276" w:lineRule="auto"/>
        <w:jc w:val="both"/>
        <w:rPr>
          <w:rFonts w:ascii="Bookman Old Style" w:eastAsia="Bookman Old Style" w:hAnsi="Bookman Old Style" w:cs="Bookman Old Style"/>
        </w:rPr>
      </w:pPr>
    </w:p>
    <w:p w14:paraId="272050BB"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presente Proyecto de Acto Legislativo tiene por objeto establecer la obligación del Estado de dirigir sus políticas hacia el aseguramiento del derecho a la alimentación, a estar protegido contra el hambre y la desnutrición, a la soberanía alimentaria y a la seguridad alimentaria de su población, ambos conceptos intrínsecamente ligados al derecho a la alimentación. Así mismo, plantea la obligación de que el Estado defina una estrategia a través de la cual se acompañe a las cadenas de producción y distribución nacional de alimentos, en aras de cerrar </w:t>
      </w:r>
      <w:r>
        <w:rPr>
          <w:rFonts w:ascii="Bookman Old Style" w:eastAsia="Bookman Old Style" w:hAnsi="Bookman Old Style" w:cs="Bookman Old Style"/>
        </w:rPr>
        <w:lastRenderedPageBreak/>
        <w:t>las brechas que inciden en su eficiencia, y que al tiempo aborde el fenómeno de la pérdida de estos.</w:t>
      </w:r>
    </w:p>
    <w:p w14:paraId="1DC5DAF2" w14:textId="77777777" w:rsidR="00FA0665" w:rsidRDefault="00FA0665">
      <w:pPr>
        <w:spacing w:after="0" w:line="276" w:lineRule="auto"/>
        <w:jc w:val="both"/>
        <w:rPr>
          <w:rFonts w:ascii="Bookman Old Style" w:eastAsia="Bookman Old Style" w:hAnsi="Bookman Old Style" w:cs="Bookman Old Style"/>
        </w:rPr>
      </w:pPr>
    </w:p>
    <w:p w14:paraId="4A6D348E"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Al respecto, es necesario mencionar que dicha prerrogativa, así como los conceptos de soberanía alimentaria y seguridad alimentaria, se encuentra consagrada en sendos instrumentos internacionales ratificados por el Estado colombiano</w:t>
      </w:r>
      <w:r>
        <w:rPr>
          <w:rFonts w:ascii="Bookman Old Style" w:eastAsia="Bookman Old Style" w:hAnsi="Bookman Old Style" w:cs="Bookman Old Style"/>
          <w:vertAlign w:val="superscript"/>
        </w:rPr>
        <w:footnoteReference w:id="1"/>
      </w:r>
      <w:r>
        <w:rPr>
          <w:rFonts w:ascii="Bookman Old Style" w:eastAsia="Bookman Old Style" w:hAnsi="Bookman Old Style" w:cs="Bookman Old Style"/>
        </w:rPr>
        <w:t>. Adicionalmente, se pretende dar cumplimiento a obligaciones internacionales que el Estado colombiano ha adquirido y que se encuentran en completa consonancia con lo consagrado en el ordenamiento interno en virtud de lo establecido en diversas disposiciones constitucionales y en particular con lo dispuesto en el artículo 93 de la Constitución Política de 1991.</w:t>
      </w:r>
    </w:p>
    <w:p w14:paraId="5A85FFBB" w14:textId="77777777" w:rsidR="00FA0665" w:rsidRDefault="00FA0665">
      <w:pPr>
        <w:spacing w:after="0" w:line="276" w:lineRule="auto"/>
        <w:jc w:val="both"/>
        <w:rPr>
          <w:rFonts w:ascii="Bookman Old Style" w:eastAsia="Bookman Old Style" w:hAnsi="Bookman Old Style" w:cs="Bookman Old Style"/>
        </w:rPr>
      </w:pPr>
    </w:p>
    <w:p w14:paraId="61B08219" w14:textId="77777777" w:rsidR="00FA0665" w:rsidRDefault="00000000">
      <w:pPr>
        <w:numPr>
          <w:ilvl w:val="0"/>
          <w:numId w:val="4"/>
        </w:numPr>
        <w:pBdr>
          <w:top w:val="nil"/>
          <w:left w:val="nil"/>
          <w:bottom w:val="nil"/>
          <w:right w:val="nil"/>
          <w:between w:val="nil"/>
        </w:pBdr>
        <w:spacing w:after="0" w:line="276"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Justificación</w:t>
      </w:r>
    </w:p>
    <w:p w14:paraId="4B7BD8C4" w14:textId="77777777" w:rsidR="00FA0665" w:rsidRDefault="00FA0665">
      <w:pPr>
        <w:spacing w:after="0" w:line="276" w:lineRule="auto"/>
        <w:jc w:val="both"/>
        <w:rPr>
          <w:rFonts w:ascii="Bookman Old Style" w:eastAsia="Bookman Old Style" w:hAnsi="Bookman Old Style" w:cs="Bookman Old Style"/>
        </w:rPr>
      </w:pPr>
    </w:p>
    <w:p w14:paraId="6937AF51"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De acuerdo con el más reciente informe del estado de la seguridad alimentaria y la nutrición en el mundo (2021)</w:t>
      </w:r>
      <w:r>
        <w:rPr>
          <w:rFonts w:ascii="Bookman Old Style" w:eastAsia="Bookman Old Style" w:hAnsi="Bookman Old Style" w:cs="Bookman Old Style"/>
          <w:vertAlign w:val="superscript"/>
        </w:rPr>
        <w:footnoteReference w:id="2"/>
      </w:r>
      <w:r>
        <w:rPr>
          <w:rFonts w:ascii="Bookman Old Style" w:eastAsia="Bookman Old Style" w:hAnsi="Bookman Old Style" w:cs="Bookman Old Style"/>
        </w:rPr>
        <w:t xml:space="preserve"> realizado por FAO, IFAD, Unicef, el Programa Mundial de Alimentos y la Organización Mundial de la Salud, el 9.9% de la población global se encuentra en condiciones de prevalencia de subalimentación, las cuales se incrementaron en 1,5 puntos porcentuales entre el periodo 2019 y 2020. Estas cifras, de acuerdo con lo señalado en el informe, dificultan el cumplimiento del ODS número 2: Hambre cero a 2030 y, en general, de todas las de las metas e indicadores en materia de nutrición y superación de la pobreza. </w:t>
      </w:r>
    </w:p>
    <w:p w14:paraId="184DA7A5" w14:textId="77777777" w:rsidR="00FA0665" w:rsidRDefault="00FA0665">
      <w:pPr>
        <w:spacing w:after="0" w:line="276" w:lineRule="auto"/>
        <w:jc w:val="both"/>
        <w:rPr>
          <w:rFonts w:ascii="Bookman Old Style" w:eastAsia="Bookman Old Style" w:hAnsi="Bookman Old Style" w:cs="Bookman Old Style"/>
        </w:rPr>
      </w:pPr>
    </w:p>
    <w:p w14:paraId="76252A06"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informe indica además que la inseguridad alimentaria moderada o grave ha venido aumentando desde el 2014 y que el aumento estimado tan solo en el 2020 equivale a la suma de los cinco años inmediatamente anteriores. Así las cosas, en 2020 alrededor de una de cada tres personas en el mundo (2.730 millones) careció </w:t>
      </w:r>
      <w:r>
        <w:rPr>
          <w:rFonts w:ascii="Bookman Old Style" w:eastAsia="Bookman Old Style" w:hAnsi="Bookman Old Style" w:cs="Bookman Old Style"/>
        </w:rPr>
        <w:lastRenderedPageBreak/>
        <w:t>del acceso a alimentos adecuados, fenómeno que tuvo mayor repercusión en las regiones de África, Asia y América Latina y el Caribe.</w:t>
      </w:r>
    </w:p>
    <w:p w14:paraId="0ACA1428" w14:textId="77777777" w:rsidR="00FA0665" w:rsidRDefault="00FA0665">
      <w:pPr>
        <w:spacing w:after="0" w:line="276" w:lineRule="auto"/>
        <w:jc w:val="both"/>
        <w:rPr>
          <w:rFonts w:ascii="Bookman Old Style" w:eastAsia="Bookman Old Style" w:hAnsi="Bookman Old Style" w:cs="Bookman Old Style"/>
        </w:rPr>
      </w:pPr>
    </w:p>
    <w:p w14:paraId="0573EC45"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En Colombia carecemos de mediciones periódicas recurrentes que permitan evaluar constantemente el desempeño del país en prevención de la inseguridad alimentaria</w:t>
      </w:r>
      <w:r>
        <w:rPr>
          <w:rFonts w:ascii="Bookman Old Style" w:eastAsia="Bookman Old Style" w:hAnsi="Bookman Old Style" w:cs="Bookman Old Style"/>
          <w:vertAlign w:val="superscript"/>
        </w:rPr>
        <w:footnoteReference w:id="3"/>
      </w:r>
      <w:r>
        <w:rPr>
          <w:rFonts w:ascii="Bookman Old Style" w:eastAsia="Bookman Old Style" w:hAnsi="Bookman Old Style" w:cs="Bookman Old Style"/>
        </w:rPr>
        <w:t>; recientemente, el DANE ha empezado a incluir en la Encuesta Pulso Social sobre el acceso que tienen los hogares sobre el acceso a las tres comidas diarias. De acuerdo con la encuesta del DANE con corte mayo de 2022, se concluyó que previo al inicio de la pandemia, el 91,3% de los hogares encuestados se encontraban en capacidad de acceder a ellas; mientras que, durante el primer trimestre del 2022 solo el 76,7% pudieron tener los alimentos suficientes para contar con una alimentación adecuada, situación que es mucho más crítica en ciudades como Cartagena, Barranquilla, Sincelejo y Valledupar, en donde se evidencia una mayor inseguridad alimentaria en el país. Para el caso de Cartagena y Barranquilla, solo 3 de cada 10 hogares encuestados reportan poder acceder a las tres comidas al día; mientras que en Sincelejo y Valledupar no alcanzan a ser 5 de cada 10 hogares los que cuentan con alimentos suficientes para garantizar la seguridad alimentaria.</w:t>
      </w:r>
    </w:p>
    <w:p w14:paraId="4B3BCD36" w14:textId="77777777" w:rsidR="00FA0665" w:rsidRDefault="00FA0665">
      <w:pPr>
        <w:spacing w:after="0" w:line="276" w:lineRule="auto"/>
        <w:jc w:val="both"/>
        <w:rPr>
          <w:rFonts w:ascii="Bookman Old Style" w:eastAsia="Bookman Old Style" w:hAnsi="Bookman Old Style" w:cs="Bookman Old Style"/>
        </w:rPr>
      </w:pPr>
    </w:p>
    <w:p w14:paraId="503C68A8"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Recientemente, la Organización FIAN (</w:t>
      </w:r>
      <w:proofErr w:type="spellStart"/>
      <w:r>
        <w:rPr>
          <w:rFonts w:ascii="Bookman Old Style" w:eastAsia="Bookman Old Style" w:hAnsi="Bookman Old Style" w:cs="Bookman Old Style"/>
          <w:i/>
        </w:rPr>
        <w:t>Food</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First</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Information</w:t>
      </w:r>
      <w:proofErr w:type="spellEnd"/>
      <w:r>
        <w:rPr>
          <w:rFonts w:ascii="Bookman Old Style" w:eastAsia="Bookman Old Style" w:hAnsi="Bookman Old Style" w:cs="Bookman Old Style"/>
          <w:i/>
        </w:rPr>
        <w:t xml:space="preserve"> and </w:t>
      </w:r>
      <w:proofErr w:type="spellStart"/>
      <w:r>
        <w:rPr>
          <w:rFonts w:ascii="Bookman Old Style" w:eastAsia="Bookman Old Style" w:hAnsi="Bookman Old Style" w:cs="Bookman Old Style"/>
          <w:i/>
        </w:rPr>
        <w:t>Action</w:t>
      </w:r>
      <w:proofErr w:type="spellEnd"/>
      <w:r>
        <w:rPr>
          <w:rFonts w:ascii="Bookman Old Style" w:eastAsia="Bookman Old Style" w:hAnsi="Bookman Old Style" w:cs="Bookman Old Style"/>
          <w:i/>
        </w:rPr>
        <w:t xml:space="preserve"> Network) </w:t>
      </w:r>
      <w:r>
        <w:rPr>
          <w:rFonts w:ascii="Bookman Old Style" w:eastAsia="Bookman Old Style" w:hAnsi="Bookman Old Style" w:cs="Bookman Old Style"/>
        </w:rPr>
        <w:t>publicó un el informe Un País que se Hunde en Hambre, sobre la situación del derecho humano a la alimentación y nutrición adecuadas en Colombia en 2021</w:t>
      </w:r>
      <w:r>
        <w:rPr>
          <w:rFonts w:ascii="Bookman Old Style" w:eastAsia="Bookman Old Style" w:hAnsi="Bookman Old Style" w:cs="Bookman Old Style"/>
          <w:vertAlign w:val="superscript"/>
        </w:rPr>
        <w:footnoteReference w:id="4"/>
      </w:r>
      <w:r>
        <w:rPr>
          <w:rFonts w:ascii="Bookman Old Style" w:eastAsia="Bookman Old Style" w:hAnsi="Bookman Old Style" w:cs="Bookman Old Style"/>
        </w:rPr>
        <w:t xml:space="preserve">, allí se expone con detalle la disparidad regional en varios indicadores como lo son: la prevalencia de anemia en la población menor a cinco años, la desnutrición aguda en población menor de cinco años y el retraso en talla en la población menor de cinco años. También se presentan resultado a la luz de los niveles de ingreso y las conclusiones son contundentes: son aquellas zonas del país más apartadas (algunas con presencia de minorías étnicas) y los estratos más bajos aquellos que sufren con peor rigor la crisis en materia alimentaria que atraviesa el país.  </w:t>
      </w:r>
    </w:p>
    <w:p w14:paraId="3887DF48" w14:textId="77777777" w:rsidR="00FA0665" w:rsidRDefault="00FA0665">
      <w:pPr>
        <w:spacing w:after="0" w:line="276" w:lineRule="auto"/>
        <w:jc w:val="both"/>
        <w:rPr>
          <w:rFonts w:ascii="Bookman Old Style" w:eastAsia="Bookman Old Style" w:hAnsi="Bookman Old Style" w:cs="Bookman Old Style"/>
        </w:rPr>
      </w:pPr>
    </w:p>
    <w:p w14:paraId="4F8D965C" w14:textId="77777777" w:rsidR="00FA0665" w:rsidRDefault="00000000">
      <w:pPr>
        <w:spacing w:after="0" w:line="276"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La inseguridad alimentaria como problema público. </w:t>
      </w:r>
    </w:p>
    <w:p w14:paraId="05CE3306" w14:textId="77777777" w:rsidR="00FA0665" w:rsidRDefault="00FA0665">
      <w:pPr>
        <w:spacing w:after="0" w:line="276" w:lineRule="auto"/>
        <w:jc w:val="both"/>
        <w:rPr>
          <w:rFonts w:ascii="Bookman Old Style" w:eastAsia="Bookman Old Style" w:hAnsi="Bookman Old Style" w:cs="Bookman Old Style"/>
          <w:b/>
        </w:rPr>
      </w:pPr>
    </w:p>
    <w:p w14:paraId="52881A5C"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La inseguridad alimentaria que nuestro país sufrió por cuenta de la pandemia va a tener costos sociales enormes en el futuro. Según JPAL - </w:t>
      </w:r>
      <w:proofErr w:type="spellStart"/>
      <w:r>
        <w:rPr>
          <w:rFonts w:ascii="Bookman Old Style" w:eastAsia="Bookman Old Style" w:hAnsi="Bookman Old Style" w:cs="Bookman Old Style"/>
          <w:i/>
        </w:rPr>
        <w:t>Poverty</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Action</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Lab</w:t>
      </w:r>
      <w:proofErr w:type="spellEnd"/>
      <w:r>
        <w:rPr>
          <w:rFonts w:ascii="Bookman Old Style" w:eastAsia="Bookman Old Style" w:hAnsi="Bookman Old Style" w:cs="Bookman Old Style"/>
          <w:i/>
          <w:vertAlign w:val="superscript"/>
        </w:rPr>
        <w:footnoteReference w:id="5"/>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las </w:t>
      </w:r>
      <w:r>
        <w:rPr>
          <w:rFonts w:ascii="Bookman Old Style" w:eastAsia="Bookman Old Style" w:hAnsi="Bookman Old Style" w:cs="Bookman Old Style"/>
        </w:rPr>
        <w:lastRenderedPageBreak/>
        <w:t>políticas públicas tendientes a mejorar la situación de nutrición infantil se constituyen como las más costo-efectivas para luchar contra la pobreza y la desigualdad. Esta relación parte del supuesto según el cual una adecuada nutrición en la infancia temprana garantiza un desarrollo cognitivo pleno y la posibilidad de una adultez productiva. Organizaciones como la UNICEF</w:t>
      </w:r>
      <w:r>
        <w:rPr>
          <w:rFonts w:ascii="Bookman Old Style" w:eastAsia="Bookman Old Style" w:hAnsi="Bookman Old Style" w:cs="Bookman Old Style"/>
          <w:vertAlign w:val="superscript"/>
        </w:rPr>
        <w:footnoteReference w:id="6"/>
      </w:r>
      <w:r>
        <w:rPr>
          <w:rFonts w:ascii="Bookman Old Style" w:eastAsia="Bookman Old Style" w:hAnsi="Bookman Old Style" w:cs="Bookman Old Style"/>
        </w:rPr>
        <w:t xml:space="preserve"> reconocen que la desnutrición en edades temprana crea rezagos en el desarrollo de los infantes que luego no pueden ser subsanados. </w:t>
      </w:r>
    </w:p>
    <w:p w14:paraId="4A682991" w14:textId="77777777" w:rsidR="00FA0665" w:rsidRDefault="00FA0665">
      <w:pPr>
        <w:spacing w:after="0" w:line="276" w:lineRule="auto"/>
        <w:jc w:val="both"/>
        <w:rPr>
          <w:rFonts w:ascii="Bookman Old Style" w:eastAsia="Bookman Old Style" w:hAnsi="Bookman Old Style" w:cs="Bookman Old Style"/>
        </w:rPr>
      </w:pPr>
    </w:p>
    <w:p w14:paraId="190F79F8"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Esta realidad es trágica y no adoptar medidas prontas y efectivas perpetuará las desigualdades, ya bastante amplias en nuestro país  e impedirá romper los círculos de la pobreza a los que hoy en día, y especialmente después de la pandemia, están condenados miles de niños en el país. </w:t>
      </w:r>
    </w:p>
    <w:p w14:paraId="01C6CDDA" w14:textId="77777777" w:rsidR="00FA0665" w:rsidRDefault="00FA0665">
      <w:pPr>
        <w:spacing w:after="0" w:line="276" w:lineRule="auto"/>
        <w:jc w:val="both"/>
        <w:rPr>
          <w:rFonts w:ascii="Bookman Old Style" w:eastAsia="Bookman Old Style" w:hAnsi="Bookman Old Style" w:cs="Bookman Old Style"/>
        </w:rPr>
      </w:pPr>
    </w:p>
    <w:p w14:paraId="42D3E4DC"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En este contexto, es responsabilidad del Estado crear políticas públicas sólidas y sostenidas en el tiempo para garantizar el derecho a la alimentación y a no padecer hambre de todos los colombianos y especialmente de aquellos en situación de vulnerabilidad. La realización plena de este derecho es una herramienta para cumplir los fines y propósitos de un Estado democrático. </w:t>
      </w:r>
    </w:p>
    <w:p w14:paraId="55FF9C65" w14:textId="77777777" w:rsidR="00FA0665" w:rsidRDefault="00FA0665">
      <w:pPr>
        <w:spacing w:after="0" w:line="276" w:lineRule="auto"/>
        <w:jc w:val="both"/>
        <w:rPr>
          <w:rFonts w:ascii="Bookman Old Style" w:eastAsia="Bookman Old Style" w:hAnsi="Bookman Old Style" w:cs="Bookman Old Style"/>
        </w:rPr>
      </w:pPr>
    </w:p>
    <w:p w14:paraId="4A1FC2AE" w14:textId="77777777" w:rsidR="00FA0665" w:rsidRDefault="00000000">
      <w:pPr>
        <w:spacing w:after="0" w:line="276"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El derecho a la alimentación en un contexto difícil. </w:t>
      </w:r>
    </w:p>
    <w:p w14:paraId="3F7C6DF2" w14:textId="77777777" w:rsidR="00FA0665" w:rsidRDefault="00FA0665">
      <w:pPr>
        <w:spacing w:after="0" w:line="276" w:lineRule="auto"/>
        <w:jc w:val="both"/>
        <w:rPr>
          <w:rFonts w:ascii="Bookman Old Style" w:eastAsia="Bookman Old Style" w:hAnsi="Bookman Old Style" w:cs="Bookman Old Style"/>
          <w:b/>
        </w:rPr>
      </w:pPr>
    </w:p>
    <w:p w14:paraId="2392A380"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Además de la coyuntura de inseguridad alimentaria producto de la pandemia, el asunto de la alimentación será clave en la agenda pública en las próximas décadas. Para el año 2050, las estimaciones más moderadas en materia demográfica indican que habrá unos 10.000 millones de personas por alimentar en el planeta.  Según cifras de la FAO, en su informe de 2021 “</w:t>
      </w:r>
      <w:r>
        <w:rPr>
          <w:rFonts w:ascii="Bookman Old Style" w:eastAsia="Bookman Old Style" w:hAnsi="Bookman Old Style" w:cs="Bookman Old Style"/>
          <w:i/>
        </w:rPr>
        <w:t>El estado de los recursos de tierras y aguas del mundo para la alimentación y la agricultura</w:t>
      </w:r>
      <w:r>
        <w:rPr>
          <w:rFonts w:ascii="Bookman Old Style" w:eastAsia="Bookman Old Style" w:hAnsi="Bookman Old Style" w:cs="Bookman Old Style"/>
          <w:i/>
          <w:vertAlign w:val="superscript"/>
        </w:rPr>
        <w:footnoteReference w:id="7"/>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el 98% de los alimentos que consumimos crecen en la tierra y ya no hay margen de ampliar la superficie de la tierra cultivable. </w:t>
      </w:r>
    </w:p>
    <w:p w14:paraId="4B971D06" w14:textId="77777777" w:rsidR="00FA0665" w:rsidRDefault="00FA0665">
      <w:pPr>
        <w:spacing w:after="0" w:line="276" w:lineRule="auto"/>
        <w:jc w:val="both"/>
        <w:rPr>
          <w:rFonts w:ascii="Bookman Old Style" w:eastAsia="Bookman Old Style" w:hAnsi="Bookman Old Style" w:cs="Bookman Old Style"/>
        </w:rPr>
      </w:pPr>
    </w:p>
    <w:p w14:paraId="7F413981"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mismo informe señala que el uso inadecuado de la tierra y los recursos hídricos constituyen la principal amenaza en materia de seguridad alimentaria para garantizar la comida de todos los seres humanos en el año 2050. También se menciona que el cambio climático y su efecto de desertificación de varias zonas que antes eran productivas, está limitando la capacidad de producir alimento, al tiempo que genera fenómenos de especulación sobre la propiedad de la tierra. </w:t>
      </w:r>
    </w:p>
    <w:p w14:paraId="04481143" w14:textId="77777777" w:rsidR="00FA0665" w:rsidRDefault="00FA0665">
      <w:pPr>
        <w:spacing w:after="0" w:line="276" w:lineRule="auto"/>
        <w:jc w:val="both"/>
        <w:rPr>
          <w:rFonts w:ascii="Bookman Old Style" w:eastAsia="Bookman Old Style" w:hAnsi="Bookman Old Style" w:cs="Bookman Old Style"/>
        </w:rPr>
      </w:pPr>
    </w:p>
    <w:p w14:paraId="5BCAF382"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Esta perspectiva supone un reto de enormes proporciones para el Estado colombiano. Consagrar en la constitución el derecho a una alimentación adecuada y a no padecer hambre es apenas el primer paso para que se creen políticas públicas que garanticen la nutrición de los ciudadanos de hoy y de las futuras generaciones. El Estado deberá jugar un rol protagónico en las políticas públicas de fomento a la producción agraria, en la lucha contra el desperdicio de comida en todas las fases de producción, y en la transferencia tecnológica para aumentar la productividad en el sector alimenticio. </w:t>
      </w:r>
    </w:p>
    <w:p w14:paraId="13EC9699" w14:textId="77777777" w:rsidR="00FA0665" w:rsidRDefault="00FA0665">
      <w:pPr>
        <w:spacing w:after="0" w:line="276" w:lineRule="auto"/>
        <w:jc w:val="both"/>
        <w:rPr>
          <w:rFonts w:ascii="Bookman Old Style" w:eastAsia="Bookman Old Style" w:hAnsi="Bookman Old Style" w:cs="Bookman Old Style"/>
          <w:b/>
        </w:rPr>
      </w:pPr>
    </w:p>
    <w:p w14:paraId="765A3349" w14:textId="77777777" w:rsidR="00FA0665" w:rsidRDefault="00000000">
      <w:pPr>
        <w:numPr>
          <w:ilvl w:val="0"/>
          <w:numId w:val="4"/>
        </w:numPr>
        <w:pBdr>
          <w:top w:val="nil"/>
          <w:left w:val="nil"/>
          <w:bottom w:val="nil"/>
          <w:right w:val="nil"/>
          <w:between w:val="nil"/>
        </w:pBdr>
        <w:spacing w:after="0" w:line="276"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Contexto normativo</w:t>
      </w:r>
    </w:p>
    <w:p w14:paraId="7D6E7133" w14:textId="77777777" w:rsidR="00FA0665" w:rsidRDefault="00FA0665">
      <w:pPr>
        <w:spacing w:after="0" w:line="276" w:lineRule="auto"/>
        <w:ind w:left="360"/>
        <w:jc w:val="both"/>
        <w:rPr>
          <w:rFonts w:ascii="Bookman Old Style" w:eastAsia="Bookman Old Style" w:hAnsi="Bookman Old Style" w:cs="Bookman Old Style"/>
          <w:b/>
        </w:rPr>
      </w:pPr>
    </w:p>
    <w:p w14:paraId="10F9B122" w14:textId="77777777" w:rsidR="00FA0665" w:rsidRDefault="00000000">
      <w:pPr>
        <w:numPr>
          <w:ilvl w:val="0"/>
          <w:numId w:val="2"/>
        </w:numPr>
        <w:spacing w:after="0" w:line="276" w:lineRule="auto"/>
        <w:jc w:val="both"/>
        <w:rPr>
          <w:rFonts w:ascii="Bookman Old Style" w:eastAsia="Bookman Old Style" w:hAnsi="Bookman Old Style" w:cs="Bookman Old Style"/>
          <w:b/>
        </w:rPr>
      </w:pPr>
      <w:r>
        <w:rPr>
          <w:rFonts w:ascii="Bookman Old Style" w:eastAsia="Bookman Old Style" w:hAnsi="Bookman Old Style" w:cs="Bookman Old Style"/>
          <w:b/>
        </w:rPr>
        <w:t>Marco jurídico internacional que soporta la medida.</w:t>
      </w:r>
    </w:p>
    <w:p w14:paraId="560D25B7" w14:textId="77777777" w:rsidR="00FA0665" w:rsidRDefault="00FA0665">
      <w:pPr>
        <w:spacing w:after="0" w:line="276" w:lineRule="auto"/>
        <w:jc w:val="both"/>
        <w:rPr>
          <w:rFonts w:ascii="Bookman Old Style" w:eastAsia="Bookman Old Style" w:hAnsi="Bookman Old Style" w:cs="Bookman Old Style"/>
          <w:b/>
        </w:rPr>
      </w:pPr>
    </w:p>
    <w:p w14:paraId="516CB871" w14:textId="77777777" w:rsidR="00FA0665" w:rsidRDefault="00000000">
      <w:pPr>
        <w:numPr>
          <w:ilvl w:val="0"/>
          <w:numId w:val="1"/>
        </w:numPr>
        <w:pBdr>
          <w:top w:val="nil"/>
          <w:left w:val="nil"/>
          <w:bottom w:val="nil"/>
          <w:right w:val="nil"/>
          <w:between w:val="nil"/>
        </w:pBdr>
        <w:spacing w:after="0" w:line="276" w:lineRule="auto"/>
        <w:jc w:val="both"/>
        <w:rPr>
          <w:rFonts w:ascii="Bookman Old Style" w:eastAsia="Bookman Old Style" w:hAnsi="Bookman Old Style" w:cs="Bookman Old Style"/>
          <w:b/>
        </w:rPr>
      </w:pPr>
      <w:r>
        <w:rPr>
          <w:rFonts w:ascii="Bookman Old Style" w:eastAsia="Bookman Old Style" w:hAnsi="Bookman Old Style" w:cs="Bookman Old Style"/>
          <w:b/>
        </w:rPr>
        <w:t>Referencia al Sistema Internacional de los Derechos Humanos y al Derecho Humano a la Alimentación</w:t>
      </w:r>
    </w:p>
    <w:p w14:paraId="52ECB485" w14:textId="77777777" w:rsidR="00FA0665" w:rsidRDefault="00FA0665">
      <w:pPr>
        <w:spacing w:after="0" w:line="276" w:lineRule="auto"/>
        <w:jc w:val="both"/>
        <w:rPr>
          <w:rFonts w:ascii="Bookman Old Style" w:eastAsia="Bookman Old Style" w:hAnsi="Bookman Old Style" w:cs="Bookman Old Style"/>
          <w:b/>
        </w:rPr>
      </w:pPr>
    </w:p>
    <w:p w14:paraId="5DD63A9D"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Los Derechos Humanos se constituyen como aquellas prerrogativas que resultan ser inherentes al ser humano por el simple hecho de serlo. El goce de estos derechos debe garantizarse y protegerse sin distinción alguna de nacionalidad, lugar de residencia, sexo, origen nacional o étnico, color, religión, lengua, o cualquier otra condición</w:t>
      </w:r>
      <w:r>
        <w:rPr>
          <w:rFonts w:ascii="Bookman Old Style" w:eastAsia="Bookman Old Style" w:hAnsi="Bookman Old Style" w:cs="Bookman Old Style"/>
          <w:vertAlign w:val="superscript"/>
        </w:rPr>
        <w:footnoteReference w:id="8"/>
      </w:r>
      <w:r>
        <w:rPr>
          <w:rFonts w:ascii="Bookman Old Style" w:eastAsia="Bookman Old Style" w:hAnsi="Bookman Old Style" w:cs="Bookman Old Style"/>
        </w:rPr>
        <w:t>. Estos derechos son universales</w:t>
      </w:r>
      <w:r>
        <w:rPr>
          <w:rFonts w:ascii="Bookman Old Style" w:eastAsia="Bookman Old Style" w:hAnsi="Bookman Old Style" w:cs="Bookman Old Style"/>
          <w:vertAlign w:val="superscript"/>
        </w:rPr>
        <w:footnoteReference w:id="9"/>
      </w:r>
      <w:r>
        <w:rPr>
          <w:rFonts w:ascii="Bookman Old Style" w:eastAsia="Bookman Old Style" w:hAnsi="Bookman Old Style" w:cs="Bookman Old Style"/>
        </w:rPr>
        <w:t xml:space="preserve"> e inalienables</w:t>
      </w:r>
      <w:r>
        <w:rPr>
          <w:rFonts w:ascii="Bookman Old Style" w:eastAsia="Bookman Old Style" w:hAnsi="Bookman Old Style" w:cs="Bookman Old Style"/>
          <w:vertAlign w:val="superscript"/>
        </w:rPr>
        <w:footnoteReference w:id="10"/>
      </w:r>
      <w:r>
        <w:rPr>
          <w:rFonts w:ascii="Bookman Old Style" w:eastAsia="Bookman Old Style" w:hAnsi="Bookman Old Style" w:cs="Bookman Old Style"/>
        </w:rPr>
        <w:t>. Así mismo, se consideran en todo caso interrelacionados, interdependientes e indivisibles</w:t>
      </w:r>
      <w:r>
        <w:rPr>
          <w:rFonts w:ascii="Bookman Old Style" w:eastAsia="Bookman Old Style" w:hAnsi="Bookman Old Style" w:cs="Bookman Old Style"/>
          <w:vertAlign w:val="superscript"/>
        </w:rPr>
        <w:footnoteReference w:id="11"/>
      </w:r>
      <w:r>
        <w:rPr>
          <w:rFonts w:ascii="Bookman Old Style" w:eastAsia="Bookman Old Style" w:hAnsi="Bookman Old Style" w:cs="Bookman Old Style"/>
        </w:rPr>
        <w:t xml:space="preserve">. Ahora, pese a estar contemplados en la denominada Carta </w:t>
      </w:r>
      <w:r>
        <w:rPr>
          <w:rFonts w:ascii="Bookman Old Style" w:eastAsia="Bookman Old Style" w:hAnsi="Bookman Old Style" w:cs="Bookman Old Style"/>
        </w:rPr>
        <w:lastRenderedPageBreak/>
        <w:t>Internacional de los Derechos Humanos</w:t>
      </w:r>
      <w:r>
        <w:rPr>
          <w:rFonts w:ascii="Bookman Old Style" w:eastAsia="Bookman Old Style" w:hAnsi="Bookman Old Style" w:cs="Bookman Old Style"/>
          <w:vertAlign w:val="superscript"/>
        </w:rPr>
        <w:footnoteReference w:id="12"/>
      </w:r>
      <w:r>
        <w:rPr>
          <w:rFonts w:ascii="Bookman Old Style" w:eastAsia="Bookman Old Style" w:hAnsi="Bookman Old Style" w:cs="Bookman Old Style"/>
        </w:rPr>
        <w:t xml:space="preserve">, compuesta por la Declaración Universal de los Derechos Humanos de 1948 y por los sucesivos Pactos a los que se hará referencia a continuación, doctrinalmente, los Derechos Humanos se han categorizado  en tres grupos, a saber: Derechos Civiles y Políticos o de primera generación, los cuales se encuentran contenidos tanto en la Declaración Universal de los Derechos Humanos de 1948, de manera general, como en el Pacto Internacional de Derechos Civiles y Políticos de 1966; Derechos Económicos, Sociales y Culturales o de segunda generación, los cuales se encuentran consagrados ya en la Declaración Universal de los Derechos Humanos de 1948, </w:t>
      </w:r>
      <w:r>
        <w:rPr>
          <w:rFonts w:ascii="Bookman Old Style" w:eastAsia="Bookman Old Style" w:hAnsi="Bookman Old Style" w:cs="Bookman Old Style"/>
          <w:i/>
        </w:rPr>
        <w:t>grosso modo</w:t>
      </w:r>
      <w:r>
        <w:rPr>
          <w:rFonts w:ascii="Bookman Old Style" w:eastAsia="Bookman Old Style" w:hAnsi="Bookman Old Style" w:cs="Bookman Old Style"/>
        </w:rPr>
        <w:t>, como en el Pacto Internacional de Derechos Económicos, Sociales y Culturales de 1966; y Derechos Colectivos o de tercera generación</w:t>
      </w:r>
      <w:r>
        <w:rPr>
          <w:rFonts w:ascii="Bookman Old Style" w:eastAsia="Bookman Old Style" w:hAnsi="Bookman Old Style" w:cs="Bookman Old Style"/>
          <w:vertAlign w:val="superscript"/>
        </w:rPr>
        <w:footnoteReference w:id="13"/>
      </w:r>
      <w:r>
        <w:rPr>
          <w:rFonts w:ascii="Bookman Old Style" w:eastAsia="Bookman Old Style" w:hAnsi="Bookman Old Style" w:cs="Bookman Old Style"/>
        </w:rPr>
        <w:t>.  Al respecto, es menester resaltar nuevamente la interdependencia y unidad de los Derechos Humanos</w:t>
      </w:r>
      <w:r>
        <w:rPr>
          <w:rFonts w:ascii="Bookman Old Style" w:eastAsia="Bookman Old Style" w:hAnsi="Bookman Old Style" w:cs="Bookman Old Style"/>
          <w:vertAlign w:val="superscript"/>
        </w:rPr>
        <w:footnoteReference w:id="14"/>
      </w:r>
      <w:r>
        <w:rPr>
          <w:rFonts w:ascii="Bookman Old Style" w:eastAsia="Bookman Old Style" w:hAnsi="Bookman Old Style" w:cs="Bookman Old Style"/>
        </w:rPr>
        <w:t>, la cual cobra especial importancia, de conformidad con la Corte Constitucional, en el marco de un Estado Social de Derecho, fórmula acogida por la Constitución Política de 1991</w:t>
      </w:r>
      <w:r>
        <w:rPr>
          <w:rFonts w:ascii="Bookman Old Style" w:eastAsia="Bookman Old Style" w:hAnsi="Bookman Old Style" w:cs="Bookman Old Style"/>
          <w:vertAlign w:val="superscript"/>
        </w:rPr>
        <w:footnoteReference w:id="15"/>
      </w:r>
      <w:r>
        <w:rPr>
          <w:rFonts w:ascii="Bookman Old Style" w:eastAsia="Bookman Old Style" w:hAnsi="Bookman Old Style" w:cs="Bookman Old Style"/>
        </w:rPr>
        <w:t>.</w:t>
      </w:r>
    </w:p>
    <w:p w14:paraId="7E93933D" w14:textId="77777777" w:rsidR="00FA0665" w:rsidRDefault="00FA0665">
      <w:pPr>
        <w:spacing w:after="0" w:line="276" w:lineRule="auto"/>
        <w:jc w:val="both"/>
        <w:rPr>
          <w:rFonts w:ascii="Bookman Old Style" w:eastAsia="Bookman Old Style" w:hAnsi="Bookman Old Style" w:cs="Bookman Old Style"/>
        </w:rPr>
      </w:pPr>
    </w:p>
    <w:p w14:paraId="7E84952D"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Del mismo modo, es preciso anotar que los Derechos Humanos representan los valores universales y constituyen imperativos éticos destinados a salvaguardar la dignidad de cada ser humano mediante el establecimiento de normas, lineamientos y procedimientos tendientes al aseguramiento y garantía de la precitada finalidad</w:t>
      </w:r>
      <w:r>
        <w:rPr>
          <w:rFonts w:ascii="Bookman Old Style" w:eastAsia="Bookman Old Style" w:hAnsi="Bookman Old Style" w:cs="Bookman Old Style"/>
          <w:vertAlign w:val="superscript"/>
        </w:rPr>
        <w:footnoteReference w:id="16"/>
      </w:r>
      <w:r>
        <w:rPr>
          <w:rFonts w:ascii="Bookman Old Style" w:eastAsia="Bookman Old Style" w:hAnsi="Bookman Old Style" w:cs="Bookman Old Style"/>
        </w:rPr>
        <w:t>.</w:t>
      </w:r>
    </w:p>
    <w:p w14:paraId="3F5BCFAA" w14:textId="77777777" w:rsidR="00FA0665" w:rsidRDefault="00FA0665">
      <w:pPr>
        <w:spacing w:after="0" w:line="276" w:lineRule="auto"/>
        <w:jc w:val="both"/>
        <w:rPr>
          <w:rFonts w:ascii="Bookman Old Style" w:eastAsia="Bookman Old Style" w:hAnsi="Bookman Old Style" w:cs="Bookman Old Style"/>
        </w:rPr>
      </w:pPr>
    </w:p>
    <w:p w14:paraId="403A9163"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Al respecto, es menester resaltar que el Derecho Internacional de los Derechos Humanos impone a los Estados obligaciones positivas y negativas, entendidas en todo caso como obligaciones destinadas al respeto</w:t>
      </w:r>
      <w:r>
        <w:rPr>
          <w:rFonts w:ascii="Bookman Old Style" w:eastAsia="Bookman Old Style" w:hAnsi="Bookman Old Style" w:cs="Bookman Old Style"/>
          <w:vertAlign w:val="superscript"/>
        </w:rPr>
        <w:footnoteReference w:id="17"/>
      </w:r>
      <w:r>
        <w:rPr>
          <w:rFonts w:ascii="Bookman Old Style" w:eastAsia="Bookman Old Style" w:hAnsi="Bookman Old Style" w:cs="Bookman Old Style"/>
        </w:rPr>
        <w:t>, protección</w:t>
      </w:r>
      <w:r>
        <w:rPr>
          <w:rFonts w:ascii="Bookman Old Style" w:eastAsia="Bookman Old Style" w:hAnsi="Bookman Old Style" w:cs="Bookman Old Style"/>
          <w:vertAlign w:val="superscript"/>
        </w:rPr>
        <w:footnoteReference w:id="18"/>
      </w:r>
      <w:r>
        <w:rPr>
          <w:rFonts w:ascii="Bookman Old Style" w:eastAsia="Bookman Old Style" w:hAnsi="Bookman Old Style" w:cs="Bookman Old Style"/>
        </w:rPr>
        <w:t xml:space="preserve"> y realización</w:t>
      </w:r>
      <w:r>
        <w:rPr>
          <w:rFonts w:ascii="Bookman Old Style" w:eastAsia="Bookman Old Style" w:hAnsi="Bookman Old Style" w:cs="Bookman Old Style"/>
          <w:vertAlign w:val="superscript"/>
        </w:rPr>
        <w:footnoteReference w:id="19"/>
      </w:r>
      <w:r>
        <w:rPr>
          <w:rFonts w:ascii="Bookman Old Style" w:eastAsia="Bookman Old Style" w:hAnsi="Bookman Old Style" w:cs="Bookman Old Style"/>
        </w:rPr>
        <w:t xml:space="preserve"> de los mismos. Es precisamente en atención a los precitados deberes, de los cuales el </w:t>
      </w:r>
      <w:r>
        <w:rPr>
          <w:rFonts w:ascii="Bookman Old Style" w:eastAsia="Bookman Old Style" w:hAnsi="Bookman Old Style" w:cs="Bookman Old Style"/>
        </w:rPr>
        <w:lastRenderedPageBreak/>
        <w:t>Estado colombiano es titular, que se garantizar el Derecho Humano a la alimentación adecuada.</w:t>
      </w:r>
    </w:p>
    <w:p w14:paraId="21E85AA2" w14:textId="77777777" w:rsidR="00FA0665" w:rsidRDefault="00FA0665">
      <w:pPr>
        <w:spacing w:after="0" w:line="276" w:lineRule="auto"/>
        <w:jc w:val="both"/>
        <w:rPr>
          <w:rFonts w:ascii="Bookman Old Style" w:eastAsia="Bookman Old Style" w:hAnsi="Bookman Old Style" w:cs="Bookman Old Style"/>
        </w:rPr>
      </w:pPr>
    </w:p>
    <w:p w14:paraId="69E9C042"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En ese sentido, vale la pena resaltar que los diversos instrumentos internacionales a los cuales se ha hecho referencia en la presente exposición de motivos han facultado a los Estados para que éstos adopten las medidas internas que consideren más apropiadas, de conformidad con sus contextos y realidades internas, con el propósito de lograr la efectiva realización de los Derechos contemplados en la Carta Internacional de Derechos Humanos y de los sucesivos instrumentos de carácter regional que consagran disposiciones similares</w:t>
      </w:r>
      <w:r>
        <w:rPr>
          <w:rFonts w:ascii="Bookman Old Style" w:eastAsia="Bookman Old Style" w:hAnsi="Bookman Old Style" w:cs="Bookman Old Style"/>
          <w:vertAlign w:val="superscript"/>
        </w:rPr>
        <w:footnoteReference w:id="20"/>
      </w:r>
      <w:r>
        <w:rPr>
          <w:rFonts w:ascii="Bookman Old Style" w:eastAsia="Bookman Old Style" w:hAnsi="Bookman Old Style" w:cs="Bookman Old Style"/>
        </w:rPr>
        <w:t xml:space="preserve">. </w:t>
      </w:r>
    </w:p>
    <w:p w14:paraId="478181C9" w14:textId="77777777" w:rsidR="00FA0665" w:rsidRDefault="00FA0665">
      <w:pPr>
        <w:spacing w:after="0" w:line="276" w:lineRule="auto"/>
        <w:jc w:val="both"/>
        <w:rPr>
          <w:rFonts w:ascii="Bookman Old Style" w:eastAsia="Bookman Old Style" w:hAnsi="Bookman Old Style" w:cs="Bookman Old Style"/>
        </w:rPr>
      </w:pPr>
    </w:p>
    <w:p w14:paraId="4E5CE5BE" w14:textId="77777777" w:rsidR="00FA0665" w:rsidRDefault="00000000">
      <w:pPr>
        <w:numPr>
          <w:ilvl w:val="0"/>
          <w:numId w:val="1"/>
        </w:numPr>
        <w:pBdr>
          <w:top w:val="nil"/>
          <w:left w:val="nil"/>
          <w:bottom w:val="nil"/>
          <w:right w:val="nil"/>
          <w:between w:val="nil"/>
        </w:pBdr>
        <w:spacing w:after="0" w:line="276"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 El Derecho Humano a la Alimentación como Derecho Económico, Social y Cultural (DESC)</w:t>
      </w:r>
    </w:p>
    <w:p w14:paraId="5CE68F2D" w14:textId="77777777" w:rsidR="00FA0665" w:rsidRDefault="00FA0665">
      <w:pPr>
        <w:spacing w:after="0" w:line="276" w:lineRule="auto"/>
        <w:jc w:val="both"/>
        <w:rPr>
          <w:rFonts w:ascii="Bookman Old Style" w:eastAsia="Bookman Old Style" w:hAnsi="Bookman Old Style" w:cs="Bookman Old Style"/>
          <w:b/>
        </w:rPr>
      </w:pPr>
    </w:p>
    <w:p w14:paraId="140F936F"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Respecto al derecho humano a la alimentación, que es el núcleo del presente proyecto de Ley, es pertinente resaltar que se ha considerado como parte de los denominados Derechos Económicos Sociales y Culturales y que ha sido aceptado universalmente, al punto que se encuentra contemplado en diversos instrumentos y doctrina de Derecho Internacional como:</w:t>
      </w:r>
    </w:p>
    <w:p w14:paraId="3497B3E2" w14:textId="77777777" w:rsidR="00FA0665" w:rsidRDefault="00FA0665">
      <w:pPr>
        <w:spacing w:after="0" w:line="276" w:lineRule="auto"/>
        <w:jc w:val="both"/>
        <w:rPr>
          <w:rFonts w:ascii="Bookman Old Style" w:eastAsia="Bookman Old Style" w:hAnsi="Bookman Old Style" w:cs="Bookman Old Style"/>
        </w:rPr>
      </w:pPr>
    </w:p>
    <w:p w14:paraId="3ADCC589" w14:textId="77777777" w:rsidR="00FA0665" w:rsidRDefault="00000000">
      <w:pPr>
        <w:numPr>
          <w:ilvl w:val="0"/>
          <w:numId w:val="5"/>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El Artículo 25.1 de la Declaración Universal de los Derechos Humanos de la Asamblea General de las Naciones Unidas de 1948</w:t>
      </w:r>
      <w:r>
        <w:rPr>
          <w:rFonts w:ascii="Bookman Old Style" w:eastAsia="Bookman Old Style" w:hAnsi="Bookman Old Style" w:cs="Bookman Old Style"/>
          <w:vertAlign w:val="superscript"/>
        </w:rPr>
        <w:footnoteReference w:id="21"/>
      </w:r>
    </w:p>
    <w:p w14:paraId="4292E9D8" w14:textId="77777777" w:rsidR="00FA0665" w:rsidRDefault="00000000">
      <w:pPr>
        <w:numPr>
          <w:ilvl w:val="0"/>
          <w:numId w:val="5"/>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lastRenderedPageBreak/>
        <w:t>El Artículo 11 Pacto Internacional de Derechos Económicos, Sociales y Culturales de 1966</w:t>
      </w:r>
      <w:r>
        <w:rPr>
          <w:rFonts w:ascii="Bookman Old Style" w:eastAsia="Bookman Old Style" w:hAnsi="Bookman Old Style" w:cs="Bookman Old Style"/>
          <w:vertAlign w:val="superscript"/>
        </w:rPr>
        <w:footnoteReference w:id="22"/>
      </w:r>
      <w:r>
        <w:rPr>
          <w:rFonts w:ascii="Bookman Old Style" w:eastAsia="Bookman Old Style" w:hAnsi="Bookman Old Style" w:cs="Bookman Old Style"/>
        </w:rPr>
        <w:t xml:space="preserve"> en conjunto con la Observación General No. 12 del Comité de Derechos Económicos, Sociales y Culturales de las Naciones Unidas</w:t>
      </w:r>
      <w:r>
        <w:rPr>
          <w:rFonts w:ascii="Bookman Old Style" w:eastAsia="Bookman Old Style" w:hAnsi="Bookman Old Style" w:cs="Bookman Old Style"/>
          <w:vertAlign w:val="superscript"/>
        </w:rPr>
        <w:footnoteReference w:id="23"/>
      </w:r>
      <w:r>
        <w:rPr>
          <w:rFonts w:ascii="Bookman Old Style" w:eastAsia="Bookman Old Style" w:hAnsi="Bookman Old Style" w:cs="Bookman Old Style"/>
        </w:rPr>
        <w:t xml:space="preserve">. </w:t>
      </w:r>
    </w:p>
    <w:p w14:paraId="1921CB7A" w14:textId="77777777" w:rsidR="00FA0665" w:rsidRDefault="00000000">
      <w:pPr>
        <w:numPr>
          <w:ilvl w:val="0"/>
          <w:numId w:val="5"/>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El Artículo 24 de la Convención de los Derechos del Niño</w:t>
      </w:r>
      <w:r>
        <w:rPr>
          <w:rFonts w:ascii="Bookman Old Style" w:eastAsia="Bookman Old Style" w:hAnsi="Bookman Old Style" w:cs="Bookman Old Style"/>
          <w:vertAlign w:val="superscript"/>
        </w:rPr>
        <w:footnoteReference w:id="24"/>
      </w:r>
    </w:p>
    <w:p w14:paraId="4087D027" w14:textId="77777777" w:rsidR="00FA0665" w:rsidRDefault="00000000">
      <w:pPr>
        <w:numPr>
          <w:ilvl w:val="0"/>
          <w:numId w:val="5"/>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El Artículo 12.2 de la Convención sobre la Eliminación de Todas las Formas de Discriminación contra la Mujer</w:t>
      </w:r>
      <w:r>
        <w:rPr>
          <w:rFonts w:ascii="Bookman Old Style" w:eastAsia="Bookman Old Style" w:hAnsi="Bookman Old Style" w:cs="Bookman Old Style"/>
          <w:vertAlign w:val="superscript"/>
        </w:rPr>
        <w:footnoteReference w:id="25"/>
      </w:r>
      <w:r>
        <w:rPr>
          <w:rFonts w:ascii="Bookman Old Style" w:eastAsia="Bookman Old Style" w:hAnsi="Bookman Old Style" w:cs="Bookman Old Style"/>
        </w:rPr>
        <w:t>.</w:t>
      </w:r>
    </w:p>
    <w:p w14:paraId="354930ED" w14:textId="77777777" w:rsidR="00FA0665" w:rsidRDefault="00000000">
      <w:pPr>
        <w:numPr>
          <w:ilvl w:val="0"/>
          <w:numId w:val="5"/>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lastRenderedPageBreak/>
        <w:t>El literal f del Artículo 25, en el contexto del derecho a la salud, y el literal l del artículo 28 en el contexto del derecho a un nivel de vida adecuado y a la protección social, de la Convención sobre los Derechos de las Personas con Discapacidad</w:t>
      </w:r>
      <w:r>
        <w:rPr>
          <w:rFonts w:ascii="Bookman Old Style" w:eastAsia="Bookman Old Style" w:hAnsi="Bookman Old Style" w:cs="Bookman Old Style"/>
          <w:vertAlign w:val="superscript"/>
        </w:rPr>
        <w:footnoteReference w:id="26"/>
      </w:r>
      <w:r>
        <w:rPr>
          <w:rFonts w:ascii="Bookman Old Style" w:eastAsia="Bookman Old Style" w:hAnsi="Bookman Old Style" w:cs="Bookman Old Style"/>
        </w:rPr>
        <w:t xml:space="preserve">. </w:t>
      </w:r>
    </w:p>
    <w:p w14:paraId="53E6B5E2" w14:textId="77777777" w:rsidR="00FA0665" w:rsidRDefault="00000000">
      <w:pPr>
        <w:numPr>
          <w:ilvl w:val="0"/>
          <w:numId w:val="5"/>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El Artículo 12 del Protocolo Adicional a la Convención Americana sobre Derechos Humanos en Materia de Derechos Económicos, Sociales y Culturales - Protocolo de San Salvador – de 1988</w:t>
      </w:r>
      <w:r>
        <w:rPr>
          <w:rFonts w:ascii="Bookman Old Style" w:eastAsia="Bookman Old Style" w:hAnsi="Bookman Old Style" w:cs="Bookman Old Style"/>
          <w:vertAlign w:val="superscript"/>
        </w:rPr>
        <w:footnoteReference w:id="27"/>
      </w:r>
    </w:p>
    <w:p w14:paraId="54DC8B5F" w14:textId="77777777" w:rsidR="00FA0665" w:rsidRDefault="00000000">
      <w:pPr>
        <w:numPr>
          <w:ilvl w:val="0"/>
          <w:numId w:val="5"/>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Los literales c, y d del Artículo 14.2 de la Carta Africana sobre los Derecho y Bienestar del Niño, en conexidad con el derecho a la salud y a los servicios de salud.</w:t>
      </w:r>
    </w:p>
    <w:p w14:paraId="2BDBA769" w14:textId="77777777" w:rsidR="00FA0665" w:rsidRDefault="00000000">
      <w:pPr>
        <w:numPr>
          <w:ilvl w:val="0"/>
          <w:numId w:val="5"/>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El Artículo 14 y 15 del Protocolo de la Carta Africana de Derechos Humanos y de los Pueblos sobre los Derechos de la Mujer en África.</w:t>
      </w:r>
    </w:p>
    <w:p w14:paraId="24B23034" w14:textId="77777777" w:rsidR="00FA0665" w:rsidRDefault="00000000">
      <w:pPr>
        <w:numPr>
          <w:ilvl w:val="0"/>
          <w:numId w:val="5"/>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Jurisprudencialmente, la Comisión Africana de Derechos Humanos y de los Pueblos ha interpretado que el derecho a la alimentación se encuentra enunciado implícitamente en la Carta Africana de los Derechos Humanos y de los Pueblos de 1981, esto último a través de la conexidad que existe con los derechos a la vida, a la salud y al desarrollo económico, social y cultural</w:t>
      </w:r>
      <w:r>
        <w:rPr>
          <w:rFonts w:ascii="Bookman Old Style" w:eastAsia="Bookman Old Style" w:hAnsi="Bookman Old Style" w:cs="Bookman Old Style"/>
          <w:vertAlign w:val="superscript"/>
        </w:rPr>
        <w:footnoteReference w:id="28"/>
      </w:r>
      <w:r>
        <w:rPr>
          <w:rFonts w:ascii="Bookman Old Style" w:eastAsia="Bookman Old Style" w:hAnsi="Bookman Old Style" w:cs="Bookman Old Style"/>
        </w:rPr>
        <w:t>.</w:t>
      </w:r>
    </w:p>
    <w:p w14:paraId="62EFF230" w14:textId="77777777" w:rsidR="00FA0665" w:rsidRDefault="00FA0665">
      <w:pPr>
        <w:pBdr>
          <w:top w:val="nil"/>
          <w:left w:val="nil"/>
          <w:bottom w:val="nil"/>
          <w:right w:val="nil"/>
          <w:between w:val="nil"/>
        </w:pBdr>
        <w:spacing w:after="0" w:line="276" w:lineRule="auto"/>
        <w:jc w:val="both"/>
        <w:rPr>
          <w:rFonts w:ascii="Bookman Old Style" w:eastAsia="Bookman Old Style" w:hAnsi="Bookman Old Style" w:cs="Bookman Old Style"/>
        </w:rPr>
      </w:pPr>
    </w:p>
    <w:p w14:paraId="2A2AF73A"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derecho a la alimentación también ha sido mencionado y/o desarrollado en diferentes instrumentos de </w:t>
      </w:r>
      <w:proofErr w:type="spellStart"/>
      <w:r>
        <w:rPr>
          <w:rFonts w:ascii="Bookman Old Style" w:eastAsia="Bookman Old Style" w:hAnsi="Bookman Old Style" w:cs="Bookman Old Style"/>
          <w:i/>
        </w:rPr>
        <w:t>soft-law</w:t>
      </w:r>
      <w:proofErr w:type="spellEnd"/>
      <w:r>
        <w:rPr>
          <w:rFonts w:ascii="Bookman Old Style" w:eastAsia="Bookman Old Style" w:hAnsi="Bookman Old Style" w:cs="Bookman Old Style"/>
          <w:i/>
        </w:rPr>
        <w:t xml:space="preserve"> </w:t>
      </w:r>
      <w:r>
        <w:rPr>
          <w:rFonts w:ascii="Bookman Old Style" w:eastAsia="Bookman Old Style" w:hAnsi="Bookman Old Style" w:cs="Bookman Old Style"/>
        </w:rPr>
        <w:t>de derecho internacional, como lo son:</w:t>
      </w:r>
    </w:p>
    <w:p w14:paraId="4D5B331A" w14:textId="77777777" w:rsidR="00FA0665" w:rsidRDefault="00FA0665">
      <w:pPr>
        <w:spacing w:after="0" w:line="276" w:lineRule="auto"/>
        <w:jc w:val="both"/>
        <w:rPr>
          <w:rFonts w:ascii="Bookman Old Style" w:eastAsia="Bookman Old Style" w:hAnsi="Bookman Old Style" w:cs="Bookman Old Style"/>
        </w:rPr>
      </w:pPr>
    </w:p>
    <w:p w14:paraId="3EC44DC7" w14:textId="77777777" w:rsidR="00FA0665" w:rsidRDefault="00000000">
      <w:pPr>
        <w:numPr>
          <w:ilvl w:val="0"/>
          <w:numId w:val="6"/>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La Declaración Universal sobre la Erradicación del Hambre y la Malnutrición de 1974.</w:t>
      </w:r>
    </w:p>
    <w:p w14:paraId="0BE8A343" w14:textId="77777777" w:rsidR="00FA0665" w:rsidRDefault="00000000">
      <w:pPr>
        <w:numPr>
          <w:ilvl w:val="0"/>
          <w:numId w:val="6"/>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La Declaración Mundial sobre la Nutrición de 1992.</w:t>
      </w:r>
    </w:p>
    <w:p w14:paraId="76CBFE41" w14:textId="77777777" w:rsidR="00FA0665" w:rsidRDefault="00000000">
      <w:pPr>
        <w:numPr>
          <w:ilvl w:val="0"/>
          <w:numId w:val="6"/>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La Declaración de Roma sobre la Seguridad Alimentaria Mundial de 1966.</w:t>
      </w:r>
    </w:p>
    <w:p w14:paraId="0AE5F74E" w14:textId="77777777" w:rsidR="00FA0665" w:rsidRDefault="00000000">
      <w:pPr>
        <w:numPr>
          <w:ilvl w:val="0"/>
          <w:numId w:val="6"/>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La Resolución 2004/19 de la Asamblea General de las Naciones Unidas.</w:t>
      </w:r>
    </w:p>
    <w:p w14:paraId="334D3032" w14:textId="77777777" w:rsidR="00FA0665" w:rsidRDefault="00000000">
      <w:pPr>
        <w:numPr>
          <w:ilvl w:val="0"/>
          <w:numId w:val="6"/>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t>El Folleto Informativo No. 34 de la Oficina del Alto Comisionado de las Naciones Unidas para los Derechos Humanos y la FAO respecto al Derecho a la Alimentación Adecuada.</w:t>
      </w:r>
    </w:p>
    <w:p w14:paraId="333EC53B" w14:textId="77777777" w:rsidR="00FA0665" w:rsidRDefault="00000000">
      <w:pPr>
        <w:numPr>
          <w:ilvl w:val="0"/>
          <w:numId w:val="6"/>
        </w:numPr>
        <w:pBdr>
          <w:top w:val="nil"/>
          <w:left w:val="nil"/>
          <w:bottom w:val="nil"/>
          <w:right w:val="nil"/>
          <w:between w:val="nil"/>
        </w:pBdr>
        <w:spacing w:after="0" w:line="276" w:lineRule="auto"/>
        <w:ind w:left="0" w:firstLine="0"/>
        <w:jc w:val="both"/>
        <w:rPr>
          <w:rFonts w:ascii="Bookman Old Style" w:eastAsia="Bookman Old Style" w:hAnsi="Bookman Old Style" w:cs="Bookman Old Style"/>
        </w:rPr>
      </w:pPr>
      <w:r>
        <w:rPr>
          <w:rFonts w:ascii="Bookman Old Style" w:eastAsia="Bookman Old Style" w:hAnsi="Bookman Old Style" w:cs="Bookman Old Style"/>
        </w:rPr>
        <w:lastRenderedPageBreak/>
        <w:t>El Informe de fecha 11 de agosto de 2010 del Relator Especial de las Naciones Unidas sobre el derecho a la alimentación, en donde se señala que “</w:t>
      </w:r>
      <w:r>
        <w:rPr>
          <w:rFonts w:ascii="Bookman Old Style" w:eastAsia="Bookman Old Style" w:hAnsi="Bookman Old Style" w:cs="Bookman Old Style"/>
          <w:i/>
        </w:rPr>
        <w:t>El acceso a la tierra y la seguridad de la tenencia son esenciales para asegurar el disfrute no solo del derecho a la alimentación, sino también de otros derechos humanos, incluidos el derecho al trabajo (de los campesinos que no poseen tierras) y el derecho a la vivienda</w:t>
      </w:r>
      <w:r>
        <w:rPr>
          <w:rFonts w:ascii="Bookman Old Style" w:eastAsia="Bookman Old Style" w:hAnsi="Bookman Old Style" w:cs="Bookman Old Style"/>
        </w:rPr>
        <w:t xml:space="preserve">”. </w:t>
      </w:r>
    </w:p>
    <w:p w14:paraId="0A2144D3" w14:textId="77777777" w:rsidR="00FA0665" w:rsidRDefault="00FA0665">
      <w:pPr>
        <w:pBdr>
          <w:top w:val="nil"/>
          <w:left w:val="nil"/>
          <w:bottom w:val="nil"/>
          <w:right w:val="nil"/>
          <w:between w:val="nil"/>
        </w:pBdr>
        <w:spacing w:after="0" w:line="276" w:lineRule="auto"/>
        <w:jc w:val="both"/>
        <w:rPr>
          <w:rFonts w:ascii="Bookman Old Style" w:eastAsia="Bookman Old Style" w:hAnsi="Bookman Old Style" w:cs="Bookman Old Style"/>
        </w:rPr>
      </w:pPr>
    </w:p>
    <w:p w14:paraId="395A04B5"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En lo referente a su contenido y alcance, es preciso atender a las disposiciones contempladas en la Observación General No. 12 del Comité de Derechos Económicos, Sociales y Culturales de las Naciones Unidas. Dicho Comité de expertos ha resaltado que el Derecho Humano a la alimentación adecuada se encuentra intrínsecamente relacionado con la dignidad humana y resulta ser un presupuesto indispensable para el goce efectivo de cualquier otro Derecho. De la misma forma, ha establecido que existe una conexidad con los postulados inherentes a la justicia social, en tanto el derecho a la alimentación requiere la adopción de políticas de índole económico, social y ambiental adecuadas que permitan su garantía, así como la implementación de políticas públicas tendientes a la erradicación de la pobreza y la efectiva realización de otros derechos.</w:t>
      </w:r>
    </w:p>
    <w:p w14:paraId="4D73541E" w14:textId="77777777" w:rsidR="00FA0665" w:rsidRDefault="00FA0665">
      <w:pPr>
        <w:spacing w:after="0" w:line="276" w:lineRule="auto"/>
        <w:jc w:val="both"/>
        <w:rPr>
          <w:rFonts w:ascii="Bookman Old Style" w:eastAsia="Bookman Old Style" w:hAnsi="Bookman Old Style" w:cs="Bookman Old Style"/>
        </w:rPr>
      </w:pPr>
    </w:p>
    <w:p w14:paraId="5C6EDDDC"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En lo referente al contenido sustancial del mentado derecho, el mismo ha sido entendido por parte del Comité como:</w:t>
      </w:r>
    </w:p>
    <w:p w14:paraId="24422E65" w14:textId="77777777" w:rsidR="00FA0665" w:rsidRDefault="00FA0665">
      <w:pPr>
        <w:spacing w:after="0" w:line="276" w:lineRule="auto"/>
        <w:jc w:val="both"/>
        <w:rPr>
          <w:rFonts w:ascii="Bookman Old Style" w:eastAsia="Bookman Old Style" w:hAnsi="Bookman Old Style" w:cs="Bookman Old Style"/>
        </w:rPr>
      </w:pPr>
    </w:p>
    <w:p w14:paraId="19FA9AA2" w14:textId="77777777" w:rsidR="00FA0665" w:rsidRDefault="00000000">
      <w:pPr>
        <w:spacing w:after="0" w:line="276" w:lineRule="auto"/>
        <w:ind w:left="708"/>
        <w:jc w:val="both"/>
        <w:rPr>
          <w:rFonts w:ascii="Bookman Old Style" w:eastAsia="Bookman Old Style" w:hAnsi="Bookman Old Style" w:cs="Bookman Old Style"/>
          <w:i/>
        </w:rPr>
      </w:pPr>
      <w:r>
        <w:rPr>
          <w:rFonts w:ascii="Bookman Old Style" w:eastAsia="Bookman Old Style" w:hAnsi="Bookman Old Style" w:cs="Bookman Old Style"/>
          <w:i/>
        </w:rPr>
        <w:t>“El derecho a la alimentación adecuada se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Pr>
          <w:rFonts w:ascii="Bookman Old Style" w:eastAsia="Bookman Old Style" w:hAnsi="Bookman Old Style" w:cs="Bookman Old Style"/>
          <w:i/>
          <w:vertAlign w:val="superscript"/>
        </w:rPr>
        <w:footnoteReference w:id="29"/>
      </w:r>
    </w:p>
    <w:p w14:paraId="3E0AE655" w14:textId="77777777" w:rsidR="00FA0665" w:rsidRDefault="00FA0665">
      <w:pPr>
        <w:spacing w:after="0" w:line="276" w:lineRule="auto"/>
        <w:ind w:left="708"/>
        <w:jc w:val="both"/>
        <w:rPr>
          <w:rFonts w:ascii="Bookman Old Style" w:eastAsia="Bookman Old Style" w:hAnsi="Bookman Old Style" w:cs="Bookman Old Style"/>
          <w:i/>
        </w:rPr>
      </w:pPr>
    </w:p>
    <w:p w14:paraId="43332E89"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De la misma manera, el Relator Especial de las Naciones Unidas sobre el Derecho a la alimentación ha contribuido a la definición sustantiva de dicho derecho, estableciendo que el mismo consiste en:</w:t>
      </w:r>
    </w:p>
    <w:p w14:paraId="1D8D0794" w14:textId="77777777" w:rsidR="00FA0665" w:rsidRDefault="00FA0665">
      <w:pPr>
        <w:spacing w:after="0" w:line="276" w:lineRule="auto"/>
        <w:jc w:val="both"/>
        <w:rPr>
          <w:rFonts w:ascii="Bookman Old Style" w:eastAsia="Bookman Old Style" w:hAnsi="Bookman Old Style" w:cs="Bookman Old Style"/>
        </w:rPr>
      </w:pPr>
    </w:p>
    <w:p w14:paraId="46686905" w14:textId="77777777" w:rsidR="00FA0665" w:rsidRDefault="00000000">
      <w:pPr>
        <w:widowControl w:val="0"/>
        <w:spacing w:after="0" w:line="276" w:lineRule="auto"/>
        <w:ind w:left="708"/>
        <w:jc w:val="both"/>
        <w:rPr>
          <w:rFonts w:ascii="Bookman Old Style" w:eastAsia="Bookman Old Style" w:hAnsi="Bookman Old Style" w:cs="Bookman Old Style"/>
        </w:rPr>
      </w:pPr>
      <w:r>
        <w:rPr>
          <w:rFonts w:ascii="Bookman Old Style" w:eastAsia="Bookman Old Style" w:hAnsi="Bookman Old Style" w:cs="Bookman Old Style"/>
        </w:rPr>
        <w:lastRenderedPageBreak/>
        <w:t>“</w:t>
      </w:r>
      <w:r>
        <w:rPr>
          <w:rFonts w:ascii="Bookman Old Style" w:eastAsia="Bookman Old Style" w:hAnsi="Bookman Old Style" w:cs="Bookman Old Style"/>
          <w:i/>
        </w:rPr>
        <w:t>El derecho a tener acceso, de manera regular, permanente y libre, sea directamente, sea mediante compra en dinero, a una alimentación cuantitativa y cualitativamente adecuada y suficiente, que corresponda a las tradiciones culturales de la población a que pertenece el consumidor y que garantice una vida psíquica y física, individual y colectiva, libre de angustias, satisfactoria y digna.</w:t>
      </w:r>
      <w:r>
        <w:rPr>
          <w:rFonts w:ascii="Bookman Old Style" w:eastAsia="Bookman Old Style" w:hAnsi="Bookman Old Style" w:cs="Bookman Old Style"/>
        </w:rPr>
        <w:t>”</w:t>
      </w:r>
      <w:r>
        <w:rPr>
          <w:rFonts w:ascii="Bookman Old Style" w:eastAsia="Bookman Old Style" w:hAnsi="Bookman Old Style" w:cs="Bookman Old Style"/>
          <w:vertAlign w:val="superscript"/>
        </w:rPr>
        <w:footnoteReference w:id="30"/>
      </w:r>
    </w:p>
    <w:p w14:paraId="2E91BDC2" w14:textId="77777777" w:rsidR="00FA0665" w:rsidRDefault="00FA0665">
      <w:pPr>
        <w:widowControl w:val="0"/>
        <w:spacing w:after="0" w:line="276" w:lineRule="auto"/>
        <w:ind w:left="708"/>
        <w:jc w:val="both"/>
        <w:rPr>
          <w:rFonts w:ascii="Bookman Old Style" w:eastAsia="Bookman Old Style" w:hAnsi="Bookman Old Style" w:cs="Bookman Old Style"/>
        </w:rPr>
      </w:pPr>
    </w:p>
    <w:p w14:paraId="28298642"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Al respecto, surgen ciertos conceptos que resultan destacables con respecto al derecho a la alimentación, a saber: </w:t>
      </w:r>
      <w:r>
        <w:rPr>
          <w:rFonts w:ascii="Bookman Old Style" w:eastAsia="Bookman Old Style" w:hAnsi="Bookman Old Style" w:cs="Bookman Old Style"/>
          <w:b/>
        </w:rPr>
        <w:t>disponibilidad, accesibilidad y adecuación</w:t>
      </w:r>
      <w:r>
        <w:rPr>
          <w:rFonts w:ascii="Bookman Old Style" w:eastAsia="Bookman Old Style" w:hAnsi="Bookman Old Style" w:cs="Bookman Old Style"/>
        </w:rPr>
        <w:t xml:space="preserve">. </w:t>
      </w:r>
    </w:p>
    <w:p w14:paraId="5C105017" w14:textId="77777777" w:rsidR="00FA0665" w:rsidRDefault="00FA0665">
      <w:pPr>
        <w:spacing w:after="0" w:line="276" w:lineRule="auto"/>
        <w:jc w:val="both"/>
        <w:rPr>
          <w:rFonts w:ascii="Bookman Old Style" w:eastAsia="Bookman Old Style" w:hAnsi="Bookman Old Style" w:cs="Bookman Old Style"/>
        </w:rPr>
      </w:pPr>
    </w:p>
    <w:p w14:paraId="78DD7272"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Por disponible, debe entenderse que el alimento pueda ser obtenido ya sea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Pr>
          <w:rFonts w:ascii="Bookman Old Style" w:eastAsia="Bookman Old Style" w:hAnsi="Bookman Old Style" w:cs="Bookman Old Style"/>
          <w:i/>
        </w:rPr>
        <w:t xml:space="preserve">“la cantidad de alimentos con que se cuenta a nivel nacional, regional y local; </w:t>
      </w:r>
      <w:r>
        <w:rPr>
          <w:rFonts w:ascii="Bookman Old Style" w:eastAsia="Bookman Old Style" w:hAnsi="Bookman Old Style" w:cs="Bookman Old Style"/>
        </w:rPr>
        <w:t xml:space="preserve">(y) </w:t>
      </w:r>
      <w:r>
        <w:rPr>
          <w:rFonts w:ascii="Bookman Old Style" w:eastAsia="Bookman Old Style" w:hAnsi="Bookman Old Style" w:cs="Bookman Old Style"/>
          <w:i/>
        </w:rPr>
        <w:t>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ecosistémicas (clima, recursos genéticos y biodiversidad); las políticas de producción y comercio; y el conflicto sociopolítico (relaciones económicas, sociales y políticas entre actores).</w:t>
      </w:r>
      <w:r>
        <w:rPr>
          <w:rFonts w:ascii="Bookman Old Style" w:eastAsia="Bookman Old Style" w:hAnsi="Bookman Old Style" w:cs="Bookman Old Style"/>
        </w:rPr>
        <w:t xml:space="preserve">” </w:t>
      </w:r>
    </w:p>
    <w:p w14:paraId="627C756D" w14:textId="77777777" w:rsidR="00FA0665" w:rsidRDefault="00FA0665">
      <w:pPr>
        <w:spacing w:after="0" w:line="276" w:lineRule="auto"/>
        <w:jc w:val="both"/>
        <w:rPr>
          <w:rFonts w:ascii="Bookman Old Style" w:eastAsia="Bookman Old Style" w:hAnsi="Bookman Old Style" w:cs="Bookman Old Style"/>
        </w:rPr>
      </w:pPr>
    </w:p>
    <w:p w14:paraId="5BB1B3BB"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Del mismo modo, el alimento debe ser </w:t>
      </w:r>
      <w:r>
        <w:rPr>
          <w:rFonts w:ascii="Bookman Old Style" w:eastAsia="Bookman Old Style" w:hAnsi="Bookman Old Style" w:cs="Bookman Old Style"/>
          <w:b/>
        </w:rPr>
        <w:t>accesible</w:t>
      </w:r>
      <w:r>
        <w:rPr>
          <w:rFonts w:ascii="Bookman Old Style" w:eastAsia="Bookman Old Style" w:hAnsi="Bookman Old Style" w:cs="Bookman Old Style"/>
        </w:rPr>
        <w:t>, ya en el plano económico como en el plano físico. En cuanto a la accesibilidad económica, dicho aspecto hace referencia a que debe garantizarse que las personas se encuentren en condiciones adecuadas de permitirse la adquisición de los 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Pr>
          <w:rFonts w:ascii="Bookman Old Style" w:eastAsia="Bookman Old Style" w:hAnsi="Bookman Old Style" w:cs="Bookman Old Style"/>
          <w:i/>
        </w:rPr>
        <w:t>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Pr>
          <w:rFonts w:ascii="Bookman Old Style" w:eastAsia="Bookman Old Style" w:hAnsi="Bookman Old Style" w:cs="Bookman Old Style"/>
        </w:rPr>
        <w:t>”</w:t>
      </w:r>
    </w:p>
    <w:p w14:paraId="4B4904AB" w14:textId="77777777" w:rsidR="00FA0665" w:rsidRDefault="00FA0665">
      <w:pPr>
        <w:spacing w:after="0" w:line="276" w:lineRule="auto"/>
        <w:jc w:val="both"/>
        <w:rPr>
          <w:rFonts w:ascii="Bookman Old Style" w:eastAsia="Bookman Old Style" w:hAnsi="Bookman Old Style" w:cs="Bookman Old Style"/>
        </w:rPr>
      </w:pPr>
    </w:p>
    <w:p w14:paraId="4B44F800"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Por último, el alimento debe ser </w:t>
      </w:r>
      <w:r>
        <w:rPr>
          <w:rFonts w:ascii="Bookman Old Style" w:eastAsia="Bookman Old Style" w:hAnsi="Bookman Old Style" w:cs="Bookman Old Style"/>
          <w:b/>
        </w:rPr>
        <w:t>adecuado.</w:t>
      </w:r>
      <w:r>
        <w:rPr>
          <w:rFonts w:ascii="Bookman Old Style" w:eastAsia="Bookman Old Style" w:hAnsi="Bookman Old Style" w:cs="Bookman Old Style"/>
        </w:rPr>
        <w:t xml:space="preserve"> Dicho criterio se refiere a que la alimentación debe satisfacer las necesidades básicas de dieta teniendo en cuenta la condición de la persona. Se contempla también la necesidad de garantizar que los alimentos sean seguros para el consumo humano, es decir, que se encuentren libres de sustancias nocivas y/o contaminantes que puedan atentar contra la salud humana. </w:t>
      </w:r>
    </w:p>
    <w:p w14:paraId="2FEAF6B6" w14:textId="77777777" w:rsidR="00FA0665" w:rsidRDefault="00FA0665">
      <w:pPr>
        <w:spacing w:after="0" w:line="276" w:lineRule="auto"/>
        <w:jc w:val="both"/>
        <w:rPr>
          <w:rFonts w:ascii="Bookman Old Style" w:eastAsia="Bookman Old Style" w:hAnsi="Bookman Old Style" w:cs="Bookman Old Style"/>
        </w:rPr>
      </w:pPr>
    </w:p>
    <w:p w14:paraId="64076E5F"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Otro característica que se tiene en cuenta para determinar si el alimento es adecuado es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0C220C94" w14:textId="77777777" w:rsidR="00FA0665" w:rsidRDefault="00FA0665">
      <w:pPr>
        <w:spacing w:after="0" w:line="276" w:lineRule="auto"/>
        <w:jc w:val="both"/>
        <w:rPr>
          <w:rFonts w:ascii="Bookman Old Style" w:eastAsia="Bookman Old Style" w:hAnsi="Bookman Old Style" w:cs="Bookman Old Style"/>
        </w:rPr>
      </w:pPr>
    </w:p>
    <w:p w14:paraId="114949FB"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Respecto a las obligaciones que impone el derecho a la alimentación adecuada a los Estados, las cuales fueron esbozadas anteriormente, es preciso desarrollar. Así pues, es preciso entonces acudir nuevamente a lo estipulado en la Observación General No. 12, el cual establece que:</w:t>
      </w:r>
    </w:p>
    <w:p w14:paraId="43A7EF36" w14:textId="77777777" w:rsidR="00FA0665" w:rsidRDefault="00FA0665">
      <w:pPr>
        <w:spacing w:after="0" w:line="276" w:lineRule="auto"/>
        <w:jc w:val="both"/>
        <w:rPr>
          <w:rFonts w:ascii="Bookman Old Style" w:eastAsia="Bookman Old Style" w:hAnsi="Bookman Old Style" w:cs="Bookman Old Style"/>
        </w:rPr>
      </w:pPr>
    </w:p>
    <w:p w14:paraId="1C90B9F8" w14:textId="77777777" w:rsidR="00FA0665" w:rsidRDefault="00000000">
      <w:pPr>
        <w:widowControl w:val="0"/>
        <w:spacing w:after="0" w:line="276" w:lineRule="auto"/>
        <w:ind w:left="708"/>
        <w:jc w:val="both"/>
        <w:rPr>
          <w:rFonts w:ascii="Bookman Old Style" w:eastAsia="Bookman Old Style" w:hAnsi="Bookman Old Style" w:cs="Bookman Old Style"/>
        </w:rPr>
      </w:pPr>
      <w:r>
        <w:rPr>
          <w:rFonts w:ascii="Bookman Old Style" w:eastAsia="Bookman Old Style" w:hAnsi="Bookman Old Style" w:cs="Bookman Old Style"/>
        </w:rPr>
        <w:t>“</w:t>
      </w:r>
      <w:r>
        <w:rPr>
          <w:rFonts w:ascii="Bookman Old Style" w:eastAsia="Bookman Old Style" w:hAnsi="Bookman Old Style" w:cs="Bookman Old Style"/>
          <w:i/>
        </w:rPr>
        <w:t xml:space="preserve">El derecho a la alimentación adecuada, al igual que cualquier otro derecho humano, impone tres tipos o niveles de obligaciones a los Estados Partes: las obligaciones de </w:t>
      </w:r>
      <w:r>
        <w:rPr>
          <w:rFonts w:ascii="Bookman Old Style" w:eastAsia="Bookman Old Style" w:hAnsi="Bookman Old Style" w:cs="Bookman Old Style"/>
          <w:b/>
          <w:i/>
        </w:rPr>
        <w:t>respetar, proteger y realizar</w:t>
      </w:r>
      <w:r>
        <w:rPr>
          <w:rFonts w:ascii="Bookman Old Style" w:eastAsia="Bookman Old Style" w:hAnsi="Bookman Old Style" w:cs="Bookman Old Style"/>
          <w:i/>
        </w:rPr>
        <w:t xml:space="preserve">. A su vez, la obligación de realizar entraña tanto la obligación de facilitar como la obligación de hacer efectivo.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w:t>
      </w:r>
      <w:r>
        <w:rPr>
          <w:rFonts w:ascii="Bookman Old Style" w:eastAsia="Bookman Old Style" w:hAnsi="Bookman Old Style" w:cs="Bookman Old Style"/>
          <w:i/>
        </w:rPr>
        <w:lastRenderedPageBreak/>
        <w:t>víctimas de catástrofes naturales o de otra índole.</w:t>
      </w:r>
      <w:r>
        <w:rPr>
          <w:rFonts w:ascii="Bookman Old Style" w:eastAsia="Bookman Old Style" w:hAnsi="Bookman Old Style" w:cs="Bookman Old Style"/>
        </w:rPr>
        <w:t>”</w:t>
      </w:r>
      <w:r>
        <w:rPr>
          <w:rFonts w:ascii="Bookman Old Style" w:eastAsia="Bookman Old Style" w:hAnsi="Bookman Old Style" w:cs="Bookman Old Style"/>
          <w:vertAlign w:val="superscript"/>
        </w:rPr>
        <w:footnoteReference w:id="31"/>
      </w:r>
      <w:r>
        <w:rPr>
          <w:rFonts w:ascii="Bookman Old Style" w:eastAsia="Bookman Old Style" w:hAnsi="Bookman Old Style" w:cs="Bookman Old Style"/>
        </w:rPr>
        <w:t xml:space="preserve"> (se resalta)</w:t>
      </w:r>
    </w:p>
    <w:p w14:paraId="773B2047" w14:textId="77777777" w:rsidR="00FA0665" w:rsidRDefault="00FA0665">
      <w:pPr>
        <w:widowControl w:val="0"/>
        <w:spacing w:after="0" w:line="276" w:lineRule="auto"/>
        <w:jc w:val="both"/>
        <w:rPr>
          <w:rFonts w:ascii="Bookman Old Style" w:eastAsia="Bookman Old Style" w:hAnsi="Bookman Old Style" w:cs="Bookman Old Style"/>
        </w:rPr>
      </w:pPr>
    </w:p>
    <w:p w14:paraId="3252450C" w14:textId="77777777" w:rsidR="00FA0665" w:rsidRDefault="00000000">
      <w:pPr>
        <w:widowControl w:val="0"/>
        <w:numPr>
          <w:ilvl w:val="0"/>
          <w:numId w:val="1"/>
        </w:numPr>
        <w:spacing w:after="0" w:line="276"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 Consideraciones frente a la exigibilidad del derecho en los términos planteados en el proyecto</w:t>
      </w:r>
    </w:p>
    <w:p w14:paraId="192F9D93" w14:textId="77777777" w:rsidR="00FA0665" w:rsidRDefault="00FA0665">
      <w:pPr>
        <w:widowControl w:val="0"/>
        <w:spacing w:after="0" w:line="276" w:lineRule="auto"/>
        <w:jc w:val="both"/>
        <w:rPr>
          <w:rFonts w:ascii="Bookman Old Style" w:eastAsia="Bookman Old Style" w:hAnsi="Bookman Old Style" w:cs="Bookman Old Style"/>
        </w:rPr>
      </w:pPr>
    </w:p>
    <w:p w14:paraId="52BCDD6E" w14:textId="77777777" w:rsidR="00FA0665" w:rsidRDefault="00000000">
      <w:pPr>
        <w:widowControl w:val="0"/>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En lo que respecta a la exigibilidad del derecho a la alimentación, en los términos que se plantean en el articulado, se ha reconocido que los medios para garantizar el mentado derecho variarán de manera inevitable y considerable de un estado a otro. En virtud de lo anterior, existe una libertad de aproximación y enfoques al momento de formular políticas públicas que estén destinadas a cumplir con las obligaciones que se encuentran contempladas en el artículo 11 del Pacto Internacional de Derechos Económicos, Sociales y Culturales</w:t>
      </w:r>
      <w:r>
        <w:rPr>
          <w:rFonts w:ascii="Bookman Old Style" w:eastAsia="Bookman Old Style" w:hAnsi="Bookman Old Style" w:cs="Bookman Old Style"/>
          <w:vertAlign w:val="superscript"/>
        </w:rPr>
        <w:footnoteReference w:id="32"/>
      </w:r>
      <w:r>
        <w:rPr>
          <w:rFonts w:ascii="Bookman Old Style" w:eastAsia="Bookman Old Style" w:hAnsi="Bookman Old Style" w:cs="Bookman Old Style"/>
        </w:rPr>
        <w:t>, cuya realización en sí (salvo en aquellos casos en los cuales se vean involucrados Niños, Niñas y Adolescentes) se debe materializar de manera progresiva, conforme a la disponibilidad presupuestal de los Estados.</w:t>
      </w:r>
    </w:p>
    <w:p w14:paraId="32879450" w14:textId="77777777" w:rsidR="00FA0665" w:rsidRDefault="00FA0665">
      <w:pPr>
        <w:widowControl w:val="0"/>
        <w:spacing w:after="0" w:line="276" w:lineRule="auto"/>
        <w:jc w:val="both"/>
        <w:rPr>
          <w:rFonts w:ascii="Bookman Old Style" w:eastAsia="Bookman Old Style" w:hAnsi="Bookman Old Style" w:cs="Bookman Old Style"/>
        </w:rPr>
      </w:pPr>
    </w:p>
    <w:p w14:paraId="16518241" w14:textId="77777777" w:rsidR="00FA0665" w:rsidRDefault="00000000">
      <w:pPr>
        <w:widowControl w:val="0"/>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En ese sentido, resulta necesario traer a colación lo dispuesto por el economista y premio Nobel de economía Amartya Sen en su escrito “</w:t>
      </w:r>
      <w:proofErr w:type="spellStart"/>
      <w:r>
        <w:rPr>
          <w:rFonts w:ascii="Bookman Old Style" w:eastAsia="Bookman Old Style" w:hAnsi="Bookman Old Style" w:cs="Bookman Old Style"/>
          <w:i/>
        </w:rPr>
        <w:t>The</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right</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not</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to</w:t>
      </w:r>
      <w:proofErr w:type="spellEnd"/>
      <w:r>
        <w:rPr>
          <w:rFonts w:ascii="Bookman Old Style" w:eastAsia="Bookman Old Style" w:hAnsi="Bookman Old Style" w:cs="Bookman Old Style"/>
          <w:i/>
        </w:rPr>
        <w:t xml:space="preserve"> be </w:t>
      </w:r>
      <w:proofErr w:type="spellStart"/>
      <w:r>
        <w:rPr>
          <w:rFonts w:ascii="Bookman Old Style" w:eastAsia="Bookman Old Style" w:hAnsi="Bookman Old Style" w:cs="Bookman Old Style"/>
          <w:i/>
        </w:rPr>
        <w:t>hungry</w:t>
      </w:r>
      <w:proofErr w:type="spellEnd"/>
      <w:r>
        <w:rPr>
          <w:rFonts w:ascii="Bookman Old Style" w:eastAsia="Bookman Old Style" w:hAnsi="Bookman Old Style" w:cs="Bookman Old Style"/>
        </w:rPr>
        <w:t>” (1982) quien plantea la existencia de una nueva categoría de derechos que denomina “</w:t>
      </w:r>
      <w:proofErr w:type="spellStart"/>
      <w:r>
        <w:rPr>
          <w:rFonts w:ascii="Bookman Old Style" w:eastAsia="Bookman Old Style" w:hAnsi="Bookman Old Style" w:cs="Bookman Old Style"/>
        </w:rPr>
        <w:t>metaderechos</w:t>
      </w:r>
      <w:proofErr w:type="spellEnd"/>
      <w:r>
        <w:rPr>
          <w:rFonts w:ascii="Bookman Old Style" w:eastAsia="Bookman Old Style" w:hAnsi="Bookman Old Style" w:cs="Bookman Old Style"/>
        </w:rPr>
        <w:t>”. En ese sentido, Sen plantea que “</w:t>
      </w:r>
      <w:r>
        <w:rPr>
          <w:rFonts w:ascii="Bookman Old Style" w:eastAsia="Bookman Old Style" w:hAnsi="Bookman Old Style" w:cs="Bookman Old Style"/>
          <w:i/>
        </w:rPr>
        <w:t xml:space="preserve">un </w:t>
      </w:r>
      <w:proofErr w:type="spellStart"/>
      <w:r>
        <w:rPr>
          <w:rFonts w:ascii="Bookman Old Style" w:eastAsia="Bookman Old Style" w:hAnsi="Bookman Old Style" w:cs="Bookman Old Style"/>
          <w:i/>
        </w:rPr>
        <w:t>metaderecho</w:t>
      </w:r>
      <w:proofErr w:type="spellEnd"/>
      <w:r>
        <w:rPr>
          <w:rFonts w:ascii="Bookman Old Style" w:eastAsia="Bookman Old Style" w:hAnsi="Bookman Old Style" w:cs="Bookman Old Style"/>
          <w:i/>
        </w:rPr>
        <w:t xml:space="preserve"> a algo x puede ser definido como el derecho a tener políticas p(x) que persigan genuinamente el objetivo de hacer realizable el derecho a x</w:t>
      </w:r>
      <w:r>
        <w:rPr>
          <w:rFonts w:ascii="Bookman Old Style" w:eastAsia="Bookman Old Style" w:hAnsi="Bookman Old Style" w:cs="Bookman Old Style"/>
        </w:rPr>
        <w:t>”</w:t>
      </w:r>
      <w:r>
        <w:rPr>
          <w:rFonts w:ascii="Bookman Old Style" w:eastAsia="Bookman Old Style" w:hAnsi="Bookman Old Style" w:cs="Bookman Old Style"/>
          <w:vertAlign w:val="superscript"/>
        </w:rPr>
        <w:footnoteReference w:id="33"/>
      </w:r>
      <w:r>
        <w:rPr>
          <w:rFonts w:ascii="Bookman Old Style" w:eastAsia="Bookman Old Style" w:hAnsi="Bookman Old Style" w:cs="Bookman Old Style"/>
        </w:rPr>
        <w:t xml:space="preserve"> Con el propósito de ejemplificar su afirmación, el autor plantea un ejemplo de la Constitución de la India en donde claramente se esboza una redacción “</w:t>
      </w:r>
      <w:r>
        <w:rPr>
          <w:rFonts w:ascii="Bookman Old Style" w:eastAsia="Bookman Old Style" w:hAnsi="Bookman Old Style" w:cs="Bookman Old Style"/>
          <w:i/>
        </w:rPr>
        <w:t xml:space="preserve">suficientemente cuidadosa para evitar aseverar que tal derecho existe de antemano </w:t>
      </w:r>
      <w:r>
        <w:rPr>
          <w:rFonts w:ascii="Bookman Old Style" w:eastAsia="Bookman Old Style" w:hAnsi="Bookman Old Style" w:cs="Bookman Old Style"/>
        </w:rPr>
        <w:t xml:space="preserve">(pese a que es deseable su existencia y puede argumentarse desde el ámbito de la conexidad con Derechos Fundamentales de corte no prestacional), </w:t>
      </w:r>
      <w:r>
        <w:rPr>
          <w:rFonts w:ascii="Bookman Old Style" w:eastAsia="Bookman Old Style" w:hAnsi="Bookman Old Style" w:cs="Bookman Old Style"/>
          <w:i/>
        </w:rPr>
        <w:t>al decir que tan solo las políticas deben ser dirigidas a hacer posible tener medios adecuados para la realización del fin</w:t>
      </w:r>
      <w:r>
        <w:rPr>
          <w:rFonts w:ascii="Bookman Old Style" w:eastAsia="Bookman Old Style" w:hAnsi="Bookman Old Style" w:cs="Bookman Old Style"/>
        </w:rPr>
        <w:t>”</w:t>
      </w:r>
      <w:r>
        <w:rPr>
          <w:rFonts w:ascii="Bookman Old Style" w:eastAsia="Bookman Old Style" w:hAnsi="Bookman Old Style" w:cs="Bookman Old Style"/>
          <w:vertAlign w:val="superscript"/>
        </w:rPr>
        <w:footnoteReference w:id="34"/>
      </w:r>
    </w:p>
    <w:p w14:paraId="4FFEAC23" w14:textId="77777777" w:rsidR="00FA0665" w:rsidRDefault="00FA0665">
      <w:pPr>
        <w:widowControl w:val="0"/>
        <w:spacing w:after="0" w:line="276" w:lineRule="auto"/>
        <w:jc w:val="both"/>
        <w:rPr>
          <w:rFonts w:ascii="Bookman Old Style" w:eastAsia="Bookman Old Style" w:hAnsi="Bookman Old Style" w:cs="Bookman Old Style"/>
        </w:rPr>
      </w:pPr>
    </w:p>
    <w:p w14:paraId="781EA137" w14:textId="77777777" w:rsidR="00FA0665" w:rsidRDefault="00000000">
      <w:pPr>
        <w:widowControl w:val="0"/>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eje central de la teoría esbozada por Sen parte de una sencilla premisa: la redacción consignada, de ser aceptada y positivizada en el texto constitucional, plantea que tan solo se le otorgaría el reconocimiento y las herramientas para exigir </w:t>
      </w:r>
      <w:r>
        <w:rPr>
          <w:rFonts w:ascii="Bookman Old Style" w:eastAsia="Bookman Old Style" w:hAnsi="Bookman Old Style" w:cs="Bookman Old Style"/>
        </w:rPr>
        <w:lastRenderedPageBreak/>
        <w:t xml:space="preserve">al Gobierno el derecho a que se pongan en práctica las políticas (definidas por el autor como p(x)) y que sean conducentes para la realización y materialización del fin perseguido (definido como x por el autor). </w:t>
      </w:r>
    </w:p>
    <w:p w14:paraId="4A1BA767" w14:textId="77777777" w:rsidR="00FA0665" w:rsidRDefault="00FA0665">
      <w:pPr>
        <w:widowControl w:val="0"/>
        <w:spacing w:after="0" w:line="276" w:lineRule="auto"/>
        <w:jc w:val="both"/>
        <w:rPr>
          <w:rFonts w:ascii="Bookman Old Style" w:eastAsia="Bookman Old Style" w:hAnsi="Bookman Old Style" w:cs="Bookman Old Style"/>
        </w:rPr>
      </w:pPr>
    </w:p>
    <w:p w14:paraId="21F1EDF7" w14:textId="77777777" w:rsidR="00FA0665" w:rsidRDefault="00000000">
      <w:pPr>
        <w:widowControl w:val="0"/>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En ese sentido, de acuerdo con Sen “</w:t>
      </w:r>
      <w:r>
        <w:rPr>
          <w:rFonts w:ascii="Bookman Old Style" w:eastAsia="Bookman Old Style" w:hAnsi="Bookman Old Style" w:cs="Bookman Old Style"/>
          <w:i/>
        </w:rPr>
        <w:t xml:space="preserve">no resulta difícil observar por qué los </w:t>
      </w:r>
      <w:proofErr w:type="spellStart"/>
      <w:r>
        <w:rPr>
          <w:rFonts w:ascii="Bookman Old Style" w:eastAsia="Bookman Old Style" w:hAnsi="Bookman Old Style" w:cs="Bookman Old Style"/>
          <w:i/>
        </w:rPr>
        <w:t>metaderechos</w:t>
      </w:r>
      <w:proofErr w:type="spellEnd"/>
      <w:r>
        <w:rPr>
          <w:rFonts w:ascii="Bookman Old Style" w:eastAsia="Bookman Old Style" w:hAnsi="Bookman Old Style" w:cs="Bookman Old Style"/>
          <w:i/>
        </w:rPr>
        <w:t xml:space="preserve"> de este tipo tienen relevancia particular para objetivos económicos tales como la remoción de la pobreza o el hambre. En muchos países en donde </w:t>
      </w:r>
      <w:r>
        <w:rPr>
          <w:rFonts w:ascii="Bookman Old Style" w:eastAsia="Bookman Old Style" w:hAnsi="Bookman Old Style" w:cs="Bookman Old Style"/>
        </w:rPr>
        <w:t xml:space="preserve">(estas dos situaciones) </w:t>
      </w:r>
      <w:r>
        <w:rPr>
          <w:rFonts w:ascii="Bookman Old Style" w:eastAsia="Bookman Old Style" w:hAnsi="Bookman Old Style" w:cs="Bookman Old Style"/>
          <w:i/>
        </w:rPr>
        <w:t>están diseminados, puede que no exista ningún modo factible mediante el cual en un futuro cercano se le garantice a todos ser liberados de aquellas, pero sí políticas que rápidamente conducirán a tal liberación</w:t>
      </w:r>
      <w:r>
        <w:rPr>
          <w:rFonts w:ascii="Bookman Old Style" w:eastAsia="Bookman Old Style" w:hAnsi="Bookman Old Style" w:cs="Bookman Old Style"/>
        </w:rPr>
        <w:t>.”</w:t>
      </w:r>
      <w:r>
        <w:rPr>
          <w:rFonts w:ascii="Bookman Old Style" w:eastAsia="Bookman Old Style" w:hAnsi="Bookman Old Style" w:cs="Bookman Old Style"/>
          <w:vertAlign w:val="superscript"/>
        </w:rPr>
        <w:footnoteReference w:id="35"/>
      </w:r>
      <w:r>
        <w:rPr>
          <w:rFonts w:ascii="Bookman Old Style" w:eastAsia="Bookman Old Style" w:hAnsi="Bookman Old Style" w:cs="Bookman Old Style"/>
        </w:rPr>
        <w:t xml:space="preserve"> Tomando en consideración el anterior panorama, se cree que establecer el </w:t>
      </w:r>
      <w:proofErr w:type="spellStart"/>
      <w:r>
        <w:rPr>
          <w:rFonts w:ascii="Bookman Old Style" w:eastAsia="Bookman Old Style" w:hAnsi="Bookman Old Style" w:cs="Bookman Old Style"/>
        </w:rPr>
        <w:t>metaderecho</w:t>
      </w:r>
      <w:proofErr w:type="spellEnd"/>
      <w:r>
        <w:rPr>
          <w:rFonts w:ascii="Bookman Old Style" w:eastAsia="Bookman Old Style" w:hAnsi="Bookman Old Style" w:cs="Bookman Old Style"/>
        </w:rPr>
        <w:t xml:space="preserve"> a ser liberado del hambre es el derecho no a la provisión y prestación permanente de los alimentos, sino a la acción, a exigirle al Estado que despliegue una serie de medidas y políticas públicas serias a través de las cuales se materialice el derecho-objetivo de contar con una población libre del flagelo del hambre.</w:t>
      </w:r>
    </w:p>
    <w:p w14:paraId="5942E483" w14:textId="77777777" w:rsidR="00FA0665" w:rsidRDefault="00FA0665">
      <w:pPr>
        <w:widowControl w:val="0"/>
        <w:spacing w:after="0" w:line="276" w:lineRule="auto"/>
        <w:jc w:val="both"/>
        <w:rPr>
          <w:rFonts w:ascii="Bookman Old Style" w:eastAsia="Bookman Old Style" w:hAnsi="Bookman Old Style" w:cs="Bookman Old Style"/>
        </w:rPr>
      </w:pPr>
    </w:p>
    <w:p w14:paraId="76454FE0" w14:textId="77777777" w:rsidR="00FA0665" w:rsidRDefault="00000000">
      <w:pPr>
        <w:widowControl w:val="0"/>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Tomando en consideración la teoría expuesta por Sen, se propone una redacción a través de la cual se positivice en la Constitución Política la obligación del Estado a actuar e implementar políticas públicas a través de las cuales se pueda llegar a garantizar de manera universal (aunque progresiva y conforme a la realidad económica del país) el derecho a la alimentación adecuada, a la seguridad y a la soberanía alimentaria.</w:t>
      </w:r>
    </w:p>
    <w:p w14:paraId="5C163FDB" w14:textId="77777777" w:rsidR="00FA0665" w:rsidRDefault="00FA0665">
      <w:pPr>
        <w:spacing w:after="0" w:line="276" w:lineRule="auto"/>
        <w:jc w:val="both"/>
        <w:rPr>
          <w:rFonts w:ascii="Bookman Old Style" w:eastAsia="Bookman Old Style" w:hAnsi="Bookman Old Style" w:cs="Bookman Old Style"/>
        </w:rPr>
      </w:pPr>
    </w:p>
    <w:p w14:paraId="5C9C9B95" w14:textId="77777777" w:rsidR="00FA0665" w:rsidRDefault="00000000">
      <w:pPr>
        <w:numPr>
          <w:ilvl w:val="0"/>
          <w:numId w:val="1"/>
        </w:numPr>
        <w:pBdr>
          <w:top w:val="nil"/>
          <w:left w:val="nil"/>
          <w:bottom w:val="nil"/>
          <w:right w:val="nil"/>
          <w:between w:val="nil"/>
        </w:pBdr>
        <w:spacing w:line="276" w:lineRule="auto"/>
        <w:rPr>
          <w:rFonts w:ascii="Bookman Old Style" w:eastAsia="Bookman Old Style" w:hAnsi="Bookman Old Style" w:cs="Bookman Old Style"/>
          <w:color w:val="000000"/>
        </w:rPr>
      </w:pPr>
      <w:r>
        <w:rPr>
          <w:rFonts w:ascii="Bookman Old Style" w:eastAsia="Bookman Old Style" w:hAnsi="Bookman Old Style" w:cs="Bookman Old Style"/>
          <w:b/>
          <w:color w:val="000000"/>
        </w:rPr>
        <w:t>Consideraciones frente a los conceptos de seguridad y soberanía alimentaria</w:t>
      </w:r>
    </w:p>
    <w:p w14:paraId="7F0999F6"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Pese a ser un concepto que se encuentra intrínsecamente relacionado con los objetivos del derecho a la alimentación adecuada, es necesario entrar a distinguir la seguridad alimentaria, como concepto doctrinario carente de significancia en el ámbito jurídico, del derecho a la alimentación, el cual es completamente vinculante para el Estado colombiano al ser reconocido como un derecho humano. </w:t>
      </w:r>
    </w:p>
    <w:p w14:paraId="2E6475B8" w14:textId="77777777" w:rsidR="00FA0665" w:rsidRDefault="00FA0665">
      <w:pPr>
        <w:spacing w:after="0" w:line="276" w:lineRule="auto"/>
        <w:jc w:val="both"/>
        <w:rPr>
          <w:rFonts w:ascii="Bookman Old Style" w:eastAsia="Bookman Old Style" w:hAnsi="Bookman Old Style" w:cs="Bookman Old Style"/>
        </w:rPr>
      </w:pPr>
    </w:p>
    <w:p w14:paraId="5F04D75A"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Tradicionalmente se ha entendido a la seguridad alimentaria como “</w:t>
      </w:r>
      <w:r>
        <w:rPr>
          <w:rFonts w:ascii="Bookman Old Style" w:eastAsia="Bookman Old Style" w:hAnsi="Bookman Old Style" w:cs="Bookman Old Style"/>
          <w:i/>
        </w:rPr>
        <w:t>la posibilidad de acceso a los alimentos por parte de las generaciones presentes y futuras</w:t>
      </w:r>
      <w:r>
        <w:rPr>
          <w:rFonts w:ascii="Bookman Old Style" w:eastAsia="Bookman Old Style" w:hAnsi="Bookman Old Style" w:cs="Bookman Old Style"/>
        </w:rPr>
        <w:t>”</w:t>
      </w:r>
      <w:r>
        <w:rPr>
          <w:rFonts w:ascii="Bookman Old Style" w:eastAsia="Bookman Old Style" w:hAnsi="Bookman Old Style" w:cs="Bookman Old Style"/>
          <w:vertAlign w:val="superscript"/>
        </w:rPr>
        <w:footnoteReference w:id="36"/>
      </w:r>
      <w:r>
        <w:rPr>
          <w:rFonts w:ascii="Bookman Old Style" w:eastAsia="Bookman Old Style" w:hAnsi="Bookman Old Style" w:cs="Bookman Old Style"/>
        </w:rPr>
        <w:t xml:space="preserve">. </w:t>
      </w:r>
    </w:p>
    <w:p w14:paraId="57C68AC9" w14:textId="77777777" w:rsidR="00FA0665" w:rsidRDefault="00FA0665">
      <w:pPr>
        <w:spacing w:after="0" w:line="276" w:lineRule="auto"/>
        <w:jc w:val="both"/>
        <w:rPr>
          <w:rFonts w:ascii="Bookman Old Style" w:eastAsia="Bookman Old Style" w:hAnsi="Bookman Old Style" w:cs="Bookman Old Style"/>
        </w:rPr>
      </w:pPr>
    </w:p>
    <w:p w14:paraId="76C71ADB"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Así mismo, la FAO, dando alcance al presente concepto, señalando que  existe seguridad alimentaria “</w:t>
      </w:r>
      <w:r>
        <w:rPr>
          <w:rFonts w:ascii="Bookman Old Style" w:eastAsia="Bookman Old Style" w:hAnsi="Bookman Old Style" w:cs="Bookman Old Style"/>
          <w:i/>
        </w:rPr>
        <w:t xml:space="preserve">cuando todas las personas tienen en todo momento el acceso </w:t>
      </w:r>
      <w:r>
        <w:rPr>
          <w:rFonts w:ascii="Bookman Old Style" w:eastAsia="Bookman Old Style" w:hAnsi="Bookman Old Style" w:cs="Bookman Old Style"/>
          <w:i/>
        </w:rPr>
        <w:lastRenderedPageBreak/>
        <w:t>físico, social y económico a alimentos suficientes, inocuos y nutritivos que satisfacen sus necesidades y preferencias alimentarias para llevar una vida activa y sana</w:t>
      </w:r>
      <w:r>
        <w:rPr>
          <w:rFonts w:ascii="Bookman Old Style" w:eastAsia="Bookman Old Style" w:hAnsi="Bookman Old Style" w:cs="Bookman Old Style"/>
        </w:rPr>
        <w:t>”</w:t>
      </w:r>
      <w:r>
        <w:rPr>
          <w:rFonts w:ascii="Bookman Old Style" w:eastAsia="Bookman Old Style" w:hAnsi="Bookman Old Style" w:cs="Bookman Old Style"/>
          <w:vertAlign w:val="superscript"/>
        </w:rPr>
        <w:footnoteReference w:id="37"/>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 </w:t>
      </w:r>
      <w:r>
        <w:rPr>
          <w:rFonts w:ascii="Bookman Old Style" w:eastAsia="Bookman Old Style" w:hAnsi="Bookman Old Style" w:cs="Bookman Old Style"/>
        </w:rPr>
        <w:t>Del mismo modo, la Oficina del Alto Comisionado de las Naciones Unidas para los Derechos Humanos y la FAO en el Folleto Informativo No. 34 sobre el derecho a la alimentación adecuada ha establecido que “</w:t>
      </w:r>
      <w:r>
        <w:rPr>
          <w:rFonts w:ascii="Bookman Old Style" w:eastAsia="Bookman Old Style" w:hAnsi="Bookman Old Style" w:cs="Bookman Old Style"/>
          <w:i/>
        </w:rPr>
        <w:t>Se trata de una condición previa del ejercicio pleno del derecho a la alimentación. No obstante, el propio concepto de seguridad alimentaria no es un concepto jurídico en sí mismo, no impone obligaciones a los interesados ni les otorga derechos</w:t>
      </w:r>
      <w:r>
        <w:rPr>
          <w:rFonts w:ascii="Bookman Old Style" w:eastAsia="Bookman Old Style" w:hAnsi="Bookman Old Style" w:cs="Bookman Old Style"/>
        </w:rPr>
        <w:t>”</w:t>
      </w:r>
      <w:r>
        <w:rPr>
          <w:rFonts w:ascii="Bookman Old Style" w:eastAsia="Bookman Old Style" w:hAnsi="Bookman Old Style" w:cs="Bookman Old Style"/>
          <w:vertAlign w:val="superscript"/>
        </w:rPr>
        <w:footnoteReference w:id="38"/>
      </w:r>
    </w:p>
    <w:p w14:paraId="4F5E3B98" w14:textId="77777777" w:rsidR="00FA0665" w:rsidRDefault="00FA0665">
      <w:pPr>
        <w:spacing w:after="0" w:line="276" w:lineRule="auto"/>
        <w:jc w:val="both"/>
        <w:rPr>
          <w:rFonts w:ascii="Bookman Old Style" w:eastAsia="Bookman Old Style" w:hAnsi="Bookman Old Style" w:cs="Bookman Old Style"/>
        </w:rPr>
      </w:pPr>
    </w:p>
    <w:p w14:paraId="6D210FC1"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En nuestro ordenamiento jurídico, el concepto de la seguridad alimentaria ha sido recogido en el CONPES 113 de 2008, el cual plantea varias semejanzas con respecto a la definición propuesta por la FAO. En ese sentido, el mencionado documento de política señala que por Seguridad Alimentaria y Nutricional debe entenderse que es la “</w:t>
      </w:r>
      <w:r>
        <w:rPr>
          <w:rFonts w:ascii="Bookman Old Style" w:eastAsia="Bookman Old Style" w:hAnsi="Bookman Old Style" w:cs="Bookman Old Style"/>
          <w:i/>
        </w:rPr>
        <w:t>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Pr>
          <w:rFonts w:ascii="Bookman Old Style" w:eastAsia="Bookman Old Style" w:hAnsi="Bookman Old Style" w:cs="Bookman Old Style"/>
        </w:rPr>
        <w:t>”</w:t>
      </w:r>
    </w:p>
    <w:p w14:paraId="286661A4" w14:textId="77777777" w:rsidR="00FA0665" w:rsidRDefault="00FA0665">
      <w:pPr>
        <w:spacing w:after="0" w:line="276" w:lineRule="auto"/>
        <w:jc w:val="both"/>
        <w:rPr>
          <w:rFonts w:ascii="Bookman Old Style" w:eastAsia="Bookman Old Style" w:hAnsi="Bookman Old Style" w:cs="Bookman Old Style"/>
        </w:rPr>
      </w:pPr>
    </w:p>
    <w:p w14:paraId="7ABC943C" w14:textId="77777777" w:rsidR="00FA0665" w:rsidRDefault="00000000">
      <w:pPr>
        <w:spacing w:after="0" w:line="276"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 La Soberanía Alimentaria:</w:t>
      </w:r>
    </w:p>
    <w:p w14:paraId="2F8FC2D3" w14:textId="77777777" w:rsidR="00FA0665" w:rsidRDefault="00FA0665">
      <w:pPr>
        <w:spacing w:after="0" w:line="276" w:lineRule="auto"/>
        <w:jc w:val="both"/>
        <w:rPr>
          <w:rFonts w:ascii="Bookman Old Style" w:eastAsia="Bookman Old Style" w:hAnsi="Bookman Old Style" w:cs="Bookman Old Style"/>
          <w:b/>
        </w:rPr>
      </w:pPr>
    </w:p>
    <w:p w14:paraId="3931EA66"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El concepto de soberanía alimentaria ha sido adoptado en diversas legislaciones (como es el caso de Guatemala, Ecuador, Bolivia o Brasil, entre otras). Sin embargo, a pesar de este reconocimiento en otros países de la región, no es menos cierto que conforme lo ha señalado la Oficina del Alto Comisionado de las Naciones Unidas, en conjunto con la FAO, - y contrario a lo que ocurre con el concepto de seguridad alimentaria – el contenido de la acepción de soberanía alimentaria es un concepto emergente, que aún no cuenta con un consenso en el marco del Derecho Internacional Público.</w:t>
      </w:r>
    </w:p>
    <w:p w14:paraId="4AFA2B6A" w14:textId="77777777" w:rsidR="00FA0665" w:rsidRDefault="00FA0665">
      <w:pPr>
        <w:spacing w:after="0" w:line="276" w:lineRule="auto"/>
        <w:jc w:val="both"/>
        <w:rPr>
          <w:rFonts w:ascii="Bookman Old Style" w:eastAsia="Bookman Old Style" w:hAnsi="Bookman Old Style" w:cs="Bookman Old Style"/>
        </w:rPr>
      </w:pPr>
    </w:p>
    <w:p w14:paraId="7A604B9C"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Sin embargo, la falta de consenso en el concierto internacional no ha impedido que instancias como la Oficina del Alto Comisionado de los Derechos Humanos de las Naciones Unidas y la FAO</w:t>
      </w:r>
      <w:r>
        <w:rPr>
          <w:rFonts w:ascii="Bookman Old Style" w:eastAsia="Bookman Old Style" w:hAnsi="Bookman Old Style" w:cs="Bookman Old Style"/>
          <w:vertAlign w:val="superscript"/>
        </w:rPr>
        <w:footnoteReference w:id="39"/>
      </w:r>
      <w:r>
        <w:rPr>
          <w:rFonts w:ascii="Bookman Old Style" w:eastAsia="Bookman Old Style" w:hAnsi="Bookman Old Style" w:cs="Bookman Old Style"/>
        </w:rPr>
        <w:t xml:space="preserve">, hayan propuesto una definición que recoge las principales posturas que hasta la fecha se han dado sobre este asunto. En virtud de esta definición, por soberanía alimentaria se entiende la potestad que se confiere a las personas y a las comunidades para definir su propio alimento y modelo de </w:t>
      </w:r>
      <w:r>
        <w:rPr>
          <w:rFonts w:ascii="Bookman Old Style" w:eastAsia="Bookman Old Style" w:hAnsi="Bookman Old Style" w:cs="Bookman Old Style"/>
        </w:rPr>
        <w:lastRenderedPageBreak/>
        <w:t xml:space="preserve">producción. Así mismo, el reconocimiento del derecho para determinar hasta qué punto desean auto proveerse y hasta qué punto se desea proteger la producción interna de los recursos alimentarios. </w:t>
      </w:r>
    </w:p>
    <w:p w14:paraId="5B419229" w14:textId="77777777" w:rsidR="00FA0665" w:rsidRDefault="00FA0665">
      <w:pPr>
        <w:spacing w:after="0" w:line="276" w:lineRule="auto"/>
        <w:jc w:val="both"/>
        <w:rPr>
          <w:rFonts w:ascii="Bookman Old Style" w:eastAsia="Bookman Old Style" w:hAnsi="Bookman Old Style" w:cs="Bookman Old Style"/>
        </w:rPr>
      </w:pPr>
    </w:p>
    <w:p w14:paraId="7D911DB6"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La soberanía alimentaria también reconoce que, en razón a que el mercado requiere de la intervención del Estado para asegurar su correcto funcionamiento, se debe regular el comercio a fin de lograr los objetivos inherentes del desarrollo sostenible y a la atención de las necesidades de la población</w:t>
      </w:r>
      <w:r>
        <w:rPr>
          <w:rFonts w:ascii="Bookman Old Style" w:eastAsia="Bookman Old Style" w:hAnsi="Bookman Old Style" w:cs="Bookman Old Style"/>
          <w:vertAlign w:val="superscript"/>
        </w:rPr>
        <w:footnoteReference w:id="40"/>
      </w:r>
      <w:r>
        <w:rPr>
          <w:rFonts w:ascii="Bookman Old Style" w:eastAsia="Bookman Old Style" w:hAnsi="Bookman Old Style" w:cs="Bookman Old Style"/>
        </w:rPr>
        <w:t>.</w:t>
      </w:r>
    </w:p>
    <w:p w14:paraId="432DC1C2" w14:textId="77777777" w:rsidR="00FA0665" w:rsidRDefault="00FA0665">
      <w:pPr>
        <w:spacing w:after="0" w:line="276" w:lineRule="auto"/>
        <w:jc w:val="both"/>
        <w:rPr>
          <w:rFonts w:ascii="Bookman Old Style" w:eastAsia="Bookman Old Style" w:hAnsi="Bookman Old Style" w:cs="Bookman Old Style"/>
        </w:rPr>
      </w:pPr>
    </w:p>
    <w:p w14:paraId="4D6F0605"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Adicionalmente, no puede dejarse de lado lo aprobado por unanimidad en el seno del Parlamento Latinoamericano, instancia multilateral de la cual Colombia es parte, quien aprobó en 2012 el documento que tiene por objeto en convertirse en Ley Marco del Derecho a la Alimentación, la Seguridad y la Soberanía Alimentaria, en donde el numeral II del artículo 9 se establece una definición de Soberanía Alimentaria, entendida como:</w:t>
      </w:r>
    </w:p>
    <w:p w14:paraId="3746BFCA" w14:textId="77777777" w:rsidR="00FA0665" w:rsidRDefault="00FA0665">
      <w:pPr>
        <w:spacing w:after="0" w:line="276" w:lineRule="auto"/>
        <w:jc w:val="both"/>
        <w:rPr>
          <w:rFonts w:ascii="Bookman Old Style" w:eastAsia="Bookman Old Style" w:hAnsi="Bookman Old Style" w:cs="Bookman Old Style"/>
        </w:rPr>
      </w:pPr>
    </w:p>
    <w:p w14:paraId="30387749" w14:textId="77777777" w:rsidR="00FA0665" w:rsidRDefault="00000000">
      <w:pPr>
        <w:spacing w:after="0" w:line="276" w:lineRule="auto"/>
        <w:ind w:left="708"/>
        <w:jc w:val="both"/>
        <w:rPr>
          <w:rFonts w:ascii="Bookman Old Style" w:eastAsia="Bookman Old Style" w:hAnsi="Bookman Old Style" w:cs="Bookman Old Style"/>
          <w:i/>
        </w:rPr>
      </w:pPr>
      <w:r>
        <w:rPr>
          <w:rFonts w:ascii="Bookman Old Style" w:eastAsia="Bookman Old Style" w:hAnsi="Bookman Old Style" w:cs="Bookman Old Style"/>
          <w:i/>
        </w:rPr>
        <w:t xml:space="preserve">“El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 </w:t>
      </w:r>
    </w:p>
    <w:p w14:paraId="0144E944" w14:textId="77777777" w:rsidR="00FA0665" w:rsidRDefault="00FA0665">
      <w:pPr>
        <w:spacing w:after="0" w:line="276" w:lineRule="auto"/>
        <w:jc w:val="both"/>
        <w:rPr>
          <w:rFonts w:ascii="Bookman Old Style" w:eastAsia="Bookman Old Style" w:hAnsi="Bookman Old Style" w:cs="Bookman Old Style"/>
          <w:i/>
        </w:rPr>
      </w:pPr>
    </w:p>
    <w:p w14:paraId="4BB57C97"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Si no fueran suficientes los argumentos anteriormente esgrimidos, no puede dejarse de lado que el concepto de soberanía alimentaria no es ajeno a nuestro ordenamiento jurídico. Para ello, es válido traer algunos ejemplos en donde se ha establecido el mismo: Mediante la Ley 1776 de 2016, se establecieron las Zonas de Interés de Desarrollo Rural, Económico y Social (ZIDRES) como territorios con aptitud agrícola, pecuaria y forestal y piscícola. En dicha norma, específicamente en el parágrafo 5º del artículo 3º se dispuso que, en la aprobación de los proyectos productivos dentro de las ZIDRES, que contemplen la inversión nacional y extranjera, debe garantizarse que no se afecte la seguridad, autonomía y soberanía alimentaria. </w:t>
      </w:r>
    </w:p>
    <w:p w14:paraId="0C79911D" w14:textId="77777777" w:rsidR="00FA0665" w:rsidRDefault="00FA0665">
      <w:pPr>
        <w:widowControl w:val="0"/>
        <w:spacing w:after="0" w:line="276" w:lineRule="auto"/>
        <w:jc w:val="both"/>
        <w:rPr>
          <w:rFonts w:ascii="Bookman Old Style" w:eastAsia="Bookman Old Style" w:hAnsi="Bookman Old Style" w:cs="Bookman Old Style"/>
        </w:rPr>
      </w:pPr>
    </w:p>
    <w:p w14:paraId="2EC0C5D3" w14:textId="77777777" w:rsidR="00FA0665" w:rsidRDefault="00000000">
      <w:pPr>
        <w:widowControl w:val="0"/>
        <w:spacing w:after="0" w:line="276" w:lineRule="auto"/>
        <w:jc w:val="both"/>
        <w:rPr>
          <w:rFonts w:ascii="Bookman Old Style" w:eastAsia="Bookman Old Style" w:hAnsi="Bookman Old Style" w:cs="Bookman Old Style"/>
          <w:i/>
        </w:rPr>
      </w:pPr>
      <w:r>
        <w:rPr>
          <w:rFonts w:ascii="Bookman Old Style" w:eastAsia="Bookman Old Style" w:hAnsi="Bookman Old Style" w:cs="Bookman Old Style"/>
        </w:rPr>
        <w:t xml:space="preserve">De igual manera, recientemente la Ley 2046 de 2020, la Ley de Compras Públicas de Alimentos, indicó en su artículo 4º, relativo a las definiciones aplicables, señaló que </w:t>
      </w:r>
      <w:r>
        <w:rPr>
          <w:rFonts w:ascii="Bookman Old Style" w:eastAsia="Bookman Old Style" w:hAnsi="Bookman Old Style" w:cs="Bookman Old Style"/>
          <w:i/>
        </w:rPr>
        <w:t>“</w:t>
      </w:r>
      <w:r>
        <w:rPr>
          <w:rFonts w:ascii="Bookman Old Style" w:eastAsia="Bookman Old Style" w:hAnsi="Bookman Old Style" w:cs="Bookman Old Style"/>
        </w:rPr>
        <w:t>[l]</w:t>
      </w:r>
      <w:r>
        <w:rPr>
          <w:rFonts w:ascii="Bookman Old Style" w:eastAsia="Bookman Old Style" w:hAnsi="Bookman Old Style" w:cs="Bookman Old Style"/>
          <w:i/>
        </w:rPr>
        <w:t xml:space="preserve">os principios del comercio justo están relacionados con la soberanía alimentaria y seguridad alimentaria.” </w:t>
      </w:r>
      <w:r>
        <w:rPr>
          <w:rFonts w:ascii="Bookman Old Style" w:eastAsia="Bookman Old Style" w:hAnsi="Bookman Old Style" w:cs="Bookman Old Style"/>
        </w:rPr>
        <w:t xml:space="preserve">Además, en el artículo 6º del mencionado instrumento normativo se consagró la obligación del Gobierno Nacional de </w:t>
      </w:r>
      <w:r>
        <w:rPr>
          <w:rFonts w:ascii="Bookman Old Style" w:eastAsia="Bookman Old Style" w:hAnsi="Bookman Old Style" w:cs="Bookman Old Style"/>
        </w:rPr>
        <w:lastRenderedPageBreak/>
        <w:t>capacitar en diferentes ejes temáticos, dentro de los cuales se encuentra la seguridad y soberanía alimentaria.</w:t>
      </w:r>
    </w:p>
    <w:p w14:paraId="347203A6" w14:textId="77777777" w:rsidR="00FA0665" w:rsidRDefault="00FA0665">
      <w:pPr>
        <w:spacing w:after="0" w:line="276" w:lineRule="auto"/>
        <w:jc w:val="both"/>
        <w:rPr>
          <w:rFonts w:ascii="Bookman Old Style" w:eastAsia="Bookman Old Style" w:hAnsi="Bookman Old Style" w:cs="Bookman Old Style"/>
        </w:rPr>
      </w:pPr>
    </w:p>
    <w:p w14:paraId="1502C289" w14:textId="77777777" w:rsidR="00FA0665" w:rsidRDefault="00000000">
      <w:pPr>
        <w:numPr>
          <w:ilvl w:val="1"/>
          <w:numId w:val="3"/>
        </w:numPr>
        <w:pBdr>
          <w:top w:val="nil"/>
          <w:left w:val="nil"/>
          <w:bottom w:val="nil"/>
          <w:right w:val="nil"/>
          <w:between w:val="nil"/>
        </w:pBdr>
        <w:spacing w:after="0" w:line="276"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La relación reconocida por la doctrina entre seguridad alimentaria y soberanía alimentaria</w:t>
      </w:r>
    </w:p>
    <w:p w14:paraId="25EDC355" w14:textId="77777777" w:rsidR="00FA0665" w:rsidRDefault="00FA0665">
      <w:pPr>
        <w:spacing w:after="0" w:line="276" w:lineRule="auto"/>
        <w:jc w:val="both"/>
        <w:rPr>
          <w:rFonts w:ascii="Bookman Old Style" w:eastAsia="Bookman Old Style" w:hAnsi="Bookman Old Style" w:cs="Bookman Old Style"/>
        </w:rPr>
      </w:pPr>
    </w:p>
    <w:p w14:paraId="2D6B6B3F"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De acuerdo con algunos doctrinantes</w:t>
      </w:r>
      <w:r>
        <w:rPr>
          <w:rFonts w:ascii="Bookman Old Style" w:eastAsia="Bookman Old Style" w:hAnsi="Bookman Old Style" w:cs="Bookman Old Style"/>
          <w:vertAlign w:val="superscript"/>
        </w:rPr>
        <w:footnoteReference w:id="41"/>
      </w:r>
      <w:r>
        <w:rPr>
          <w:rFonts w:ascii="Bookman Old Style" w:eastAsia="Bookman Old Style" w:hAnsi="Bookman Old Style" w:cs="Bookman Old Style"/>
        </w:rPr>
        <w:t xml:space="preserve">, y como bien se ha señalado en la exposición de motivos, la soberanía alimentaria está estrechamente relacionada con el concepto de seguridad alimentaria, siendo la primera una forma de abordar la segunda. </w:t>
      </w:r>
    </w:p>
    <w:p w14:paraId="0CFE21C9" w14:textId="77777777" w:rsidR="00FA0665" w:rsidRDefault="00FA0665">
      <w:pPr>
        <w:spacing w:after="0" w:line="276" w:lineRule="auto"/>
        <w:jc w:val="both"/>
        <w:rPr>
          <w:rFonts w:ascii="Bookman Old Style" w:eastAsia="Bookman Old Style" w:hAnsi="Bookman Old Style" w:cs="Bookman Old Style"/>
        </w:rPr>
      </w:pPr>
    </w:p>
    <w:p w14:paraId="0C62E3F4"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A través de la soberanía alimentaria se materializa el elemento de disponibilidad del derecho a la alimentación consistente en la facultad de toda persona, pueblo o nación de satisfacer su necesidad alimentaria por sus propios medios, así como la obligación de los Estados de construir un entorno económico, político y social que permita a las comunidades alcanzar la seguridad alimentaria por sus propios medios – o autodeterminarse respecto de los medios que consideran más idóneos para ello – o de no adoptar medidas que tengan como resultado impedir, limitar o privar a las comunidades de las posibilidades de autoabastecerse.</w:t>
      </w:r>
    </w:p>
    <w:p w14:paraId="48CFC981" w14:textId="77777777" w:rsidR="00FA0665" w:rsidRDefault="00FA0665">
      <w:pPr>
        <w:spacing w:after="0" w:line="276" w:lineRule="auto"/>
        <w:jc w:val="both"/>
        <w:rPr>
          <w:rFonts w:ascii="Bookman Old Style" w:eastAsia="Bookman Old Style" w:hAnsi="Bookman Old Style" w:cs="Bookman Old Style"/>
        </w:rPr>
      </w:pPr>
    </w:p>
    <w:p w14:paraId="667226BD" w14:textId="77777777" w:rsidR="00FA0665" w:rsidRDefault="00000000">
      <w:pPr>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Es así como puede concluirse que, para hablar de un derecho a la alimentación adecuada y a una efectiva protección contra el hambre y la desnutrición en el país, garantizar la seguridad alimentaria y la soberanía alimentaria – en los términos señalados por la Ley Marco aprobada en el seno del Parlamento Latinoamericano – se consideran prerrequisitos esenciales sin los cuales no se puede abordar debidamente este aspecto.</w:t>
      </w:r>
    </w:p>
    <w:p w14:paraId="44450870" w14:textId="77777777" w:rsidR="00FA0665" w:rsidRDefault="00FA0665">
      <w:pPr>
        <w:spacing w:after="0" w:line="276" w:lineRule="auto"/>
        <w:jc w:val="both"/>
        <w:rPr>
          <w:rFonts w:ascii="Bookman Old Style" w:eastAsia="Bookman Old Style" w:hAnsi="Bookman Old Style" w:cs="Bookman Old Style"/>
        </w:rPr>
      </w:pPr>
    </w:p>
    <w:p w14:paraId="27617A1E" w14:textId="77777777" w:rsidR="00FA0665" w:rsidRDefault="00FA0665">
      <w:pPr>
        <w:spacing w:after="0" w:line="276" w:lineRule="auto"/>
        <w:jc w:val="both"/>
        <w:rPr>
          <w:rFonts w:ascii="Bookman Old Style" w:eastAsia="Bookman Old Style" w:hAnsi="Bookman Old Style" w:cs="Bookman Old Style"/>
        </w:rPr>
      </w:pPr>
    </w:p>
    <w:p w14:paraId="6196AB09" w14:textId="77777777" w:rsidR="00FA0665" w:rsidRDefault="00FA0665">
      <w:pPr>
        <w:spacing w:after="0" w:line="276" w:lineRule="auto"/>
        <w:jc w:val="both"/>
        <w:rPr>
          <w:rFonts w:ascii="Bookman Old Style" w:eastAsia="Bookman Old Style" w:hAnsi="Bookman Old Style" w:cs="Bookman Old Style"/>
          <w:b/>
          <w:highlight w:val="yellow"/>
        </w:rPr>
      </w:pPr>
    </w:p>
    <w:p w14:paraId="6C2C65D0" w14:textId="77777777" w:rsidR="00FA0665" w:rsidRDefault="00000000">
      <w:pPr>
        <w:numPr>
          <w:ilvl w:val="0"/>
          <w:numId w:val="4"/>
        </w:numPr>
        <w:pBdr>
          <w:top w:val="nil"/>
          <w:left w:val="nil"/>
          <w:bottom w:val="nil"/>
          <w:right w:val="nil"/>
          <w:between w:val="nil"/>
        </w:pBdr>
        <w:spacing w:line="276" w:lineRule="auto"/>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Competencia del Congreso </w:t>
      </w:r>
    </w:p>
    <w:p w14:paraId="7E4ACBD4" w14:textId="77777777" w:rsidR="00FA0665" w:rsidRDefault="00000000">
      <w:pPr>
        <w:spacing w:before="240" w:after="240"/>
        <w:jc w:val="both"/>
        <w:rPr>
          <w:rFonts w:ascii="Bookman Old Style" w:eastAsia="Bookman Old Style" w:hAnsi="Bookman Old Style" w:cs="Bookman Old Style"/>
          <w:b/>
          <w:u w:val="single"/>
        </w:rPr>
      </w:pPr>
      <w:r>
        <w:rPr>
          <w:rFonts w:ascii="Bookman Old Style" w:eastAsia="Bookman Old Style" w:hAnsi="Bookman Old Style" w:cs="Bookman Old Style"/>
          <w:b/>
          <w:u w:val="single"/>
        </w:rPr>
        <w:t>CONSTITUCIONAL:</w:t>
      </w:r>
    </w:p>
    <w:p w14:paraId="167A7A2E" w14:textId="77777777" w:rsidR="00FA0665" w:rsidRDefault="00000000">
      <w:pPr>
        <w:spacing w:before="240" w:after="240"/>
        <w:jc w:val="both"/>
        <w:rPr>
          <w:rFonts w:ascii="Bookman Old Style" w:eastAsia="Bookman Old Style" w:hAnsi="Bookman Old Style" w:cs="Bookman Old Style"/>
          <w:i/>
        </w:rPr>
      </w:pPr>
      <w:r>
        <w:rPr>
          <w:rFonts w:ascii="Bookman Old Style" w:eastAsia="Bookman Old Style" w:hAnsi="Bookman Old Style" w:cs="Bookman Old Style"/>
          <w:b/>
          <w:i/>
        </w:rPr>
        <w:t>ARTÍCULO 114.</w:t>
      </w:r>
      <w:r>
        <w:rPr>
          <w:rFonts w:ascii="Bookman Old Style" w:eastAsia="Bookman Old Style" w:hAnsi="Bookman Old Style" w:cs="Bookman Old Style"/>
          <w:i/>
        </w:rPr>
        <w:t xml:space="preserve"> Corresponde al Congreso de la República reformar la Constitución, hacer las leyes y ejercer control político sobre el gobierno y la administración.</w:t>
      </w:r>
    </w:p>
    <w:p w14:paraId="73ADFB6B" w14:textId="77777777" w:rsidR="00FA0665" w:rsidRDefault="00000000">
      <w:pPr>
        <w:spacing w:before="240" w:after="240"/>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 xml:space="preserve">El Congreso de la República, estará integrado por el Senado y la Cámara de Representantes. </w:t>
      </w:r>
    </w:p>
    <w:p w14:paraId="7493275D" w14:textId="77777777" w:rsidR="00FA0665" w:rsidRDefault="00000000">
      <w:pPr>
        <w:spacing w:before="240" w:after="240"/>
        <w:jc w:val="both"/>
        <w:rPr>
          <w:rFonts w:ascii="Bookman Old Style" w:eastAsia="Bookman Old Style" w:hAnsi="Bookman Old Style" w:cs="Bookman Old Style"/>
          <w:i/>
        </w:rPr>
      </w:pPr>
      <w:r>
        <w:rPr>
          <w:rFonts w:ascii="Bookman Old Style" w:eastAsia="Bookman Old Style" w:hAnsi="Bookman Old Style" w:cs="Bookman Old Style"/>
          <w:b/>
          <w:i/>
        </w:rPr>
        <w:t>ARTÍCULO  375.</w:t>
      </w:r>
      <w:r>
        <w:rPr>
          <w:rFonts w:ascii="Bookman Old Style" w:eastAsia="Bookman Old Style" w:hAnsi="Bookman Old Style" w:cs="Bookman Old Style"/>
          <w:i/>
        </w:rPr>
        <w:t xml:space="preserve"> Podrán presentar proyectos de acto legislativo el Gobierno, diez miembros del Congreso, el veinte por ciento de los concejales o de los diputados y los ciudadanos en un número equivalente al menos, al cinco por ciento del censo electoral vigente. </w:t>
      </w:r>
    </w:p>
    <w:p w14:paraId="4C59FF6A" w14:textId="77777777" w:rsidR="00FA0665" w:rsidRDefault="00000000">
      <w:pPr>
        <w:spacing w:before="240" w:after="240"/>
        <w:jc w:val="both"/>
        <w:rPr>
          <w:rFonts w:ascii="Bookman Old Style" w:eastAsia="Bookman Old Style" w:hAnsi="Bookman Old Style" w:cs="Bookman Old Style"/>
          <w:i/>
        </w:rPr>
      </w:pPr>
      <w:r>
        <w:rPr>
          <w:rFonts w:ascii="Bookman Old Style" w:eastAsia="Bookman Old Style" w:hAnsi="Bookman Old Style" w:cs="Bookman Old Style"/>
          <w:i/>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14:paraId="33A85D40" w14:textId="77777777" w:rsidR="00FA0665" w:rsidRDefault="00FA0665">
      <w:pPr>
        <w:spacing w:before="240" w:after="240"/>
        <w:jc w:val="both"/>
        <w:rPr>
          <w:rFonts w:ascii="Bookman Old Style" w:eastAsia="Bookman Old Style" w:hAnsi="Bookman Old Style" w:cs="Bookman Old Style"/>
        </w:rPr>
      </w:pPr>
    </w:p>
    <w:p w14:paraId="5D0E2EA0" w14:textId="77777777" w:rsidR="00FA0665" w:rsidRDefault="00000000">
      <w:pPr>
        <w:spacing w:before="240" w:after="240"/>
        <w:jc w:val="both"/>
        <w:rPr>
          <w:rFonts w:ascii="Bookman Old Style" w:eastAsia="Bookman Old Style" w:hAnsi="Bookman Old Style" w:cs="Bookman Old Style"/>
          <w:u w:val="single"/>
        </w:rPr>
      </w:pPr>
      <w:r>
        <w:rPr>
          <w:rFonts w:ascii="Bookman Old Style" w:eastAsia="Bookman Old Style" w:hAnsi="Bookman Old Style" w:cs="Bookman Old Style"/>
          <w:b/>
          <w:u w:val="single"/>
        </w:rPr>
        <w:t>LEGAL</w:t>
      </w:r>
    </w:p>
    <w:p w14:paraId="041F89D1" w14:textId="77777777" w:rsidR="00FA0665" w:rsidRDefault="00000000">
      <w:pPr>
        <w:spacing w:before="240" w:after="240"/>
        <w:ind w:left="708"/>
        <w:jc w:val="both"/>
        <w:rPr>
          <w:rFonts w:ascii="Bookman Old Style" w:eastAsia="Bookman Old Style" w:hAnsi="Bookman Old Style" w:cs="Bookman Old Style"/>
          <w:b/>
          <w:i/>
        </w:rPr>
      </w:pPr>
      <w:r>
        <w:rPr>
          <w:rFonts w:ascii="Bookman Old Style" w:eastAsia="Bookman Old Style" w:hAnsi="Bookman Old Style" w:cs="Bookman Old Style"/>
          <w:b/>
          <w:i/>
        </w:rPr>
        <w:t>LEY 5 DE 1992. POR LA CUAL SE EXPIDE EL REGLAMENTO DEL CONGRESO; EL SENADO Y LA CÁMARA DE REPRESENTANTES</w:t>
      </w:r>
    </w:p>
    <w:p w14:paraId="48F6DAA9" w14:textId="77777777" w:rsidR="00FA0665" w:rsidRDefault="00000000">
      <w:pPr>
        <w:spacing w:before="240" w:after="240"/>
        <w:jc w:val="both"/>
        <w:rPr>
          <w:rFonts w:ascii="Bookman Old Style" w:eastAsia="Bookman Old Style" w:hAnsi="Bookman Old Style" w:cs="Bookman Old Style"/>
          <w:i/>
        </w:rPr>
      </w:pPr>
      <w:r>
        <w:rPr>
          <w:rFonts w:ascii="Bookman Old Style" w:eastAsia="Bookman Old Style" w:hAnsi="Bookman Old Style" w:cs="Bookman Old Style"/>
          <w:b/>
          <w:i/>
        </w:rPr>
        <w:t>ARTÍCULO  6°.</w:t>
      </w:r>
      <w:r>
        <w:rPr>
          <w:rFonts w:ascii="Bookman Old Style" w:eastAsia="Bookman Old Style" w:hAnsi="Bookman Old Style" w:cs="Bookman Old Style"/>
          <w:i/>
        </w:rPr>
        <w:t xml:space="preserve"> Clases de funciones del Congreso. El Congreso de la República cumple:</w:t>
      </w:r>
    </w:p>
    <w:p w14:paraId="412F6707" w14:textId="77777777" w:rsidR="00FA0665" w:rsidRDefault="00000000">
      <w:pPr>
        <w:ind w:right="900"/>
        <w:jc w:val="both"/>
        <w:rPr>
          <w:rFonts w:ascii="Bookman Old Style" w:eastAsia="Bookman Old Style" w:hAnsi="Bookman Old Style" w:cs="Bookman Old Style"/>
          <w:i/>
        </w:rPr>
      </w:pPr>
      <w:r>
        <w:rPr>
          <w:rFonts w:ascii="Bookman Old Style" w:eastAsia="Bookman Old Style" w:hAnsi="Bookman Old Style" w:cs="Bookman Old Style"/>
          <w:i/>
        </w:rPr>
        <w:t>1. Función constituyente, para reformar la Constitución Política mediante actos legislativos.</w:t>
      </w:r>
    </w:p>
    <w:p w14:paraId="52904505" w14:textId="77777777" w:rsidR="00FA0665" w:rsidRDefault="00000000">
      <w:pPr>
        <w:ind w:right="900"/>
        <w:jc w:val="both"/>
        <w:rPr>
          <w:rFonts w:ascii="Bookman Old Style" w:eastAsia="Bookman Old Style" w:hAnsi="Bookman Old Style" w:cs="Bookman Old Style"/>
          <w:i/>
        </w:rPr>
      </w:pPr>
      <w:r>
        <w:rPr>
          <w:rFonts w:ascii="Bookman Old Style" w:eastAsia="Bookman Old Style" w:hAnsi="Bookman Old Style" w:cs="Bookman Old Style"/>
          <w:i/>
        </w:rPr>
        <w:t>(…)</w:t>
      </w:r>
    </w:p>
    <w:p w14:paraId="03B4A39E" w14:textId="77777777" w:rsidR="00FA0665" w:rsidRDefault="00000000">
      <w:pPr>
        <w:spacing w:before="240" w:after="240"/>
        <w:jc w:val="both"/>
        <w:rPr>
          <w:rFonts w:ascii="Bookman Old Style" w:eastAsia="Bookman Old Style" w:hAnsi="Bookman Old Style" w:cs="Bookman Old Style"/>
          <w:i/>
          <w:color w:val="333333"/>
          <w:highlight w:val="white"/>
        </w:rPr>
      </w:pPr>
      <w:r>
        <w:rPr>
          <w:rFonts w:ascii="Bookman Old Style" w:eastAsia="Bookman Old Style" w:hAnsi="Bookman Old Style" w:cs="Bookman Old Style"/>
          <w:b/>
          <w:i/>
        </w:rPr>
        <w:t xml:space="preserve">ARTÍCULO 221. </w:t>
      </w:r>
      <w:r>
        <w:rPr>
          <w:rFonts w:ascii="Bookman Old Style" w:eastAsia="Bookman Old Style" w:hAnsi="Bookman Old Style" w:cs="Bookman Old Style"/>
          <w:i/>
          <w:color w:val="333333"/>
          <w:highlight w:val="white"/>
        </w:rPr>
        <w:t> Acto Legislativo. Las normas expedidas por el Congreso que tengan por objeto modificar, reformar, adicionar o derogar los textos constitucionales, se denominan Actos Legislativos, y deberán cumplir el trámite señalado en la Constitución y en este Reglamento.</w:t>
      </w:r>
    </w:p>
    <w:p w14:paraId="43F58CDC" w14:textId="77777777" w:rsidR="00FA0665" w:rsidRDefault="00FA0665">
      <w:pPr>
        <w:ind w:right="900"/>
        <w:jc w:val="both"/>
        <w:rPr>
          <w:rFonts w:ascii="Bookman Old Style" w:eastAsia="Bookman Old Style" w:hAnsi="Bookman Old Style" w:cs="Bookman Old Style"/>
        </w:rPr>
      </w:pPr>
    </w:p>
    <w:p w14:paraId="3E29B10F" w14:textId="77777777" w:rsidR="00FA0665" w:rsidRDefault="00000000">
      <w:pPr>
        <w:ind w:left="708" w:right="900"/>
        <w:jc w:val="both"/>
        <w:rPr>
          <w:rFonts w:ascii="Bookman Old Style" w:eastAsia="Bookman Old Style" w:hAnsi="Bookman Old Style" w:cs="Bookman Old Style"/>
          <w:b/>
        </w:rPr>
      </w:pPr>
      <w:r>
        <w:rPr>
          <w:rFonts w:ascii="Bookman Old Style" w:eastAsia="Bookman Old Style" w:hAnsi="Bookman Old Style" w:cs="Bookman Old Style"/>
          <w:b/>
        </w:rPr>
        <w:t xml:space="preserve">LEY 3 DE 1992. POR LA CUAL SE EXPIDEN NORMAS SOBRE LAS COMISIONES DEL CONGRESO DE COLOMBIA Y SE DICTAN OTRAS DISPOSICIONES. </w:t>
      </w:r>
    </w:p>
    <w:p w14:paraId="607A5DD2" w14:textId="77777777" w:rsidR="00FA0665" w:rsidRDefault="00000000">
      <w:pPr>
        <w:spacing w:before="240" w:after="240"/>
        <w:jc w:val="both"/>
        <w:rPr>
          <w:rFonts w:ascii="Bookman Old Style" w:eastAsia="Bookman Old Style" w:hAnsi="Bookman Old Style" w:cs="Bookman Old Style"/>
          <w:i/>
        </w:rPr>
      </w:pPr>
      <w:r>
        <w:rPr>
          <w:rFonts w:ascii="Bookman Old Style" w:eastAsia="Bookman Old Style" w:hAnsi="Bookman Old Style" w:cs="Bookman Old Style"/>
          <w:b/>
          <w:i/>
        </w:rPr>
        <w:t xml:space="preserve">ARTÍCULO 2º. </w:t>
      </w:r>
      <w:r>
        <w:rPr>
          <w:rFonts w:ascii="Bookman Old Style" w:eastAsia="Bookman Old Style" w:hAnsi="Bookman Old Style" w:cs="Bookman Old Style"/>
          <w:i/>
        </w:rPr>
        <w:t xml:space="preserve">Tanto en el Senado como en la Cámara de Representantes funcionarán Comisiones Constitucionales Permanentes, encargadas de dar primer debate a los proyectos de acto legislativo o de ley referente a los asuntos de su competencia. </w:t>
      </w:r>
    </w:p>
    <w:p w14:paraId="516E252B" w14:textId="77777777" w:rsidR="00FA0665" w:rsidRDefault="00000000">
      <w:pPr>
        <w:spacing w:before="240" w:after="240"/>
        <w:jc w:val="both"/>
        <w:rPr>
          <w:rFonts w:ascii="Bookman Old Style" w:eastAsia="Bookman Old Style" w:hAnsi="Bookman Old Style" w:cs="Bookman Old Style"/>
          <w:i/>
        </w:rPr>
      </w:pPr>
      <w:r>
        <w:rPr>
          <w:rFonts w:ascii="Bookman Old Style" w:eastAsia="Bookman Old Style" w:hAnsi="Bookman Old Style" w:cs="Bookman Old Style"/>
          <w:i/>
        </w:rPr>
        <w:t xml:space="preserve">Las Comisiones Constitucionales Permanentes en cada una de las Cámaras serán siete (7) a saber: </w:t>
      </w:r>
    </w:p>
    <w:p w14:paraId="0994C156" w14:textId="77777777" w:rsidR="00FA0665" w:rsidRDefault="00000000">
      <w:pPr>
        <w:spacing w:before="240" w:after="240"/>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 xml:space="preserve"> Comisión Primera. </w:t>
      </w:r>
    </w:p>
    <w:p w14:paraId="2AC9A422" w14:textId="77777777" w:rsidR="00FA0665" w:rsidRDefault="00000000">
      <w:pPr>
        <w:spacing w:before="240" w:after="240"/>
        <w:ind w:left="1440"/>
        <w:jc w:val="both"/>
        <w:rPr>
          <w:rFonts w:ascii="Bookman Old Style" w:eastAsia="Bookman Old Style" w:hAnsi="Bookman Old Style" w:cs="Bookman Old Style"/>
          <w:b/>
          <w:i/>
        </w:rPr>
      </w:pPr>
      <w:r>
        <w:rPr>
          <w:rFonts w:ascii="Bookman Old Style" w:eastAsia="Bookman Old Style" w:hAnsi="Bookman Old Style" w:cs="Bookman Old Style"/>
          <w:i/>
          <w:color w:val="333333"/>
          <w:highlight w:val="white"/>
        </w:rPr>
        <w:t xml:space="preserve">Compuesta por 19 miembros en el Senado y 33 en la Cámara de Representantes, conocerá de: </w:t>
      </w:r>
      <w:r>
        <w:rPr>
          <w:rFonts w:ascii="Bookman Old Style" w:eastAsia="Bookman Old Style" w:hAnsi="Bookman Old Style" w:cs="Bookman Old Style"/>
          <w:i/>
          <w:color w:val="333333"/>
          <w:highlight w:val="white"/>
          <w:u w:val="single"/>
        </w:rPr>
        <w:t>reforma constitucional</w:t>
      </w:r>
      <w:r>
        <w:rPr>
          <w:rFonts w:ascii="Bookman Old Style" w:eastAsia="Bookman Old Style" w:hAnsi="Bookman Old Style" w:cs="Bookman Old Style"/>
          <w:i/>
          <w:color w:val="333333"/>
          <w:highlight w:val="white"/>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14AA866B" w14:textId="77777777" w:rsidR="00FA0665" w:rsidRDefault="00000000">
      <w:pPr>
        <w:numPr>
          <w:ilvl w:val="0"/>
          <w:numId w:val="4"/>
        </w:numPr>
        <w:pBdr>
          <w:top w:val="nil"/>
          <w:left w:val="nil"/>
          <w:bottom w:val="nil"/>
          <w:right w:val="nil"/>
          <w:between w:val="nil"/>
        </w:pBdr>
        <w:spacing w:line="276" w:lineRule="auto"/>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Impedimentos y conflictos de interés </w:t>
      </w:r>
    </w:p>
    <w:p w14:paraId="6CF37715" w14:textId="77777777" w:rsidR="00FA0665" w:rsidRDefault="00000000">
      <w:pPr>
        <w:pStyle w:val="Ttulo2"/>
        <w:ind w:left="0"/>
        <w:jc w:val="both"/>
        <w:rPr>
          <w:rFonts w:ascii="Bookman Old Style" w:eastAsia="Bookman Old Style" w:hAnsi="Bookman Old Style" w:cs="Bookman Old Style"/>
          <w:b w:val="0"/>
          <w:sz w:val="22"/>
          <w:szCs w:val="22"/>
        </w:rPr>
      </w:pPr>
      <w:r>
        <w:rPr>
          <w:rFonts w:ascii="Bookman Old Style" w:eastAsia="Bookman Old Style" w:hAnsi="Bookman Old Style" w:cs="Bookman Old Style"/>
          <w:b w:val="0"/>
          <w:sz w:val="22"/>
          <w:szCs w:val="22"/>
        </w:rPr>
        <w:t xml:space="preserve">Dando cumplimiento a lo establecido en el artículo 3 de la Ley 2003 del 19 de noviembre de 2019, por la cual se modifica parcialmente la Ley 5 de 1992, se hacen las siguientes consideraciones: </w:t>
      </w:r>
    </w:p>
    <w:p w14:paraId="532C5405" w14:textId="77777777" w:rsidR="00FA0665" w:rsidRDefault="00FA0665">
      <w:pPr>
        <w:pStyle w:val="Ttulo2"/>
        <w:ind w:left="0"/>
        <w:rPr>
          <w:rFonts w:ascii="Bookman Old Style" w:eastAsia="Bookman Old Style" w:hAnsi="Bookman Old Style" w:cs="Bookman Old Style"/>
          <w:b w:val="0"/>
          <w:sz w:val="22"/>
          <w:szCs w:val="22"/>
        </w:rPr>
      </w:pPr>
    </w:p>
    <w:p w14:paraId="66A0132A" w14:textId="77777777" w:rsidR="00FA0665" w:rsidRDefault="00000000">
      <w:pPr>
        <w:pStyle w:val="Ttulo2"/>
        <w:ind w:left="0"/>
        <w:jc w:val="both"/>
        <w:rPr>
          <w:rFonts w:ascii="Bookman Old Style" w:eastAsia="Bookman Old Style" w:hAnsi="Bookman Old Style" w:cs="Bookman Old Style"/>
          <w:b w:val="0"/>
          <w:sz w:val="22"/>
          <w:szCs w:val="22"/>
        </w:rPr>
      </w:pPr>
      <w:r>
        <w:rPr>
          <w:rFonts w:ascii="Bookman Old Style" w:eastAsia="Bookman Old Style" w:hAnsi="Bookman Old Style" w:cs="Bookman Old Style"/>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 o participación en empresas que se encarguen de su producción y comercialización que puedan beneficiarse con el proyecto en mención.</w:t>
      </w:r>
    </w:p>
    <w:p w14:paraId="260C19D0" w14:textId="77777777" w:rsidR="00FA0665" w:rsidRDefault="00FA0665">
      <w:pPr>
        <w:pStyle w:val="Ttulo2"/>
        <w:ind w:left="0"/>
        <w:jc w:val="both"/>
        <w:rPr>
          <w:rFonts w:ascii="Bookman Old Style" w:eastAsia="Bookman Old Style" w:hAnsi="Bookman Old Style" w:cs="Bookman Old Style"/>
          <w:b w:val="0"/>
          <w:sz w:val="22"/>
          <w:szCs w:val="22"/>
        </w:rPr>
      </w:pPr>
    </w:p>
    <w:p w14:paraId="3946F517" w14:textId="77777777" w:rsidR="00FA0665" w:rsidRDefault="00000000">
      <w:pPr>
        <w:pStyle w:val="Ttulo2"/>
        <w:ind w:left="0"/>
        <w:jc w:val="both"/>
        <w:rPr>
          <w:rFonts w:ascii="Bookman Old Style" w:eastAsia="Bookman Old Style" w:hAnsi="Bookman Old Style" w:cs="Bookman Old Style"/>
          <w:b w:val="0"/>
          <w:sz w:val="22"/>
          <w:szCs w:val="22"/>
        </w:rPr>
      </w:pPr>
      <w:r>
        <w:rPr>
          <w:rFonts w:ascii="Bookman Old Style" w:eastAsia="Bookman Old Style" w:hAnsi="Bookman Old Style" w:cs="Bookman Old Style"/>
          <w:b w:val="0"/>
          <w:sz w:val="22"/>
          <w:szCs w:val="22"/>
        </w:rPr>
        <w:t>Sobre este asunto ha señalado el Consejo de Estado (2019):</w:t>
      </w:r>
    </w:p>
    <w:p w14:paraId="7235337E" w14:textId="77777777" w:rsidR="00FA0665" w:rsidRDefault="00FA0665">
      <w:pPr>
        <w:pStyle w:val="Ttulo2"/>
        <w:ind w:left="0"/>
        <w:rPr>
          <w:rFonts w:ascii="Bookman Old Style" w:eastAsia="Bookman Old Style" w:hAnsi="Bookman Old Style" w:cs="Bookman Old Style"/>
          <w:b w:val="0"/>
          <w:sz w:val="22"/>
          <w:szCs w:val="22"/>
        </w:rPr>
      </w:pPr>
    </w:p>
    <w:p w14:paraId="7E055531" w14:textId="77777777" w:rsidR="00FA0665" w:rsidRDefault="00000000">
      <w:pPr>
        <w:pStyle w:val="Ttulo2"/>
        <w:ind w:left="851" w:right="900"/>
        <w:jc w:val="both"/>
        <w:rPr>
          <w:rFonts w:ascii="Bookman Old Style" w:eastAsia="Bookman Old Style" w:hAnsi="Bookman Old Style" w:cs="Bookman Old Style"/>
          <w:b w:val="0"/>
          <w:i/>
          <w:sz w:val="22"/>
          <w:szCs w:val="22"/>
        </w:rPr>
      </w:pPr>
      <w:r>
        <w:rPr>
          <w:rFonts w:ascii="Bookman Old Style" w:eastAsia="Bookman Old Style" w:hAnsi="Bookman Old Style" w:cs="Bookman Old Style"/>
          <w:b w:val="0"/>
          <w:i/>
          <w:sz w:val="22"/>
          <w:szCs w:val="22"/>
        </w:rPr>
        <w:t xml:space="preserve">“No cualquier interés configura la causal de desinvestidura en comento, pues se sabe que sólo lo será aquél del que se pueda predicar que es directo, esto es, que per se </w:t>
      </w:r>
      <w:proofErr w:type="spellStart"/>
      <w:r>
        <w:rPr>
          <w:rFonts w:ascii="Bookman Old Style" w:eastAsia="Bookman Old Style" w:hAnsi="Bookman Old Style" w:cs="Bookman Old Style"/>
          <w:b w:val="0"/>
          <w:i/>
          <w:sz w:val="22"/>
          <w:szCs w:val="22"/>
        </w:rPr>
        <w:t>el</w:t>
      </w:r>
      <w:proofErr w:type="spellEnd"/>
      <w:r>
        <w:rPr>
          <w:rFonts w:ascii="Bookman Old Style" w:eastAsia="Bookman Old Style" w:hAnsi="Bookman Old Style" w:cs="Bookman Old Style"/>
          <w:b w:val="0"/>
          <w:i/>
          <w:sz w:val="22"/>
          <w:szCs w:val="22"/>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2DA232B6" w14:textId="77777777" w:rsidR="00FA0665" w:rsidRDefault="00FA0665"/>
    <w:p w14:paraId="428037F9" w14:textId="77777777" w:rsidR="00FA0665" w:rsidRDefault="00000000">
      <w:pPr>
        <w:pStyle w:val="Ttulo2"/>
        <w:ind w:left="0"/>
        <w:jc w:val="both"/>
        <w:rPr>
          <w:rFonts w:ascii="Bookman Old Style" w:eastAsia="Bookman Old Style" w:hAnsi="Bookman Old Style" w:cs="Bookman Old Style"/>
          <w:b w:val="0"/>
          <w:sz w:val="22"/>
          <w:szCs w:val="22"/>
        </w:rPr>
      </w:pPr>
      <w:r>
        <w:rPr>
          <w:rFonts w:ascii="Bookman Old Style" w:eastAsia="Bookman Old Style" w:hAnsi="Bookman Old Style" w:cs="Bookman Old Style"/>
          <w:b w:val="0"/>
          <w:sz w:val="22"/>
          <w:szCs w:val="22"/>
        </w:rPr>
        <w:t>De igual forma, es pertinente señalar lo que la Ley 5 de 1992 dispone sobre la materia en el artículo 286, modificado por el artículo 1 de la Ley 2003 de 2019:</w:t>
      </w:r>
    </w:p>
    <w:p w14:paraId="4BF02CB7" w14:textId="77777777" w:rsidR="00FA0665" w:rsidRDefault="00FA0665">
      <w:pPr>
        <w:pStyle w:val="Ttulo2"/>
        <w:ind w:left="0"/>
        <w:rPr>
          <w:rFonts w:ascii="Bookman Old Style" w:eastAsia="Bookman Old Style" w:hAnsi="Bookman Old Style" w:cs="Bookman Old Style"/>
          <w:b w:val="0"/>
          <w:sz w:val="22"/>
          <w:szCs w:val="22"/>
        </w:rPr>
      </w:pPr>
    </w:p>
    <w:p w14:paraId="57F0397A" w14:textId="77777777" w:rsidR="00FA0665" w:rsidRDefault="00000000">
      <w:pPr>
        <w:pStyle w:val="Ttulo2"/>
        <w:ind w:left="851" w:right="900"/>
        <w:jc w:val="both"/>
        <w:rPr>
          <w:rFonts w:ascii="Bookman Old Style" w:eastAsia="Bookman Old Style" w:hAnsi="Bookman Old Style" w:cs="Bookman Old Style"/>
          <w:b w:val="0"/>
          <w:i/>
          <w:sz w:val="22"/>
          <w:szCs w:val="22"/>
        </w:rPr>
      </w:pPr>
      <w:r>
        <w:rPr>
          <w:rFonts w:ascii="Bookman Old Style" w:eastAsia="Bookman Old Style" w:hAnsi="Bookman Old Style" w:cs="Bookman Old Style"/>
          <w:b w:val="0"/>
          <w:i/>
          <w:sz w:val="22"/>
          <w:szCs w:val="22"/>
        </w:rPr>
        <w:t>“Se entiende como conflicto de interés una situación donde la discusión o votación de un proyecto de ley o acto legislativo o artículo, pueda resultar en un beneficio particular, actual y directo a favor del congresista.</w:t>
      </w:r>
    </w:p>
    <w:p w14:paraId="35D9E4B9" w14:textId="77777777" w:rsidR="00FA0665" w:rsidRDefault="00FA0665">
      <w:pPr>
        <w:ind w:left="851" w:right="900"/>
        <w:rPr>
          <w:i/>
        </w:rPr>
      </w:pPr>
    </w:p>
    <w:p w14:paraId="03285A2A" w14:textId="77777777" w:rsidR="00FA0665" w:rsidRDefault="00000000">
      <w:pPr>
        <w:pStyle w:val="Ttulo2"/>
        <w:ind w:left="851" w:right="900"/>
        <w:jc w:val="both"/>
        <w:rPr>
          <w:rFonts w:ascii="Bookman Old Style" w:eastAsia="Bookman Old Style" w:hAnsi="Bookman Old Style" w:cs="Bookman Old Style"/>
          <w:b w:val="0"/>
          <w:i/>
          <w:sz w:val="22"/>
          <w:szCs w:val="22"/>
        </w:rPr>
      </w:pPr>
      <w:r>
        <w:rPr>
          <w:rFonts w:ascii="Bookman Old Style" w:eastAsia="Bookman Old Style" w:hAnsi="Bookman Old Style" w:cs="Bookman Old Style"/>
          <w:b w:val="0"/>
          <w:i/>
          <w:sz w:val="22"/>
          <w:szCs w:val="22"/>
        </w:rPr>
        <w:lastRenderedPageBreak/>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E179F47" w14:textId="77777777" w:rsidR="00FA0665" w:rsidRDefault="00FA0665">
      <w:pPr>
        <w:pStyle w:val="Ttulo2"/>
        <w:ind w:left="851" w:right="900"/>
        <w:jc w:val="both"/>
        <w:rPr>
          <w:rFonts w:ascii="Bookman Old Style" w:eastAsia="Bookman Old Style" w:hAnsi="Bookman Old Style" w:cs="Bookman Old Style"/>
          <w:b w:val="0"/>
          <w:i/>
          <w:sz w:val="22"/>
          <w:szCs w:val="22"/>
        </w:rPr>
      </w:pPr>
    </w:p>
    <w:p w14:paraId="2B462C1B" w14:textId="77777777" w:rsidR="00FA0665" w:rsidRDefault="00000000">
      <w:pPr>
        <w:pStyle w:val="Ttulo2"/>
        <w:ind w:left="851" w:right="900"/>
        <w:jc w:val="both"/>
        <w:rPr>
          <w:rFonts w:ascii="Bookman Old Style" w:eastAsia="Bookman Old Style" w:hAnsi="Bookman Old Style" w:cs="Bookman Old Style"/>
          <w:b w:val="0"/>
          <w:i/>
          <w:sz w:val="22"/>
          <w:szCs w:val="22"/>
        </w:rPr>
      </w:pPr>
      <w:r>
        <w:rPr>
          <w:rFonts w:ascii="Bookman Old Style" w:eastAsia="Bookman Old Style" w:hAnsi="Bookman Old Style" w:cs="Bookman Old Style"/>
          <w:b w:val="0"/>
          <w:i/>
          <w:sz w:val="22"/>
          <w:szCs w:val="22"/>
        </w:rPr>
        <w:t>b) Beneficio actual: aquel que efectivamente se configura en las circunstancias presentes y existentes al momento en el que el congresista participa de la decisión. </w:t>
      </w:r>
    </w:p>
    <w:p w14:paraId="3E16D2F6" w14:textId="77777777" w:rsidR="00FA0665" w:rsidRDefault="00FA0665">
      <w:pPr>
        <w:pStyle w:val="Ttulo2"/>
        <w:ind w:left="851" w:right="900"/>
        <w:jc w:val="both"/>
        <w:rPr>
          <w:rFonts w:ascii="Bookman Old Style" w:eastAsia="Bookman Old Style" w:hAnsi="Bookman Old Style" w:cs="Bookman Old Style"/>
          <w:b w:val="0"/>
          <w:i/>
          <w:sz w:val="22"/>
          <w:szCs w:val="22"/>
        </w:rPr>
      </w:pPr>
    </w:p>
    <w:p w14:paraId="0CA80854" w14:textId="77777777" w:rsidR="00FA0665" w:rsidRDefault="00000000">
      <w:pPr>
        <w:pStyle w:val="Ttulo2"/>
        <w:ind w:left="851" w:right="900"/>
        <w:jc w:val="both"/>
        <w:rPr>
          <w:rFonts w:ascii="Bookman Old Style" w:eastAsia="Bookman Old Style" w:hAnsi="Bookman Old Style" w:cs="Bookman Old Style"/>
          <w:b w:val="0"/>
          <w:i/>
          <w:sz w:val="22"/>
          <w:szCs w:val="22"/>
        </w:rPr>
      </w:pPr>
      <w:r>
        <w:rPr>
          <w:rFonts w:ascii="Bookman Old Style" w:eastAsia="Bookman Old Style" w:hAnsi="Bookman Old Style" w:cs="Bookman Old Style"/>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255433A4" w14:textId="77777777" w:rsidR="00FA0665" w:rsidRDefault="00FA0665">
      <w:pPr>
        <w:pStyle w:val="Ttulo2"/>
        <w:ind w:left="851" w:right="900"/>
        <w:jc w:val="both"/>
        <w:rPr>
          <w:rFonts w:ascii="Bookman Old Style" w:eastAsia="Bookman Old Style" w:hAnsi="Bookman Old Style" w:cs="Bookman Old Style"/>
          <w:b w:val="0"/>
          <w:sz w:val="22"/>
          <w:szCs w:val="22"/>
        </w:rPr>
      </w:pPr>
    </w:p>
    <w:p w14:paraId="2A4DEC1A" w14:textId="77777777" w:rsidR="00FA0665" w:rsidRDefault="00000000">
      <w:pPr>
        <w:pStyle w:val="Ttulo2"/>
        <w:ind w:left="0"/>
        <w:jc w:val="both"/>
        <w:rPr>
          <w:rFonts w:ascii="Bookman Old Style" w:eastAsia="Bookman Old Style" w:hAnsi="Bookman Old Style" w:cs="Bookman Old Style"/>
          <w:b w:val="0"/>
          <w:sz w:val="22"/>
          <w:szCs w:val="22"/>
        </w:rPr>
      </w:pPr>
      <w:r>
        <w:rPr>
          <w:rFonts w:ascii="Bookman Old Style" w:eastAsia="Bookman Old Style" w:hAnsi="Bookman Old Style" w:cs="Bookman Old Style"/>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0A676CE7" w14:textId="77777777" w:rsidR="00FA0665" w:rsidRDefault="00FA0665">
      <w:pPr>
        <w:spacing w:after="0" w:line="276" w:lineRule="auto"/>
        <w:jc w:val="both"/>
        <w:rPr>
          <w:rFonts w:ascii="Bookman Old Style" w:eastAsia="Bookman Old Style" w:hAnsi="Bookman Old Style" w:cs="Bookman Old Style"/>
          <w:b/>
        </w:rPr>
      </w:pPr>
    </w:p>
    <w:p w14:paraId="3CC98A06" w14:textId="77777777" w:rsidR="00FA0665" w:rsidRDefault="00FA0665">
      <w:pPr>
        <w:spacing w:after="0" w:line="276" w:lineRule="auto"/>
        <w:jc w:val="both"/>
        <w:rPr>
          <w:rFonts w:ascii="Bookman Old Style" w:eastAsia="Bookman Old Style" w:hAnsi="Bookman Old Style" w:cs="Bookman Old Style"/>
          <w:b/>
        </w:rPr>
      </w:pPr>
    </w:p>
    <w:p w14:paraId="679794C1" w14:textId="77777777" w:rsidR="00785E66" w:rsidRDefault="00785E66" w:rsidP="00785E66">
      <w:pPr>
        <w:spacing w:after="0" w:line="276" w:lineRule="auto"/>
        <w:jc w:val="both"/>
        <w:rPr>
          <w:rFonts w:ascii="Bookman Old Style" w:eastAsia="Bookman Old Style" w:hAnsi="Bookman Old Style" w:cs="Bookman Old Style"/>
          <w:b/>
        </w:rPr>
      </w:pPr>
    </w:p>
    <w:p w14:paraId="3D328D40" w14:textId="77777777" w:rsidR="00785E66" w:rsidRPr="00785E66" w:rsidRDefault="00785E66" w:rsidP="00785E66">
      <w:pPr>
        <w:spacing w:after="0" w:line="276" w:lineRule="auto"/>
        <w:jc w:val="both"/>
        <w:rPr>
          <w:rFonts w:ascii="Bookman Old Style" w:eastAsia="Bookman Old Style" w:hAnsi="Bookman Old Style" w:cs="Bookman Old Style"/>
          <w:bCs/>
        </w:rPr>
      </w:pPr>
      <w:r w:rsidRPr="00785E66">
        <w:rPr>
          <w:rFonts w:ascii="Bookman Old Style" w:eastAsia="Bookman Old Style" w:hAnsi="Bookman Old Style" w:cs="Bookman Old Style"/>
          <w:bCs/>
        </w:rPr>
        <w:t xml:space="preserve">Cordialmente, </w:t>
      </w:r>
    </w:p>
    <w:p w14:paraId="5761A19F" w14:textId="77777777" w:rsidR="00785E66" w:rsidRDefault="00785E66" w:rsidP="00785E66">
      <w:pPr>
        <w:spacing w:after="0" w:line="276" w:lineRule="auto"/>
        <w:jc w:val="center"/>
        <w:rPr>
          <w:rFonts w:ascii="Bookman Old Style" w:eastAsia="Bookman Old Style" w:hAnsi="Bookman Old Style" w:cs="Bookman Old Style"/>
          <w:b/>
        </w:rPr>
      </w:pPr>
    </w:p>
    <w:p w14:paraId="578234A4" w14:textId="4E73171C" w:rsidR="00785E66" w:rsidRDefault="00785E66" w:rsidP="00785E66">
      <w:pPr>
        <w:tabs>
          <w:tab w:val="right" w:pos="8838"/>
        </w:tabs>
        <w:jc w:val="center"/>
        <w:rPr>
          <w:rFonts w:ascii="Bookman Old Style" w:eastAsia="Bookman Old Style" w:hAnsi="Bookman Old Style" w:cs="Bookman Old Style"/>
          <w:b/>
          <w:sz w:val="20"/>
          <w:szCs w:val="20"/>
        </w:rPr>
      </w:pPr>
    </w:p>
    <w:p w14:paraId="392A564A" w14:textId="580CD16D" w:rsidR="00785E66" w:rsidRDefault="00785E66" w:rsidP="00785E66">
      <w:pPr>
        <w:tabs>
          <w:tab w:val="right" w:pos="8838"/>
        </w:tabs>
        <w:jc w:val="center"/>
        <w:rPr>
          <w:rFonts w:ascii="Bookman Old Style" w:eastAsia="Bookman Old Style" w:hAnsi="Bookman Old Style" w:cs="Bookman Old Style"/>
          <w:b/>
          <w:sz w:val="20"/>
          <w:szCs w:val="20"/>
        </w:rPr>
      </w:pPr>
    </w:p>
    <w:p w14:paraId="283D1F23" w14:textId="77777777" w:rsidR="00785E66" w:rsidRDefault="00785E66" w:rsidP="00785E66">
      <w:pPr>
        <w:tabs>
          <w:tab w:val="right" w:pos="8838"/>
        </w:tabs>
        <w:jc w:val="center"/>
        <w:rPr>
          <w:rFonts w:ascii="Bookman Old Style" w:eastAsia="Bookman Old Style" w:hAnsi="Bookman Old Style" w:cs="Bookman Old Style"/>
          <w:b/>
          <w:sz w:val="20"/>
          <w:szCs w:val="20"/>
        </w:rPr>
      </w:pPr>
    </w:p>
    <w:p w14:paraId="4BE05BC7" w14:textId="77777777" w:rsidR="00785E66" w:rsidRDefault="00785E66" w:rsidP="00785E66">
      <w:pPr>
        <w:tabs>
          <w:tab w:val="right" w:pos="8838"/>
        </w:tabs>
        <w:spacing w:after="0"/>
        <w:jc w:val="center"/>
        <w:rPr>
          <w:rFonts w:ascii="Bookman Old Style" w:eastAsia="Bookman Old Style" w:hAnsi="Bookman Old Style" w:cs="Bookman Old Style"/>
          <w:b/>
          <w:sz w:val="20"/>
          <w:szCs w:val="20"/>
        </w:rPr>
      </w:pPr>
    </w:p>
    <w:p w14:paraId="792DC7DE" w14:textId="77777777" w:rsidR="00785E66" w:rsidRDefault="00785E66" w:rsidP="00785E66">
      <w:pPr>
        <w:tabs>
          <w:tab w:val="right" w:pos="8838"/>
        </w:tabs>
        <w:spacing w:after="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JUAN CARLOS LOZADA VARGAS</w:t>
      </w:r>
    </w:p>
    <w:p w14:paraId="6C598309" w14:textId="77777777" w:rsidR="00785E66" w:rsidRDefault="00785E66" w:rsidP="00785E66">
      <w:pPr>
        <w:tabs>
          <w:tab w:val="right" w:pos="8838"/>
        </w:tabs>
        <w:spacing w:after="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Bogotá</w:t>
      </w:r>
    </w:p>
    <w:p w14:paraId="4104E5FB" w14:textId="77777777" w:rsidR="00785E66" w:rsidRDefault="00785E66" w:rsidP="00785E66">
      <w:pPr>
        <w:spacing w:after="0" w:line="276" w:lineRule="auto"/>
        <w:jc w:val="center"/>
        <w:rPr>
          <w:rFonts w:ascii="Bookman Old Style" w:eastAsia="Bookman Old Style" w:hAnsi="Bookman Old Style" w:cs="Bookman Old Style"/>
          <w:b/>
        </w:rPr>
      </w:pPr>
      <w:r>
        <w:rPr>
          <w:rFonts w:ascii="Bookman Old Style" w:eastAsia="Bookman Old Style" w:hAnsi="Bookman Old Style" w:cs="Bookman Old Style"/>
          <w:sz w:val="20"/>
          <w:szCs w:val="20"/>
        </w:rPr>
        <w:t>Partido Liberal Colombiano</w:t>
      </w:r>
    </w:p>
    <w:p w14:paraId="73F7B5CE" w14:textId="77777777" w:rsidR="00785E66" w:rsidRDefault="00785E66" w:rsidP="00785E66">
      <w:pPr>
        <w:spacing w:after="0" w:line="276" w:lineRule="auto"/>
        <w:jc w:val="center"/>
        <w:rPr>
          <w:rFonts w:ascii="Bookman Old Style" w:eastAsia="Bookman Old Style" w:hAnsi="Bookman Old Style" w:cs="Bookman Old Style"/>
          <w:b/>
        </w:rPr>
      </w:pPr>
    </w:p>
    <w:p w14:paraId="0106A80F" w14:textId="3E699544" w:rsidR="00785E66" w:rsidRDefault="00785E66" w:rsidP="00785E66">
      <w:pPr>
        <w:spacing w:after="0" w:line="276" w:lineRule="auto"/>
        <w:jc w:val="center"/>
        <w:rPr>
          <w:rFonts w:ascii="Bookman Old Style" w:eastAsia="Bookman Old Style" w:hAnsi="Bookman Old Style" w:cs="Bookman Old Style"/>
          <w:b/>
        </w:rPr>
      </w:pPr>
    </w:p>
    <w:p w14:paraId="7390374E" w14:textId="7EA69C53" w:rsidR="00517C18" w:rsidRDefault="00517C18" w:rsidP="00785E66">
      <w:pPr>
        <w:spacing w:after="0" w:line="276" w:lineRule="auto"/>
        <w:jc w:val="center"/>
        <w:rPr>
          <w:rFonts w:ascii="Bookman Old Style" w:eastAsia="Bookman Old Style" w:hAnsi="Bookman Old Style" w:cs="Bookman Old Style"/>
          <w:b/>
        </w:rPr>
      </w:pPr>
    </w:p>
    <w:p w14:paraId="58C8190E" w14:textId="77777777" w:rsidR="00517C18" w:rsidRDefault="00517C18" w:rsidP="00785E66">
      <w:pPr>
        <w:spacing w:after="0" w:line="276" w:lineRule="auto"/>
        <w:jc w:val="center"/>
        <w:rPr>
          <w:rFonts w:ascii="Bookman Old Style" w:eastAsia="Bookman Old Style" w:hAnsi="Bookman Old Style" w:cs="Bookman Old Style"/>
          <w:b/>
        </w:rPr>
      </w:pPr>
    </w:p>
    <w:p w14:paraId="776A039D" w14:textId="77777777" w:rsidR="00785E66" w:rsidRDefault="00785E66" w:rsidP="00785E66">
      <w:pPr>
        <w:spacing w:after="0" w:line="276" w:lineRule="auto"/>
        <w:jc w:val="center"/>
        <w:rPr>
          <w:rFonts w:ascii="Bookman Old Style" w:eastAsia="Bookman Old Style" w:hAnsi="Bookman Old Style" w:cs="Bookman Old Style"/>
          <w:b/>
        </w:rPr>
      </w:pPr>
    </w:p>
    <w:p w14:paraId="391998C5" w14:textId="77777777" w:rsidR="00785E66" w:rsidRDefault="00785E66" w:rsidP="00785E66">
      <w:pPr>
        <w:spacing w:after="0" w:line="276" w:lineRule="auto"/>
        <w:jc w:val="center"/>
        <w:rPr>
          <w:rFonts w:ascii="Bookman Old Style" w:eastAsia="Bookman Old Style" w:hAnsi="Bookman Old Style" w:cs="Bookman Old Style"/>
          <w:b/>
        </w:rPr>
      </w:pPr>
    </w:p>
    <w:p w14:paraId="260690D0" w14:textId="77777777" w:rsidR="00785E66" w:rsidRDefault="00785E66" w:rsidP="00785E66">
      <w:pPr>
        <w:spacing w:after="0" w:line="276" w:lineRule="auto"/>
        <w:jc w:val="center"/>
        <w:rPr>
          <w:rFonts w:ascii="Bookman Old Style" w:eastAsia="Bookman Old Style" w:hAnsi="Bookman Old Style" w:cs="Bookman Old Style"/>
          <w:b/>
        </w:rPr>
      </w:pPr>
    </w:p>
    <w:p w14:paraId="64EE4DD5" w14:textId="77777777" w:rsidR="00785E66" w:rsidRDefault="00785E66" w:rsidP="00785E66">
      <w:pPr>
        <w:spacing w:after="0" w:line="276" w:lineRule="auto"/>
        <w:jc w:val="center"/>
        <w:rPr>
          <w:rFonts w:ascii="Bookman Old Style" w:eastAsia="Bookman Old Style" w:hAnsi="Bookman Old Style" w:cs="Bookman Old Style"/>
          <w:b/>
        </w:rPr>
      </w:pPr>
    </w:p>
    <w:p w14:paraId="252CCF27" w14:textId="77777777" w:rsidR="00785E66" w:rsidRDefault="00785E66" w:rsidP="00785E66">
      <w:pPr>
        <w:spacing w:after="0" w:line="276" w:lineRule="auto"/>
        <w:jc w:val="center"/>
        <w:rPr>
          <w:rFonts w:ascii="Bookman Old Style" w:eastAsia="Bookman Old Style" w:hAnsi="Bookman Old Style" w:cs="Bookman Old Style"/>
          <w:b/>
        </w:rPr>
      </w:pPr>
    </w:p>
    <w:p w14:paraId="4313DECA" w14:textId="77777777" w:rsidR="00785E66" w:rsidRDefault="00785E66" w:rsidP="00785E66">
      <w:pPr>
        <w:spacing w:after="0" w:line="276" w:lineRule="auto"/>
        <w:jc w:val="center"/>
        <w:rPr>
          <w:rFonts w:ascii="Bookman Old Style" w:eastAsia="Bookman Old Style" w:hAnsi="Bookman Old Style" w:cs="Bookman Old Style"/>
          <w:b/>
        </w:rPr>
      </w:pPr>
    </w:p>
    <w:p w14:paraId="6C56BA21" w14:textId="77777777" w:rsidR="00785E66" w:rsidRDefault="00785E66" w:rsidP="00785E66">
      <w:pPr>
        <w:spacing w:after="0" w:line="276" w:lineRule="auto"/>
        <w:jc w:val="center"/>
        <w:rPr>
          <w:rFonts w:ascii="Bookman Old Style" w:eastAsia="Bookman Old Style" w:hAnsi="Bookman Old Style" w:cs="Bookman Old Style"/>
          <w:b/>
        </w:rPr>
      </w:pPr>
    </w:p>
    <w:tbl>
      <w:tblPr>
        <w:tblStyle w:val="a"/>
        <w:tblW w:w="87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348"/>
      </w:tblGrid>
      <w:tr w:rsidR="0037077D" w:rsidRPr="0037077D" w14:paraId="509A5FF3" w14:textId="77777777" w:rsidTr="00F067D5">
        <w:trPr>
          <w:trHeight w:val="70"/>
          <w:jc w:val="center"/>
        </w:trPr>
        <w:tc>
          <w:tcPr>
            <w:tcW w:w="4390" w:type="dxa"/>
          </w:tcPr>
          <w:p w14:paraId="6B7F75B0" w14:textId="77777777" w:rsidR="0037077D" w:rsidRPr="0037077D" w:rsidRDefault="0037077D" w:rsidP="00F067D5">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lastRenderedPageBreak/>
              <w:t>ANDRÉS DAVID CALLE AGUAS</w:t>
            </w:r>
          </w:p>
          <w:p w14:paraId="13D2C81E" w14:textId="77777777" w:rsidR="0037077D" w:rsidRPr="0037077D" w:rsidRDefault="0037077D"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Córdoba</w:t>
            </w:r>
          </w:p>
          <w:p w14:paraId="1853DF06" w14:textId="77777777" w:rsidR="0037077D" w:rsidRPr="0037077D" w:rsidRDefault="0037077D"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Liberal Colombiano</w:t>
            </w:r>
          </w:p>
        </w:tc>
        <w:tc>
          <w:tcPr>
            <w:tcW w:w="4348" w:type="dxa"/>
          </w:tcPr>
          <w:p w14:paraId="649F9E87" w14:textId="77777777" w:rsidR="0037077D" w:rsidRPr="0037077D" w:rsidRDefault="0037077D" w:rsidP="00F067D5">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ALEJANDRO VEGA PÉREZ</w:t>
            </w:r>
          </w:p>
          <w:p w14:paraId="5A918778" w14:textId="77777777" w:rsidR="0037077D" w:rsidRPr="0037077D" w:rsidRDefault="0037077D"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1C06EC0D" w14:textId="77777777" w:rsidR="0037077D" w:rsidRPr="0037077D" w:rsidRDefault="0037077D"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Liberal Colombiano</w:t>
            </w:r>
          </w:p>
        </w:tc>
      </w:tr>
      <w:tr w:rsidR="0037077D" w:rsidRPr="0037077D" w14:paraId="543746B3" w14:textId="77777777" w:rsidTr="00F067D5">
        <w:trPr>
          <w:jc w:val="center"/>
        </w:trPr>
        <w:tc>
          <w:tcPr>
            <w:tcW w:w="4390" w:type="dxa"/>
          </w:tcPr>
          <w:p w14:paraId="4D5FD414" w14:textId="77777777" w:rsidR="0037077D" w:rsidRPr="0037077D" w:rsidRDefault="0037077D" w:rsidP="00F067D5">
            <w:pPr>
              <w:widowControl w:val="0"/>
              <w:jc w:val="center"/>
              <w:rPr>
                <w:rFonts w:ascii="Bookman Old Style" w:eastAsia="Bookman Old Style" w:hAnsi="Bookman Old Style" w:cs="Bookman Old Style"/>
                <w:b/>
                <w:sz w:val="20"/>
                <w:szCs w:val="20"/>
              </w:rPr>
            </w:pPr>
          </w:p>
          <w:p w14:paraId="7057E532" w14:textId="77777777" w:rsidR="0037077D" w:rsidRPr="0037077D" w:rsidRDefault="0037077D" w:rsidP="00F067D5">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 xml:space="preserve">FABIÁN DÍAZ PLATA </w:t>
            </w:r>
          </w:p>
          <w:p w14:paraId="77009883" w14:textId="77777777" w:rsidR="0037077D" w:rsidRPr="0037077D" w:rsidRDefault="0037077D"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Senador de la República </w:t>
            </w:r>
          </w:p>
          <w:p w14:paraId="6CE7C26A" w14:textId="77777777" w:rsidR="0037077D" w:rsidRPr="0037077D" w:rsidRDefault="0037077D"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Alianza Verde</w:t>
            </w:r>
          </w:p>
        </w:tc>
        <w:tc>
          <w:tcPr>
            <w:tcW w:w="4348" w:type="dxa"/>
          </w:tcPr>
          <w:p w14:paraId="121A3AD8" w14:textId="77777777" w:rsidR="0037077D" w:rsidRPr="0037077D" w:rsidRDefault="0037077D" w:rsidP="00F067D5">
            <w:pPr>
              <w:pBdr>
                <w:top w:val="nil"/>
                <w:left w:val="nil"/>
                <w:bottom w:val="nil"/>
                <w:right w:val="nil"/>
                <w:between w:val="nil"/>
              </w:pBdr>
              <w:jc w:val="center"/>
              <w:rPr>
                <w:rFonts w:ascii="Bookman Old Style" w:eastAsia="Bookman Old Style" w:hAnsi="Bookman Old Style" w:cs="Bookman Old Style"/>
                <w:sz w:val="20"/>
                <w:szCs w:val="20"/>
              </w:rPr>
            </w:pPr>
          </w:p>
          <w:p w14:paraId="13503E53" w14:textId="77777777" w:rsidR="0037077D" w:rsidRPr="0037077D" w:rsidRDefault="0037077D" w:rsidP="00F067D5">
            <w:pPr>
              <w:spacing w:line="276" w:lineRule="auto"/>
              <w:jc w:val="center"/>
              <w:rPr>
                <w:rFonts w:ascii="Bookman Old Style" w:eastAsia="Arial" w:hAnsi="Bookman Old Style" w:cs="Arial"/>
                <w:b/>
                <w:bCs/>
                <w:sz w:val="20"/>
                <w:szCs w:val="20"/>
              </w:rPr>
            </w:pPr>
            <w:r w:rsidRPr="0037077D">
              <w:rPr>
                <w:rFonts w:ascii="Bookman Old Style" w:eastAsia="Arial" w:hAnsi="Bookman Old Style" w:cs="Arial"/>
                <w:b/>
                <w:bCs/>
                <w:sz w:val="20"/>
                <w:szCs w:val="20"/>
              </w:rPr>
              <w:t xml:space="preserve">NICOLÁS ALBEIRO ECHEVERRY ALVARÁN                                 </w:t>
            </w:r>
          </w:p>
          <w:p w14:paraId="08739F11" w14:textId="77777777" w:rsidR="0037077D" w:rsidRPr="0037077D" w:rsidRDefault="0037077D" w:rsidP="00F067D5">
            <w:pPr>
              <w:spacing w:line="276" w:lineRule="auto"/>
              <w:jc w:val="center"/>
              <w:rPr>
                <w:rFonts w:ascii="Bookman Old Style" w:eastAsia="Arial" w:hAnsi="Bookman Old Style" w:cs="Arial"/>
                <w:sz w:val="20"/>
                <w:szCs w:val="20"/>
              </w:rPr>
            </w:pPr>
            <w:r w:rsidRPr="0037077D">
              <w:rPr>
                <w:rFonts w:ascii="Bookman Old Style" w:eastAsia="Arial" w:hAnsi="Bookman Old Style" w:cs="Arial"/>
                <w:sz w:val="20"/>
                <w:szCs w:val="20"/>
              </w:rPr>
              <w:t xml:space="preserve">Senador de la Republica                                      </w:t>
            </w:r>
          </w:p>
          <w:p w14:paraId="56AA0965" w14:textId="77777777" w:rsidR="0037077D" w:rsidRPr="0037077D" w:rsidRDefault="0037077D" w:rsidP="00F067D5">
            <w:pPr>
              <w:spacing w:after="160" w:line="256" w:lineRule="auto"/>
              <w:jc w:val="center"/>
              <w:rPr>
                <w:rFonts w:ascii="Bookman Old Style" w:eastAsia="Arial" w:hAnsi="Bookman Old Style" w:cs="Arial"/>
                <w:sz w:val="20"/>
                <w:szCs w:val="20"/>
              </w:rPr>
            </w:pPr>
            <w:r w:rsidRPr="0037077D">
              <w:rPr>
                <w:rFonts w:ascii="Bookman Old Style" w:eastAsia="Arial" w:hAnsi="Bookman Old Style" w:cs="Arial"/>
                <w:sz w:val="20"/>
                <w:szCs w:val="20"/>
              </w:rPr>
              <w:t>Partido Conservador Colombiano</w:t>
            </w:r>
          </w:p>
        </w:tc>
      </w:tr>
      <w:tr w:rsidR="0037077D" w:rsidRPr="0037077D" w14:paraId="61A504AA" w14:textId="77777777" w:rsidTr="00F067D5">
        <w:trPr>
          <w:jc w:val="center"/>
        </w:trPr>
        <w:tc>
          <w:tcPr>
            <w:tcW w:w="4390" w:type="dxa"/>
          </w:tcPr>
          <w:p w14:paraId="67A02727" w14:textId="77777777" w:rsidR="0037077D" w:rsidRPr="0037077D" w:rsidRDefault="0037077D" w:rsidP="00F067D5">
            <w:pPr>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INTI RAÚL ASPRILLA</w:t>
            </w:r>
          </w:p>
          <w:p w14:paraId="060AF31D" w14:textId="77777777" w:rsidR="0037077D" w:rsidRPr="0037077D" w:rsidRDefault="0037077D"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6D1D613F" w14:textId="77777777" w:rsidR="0037077D" w:rsidRPr="0037077D" w:rsidRDefault="0037077D"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Partido Verde </w:t>
            </w:r>
          </w:p>
          <w:p w14:paraId="1B289331" w14:textId="77777777" w:rsidR="0037077D" w:rsidRPr="0037077D" w:rsidRDefault="0037077D" w:rsidP="00F067D5">
            <w:pPr>
              <w:widowControl w:val="0"/>
              <w:jc w:val="center"/>
              <w:rPr>
                <w:rFonts w:ascii="Bookman Old Style" w:eastAsia="Bookman Old Style" w:hAnsi="Bookman Old Style" w:cs="Bookman Old Style"/>
                <w:sz w:val="20"/>
                <w:szCs w:val="20"/>
              </w:rPr>
            </w:pPr>
          </w:p>
        </w:tc>
        <w:tc>
          <w:tcPr>
            <w:tcW w:w="4348" w:type="dxa"/>
          </w:tcPr>
          <w:p w14:paraId="7EA38874" w14:textId="77777777" w:rsidR="0037077D" w:rsidRPr="0037077D" w:rsidRDefault="0037077D" w:rsidP="00F067D5">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ALEJANDRO CARLOS CHACÓN C.</w:t>
            </w:r>
          </w:p>
          <w:p w14:paraId="62B6B92F" w14:textId="77777777" w:rsidR="0037077D" w:rsidRPr="0037077D" w:rsidRDefault="0037077D"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16EB2169" w14:textId="77777777" w:rsidR="0037077D" w:rsidRPr="0037077D" w:rsidRDefault="0037077D"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Liberal</w:t>
            </w:r>
          </w:p>
          <w:p w14:paraId="556D6ABF" w14:textId="77777777" w:rsidR="0037077D" w:rsidRPr="0037077D" w:rsidRDefault="0037077D" w:rsidP="00F067D5">
            <w:pPr>
              <w:widowControl w:val="0"/>
              <w:jc w:val="center"/>
              <w:rPr>
                <w:rFonts w:ascii="Bookman Old Style" w:eastAsia="Bookman Old Style" w:hAnsi="Bookman Old Style" w:cs="Bookman Old Style"/>
                <w:b/>
                <w:sz w:val="20"/>
                <w:szCs w:val="20"/>
              </w:rPr>
            </w:pPr>
          </w:p>
        </w:tc>
      </w:tr>
      <w:tr w:rsidR="0037077D" w:rsidRPr="0037077D" w14:paraId="1EB6CB7A" w14:textId="77777777" w:rsidTr="00F067D5">
        <w:trPr>
          <w:jc w:val="center"/>
        </w:trPr>
        <w:tc>
          <w:tcPr>
            <w:tcW w:w="4390" w:type="dxa"/>
          </w:tcPr>
          <w:p w14:paraId="12B0E173" w14:textId="77777777" w:rsidR="0037077D" w:rsidRPr="0037077D" w:rsidRDefault="0037077D" w:rsidP="00F067D5">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ALFREDO MONDRAGON GARZÓN</w:t>
            </w:r>
          </w:p>
          <w:p w14:paraId="26C5BDA3" w14:textId="77777777" w:rsidR="0037077D" w:rsidRPr="0037077D" w:rsidRDefault="0037077D"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el  Valle del Cauca</w:t>
            </w:r>
          </w:p>
          <w:p w14:paraId="0B08ED49" w14:textId="77777777" w:rsidR="0037077D" w:rsidRPr="0037077D" w:rsidRDefault="0037077D"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Coalición Pacto Histórico </w:t>
            </w:r>
          </w:p>
        </w:tc>
        <w:tc>
          <w:tcPr>
            <w:tcW w:w="4348" w:type="dxa"/>
          </w:tcPr>
          <w:p w14:paraId="7083BF8A" w14:textId="77777777" w:rsidR="0037077D" w:rsidRPr="0037077D" w:rsidRDefault="0037077D" w:rsidP="00F067D5">
            <w:pPr>
              <w:jc w:val="center"/>
              <w:rPr>
                <w:rFonts w:ascii="Bookman Old Style" w:eastAsia="Bookman Old Style" w:hAnsi="Bookman Old Style" w:cs="Bookman Old Style"/>
                <w:b/>
                <w:bCs/>
                <w:sz w:val="20"/>
                <w:szCs w:val="20"/>
              </w:rPr>
            </w:pPr>
            <w:r w:rsidRPr="0037077D">
              <w:rPr>
                <w:rFonts w:ascii="Bookman Old Style" w:eastAsia="Bookman Old Style" w:hAnsi="Bookman Old Style" w:cs="Bookman Old Style"/>
                <w:b/>
                <w:bCs/>
                <w:sz w:val="20"/>
                <w:szCs w:val="20"/>
              </w:rPr>
              <w:t>WILSON ARIAS CASTILLO</w:t>
            </w:r>
          </w:p>
          <w:p w14:paraId="09580FEA" w14:textId="77777777" w:rsidR="0037077D" w:rsidRPr="0037077D" w:rsidRDefault="0037077D"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12674460" w14:textId="77777777" w:rsidR="0037077D" w:rsidRPr="0037077D" w:rsidRDefault="0037077D"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  Coalición Pacto Histórico</w:t>
            </w:r>
          </w:p>
        </w:tc>
      </w:tr>
      <w:tr w:rsidR="0037077D" w:rsidRPr="0037077D" w14:paraId="2D100E66" w14:textId="77777777" w:rsidTr="00F067D5">
        <w:trPr>
          <w:jc w:val="center"/>
        </w:trPr>
        <w:tc>
          <w:tcPr>
            <w:tcW w:w="4390" w:type="dxa"/>
          </w:tcPr>
          <w:p w14:paraId="65A8CE6D" w14:textId="77777777" w:rsidR="0037077D" w:rsidRPr="0037077D" w:rsidRDefault="0037077D"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b/>
                <w:sz w:val="20"/>
                <w:szCs w:val="20"/>
              </w:rPr>
              <w:t>JORGE ANDRÉS CANCIMANCE LÓPEZ</w:t>
            </w:r>
          </w:p>
          <w:p w14:paraId="180413E7" w14:textId="77777777" w:rsidR="0037077D" w:rsidRPr="0037077D" w:rsidRDefault="0037077D"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 xml:space="preserve">Representante a la Cámara por Putumayo </w:t>
            </w:r>
          </w:p>
          <w:p w14:paraId="6F7C3266" w14:textId="77777777" w:rsidR="0037077D" w:rsidRPr="0037077D" w:rsidRDefault="0037077D" w:rsidP="00F067D5">
            <w:pPr>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Coalición Pacto Histórico</w:t>
            </w:r>
          </w:p>
          <w:p w14:paraId="0AA656B7" w14:textId="77777777" w:rsidR="0037077D" w:rsidRPr="0037077D" w:rsidRDefault="0037077D" w:rsidP="00F067D5">
            <w:pPr>
              <w:tabs>
                <w:tab w:val="right" w:pos="8838"/>
              </w:tabs>
              <w:jc w:val="center"/>
              <w:rPr>
                <w:rFonts w:ascii="Bookman Old Style" w:eastAsia="Bookman Old Style" w:hAnsi="Bookman Old Style" w:cs="Bookman Old Style"/>
                <w:sz w:val="20"/>
                <w:szCs w:val="20"/>
              </w:rPr>
            </w:pPr>
          </w:p>
        </w:tc>
        <w:tc>
          <w:tcPr>
            <w:tcW w:w="4348" w:type="dxa"/>
          </w:tcPr>
          <w:p w14:paraId="2A594E13" w14:textId="77777777" w:rsidR="0037077D" w:rsidRPr="0037077D" w:rsidRDefault="0037077D" w:rsidP="00F067D5">
            <w:pPr>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LUIS ALBERTO ALBÁN URBANO</w:t>
            </w:r>
          </w:p>
          <w:p w14:paraId="3F14ED18" w14:textId="77777777" w:rsidR="0037077D" w:rsidRPr="0037077D" w:rsidRDefault="0037077D"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w:t>
            </w:r>
          </w:p>
          <w:p w14:paraId="20D8826B" w14:textId="77777777" w:rsidR="0037077D" w:rsidRPr="0037077D" w:rsidRDefault="0037077D" w:rsidP="00F067D5">
            <w:pPr>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Partido Comunes</w:t>
            </w:r>
          </w:p>
        </w:tc>
      </w:tr>
      <w:tr w:rsidR="0037077D" w:rsidRPr="0037077D" w14:paraId="056F8DE6" w14:textId="77777777" w:rsidTr="00F067D5">
        <w:trPr>
          <w:jc w:val="center"/>
        </w:trPr>
        <w:tc>
          <w:tcPr>
            <w:tcW w:w="4390" w:type="dxa"/>
          </w:tcPr>
          <w:p w14:paraId="5C053C7D" w14:textId="77777777" w:rsidR="0037077D" w:rsidRPr="0037077D" w:rsidRDefault="0037077D" w:rsidP="00F067D5">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LEYLA MARLENY RINCÓN TRUJILLO</w:t>
            </w:r>
          </w:p>
          <w:p w14:paraId="4FEE74A8" w14:textId="77777777" w:rsidR="0037077D" w:rsidRPr="0037077D" w:rsidRDefault="0037077D"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el Huila</w:t>
            </w:r>
          </w:p>
          <w:p w14:paraId="09FE246E" w14:textId="77777777" w:rsidR="0037077D" w:rsidRPr="0037077D" w:rsidRDefault="0037077D" w:rsidP="00F067D5">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 xml:space="preserve"> Coalición Pacto Histórico</w:t>
            </w:r>
          </w:p>
        </w:tc>
        <w:tc>
          <w:tcPr>
            <w:tcW w:w="4348" w:type="dxa"/>
          </w:tcPr>
          <w:p w14:paraId="75C849CD" w14:textId="77777777" w:rsidR="0037077D" w:rsidRPr="0037077D" w:rsidRDefault="0037077D" w:rsidP="00F067D5">
            <w:pPr>
              <w:tabs>
                <w:tab w:val="right" w:pos="8838"/>
              </w:tabs>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OMAR DE JESUS RESTREPO CORREA</w:t>
            </w:r>
          </w:p>
          <w:p w14:paraId="1FC4465E" w14:textId="77777777" w:rsidR="0037077D" w:rsidRPr="0037077D" w:rsidRDefault="0037077D" w:rsidP="00F067D5">
            <w:pPr>
              <w:tabs>
                <w:tab w:val="right" w:pos="8838"/>
              </w:tabs>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Senador de la República</w:t>
            </w:r>
          </w:p>
          <w:p w14:paraId="47CC5898" w14:textId="77777777" w:rsidR="0037077D" w:rsidRPr="0037077D" w:rsidRDefault="0037077D" w:rsidP="00F067D5">
            <w:pPr>
              <w:tabs>
                <w:tab w:val="right" w:pos="8838"/>
              </w:tabs>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Partido Comunes</w:t>
            </w:r>
          </w:p>
        </w:tc>
      </w:tr>
      <w:tr w:rsidR="0037077D" w:rsidRPr="0037077D" w14:paraId="7AB3B717" w14:textId="77777777" w:rsidTr="00F067D5">
        <w:trPr>
          <w:jc w:val="center"/>
        </w:trPr>
        <w:tc>
          <w:tcPr>
            <w:tcW w:w="4390" w:type="dxa"/>
          </w:tcPr>
          <w:p w14:paraId="23A35965" w14:textId="77777777" w:rsidR="0037077D" w:rsidRPr="0037077D" w:rsidRDefault="0037077D" w:rsidP="00F067D5">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b/>
                <w:sz w:val="20"/>
                <w:szCs w:val="20"/>
              </w:rPr>
              <w:t>DAVID RICARDO RACERO MAYORCA</w:t>
            </w:r>
          </w:p>
          <w:p w14:paraId="4CA92AF1" w14:textId="77777777" w:rsidR="0037077D" w:rsidRPr="0037077D" w:rsidRDefault="0037077D" w:rsidP="00F067D5">
            <w:pPr>
              <w:widowControl w:val="0"/>
              <w:jc w:val="center"/>
              <w:rPr>
                <w:rFonts w:ascii="Bookman Old Style" w:eastAsia="Bookman Old Style" w:hAnsi="Bookman Old Style" w:cs="Bookman Old Style"/>
                <w:sz w:val="20"/>
                <w:szCs w:val="20"/>
              </w:rPr>
            </w:pPr>
            <w:r w:rsidRPr="0037077D">
              <w:rPr>
                <w:rFonts w:ascii="Bookman Old Style" w:eastAsia="Bookman Old Style" w:hAnsi="Bookman Old Style" w:cs="Bookman Old Style"/>
                <w:sz w:val="20"/>
                <w:szCs w:val="20"/>
              </w:rPr>
              <w:t>Representante a la Cámara por Bogotá</w:t>
            </w:r>
          </w:p>
          <w:p w14:paraId="10E142AF" w14:textId="77777777" w:rsidR="0037077D" w:rsidRPr="0037077D" w:rsidRDefault="0037077D" w:rsidP="00F067D5">
            <w:pPr>
              <w:widowControl w:val="0"/>
              <w:jc w:val="center"/>
              <w:rPr>
                <w:rFonts w:ascii="Bookman Old Style" w:eastAsia="Bookman Old Style" w:hAnsi="Bookman Old Style" w:cs="Bookman Old Style"/>
                <w:b/>
                <w:sz w:val="20"/>
                <w:szCs w:val="20"/>
              </w:rPr>
            </w:pPr>
            <w:r w:rsidRPr="0037077D">
              <w:rPr>
                <w:rFonts w:ascii="Bookman Old Style" w:eastAsia="Bookman Old Style" w:hAnsi="Bookman Old Style" w:cs="Bookman Old Style"/>
                <w:sz w:val="20"/>
                <w:szCs w:val="20"/>
              </w:rPr>
              <w:t>Coalición Pacto Histórico</w:t>
            </w:r>
          </w:p>
        </w:tc>
        <w:tc>
          <w:tcPr>
            <w:tcW w:w="4348" w:type="dxa"/>
          </w:tcPr>
          <w:p w14:paraId="2CC7F2F7"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rPr>
              <w:t>CARLOS ALBERTO CARREÑO MARÍN</w:t>
            </w:r>
          </w:p>
          <w:p w14:paraId="0DC0BAD6"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Representante a la Cámara</w:t>
            </w:r>
          </w:p>
          <w:p w14:paraId="35CC53B2"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Partido Comunes</w:t>
            </w:r>
          </w:p>
        </w:tc>
      </w:tr>
      <w:tr w:rsidR="0037077D" w:rsidRPr="0037077D" w14:paraId="5626CFB9" w14:textId="77777777" w:rsidTr="00F067D5">
        <w:trPr>
          <w:jc w:val="center"/>
        </w:trPr>
        <w:tc>
          <w:tcPr>
            <w:tcW w:w="4390" w:type="dxa"/>
          </w:tcPr>
          <w:p w14:paraId="5B83EEFB"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rPr>
              <w:t>ESMERALDA HERNÁNDEZ SILVA</w:t>
            </w:r>
          </w:p>
          <w:p w14:paraId="6F73F650"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Senadora de la República</w:t>
            </w:r>
          </w:p>
          <w:p w14:paraId="4EBD40D1"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Coalición Pacto Histórico</w:t>
            </w:r>
          </w:p>
          <w:p w14:paraId="4D6C5F2D" w14:textId="77777777" w:rsidR="0037077D" w:rsidRPr="0037077D" w:rsidRDefault="0037077D" w:rsidP="00F067D5">
            <w:pPr>
              <w:tabs>
                <w:tab w:val="right" w:pos="8838"/>
              </w:tabs>
              <w:rPr>
                <w:rFonts w:ascii="Bookman Old Style" w:eastAsia="Bookman Old Style" w:hAnsi="Bookman Old Style" w:cs="Bookman Old Style"/>
                <w:b/>
                <w:sz w:val="20"/>
                <w:szCs w:val="20"/>
              </w:rPr>
            </w:pPr>
          </w:p>
        </w:tc>
        <w:tc>
          <w:tcPr>
            <w:tcW w:w="4348" w:type="dxa"/>
          </w:tcPr>
          <w:p w14:paraId="518C259A"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bdr w:val="none" w:sz="0" w:space="0" w:color="auto" w:frame="1"/>
              </w:rPr>
              <w:fldChar w:fldCharType="begin"/>
            </w:r>
            <w:r w:rsidRPr="0037077D">
              <w:rPr>
                <w:rFonts w:ascii="Bookman Old Style" w:hAnsi="Bookman Old Style"/>
                <w:b/>
                <w:bCs/>
                <w:color w:val="000000"/>
                <w:sz w:val="20"/>
                <w:szCs w:val="20"/>
                <w:bdr w:val="none" w:sz="0" w:space="0" w:color="auto" w:frame="1"/>
              </w:rPr>
              <w:instrText xml:space="preserve"> INCLUDEPICTURE "https://lh4.googleusercontent.com/fs8QlfLnD7BwYOrBlFUU-AusOkOmU-F_Ric7Dc8xhgxS8_8GAxxpOkc-1ESEdr7glbZV1AnsexMaVu-8umHPXLfH4dOUGs8wtnUt6oBYr0PoiKW-ULy7zUW6OtYApxAD0UN_IvNzgBis" \* MERGEFORMATINET </w:instrText>
            </w:r>
            <w:r w:rsidRPr="0037077D">
              <w:rPr>
                <w:rFonts w:ascii="Bookman Old Style" w:hAnsi="Bookman Old Style"/>
                <w:b/>
                <w:bCs/>
                <w:color w:val="000000"/>
                <w:sz w:val="20"/>
                <w:szCs w:val="20"/>
                <w:bdr w:val="none" w:sz="0" w:space="0" w:color="auto" w:frame="1"/>
              </w:rPr>
              <w:fldChar w:fldCharType="separate"/>
            </w:r>
            <w:r w:rsidRPr="0037077D">
              <w:rPr>
                <w:rFonts w:ascii="Bookman Old Style" w:hAnsi="Bookman Old Style"/>
                <w:b/>
                <w:bCs/>
                <w:color w:val="000000"/>
                <w:sz w:val="20"/>
                <w:szCs w:val="20"/>
                <w:bdr w:val="none" w:sz="0" w:space="0" w:color="auto" w:frame="1"/>
              </w:rPr>
              <w:fldChar w:fldCharType="end"/>
            </w:r>
            <w:r w:rsidRPr="0037077D">
              <w:rPr>
                <w:rFonts w:ascii="Bookman Old Style" w:hAnsi="Bookman Old Style"/>
                <w:b/>
                <w:bCs/>
                <w:color w:val="000000"/>
                <w:sz w:val="20"/>
                <w:szCs w:val="20"/>
              </w:rPr>
              <w:t>SANDRA RAMIREZ LOBO SILVA</w:t>
            </w:r>
          </w:p>
          <w:p w14:paraId="088B6023"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Senadora de la República</w:t>
            </w:r>
          </w:p>
          <w:p w14:paraId="65F3D45D" w14:textId="77777777" w:rsidR="0037077D" w:rsidRPr="0037077D" w:rsidRDefault="0037077D" w:rsidP="00F067D5">
            <w:pPr>
              <w:pStyle w:val="NormalWeb"/>
              <w:spacing w:before="0" w:beforeAutospacing="0" w:after="0" w:afterAutospacing="0"/>
              <w:jc w:val="center"/>
              <w:rPr>
                <w:rFonts w:ascii="Bookman Old Style" w:eastAsia="Bookman Old Style" w:hAnsi="Bookman Old Style" w:cs="Bookman Old Style"/>
                <w:b/>
                <w:sz w:val="20"/>
                <w:szCs w:val="20"/>
              </w:rPr>
            </w:pPr>
            <w:r w:rsidRPr="0037077D">
              <w:rPr>
                <w:rFonts w:ascii="Bookman Old Style" w:hAnsi="Bookman Old Style"/>
                <w:color w:val="000000"/>
                <w:sz w:val="20"/>
                <w:szCs w:val="20"/>
              </w:rPr>
              <w:t>Partido Comunes</w:t>
            </w:r>
          </w:p>
        </w:tc>
      </w:tr>
      <w:tr w:rsidR="0037077D" w:rsidRPr="0037077D" w14:paraId="51588301" w14:textId="77777777" w:rsidTr="00F067D5">
        <w:trPr>
          <w:jc w:val="center"/>
        </w:trPr>
        <w:tc>
          <w:tcPr>
            <w:tcW w:w="4390" w:type="dxa"/>
          </w:tcPr>
          <w:p w14:paraId="29FBC12D"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bdr w:val="none" w:sz="0" w:space="0" w:color="auto" w:frame="1"/>
              </w:rPr>
              <w:fldChar w:fldCharType="begin"/>
            </w:r>
            <w:r w:rsidRPr="0037077D">
              <w:rPr>
                <w:rFonts w:ascii="Bookman Old Style" w:hAnsi="Bookman Old Style"/>
                <w:b/>
                <w:bCs/>
                <w:color w:val="000000"/>
                <w:sz w:val="20"/>
                <w:szCs w:val="20"/>
                <w:bdr w:val="none" w:sz="0" w:space="0" w:color="auto" w:frame="1"/>
              </w:rPr>
              <w:instrText xml:space="preserve"> INCLUDEPICTURE "https://lh5.googleusercontent.com/9uZkkSBJzLrhzCOMyAW1C210aGX9HlcSkrF0kaJEREHBw_zukTtCGkt0oSMJaKacRuHivHn6SPLdmalrURBCscaGhs_w7Z0KHwsYjikrV7cmmfrS7THh29lnl43hGeKn4YBdjnDQ2OEu" \* MERGEFORMATINET </w:instrText>
            </w:r>
            <w:r w:rsidRPr="0037077D">
              <w:rPr>
                <w:rFonts w:ascii="Bookman Old Style" w:hAnsi="Bookman Old Style"/>
                <w:b/>
                <w:bCs/>
                <w:color w:val="000000"/>
                <w:sz w:val="20"/>
                <w:szCs w:val="20"/>
                <w:bdr w:val="none" w:sz="0" w:space="0" w:color="auto" w:frame="1"/>
              </w:rPr>
              <w:fldChar w:fldCharType="separate"/>
            </w:r>
            <w:r w:rsidRPr="0037077D">
              <w:rPr>
                <w:rFonts w:ascii="Bookman Old Style" w:hAnsi="Bookman Old Style"/>
                <w:b/>
                <w:bCs/>
                <w:color w:val="000000"/>
                <w:sz w:val="20"/>
                <w:szCs w:val="20"/>
                <w:bdr w:val="none" w:sz="0" w:space="0" w:color="auto" w:frame="1"/>
              </w:rPr>
              <w:fldChar w:fldCharType="end"/>
            </w:r>
            <w:r w:rsidRPr="0037077D">
              <w:rPr>
                <w:rFonts w:ascii="Bookman Old Style" w:hAnsi="Bookman Old Style"/>
                <w:b/>
                <w:bCs/>
                <w:color w:val="000000"/>
                <w:sz w:val="20"/>
                <w:szCs w:val="20"/>
              </w:rPr>
              <w:t>SANTIAGO OSORIO MARIN</w:t>
            </w:r>
          </w:p>
          <w:p w14:paraId="3A2EB470"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Representante a la Cámara</w:t>
            </w:r>
          </w:p>
          <w:p w14:paraId="2CCD0567"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Coalición Alianza Verde - Pacto Histórico</w:t>
            </w:r>
          </w:p>
          <w:p w14:paraId="50551CA7" w14:textId="77777777" w:rsidR="0037077D" w:rsidRPr="0037077D" w:rsidRDefault="0037077D" w:rsidP="00F067D5">
            <w:pPr>
              <w:tabs>
                <w:tab w:val="right" w:pos="8838"/>
              </w:tabs>
              <w:rPr>
                <w:rFonts w:ascii="Bookman Old Style" w:eastAsia="Bookman Old Style" w:hAnsi="Bookman Old Style" w:cs="Bookman Old Style"/>
                <w:b/>
                <w:sz w:val="20"/>
                <w:szCs w:val="20"/>
              </w:rPr>
            </w:pPr>
          </w:p>
        </w:tc>
        <w:tc>
          <w:tcPr>
            <w:tcW w:w="4348" w:type="dxa"/>
          </w:tcPr>
          <w:p w14:paraId="6C392382"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b/>
                <w:bCs/>
                <w:color w:val="000000"/>
                <w:sz w:val="20"/>
                <w:szCs w:val="20"/>
                <w:bdr w:val="none" w:sz="0" w:space="0" w:color="auto" w:frame="1"/>
              </w:rPr>
              <w:fldChar w:fldCharType="begin"/>
            </w:r>
            <w:r w:rsidRPr="0037077D">
              <w:rPr>
                <w:rFonts w:ascii="Bookman Old Style" w:hAnsi="Bookman Old Style"/>
                <w:b/>
                <w:bCs/>
                <w:color w:val="000000"/>
                <w:sz w:val="20"/>
                <w:szCs w:val="20"/>
                <w:bdr w:val="none" w:sz="0" w:space="0" w:color="auto" w:frame="1"/>
              </w:rPr>
              <w:instrText xml:space="preserve"> INCLUDEPICTURE "https://lh5.googleusercontent.com/9uZkkSBJzLrhzCOMyAW1C210aGX9HlcSkrF0kaJEREHBw_zukTtCGkt0oSMJaKacRuHivHn6SPLdmalrURBCscaGhs_w7Z0KHwsYjikrV7cmmfrS7THh29lnl43hGeKn4YBdjnDQ2OEu" \* MERGEFORMATINET </w:instrText>
            </w:r>
            <w:r w:rsidRPr="0037077D">
              <w:rPr>
                <w:rFonts w:ascii="Bookman Old Style" w:hAnsi="Bookman Old Style"/>
                <w:b/>
                <w:bCs/>
                <w:color w:val="000000"/>
                <w:sz w:val="20"/>
                <w:szCs w:val="20"/>
                <w:bdr w:val="none" w:sz="0" w:space="0" w:color="auto" w:frame="1"/>
              </w:rPr>
              <w:fldChar w:fldCharType="separate"/>
            </w:r>
            <w:r w:rsidRPr="0037077D">
              <w:rPr>
                <w:rFonts w:ascii="Bookman Old Style" w:hAnsi="Bookman Old Style"/>
                <w:b/>
                <w:bCs/>
                <w:color w:val="000000"/>
                <w:sz w:val="20"/>
                <w:szCs w:val="20"/>
                <w:bdr w:val="none" w:sz="0" w:space="0" w:color="auto" w:frame="1"/>
              </w:rPr>
              <w:fldChar w:fldCharType="end"/>
            </w:r>
            <w:r w:rsidRPr="0037077D">
              <w:rPr>
                <w:rFonts w:ascii="Bookman Old Style" w:hAnsi="Bookman Old Style"/>
                <w:b/>
                <w:bCs/>
                <w:color w:val="000000"/>
                <w:sz w:val="20"/>
                <w:szCs w:val="20"/>
              </w:rPr>
              <w:t>DOLCEY OSCAR TORRES ROMERO</w:t>
            </w:r>
          </w:p>
          <w:p w14:paraId="67142131"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Representante a la Cámara</w:t>
            </w:r>
          </w:p>
          <w:p w14:paraId="0A4A5575" w14:textId="77777777" w:rsidR="0037077D" w:rsidRPr="0037077D" w:rsidRDefault="0037077D" w:rsidP="00F067D5">
            <w:pPr>
              <w:pStyle w:val="NormalWeb"/>
              <w:spacing w:before="0" w:beforeAutospacing="0" w:after="0" w:afterAutospacing="0"/>
              <w:jc w:val="center"/>
              <w:rPr>
                <w:rFonts w:ascii="Bookman Old Style" w:hAnsi="Bookman Old Style"/>
                <w:sz w:val="20"/>
                <w:szCs w:val="20"/>
              </w:rPr>
            </w:pPr>
            <w:r w:rsidRPr="0037077D">
              <w:rPr>
                <w:rFonts w:ascii="Bookman Old Style" w:hAnsi="Bookman Old Style"/>
                <w:color w:val="000000"/>
                <w:sz w:val="20"/>
                <w:szCs w:val="20"/>
              </w:rPr>
              <w:t xml:space="preserve">Partido Liberal </w:t>
            </w:r>
          </w:p>
          <w:p w14:paraId="60BD1842" w14:textId="77777777" w:rsidR="0037077D" w:rsidRPr="0037077D" w:rsidRDefault="0037077D" w:rsidP="00F067D5">
            <w:pPr>
              <w:pStyle w:val="NormalWeb"/>
              <w:spacing w:before="0" w:beforeAutospacing="0" w:after="0" w:afterAutospacing="0"/>
              <w:jc w:val="center"/>
              <w:rPr>
                <w:rFonts w:ascii="Bookman Old Style" w:eastAsia="Bookman Old Style" w:hAnsi="Bookman Old Style" w:cs="Bookman Old Style"/>
                <w:b/>
                <w:sz w:val="20"/>
                <w:szCs w:val="20"/>
              </w:rPr>
            </w:pPr>
          </w:p>
        </w:tc>
      </w:tr>
    </w:tbl>
    <w:p w14:paraId="78436CE2" w14:textId="77777777" w:rsidR="00785E66" w:rsidRDefault="00785E66" w:rsidP="00785E66">
      <w:pPr>
        <w:pBdr>
          <w:top w:val="nil"/>
          <w:left w:val="nil"/>
          <w:bottom w:val="nil"/>
          <w:right w:val="nil"/>
          <w:between w:val="nil"/>
        </w:pBdr>
        <w:ind w:right="115"/>
        <w:rPr>
          <w:rFonts w:ascii="Bookman Old Style" w:eastAsia="Bookman Old Style" w:hAnsi="Bookman Old Style" w:cs="Bookman Old Style"/>
          <w:b/>
          <w:sz w:val="24"/>
          <w:szCs w:val="24"/>
        </w:rPr>
      </w:pPr>
    </w:p>
    <w:p w14:paraId="4DB5222C" w14:textId="77777777" w:rsidR="00785E66" w:rsidRDefault="00785E66" w:rsidP="00785E66">
      <w:pPr>
        <w:pBdr>
          <w:top w:val="nil"/>
          <w:left w:val="nil"/>
          <w:bottom w:val="nil"/>
          <w:right w:val="nil"/>
          <w:between w:val="nil"/>
        </w:pBdr>
        <w:ind w:right="115"/>
        <w:rPr>
          <w:rFonts w:ascii="Bookman Old Style" w:eastAsia="Bookman Old Style" w:hAnsi="Bookman Old Style" w:cs="Bookman Old Style"/>
          <w:b/>
          <w:sz w:val="24"/>
          <w:szCs w:val="24"/>
        </w:rPr>
      </w:pPr>
    </w:p>
    <w:p w14:paraId="58E8DFDF" w14:textId="77777777" w:rsidR="00FA0665" w:rsidRDefault="00FA0665" w:rsidP="00785E66">
      <w:pPr>
        <w:spacing w:after="0" w:line="276" w:lineRule="auto"/>
        <w:jc w:val="both"/>
        <w:rPr>
          <w:rFonts w:ascii="Bookman Old Style" w:eastAsia="Bookman Old Style" w:hAnsi="Bookman Old Style" w:cs="Bookman Old Style"/>
          <w:b/>
        </w:rPr>
      </w:pPr>
    </w:p>
    <w:sectPr w:rsidR="00FA0665">
      <w:headerReference w:type="default" r:id="rId2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43A4" w14:textId="77777777" w:rsidR="0017109D" w:rsidRDefault="0017109D">
      <w:pPr>
        <w:spacing w:after="0" w:line="240" w:lineRule="auto"/>
      </w:pPr>
      <w:r>
        <w:separator/>
      </w:r>
    </w:p>
  </w:endnote>
  <w:endnote w:type="continuationSeparator" w:id="0">
    <w:p w14:paraId="05FC319D" w14:textId="77777777" w:rsidR="0017109D" w:rsidRDefault="0017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DF80" w14:textId="77777777" w:rsidR="0017109D" w:rsidRDefault="0017109D">
      <w:pPr>
        <w:spacing w:after="0" w:line="240" w:lineRule="auto"/>
      </w:pPr>
      <w:r>
        <w:separator/>
      </w:r>
    </w:p>
  </w:footnote>
  <w:footnote w:type="continuationSeparator" w:id="0">
    <w:p w14:paraId="63CA7171" w14:textId="77777777" w:rsidR="0017109D" w:rsidRDefault="0017109D">
      <w:pPr>
        <w:spacing w:after="0" w:line="240" w:lineRule="auto"/>
      </w:pPr>
      <w:r>
        <w:continuationSeparator/>
      </w:r>
    </w:p>
  </w:footnote>
  <w:footnote w:id="1">
    <w:p w14:paraId="16625938"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Artículo 25 (como parte del derecho a un nivel de vida adecuado) de la Declaración Universal de los Derechos Humanos de 1948 adoptada por la Asamblea General de las Naciones Unidas en Resolución 217 A (III) de fecha 10 de diciembre de 1948, la cual es considerada como Fuente de Derecho Internacional de conformidad con el artículo 38 del Estatuto de la Corte Internacional de Justicia, en tanto cumple con los requisitos para ser considerada Costumbre Internacional; Artículos 11 (derecho a un nivel de vida adecuado) y 12 (derecho de toda persona a estar protegida contra el hambre) del Pacto Internacional de Derechos Económicos de 1966, Sociales y Culturales; y el Artículo 12 (derecho a la alimentación) del Protocolo Adicional a la Convención Americana sobre Derechos Humanos en Materia de Derechos Económicos Sociales y Culturales “Protocolo de San Salvador” de 1988. Así mismo, es menester resaltar que el doctrinante MARCO GERARDO MONROY CABRA ha señalado que en general “</w:t>
      </w:r>
      <w:r>
        <w:rPr>
          <w:rFonts w:ascii="Times New Roman" w:eastAsia="Times New Roman" w:hAnsi="Times New Roman" w:cs="Times New Roman"/>
          <w:i/>
          <w:color w:val="000000"/>
          <w:sz w:val="20"/>
          <w:szCs w:val="20"/>
        </w:rPr>
        <w:t>las normas que regulan el respeto a los derechos humanos son de ius cogens, de orden público y por tanto, imperativas y obligatorias para la comunidad internacional</w:t>
      </w:r>
      <w:r>
        <w:rPr>
          <w:rFonts w:ascii="Times New Roman" w:eastAsia="Times New Roman" w:hAnsi="Times New Roman" w:cs="Times New Roman"/>
          <w:color w:val="000000"/>
          <w:sz w:val="20"/>
          <w:szCs w:val="20"/>
        </w:rPr>
        <w:t xml:space="preserve">” En: MARCO GERARDO MONROY CABRA, </w:t>
      </w:r>
      <w:r>
        <w:rPr>
          <w:rFonts w:ascii="Times New Roman" w:eastAsia="Times New Roman" w:hAnsi="Times New Roman" w:cs="Times New Roman"/>
          <w:i/>
          <w:color w:val="000000"/>
          <w:sz w:val="20"/>
          <w:szCs w:val="20"/>
        </w:rPr>
        <w:t>Derecho Internacional Público</w:t>
      </w:r>
      <w:r>
        <w:rPr>
          <w:rFonts w:ascii="Times New Roman" w:eastAsia="Times New Roman" w:hAnsi="Times New Roman" w:cs="Times New Roman"/>
          <w:color w:val="000000"/>
          <w:sz w:val="20"/>
          <w:szCs w:val="20"/>
        </w:rPr>
        <w:t>, Bogotá, Editorial Temis, 2011. Pág. 660-661, por lo que el presente proyecto de Ley apunta a dar cumplimiento a obligaciones imperativas de carácter internacional que el Estado colombiano ha contraído en virtud de su pertenencia a la Comunidad Internacional y debido a la suscripción de sendos Tratados sobre Derechos Humanos que le son vinculantes.</w:t>
      </w:r>
    </w:p>
  </w:footnote>
  <w:footnote w:id="2">
    <w:p w14:paraId="5605786F" w14:textId="77777777" w:rsidR="00FA0665" w:rsidRDefault="00000000">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Disponible en: </w:t>
      </w:r>
      <w:hyperlink r:id="rId1">
        <w:r>
          <w:rPr>
            <w:rFonts w:ascii="Times New Roman" w:eastAsia="Times New Roman" w:hAnsi="Times New Roman" w:cs="Times New Roman"/>
            <w:color w:val="0563C1"/>
            <w:sz w:val="20"/>
            <w:szCs w:val="20"/>
            <w:u w:val="single"/>
          </w:rPr>
          <w:t>https://www.fao.org/3/cb5409es/cb5409es.pdf</w:t>
        </w:r>
      </w:hyperlink>
      <w:r>
        <w:rPr>
          <w:color w:val="000000"/>
          <w:sz w:val="20"/>
          <w:szCs w:val="20"/>
        </w:rPr>
        <w:t xml:space="preserve"> </w:t>
      </w:r>
    </w:p>
  </w:footnote>
  <w:footnote w:id="3">
    <w:p w14:paraId="2AEA11EB" w14:textId="77777777" w:rsidR="00FA0665"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A pesar de que se cuenta con la Encuesta Nacional de Situación Nutricional (ENSIN) realizada cada cinco años, se considera que el periodo evaluado es muy amplio y, adicionalmente, su interpretación y aplicación en razón del extenso periodo que abarca constituye un desafío en materia de interpretación para los tomadores de decisión.</w:t>
      </w:r>
    </w:p>
  </w:footnote>
  <w:footnote w:id="4">
    <w:p w14:paraId="70BE24CF" w14:textId="77777777" w:rsidR="00FA0665" w:rsidRDefault="00000000">
      <w:pPr>
        <w:pBdr>
          <w:top w:val="nil"/>
          <w:left w:val="nil"/>
          <w:bottom w:val="nil"/>
          <w:right w:val="nil"/>
          <w:between w:val="nil"/>
        </w:pBdr>
        <w:spacing w:after="0"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Consultar en: </w:t>
      </w:r>
      <w:hyperlink r:id="rId2" w:anchor=":~:text=%E2%80%9CUn%20Pa%C3%ADs%20que%20se%20Hunde,porcentaje%20de%20personas%2C%20en%20la">
        <w:r>
          <w:rPr>
            <w:rFonts w:ascii="Bookman Old Style" w:eastAsia="Bookman Old Style" w:hAnsi="Bookman Old Style" w:cs="Bookman Old Style"/>
            <w:color w:val="0563C1"/>
            <w:sz w:val="20"/>
            <w:szCs w:val="20"/>
            <w:u w:val="single"/>
          </w:rPr>
          <w:t>Un país que se hunde en el hambre – FIAN Colombia</w:t>
        </w:r>
      </w:hyperlink>
      <w:r>
        <w:rPr>
          <w:rFonts w:ascii="Bookman Old Style" w:eastAsia="Bookman Old Style" w:hAnsi="Bookman Old Style" w:cs="Bookman Old Style"/>
          <w:color w:val="000000"/>
          <w:sz w:val="20"/>
          <w:szCs w:val="20"/>
        </w:rPr>
        <w:t xml:space="preserve"> </w:t>
      </w:r>
    </w:p>
  </w:footnote>
  <w:footnote w:id="5">
    <w:p w14:paraId="4996FB21" w14:textId="77777777" w:rsidR="00FA0665" w:rsidRDefault="00000000">
      <w:pPr>
        <w:pBdr>
          <w:top w:val="nil"/>
          <w:left w:val="nil"/>
          <w:bottom w:val="nil"/>
          <w:right w:val="nil"/>
          <w:between w:val="nil"/>
        </w:pBdr>
        <w:spacing w:after="0"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Consultar en:  </w:t>
      </w:r>
      <w:hyperlink r:id="rId3">
        <w:r>
          <w:rPr>
            <w:rFonts w:ascii="Bookman Old Style" w:eastAsia="Bookman Old Style" w:hAnsi="Bookman Old Style" w:cs="Bookman Old Style"/>
            <w:color w:val="0563C1"/>
            <w:sz w:val="20"/>
            <w:szCs w:val="20"/>
            <w:u w:val="single"/>
          </w:rPr>
          <w:t>El Rol de las Transferencias Monetarias Condicionadas en el Desarrollo Infantil en México | The Abdul Latif Jameel Poverty Action Lab</w:t>
        </w:r>
      </w:hyperlink>
      <w:r>
        <w:rPr>
          <w:rFonts w:ascii="Bookman Old Style" w:eastAsia="Bookman Old Style" w:hAnsi="Bookman Old Style" w:cs="Bookman Old Style"/>
          <w:color w:val="000000"/>
          <w:sz w:val="20"/>
          <w:szCs w:val="20"/>
        </w:rPr>
        <w:t xml:space="preserve"> </w:t>
      </w:r>
    </w:p>
  </w:footnote>
  <w:footnote w:id="6">
    <w:p w14:paraId="402D0A6A" w14:textId="77777777" w:rsidR="00FA0665" w:rsidRDefault="00000000">
      <w:pPr>
        <w:pBdr>
          <w:top w:val="nil"/>
          <w:left w:val="nil"/>
          <w:bottom w:val="nil"/>
          <w:right w:val="nil"/>
          <w:between w:val="nil"/>
        </w:pBdr>
        <w:spacing w:after="0"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Consultar en:  </w:t>
      </w:r>
      <w:hyperlink r:id="rId4">
        <w:r>
          <w:rPr>
            <w:rFonts w:ascii="Bookman Old Style" w:eastAsia="Bookman Old Style" w:hAnsi="Bookman Old Style" w:cs="Bookman Old Style"/>
            <w:color w:val="0563C1"/>
            <w:sz w:val="20"/>
            <w:szCs w:val="20"/>
            <w:u w:val="single"/>
          </w:rPr>
          <w:t>La mala alimentación perjudica la salud de los niños en todo el mundo, advierte UNICEF</w:t>
        </w:r>
      </w:hyperlink>
      <w:r>
        <w:rPr>
          <w:color w:val="000000"/>
          <w:sz w:val="20"/>
          <w:szCs w:val="20"/>
        </w:rPr>
        <w:t xml:space="preserve"> </w:t>
      </w:r>
    </w:p>
  </w:footnote>
  <w:footnote w:id="7">
    <w:p w14:paraId="1AF54DCA" w14:textId="77777777" w:rsidR="00FA0665"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Disponible en: </w:t>
      </w:r>
      <w:hyperlink r:id="rId5">
        <w:r>
          <w:rPr>
            <w:rFonts w:ascii="Bookman Old Style" w:eastAsia="Bookman Old Style" w:hAnsi="Bookman Old Style" w:cs="Bookman Old Style"/>
            <w:color w:val="0563C1"/>
            <w:sz w:val="20"/>
            <w:szCs w:val="20"/>
            <w:u w:val="single"/>
          </w:rPr>
          <w:t>El estado de los recursos de tierras y aguas del mundo para la alimentación y la agricultura - Sistemas al límite (fao.org)</w:t>
        </w:r>
      </w:hyperlink>
      <w:r>
        <w:rPr>
          <w:color w:val="000000"/>
          <w:sz w:val="20"/>
          <w:szCs w:val="20"/>
        </w:rPr>
        <w:t xml:space="preserve"> </w:t>
      </w:r>
    </w:p>
  </w:footnote>
  <w:footnote w:id="8">
    <w:p w14:paraId="4FB60A96"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desde Naciones Unidas - Derechos Humanos - Oficina del Alto Comisionado para los Derechos Humanos:  http://www.ohchr.org/SP/Issues/Pages/WhatareHumanRights.aspx</w:t>
      </w:r>
    </w:p>
  </w:footnote>
  <w:footnote w:id="9">
    <w:p w14:paraId="15C0EBEB"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 principio de universalidad constituye la piedra angular del Derecho Internacional de los Derechos Humanos. Como ejemplo de éste es preciso acudir a las disposiciones de la Declaración Mundial de Derechos Humanos y el Programa de Acción de Viena de 1993,  aprobados por la Conferencia Mundial de Derechos Humanos. Allí se establece que todos los Estados se encuentran en el deber de proteger los Derechos Humanos y las libertades individuales, lo anterior con independencia a los contextos políticos, económicos, culturales o económicos.</w:t>
      </w:r>
    </w:p>
  </w:footnote>
  <w:footnote w:id="10">
    <w:p w14:paraId="25275E87"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Oficina del Alto Comisionado para los Derechos Humanos define el criterio de inalienabilidad en el sentido de que “</w:t>
      </w:r>
      <w:r>
        <w:rPr>
          <w:rFonts w:ascii="Times New Roman" w:eastAsia="Times New Roman" w:hAnsi="Times New Roman" w:cs="Times New Roman"/>
          <w:i/>
          <w:color w:val="000000"/>
          <w:sz w:val="20"/>
          <w:szCs w:val="20"/>
        </w:rPr>
        <w:t>Los derechos humanos son inalienables. No deben suprimirse, salvo en determinadas situaciones y según las debidas garantías procesales</w:t>
      </w:r>
      <w:r>
        <w:rPr>
          <w:rFonts w:ascii="Times New Roman" w:eastAsia="Times New Roman" w:hAnsi="Times New Roman" w:cs="Times New Roman"/>
          <w:color w:val="000000"/>
          <w:sz w:val="20"/>
          <w:szCs w:val="20"/>
        </w:rPr>
        <w:t xml:space="preserve">.” En: 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 Naciones Unidas - Derechos Humanos - Oficina del Alto Comisionado para los Derechos Humanos: http://www.ohchr.org/SP/Issues/Pages/WhatareHumanRights.aspx</w:t>
      </w:r>
    </w:p>
  </w:footnote>
  <w:footnote w:id="11">
    <w:p w14:paraId="726237CF"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lo referente a la interrelación, interdependencia e indivisibilidad, la Oficina del Alto Comisionado para los Derechos Humanos define dichos criterios en el sentido de que  </w:t>
      </w:r>
      <w:r>
        <w:rPr>
          <w:rFonts w:ascii="Times New Roman" w:eastAsia="Times New Roman" w:hAnsi="Times New Roman" w:cs="Times New Roman"/>
          <w:i/>
          <w:color w:val="000000"/>
          <w:sz w:val="20"/>
          <w:szCs w:val="20"/>
        </w:rPr>
        <w:t>“Todos los derechos humanos, sean éstos los derechos civiles y políticos (…); los derechos económicos, sociales y culturales (…); o los derechos colectivos, todos son derechos indivisibles, interrelacionados e interdependientes. El avance de uno facilita el avance de los demás. De la misma manera, la privación de un derecho afecta negativamente a los demás.” </w:t>
      </w:r>
      <w:r>
        <w:rPr>
          <w:rFonts w:ascii="Times New Roman" w:eastAsia="Times New Roman" w:hAnsi="Times New Roman" w:cs="Times New Roman"/>
          <w:color w:val="000000"/>
          <w:sz w:val="20"/>
          <w:szCs w:val="20"/>
        </w:rPr>
        <w:t xml:space="preserve">Al respecto ver la Declaración y Programa de Acción de Viena aprobado por la Conferencia Mundial de Derechos Humanos celebrada en 1993. A/CONF.127/23. Pár. 5; Ver también: Corte Constitucional, Sentencia C-251 de 1997. Magistrado Ponente: Alejandro Martínez Caballero. Pár. 5 </w:t>
      </w:r>
    </w:p>
  </w:footnote>
  <w:footnote w:id="12">
    <w:p w14:paraId="3D03E714"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ASBJØRN EIDE et al. </w:t>
      </w:r>
      <w:r w:rsidRPr="00785E66">
        <w:rPr>
          <w:rFonts w:ascii="Times New Roman" w:eastAsia="Times New Roman" w:hAnsi="Times New Roman" w:cs="Times New Roman"/>
          <w:color w:val="000000"/>
          <w:sz w:val="20"/>
          <w:szCs w:val="20"/>
          <w:lang w:val="en-US"/>
        </w:rPr>
        <w:t xml:space="preserve">(Eds.), </w:t>
      </w:r>
      <w:r w:rsidRPr="00785E66">
        <w:rPr>
          <w:rFonts w:ascii="Times New Roman" w:eastAsia="Times New Roman" w:hAnsi="Times New Roman" w:cs="Times New Roman"/>
          <w:i/>
          <w:color w:val="000000"/>
          <w:sz w:val="20"/>
          <w:szCs w:val="20"/>
          <w:lang w:val="en-US"/>
        </w:rPr>
        <w:t>Economic, Social and Cultural Rights</w:t>
      </w:r>
      <w:r w:rsidRPr="00785E66">
        <w:rPr>
          <w:rFonts w:ascii="Times New Roman" w:eastAsia="Times New Roman" w:hAnsi="Times New Roman" w:cs="Times New Roman"/>
          <w:color w:val="000000"/>
          <w:sz w:val="20"/>
          <w:szCs w:val="20"/>
          <w:lang w:val="en-US"/>
        </w:rPr>
        <w:t xml:space="preserve">, 2ª Edición, La Haya, Kluwer Law International, 2011. </w:t>
      </w:r>
      <w:r>
        <w:rPr>
          <w:rFonts w:ascii="Times New Roman" w:eastAsia="Times New Roman" w:hAnsi="Times New Roman" w:cs="Times New Roman"/>
          <w:color w:val="000000"/>
          <w:sz w:val="20"/>
          <w:szCs w:val="20"/>
        </w:rPr>
        <w:t>Pág. 9</w:t>
      </w:r>
    </w:p>
  </w:footnote>
  <w:footnote w:id="13">
    <w:p w14:paraId="59C4ACE0"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Dentro de los cuales se encuentran el derecho al medio ambiente, al desarrollo, a la paz, a la autodeterminación de los pueblos y al patrimonio común de la humanidad. Los mismos se encuentran orientados, en cierta forma, a la protección de aquellos intereses que resultan fundamentales para la humanidad como un todo. En:  MARÍA EUGENIA RODRÍGUEZ PALOP, </w:t>
      </w:r>
      <w:r>
        <w:rPr>
          <w:rFonts w:ascii="Times New Roman" w:eastAsia="Times New Roman" w:hAnsi="Times New Roman" w:cs="Times New Roman"/>
          <w:i/>
          <w:color w:val="000000"/>
          <w:sz w:val="20"/>
          <w:szCs w:val="20"/>
        </w:rPr>
        <w:t>La nueva generación de Derechos Humanos. Origen y Justificación.</w:t>
      </w:r>
      <w:r>
        <w:rPr>
          <w:rFonts w:ascii="Times New Roman" w:eastAsia="Times New Roman" w:hAnsi="Times New Roman" w:cs="Times New Roman"/>
          <w:color w:val="000000"/>
          <w:sz w:val="20"/>
          <w:szCs w:val="20"/>
        </w:rPr>
        <w:t xml:space="preserve"> Madrid. Instituto de Derechos Humanos “Bartolomé de las Casas” Universidad Carlos III de Madrid. Editorial Dykinson, 2010.</w:t>
      </w:r>
    </w:p>
  </w:footnote>
  <w:footnote w:id="14">
    <w:p w14:paraId="6928F992"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 respecto, la Corte Constitucional ha establecido que: “</w:t>
      </w:r>
      <w:r>
        <w:rPr>
          <w:rFonts w:ascii="Times New Roman" w:eastAsia="Times New Roman" w:hAnsi="Times New Roman" w:cs="Times New Roman"/>
          <w:i/>
          <w:color w:val="000000"/>
          <w:sz w:val="20"/>
          <w:szCs w:val="20"/>
        </w:rPr>
        <w:t>Los derechos humanos forman una unidad, pues son interdependientes, integrales y universales, de suerte que no es admisible que se desconozcan unos derechos so pretexto de salvaguardar otros. Esta interdependencia y unidad de los derechos humanos tiene como fundamento la idea de que para proteger verdaderamente la dignidad humana es necesario que la persona no sólo tenga órbitas de acción que se encuentren libres de interferencia ajena, como lo quería la filosofía liberal, sino que además es menester que el individuo tenga posibilidades de participación en los destinos colectivos de la sociedad de la cual hace parte, conforme a las aspiraciones de la filosofía democrática, y también que se le aseguren una mínimas condiciones materiales de existencia, según los postulados de las filosofías políticas de orientación social. Los derechos humanos son pues una unidad compleja. Por ello algunos sectores de la doctrina suelen clasificar los derechos humanos en derechos de libertad, provenientes de la tradición liberal, derechos de participación, que son desarrollo de la filosofía democrática, y derechos sociales prestacionales, que corresponden a la influencia de las corrientes de orientación social y socialista.</w:t>
      </w:r>
      <w:r>
        <w:rPr>
          <w:rFonts w:ascii="Times New Roman" w:eastAsia="Times New Roman" w:hAnsi="Times New Roman" w:cs="Times New Roman"/>
          <w:color w:val="000000"/>
          <w:sz w:val="20"/>
          <w:szCs w:val="20"/>
        </w:rPr>
        <w:t>” Corte Constitucional, Sentencia C-251 de 1997. Magistrado Ponente: Alejandro Martínez Caballero</w:t>
      </w:r>
    </w:p>
  </w:footnote>
  <w:footnote w:id="15">
    <w:p w14:paraId="63FB3AF7"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 respecto, la Corte Constitucional ha dispuesto que: “</w:t>
      </w:r>
      <w:r>
        <w:rPr>
          <w:rFonts w:ascii="Times New Roman" w:eastAsia="Times New Roman" w:hAnsi="Times New Roman" w:cs="Times New Roman"/>
          <w:i/>
          <w:color w:val="000000"/>
          <w:sz w:val="20"/>
          <w:szCs w:val="20"/>
        </w:rPr>
        <w:t xml:space="preserve">La Constitución acoge la fórmula del Estado social de derecho, la cual implica que las autoridades buscan no sólo garantizar a la persona esferas libres de interferencia ajena, sino que es su deber también asegurarles condiciones materiales mínimas de existencia, por lo cual el Estado debe realizar progresivamente los llamados derechos económicos, sociales y culturales. El Estado tiene frente a los particulares no sólo deberes de abstención sino que debe igualmente realizar prestaciones positivas, sobre todo en materia social, a fin de asegurar las condiciones materiales mínimas, sin las cuales no es posible vivir una vida digna. Existe entonces una íntima relación entre la consagración del Estado social de derecho, el reconocimiento de la dignidad humana, y la incorporación de los llamados derechos de segunda generación.” </w:t>
      </w:r>
      <w:r>
        <w:rPr>
          <w:rFonts w:ascii="Times New Roman" w:eastAsia="Times New Roman" w:hAnsi="Times New Roman" w:cs="Times New Roman"/>
          <w:color w:val="000000"/>
          <w:sz w:val="20"/>
          <w:szCs w:val="20"/>
        </w:rPr>
        <w:t>Corte Constitucional, Sentencia C-251 de 1997. Magistrado Ponente: Alejandro Martínez Caballero</w:t>
      </w:r>
    </w:p>
  </w:footnote>
  <w:footnote w:id="16">
    <w:p w14:paraId="38120945"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WENCHE BARTH EIDE y UWE KRACHT. </w:t>
      </w:r>
      <w:r w:rsidRPr="00785E66">
        <w:rPr>
          <w:rFonts w:ascii="Times New Roman" w:eastAsia="Times New Roman" w:hAnsi="Times New Roman" w:cs="Times New Roman"/>
          <w:i/>
          <w:color w:val="000000"/>
          <w:sz w:val="20"/>
          <w:szCs w:val="20"/>
          <w:lang w:val="en-US"/>
        </w:rPr>
        <w:t>Chapter 4: The Right to adequate food in Human Rights Instruments; Legal Norms and Interpretations</w:t>
      </w:r>
      <w:r w:rsidRPr="00785E66">
        <w:rPr>
          <w:rFonts w:ascii="Times New Roman" w:eastAsia="Times New Roman" w:hAnsi="Times New Roman" w:cs="Times New Roman"/>
          <w:color w:val="000000"/>
          <w:sz w:val="20"/>
          <w:szCs w:val="20"/>
          <w:lang w:val="en-US"/>
        </w:rPr>
        <w:t xml:space="preserve">.  En: WENCHE BARTH EIDE y UWE KRACHT, </w:t>
      </w:r>
      <w:r w:rsidRPr="00785E66">
        <w:rPr>
          <w:rFonts w:ascii="Times New Roman" w:eastAsia="Times New Roman" w:hAnsi="Times New Roman" w:cs="Times New Roman"/>
          <w:i/>
          <w:color w:val="000000"/>
          <w:sz w:val="20"/>
          <w:szCs w:val="20"/>
          <w:lang w:val="en-US"/>
        </w:rPr>
        <w:t xml:space="preserve">Food and Human Rights in Development Volume I, Legal and Institutional Dimensions and Selected Topics., </w:t>
      </w:r>
      <w:r w:rsidRPr="00785E66">
        <w:rPr>
          <w:rFonts w:ascii="Times New Roman" w:eastAsia="Times New Roman" w:hAnsi="Times New Roman" w:cs="Times New Roman"/>
          <w:color w:val="000000"/>
          <w:sz w:val="20"/>
          <w:szCs w:val="20"/>
          <w:lang w:val="en-US"/>
        </w:rPr>
        <w:t xml:space="preserve">Editorial Intersentia, Amberes/Oxford, 2005. </w:t>
      </w:r>
      <w:r>
        <w:rPr>
          <w:rFonts w:ascii="Times New Roman" w:eastAsia="Times New Roman" w:hAnsi="Times New Roman" w:cs="Times New Roman"/>
          <w:color w:val="000000"/>
          <w:sz w:val="20"/>
          <w:szCs w:val="20"/>
        </w:rPr>
        <w:t>Pág. 100</w:t>
      </w:r>
    </w:p>
  </w:footnote>
  <w:footnote w:id="17">
    <w:p w14:paraId="26FA795B"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lo referente a la obligación de respeto, </w:t>
      </w:r>
      <w:r>
        <w:rPr>
          <w:rFonts w:ascii="Times New Roman" w:eastAsia="Times New Roman" w:hAnsi="Times New Roman" w:cs="Times New Roman"/>
          <w:i/>
          <w:color w:val="000000"/>
          <w:sz w:val="20"/>
          <w:szCs w:val="20"/>
        </w:rPr>
        <w:t>“(…) significa que los Estados deben abstenerse de interferir en el disfrute de los derechos humanos, o de limitarlos”</w:t>
      </w:r>
      <w:r>
        <w:rPr>
          <w:rFonts w:ascii="Times New Roman" w:eastAsia="Times New Roman" w:hAnsi="Times New Roman" w:cs="Times New Roman"/>
          <w:color w:val="000000"/>
          <w:sz w:val="20"/>
          <w:szCs w:val="20"/>
        </w:rPr>
        <w:t>. En: La Oficina del Alto Comisionado para los Derechos Humanos define el criterio de inalienabilidad en el sentido de que “</w:t>
      </w:r>
      <w:r>
        <w:rPr>
          <w:rFonts w:ascii="Times New Roman" w:eastAsia="Times New Roman" w:hAnsi="Times New Roman" w:cs="Times New Roman"/>
          <w:i/>
          <w:color w:val="000000"/>
          <w:sz w:val="20"/>
          <w:szCs w:val="20"/>
        </w:rPr>
        <w:t>Los derechos humanos son inalienables. No deben suprimirse, salvo en determinadas situaciones y según las debidas garantías procesales</w:t>
      </w:r>
      <w:r>
        <w:rPr>
          <w:rFonts w:ascii="Times New Roman" w:eastAsia="Times New Roman" w:hAnsi="Times New Roman" w:cs="Times New Roman"/>
          <w:color w:val="000000"/>
          <w:sz w:val="20"/>
          <w:szCs w:val="20"/>
        </w:rPr>
        <w:t xml:space="preserve">.” En: 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 Naciones Unidas - Derechos Humanos - Oficina del Alto Comisionado para los Derechos Humanos: http://www.ohchr.org/SP/Issues/Pages/WhatareHumanRights.aspx. 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8">
    <w:p w14:paraId="720E5100"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lo referente a la obligación de protección, ésta exige que </w:t>
      </w:r>
      <w:r>
        <w:rPr>
          <w:rFonts w:ascii="Times New Roman" w:eastAsia="Times New Roman" w:hAnsi="Times New Roman" w:cs="Times New Roman"/>
          <w:i/>
          <w:color w:val="000000"/>
          <w:sz w:val="20"/>
          <w:szCs w:val="20"/>
        </w:rPr>
        <w:t xml:space="preserve">“(…) los Estados impidan los abusos de los derechos humanos contra individuos y grupos”. En: </w:t>
      </w:r>
      <w:r>
        <w:rPr>
          <w:rFonts w:ascii="Times New Roman" w:eastAsia="Times New Roman" w:hAnsi="Times New Roman" w:cs="Times New Roman"/>
          <w:color w:val="000000"/>
          <w:sz w:val="20"/>
          <w:szCs w:val="20"/>
        </w:rPr>
        <w:t xml:space="preserve">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 Naciones Unidas - Derechos Humanos - Oficina del Alto Comisionado para los Derechos Humanos: http://www.ohchr.org/SP/Issues/Pages/WhatareHumanRights.aspx</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9">
    <w:p w14:paraId="2A466F01"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lo referente a la obligación de realización, ésta se refiera al deber de  “</w:t>
      </w:r>
      <w:r>
        <w:rPr>
          <w:rFonts w:ascii="Times New Roman" w:eastAsia="Times New Roman" w:hAnsi="Times New Roman" w:cs="Times New Roman"/>
          <w:i/>
          <w:color w:val="000000"/>
          <w:sz w:val="20"/>
          <w:szCs w:val="20"/>
        </w:rPr>
        <w:t>adoptar medidas positivas para facilitar el disfrute de los derechos humanos básicos.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En: </w:t>
      </w:r>
      <w:r>
        <w:rPr>
          <w:rFonts w:ascii="Times New Roman" w:eastAsia="Times New Roman" w:hAnsi="Times New Roman" w:cs="Times New Roman"/>
          <w:color w:val="000000"/>
          <w:sz w:val="20"/>
          <w:szCs w:val="20"/>
        </w:rPr>
        <w:t xml:space="preserve">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 Naciones Unidas - Derechos Humanos - Oficina del Alto Comisionado para los Derechos Humanos: http://www.ohchr.org/SP/Issues/Pages/WhatareHumanRights.aspx</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20">
    <w:p w14:paraId="6B1D3288"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 respecto ver: Artículo 2 del Pacto Internacional de Derechos Civiles y Políticos de 1966; Artículo 2 del Pacto Internacional de Derechos Económicos, Sociales y Culturales; Artículo 1.1 y 2 de la Convención Americana de Derechos Humanos; Artículos 1 y 2 del Protocolo Adicional a la Convención Americana de Derechos Humanos en Materia de Derechos Económicos, Sociales y Culturales de 1988.</w:t>
      </w:r>
    </w:p>
  </w:footnote>
  <w:footnote w:id="21">
    <w:p w14:paraId="5A287BF3"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“Toda persona tiene derecho a un nivel de vida adecuado que le asegure, así como a su familia, la salud y el bienestar, </w:t>
      </w:r>
      <w:r>
        <w:rPr>
          <w:rFonts w:ascii="Times New Roman" w:eastAsia="Times New Roman" w:hAnsi="Times New Roman" w:cs="Times New Roman"/>
          <w:b/>
          <w:i/>
          <w:color w:val="000000"/>
          <w:sz w:val="20"/>
          <w:szCs w:val="20"/>
        </w:rPr>
        <w:t>y en especial la alimentación</w:t>
      </w:r>
      <w:r>
        <w:rPr>
          <w:rFonts w:ascii="Times New Roman" w:eastAsia="Times New Roman" w:hAnsi="Times New Roman" w:cs="Times New Roman"/>
          <w:i/>
          <w:color w:val="000000"/>
          <w:sz w:val="20"/>
          <w:szCs w:val="20"/>
        </w:rPr>
        <w:t xml:space="preserve">, el vestido, la vivienda, la asistencia médica y los servicios sociales necesarios; tiene asimismo derecho a los seguros en caso de desempleo, enfermedad, invalidez, viudez, vejez u otros casos de pérdida de sus medios de subsistencia por circunstancias independientes de su voluntad.” </w:t>
      </w:r>
      <w:r>
        <w:rPr>
          <w:rFonts w:ascii="Times New Roman" w:eastAsia="Times New Roman" w:hAnsi="Times New Roman" w:cs="Times New Roman"/>
          <w:color w:val="000000"/>
          <w:sz w:val="20"/>
          <w:szCs w:val="20"/>
        </w:rPr>
        <w:t xml:space="preserve">(Se resalta) </w:t>
      </w:r>
    </w:p>
  </w:footnote>
  <w:footnote w:id="22">
    <w:p w14:paraId="5E27EC85"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“1. Los Estados Partes en el presente Pacto reconocen el derecho de toda persona a un nivel de vida adecuado para sí y su familia, incluso </w:t>
      </w:r>
      <w:r>
        <w:rPr>
          <w:rFonts w:ascii="Times New Roman" w:eastAsia="Times New Roman" w:hAnsi="Times New Roman" w:cs="Times New Roman"/>
          <w:b/>
          <w:i/>
          <w:color w:val="000000"/>
          <w:sz w:val="20"/>
          <w:szCs w:val="20"/>
        </w:rPr>
        <w:t>alimentación</w:t>
      </w:r>
      <w:r>
        <w:rPr>
          <w:rFonts w:ascii="Times New Roman" w:eastAsia="Times New Roman" w:hAnsi="Times New Roman" w:cs="Times New Roman"/>
          <w:i/>
          <w:color w:val="000000"/>
          <w:sz w:val="20"/>
          <w:szCs w:val="20"/>
        </w:rPr>
        <w:t xml:space="preserve">, vestido y vivienda </w:t>
      </w:r>
      <w:r>
        <w:rPr>
          <w:rFonts w:ascii="Times New Roman" w:eastAsia="Times New Roman" w:hAnsi="Times New Roman" w:cs="Times New Roman"/>
          <w:b/>
          <w:i/>
          <w:color w:val="000000"/>
          <w:sz w:val="20"/>
          <w:szCs w:val="20"/>
        </w:rPr>
        <w:t>adecuados</w:t>
      </w:r>
      <w:r>
        <w:rPr>
          <w:rFonts w:ascii="Times New Roman" w:eastAsia="Times New Roman" w:hAnsi="Times New Roman" w:cs="Times New Roman"/>
          <w:i/>
          <w:color w:val="000000"/>
          <w:sz w:val="20"/>
          <w:szCs w:val="20"/>
        </w:rPr>
        <w:t xml:space="preserve">, y a una mejora continua de las condiciones de existencia. Los Estados Partes tomarán medidas apropiadas para asegurar la efectividad de este derecho, reconociendo a este efecto la importancia esencial de la cooperación internacional fundada en el libre consentimiento. (…) 2. Los Estados Partes en el presente Pacto, reconociendo el derecho fundamental de toda persona a estar protegida contra el hambre, adoptarán, individualmente y mediante la cooperación internacional, las medidas, incluidos programas concretos, que se necesiten para: (…) a) 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 la explotación y la utilización más eficaces de las riquezas naturales; (…) b) Asegurar una distribución equitativa de los alimentos mundiales en relación con las necesidades, teniendo en cuenta los problemas que se plantean tanto a los países que importan productos alimenticios como a los que los exportan.” </w:t>
      </w:r>
      <w:r>
        <w:rPr>
          <w:rFonts w:ascii="Times New Roman" w:eastAsia="Times New Roman" w:hAnsi="Times New Roman" w:cs="Times New Roman"/>
          <w:color w:val="000000"/>
          <w:sz w:val="20"/>
          <w:szCs w:val="20"/>
        </w:rPr>
        <w:t>(Se resalta)</w:t>
      </w:r>
    </w:p>
  </w:footnote>
  <w:footnote w:id="23">
    <w:p w14:paraId="3CA9A2F4"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Respecto a la Observación General, es preciso resaltar que la misma se constituye como una interpretación experta y autorizada respecto del contenido de los instrumentos de Derecho Internacional que contienen disposiciones relativas a los Derechos Humanos. La misma fue emitida por el órgano de supervisión del Tratado en cuestión, cuya competencia se irroga gracias a las disposiciones contenidas en el mismo. </w:t>
      </w:r>
      <w:r w:rsidRPr="00785E66">
        <w:rPr>
          <w:rFonts w:ascii="Times New Roman" w:eastAsia="Times New Roman" w:hAnsi="Times New Roman" w:cs="Times New Roman"/>
          <w:color w:val="000000"/>
          <w:sz w:val="20"/>
          <w:szCs w:val="20"/>
          <w:lang w:val="en-US"/>
        </w:rPr>
        <w:t xml:space="preserve">En: WENCHE BARTH EIDE y UWE KRACHT, </w:t>
      </w:r>
      <w:r w:rsidRPr="00785E66">
        <w:rPr>
          <w:rFonts w:ascii="Times New Roman" w:eastAsia="Times New Roman" w:hAnsi="Times New Roman" w:cs="Times New Roman"/>
          <w:i/>
          <w:color w:val="000000"/>
          <w:sz w:val="20"/>
          <w:szCs w:val="20"/>
          <w:lang w:val="en-US"/>
        </w:rPr>
        <w:t xml:space="preserve">Food and Human Rights in Development Volume I, Legal and Institutional Dimensions and Selected Topics., </w:t>
      </w:r>
      <w:r w:rsidRPr="00785E66">
        <w:rPr>
          <w:rFonts w:ascii="Times New Roman" w:eastAsia="Times New Roman" w:hAnsi="Times New Roman" w:cs="Times New Roman"/>
          <w:color w:val="000000"/>
          <w:sz w:val="20"/>
          <w:szCs w:val="20"/>
          <w:lang w:val="en-US"/>
        </w:rPr>
        <w:t xml:space="preserve">Editorial Intersentia, Amberes/Oxford, 2005. </w:t>
      </w:r>
      <w:r>
        <w:rPr>
          <w:rFonts w:ascii="Times New Roman" w:eastAsia="Times New Roman" w:hAnsi="Times New Roman" w:cs="Times New Roman"/>
          <w:color w:val="000000"/>
          <w:sz w:val="20"/>
          <w:szCs w:val="20"/>
        </w:rPr>
        <w:t>Pág. 105. Así mismo, la Corte Constitucional en Sentencia C-251 de 1997 reconoce a dichas observaciones, en conjunción con otros informes oficiales provenientes del Relator de esta clase de derechos, la característica de ser “la doctrina internacional más autorizada en materia de Derechos Económicos, Sociales y Culturales”, como lo es en el presente caso el Derecho a la Alimentación adecuada.</w:t>
      </w:r>
    </w:p>
  </w:footnote>
  <w:footnote w:id="24">
    <w:p w14:paraId="52DD2F0D"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1. 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 (…) 2. Los Estados Partes asegurarán la plena aplicación de este derecho y, en particular, adoptarán las medidas apropiadas para: a) Reducir la mortalidad infantil y en la niñez; b) Asegurar la prestación de la asistencia médica y la atención sanitaria que sean necesarias a todos los niños, haciendo hincapié en el desarrollo de la atención primaria de la salud; c) Combatir las enfermedades y la mal 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ambiente; d) Asegurar atención sanitaria prenatal y postnatal apropiada a las madres; e) 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conocimientos; f) Desarrollar la atención sanitaria preventiva, la orientación a los padres y la educación y servicios en materia de planificación de la familia.”</w:t>
      </w:r>
    </w:p>
  </w:footnote>
  <w:footnote w:id="25">
    <w:p w14:paraId="0A62D959"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“2. Sin perjuicio de lo dispuesto en el párrafo 1 supra, los Estados Partes garantizarán a la mujer servicios apropiados en relación con el embarazo, el parto y el período posterior al parto, proporcionando servicios gratuitos cuando fuere necesario y le asegurarán una nutrición adecuada durante el embarazo y la lactancia.”</w:t>
      </w:r>
    </w:p>
  </w:footnote>
  <w:footnote w:id="26">
    <w:p w14:paraId="0D38D3B9"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25. f </w:t>
      </w:r>
      <w:r>
        <w:rPr>
          <w:rFonts w:ascii="Times New Roman" w:eastAsia="Times New Roman" w:hAnsi="Times New Roman" w:cs="Times New Roman"/>
          <w:i/>
          <w:color w:val="000000"/>
          <w:sz w:val="20"/>
          <w:szCs w:val="20"/>
        </w:rPr>
        <w:t xml:space="preserve">“Impedirán que se nieguen, de manera discriminatoria, servicios de salud o de atención de la salud o alimentos sólidos o líquidos por motivos de discapacidad.”; </w:t>
      </w:r>
      <w:r>
        <w:rPr>
          <w:rFonts w:ascii="Times New Roman" w:eastAsia="Times New Roman" w:hAnsi="Times New Roman" w:cs="Times New Roman"/>
          <w:color w:val="000000"/>
          <w:sz w:val="20"/>
          <w:szCs w:val="20"/>
        </w:rPr>
        <w:t xml:space="preserve">28.1 </w:t>
      </w:r>
      <w:r>
        <w:rPr>
          <w:rFonts w:ascii="Times New Roman" w:eastAsia="Times New Roman" w:hAnsi="Times New Roman" w:cs="Times New Roman"/>
          <w:i/>
          <w:color w:val="000000"/>
          <w:sz w:val="20"/>
          <w:szCs w:val="20"/>
        </w:rPr>
        <w:t>“Los Estados Partes reconocen el derecho de las personas con discapacidad a un nivel de vida adecuado para ellas y sus familias, lo cual incluye alimentación, vestido y vivienda adecuados, y a la mejora continua de sus condiciones de vida, y adoptarán las medidas pertinentes para salvaguardar y promover el ejercicio de este derecho sin discriminación por motivos de discapacidad.”</w:t>
      </w:r>
    </w:p>
  </w:footnote>
  <w:footnote w:id="27">
    <w:p w14:paraId="581F1003" w14:textId="77777777" w:rsidR="00FA0665" w:rsidRDefault="00000000">
      <w:pPr>
        <w:widowControl w:val="0"/>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1. Toda persona tiene derecho a una nutrición adecuada que le asegure la posibilidad de gozar del  más alto nivel de desarrollo físico, emocional e intelectual. (…)2. Con el objeto de hacer efectivo este derecho y a erradicar la desnutrición, los Estados partes se comprometen a perfeccionar los métodos de producción, aprovisionamiento y distribución de  alimentos, para lo cual se comprometen a promover una mayor cooperación internacional en apoyo de las políticas nacionales sobre la materia.”</w:t>
      </w:r>
    </w:p>
  </w:footnote>
  <w:footnote w:id="28">
    <w:p w14:paraId="3AB61895"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Ver: Comisión Africana de Derechos Humanos y de los Pueblos. </w:t>
      </w:r>
      <w:r w:rsidRPr="00785E66">
        <w:rPr>
          <w:rFonts w:ascii="Times New Roman" w:eastAsia="Times New Roman" w:hAnsi="Times New Roman" w:cs="Times New Roman"/>
          <w:color w:val="000000"/>
          <w:sz w:val="20"/>
          <w:szCs w:val="20"/>
          <w:lang w:val="en-US"/>
        </w:rPr>
        <w:t xml:space="preserve">Caso </w:t>
      </w:r>
      <w:r w:rsidRPr="00785E66">
        <w:rPr>
          <w:rFonts w:ascii="Times New Roman" w:eastAsia="Times New Roman" w:hAnsi="Times New Roman" w:cs="Times New Roman"/>
          <w:i/>
          <w:color w:val="000000"/>
          <w:sz w:val="20"/>
          <w:szCs w:val="20"/>
          <w:lang w:val="en-US"/>
        </w:rPr>
        <w:t>“The Social and Economic Rights Action Center and the Center for Economic and Social Rights v. Nigeria”</w:t>
      </w:r>
      <w:r w:rsidRPr="00785E66">
        <w:rPr>
          <w:rFonts w:ascii="Times New Roman" w:eastAsia="Times New Roman" w:hAnsi="Times New Roman" w:cs="Times New Roman"/>
          <w:color w:val="000000"/>
          <w:sz w:val="20"/>
          <w:szCs w:val="20"/>
          <w:lang w:val="en-US"/>
        </w:rPr>
        <w:t xml:space="preserve">, comunicación No. 155/96, párr. </w:t>
      </w:r>
      <w:r>
        <w:rPr>
          <w:rFonts w:ascii="Times New Roman" w:eastAsia="Times New Roman" w:hAnsi="Times New Roman" w:cs="Times New Roman"/>
          <w:color w:val="000000"/>
          <w:sz w:val="20"/>
          <w:szCs w:val="20"/>
        </w:rPr>
        <w:t>64</w:t>
      </w:r>
    </w:p>
  </w:footnote>
  <w:footnote w:id="29">
    <w:p w14:paraId="76D9EFA1"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Económico y Social de las Naciones Unidas. </w:t>
      </w:r>
      <w:r>
        <w:rPr>
          <w:rFonts w:ascii="Times New Roman" w:eastAsia="Times New Roman" w:hAnsi="Times New Roman" w:cs="Times New Roman"/>
          <w:i/>
          <w:color w:val="000000"/>
          <w:sz w:val="20"/>
          <w:szCs w:val="20"/>
        </w:rPr>
        <w:t>Cuestiones sustantivas que se plantean en la aplicación del pacto de derechos económicos, sociales y culturales.</w:t>
      </w:r>
      <w:r>
        <w:rPr>
          <w:rFonts w:ascii="Times New Roman" w:eastAsia="Times New Roman" w:hAnsi="Times New Roman" w:cs="Times New Roman"/>
          <w:color w:val="000000"/>
          <w:sz w:val="20"/>
          <w:szCs w:val="20"/>
        </w:rPr>
        <w:t xml:space="preserve"> Observación General 12. 20º Periodo de Sesiones. 1999</w:t>
      </w:r>
    </w:p>
  </w:footnote>
  <w:footnote w:id="30">
    <w:p w14:paraId="21CAFC16"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Oficina del Alto Comisionado de las Naciones Unidas para los Derechos Humanos. </w:t>
      </w:r>
      <w:r>
        <w:rPr>
          <w:rFonts w:ascii="Times New Roman" w:eastAsia="Times New Roman" w:hAnsi="Times New Roman" w:cs="Times New Roman"/>
          <w:i/>
          <w:color w:val="000000"/>
          <w:sz w:val="20"/>
          <w:szCs w:val="20"/>
        </w:rPr>
        <w:t>Folleto Informativo No. 27.</w:t>
      </w:r>
    </w:p>
  </w:footnote>
  <w:footnote w:id="31">
    <w:p w14:paraId="03359091"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Económico y Social de las Naciones Unidas. </w:t>
      </w:r>
      <w:r>
        <w:rPr>
          <w:rFonts w:ascii="Times New Roman" w:eastAsia="Times New Roman" w:hAnsi="Times New Roman" w:cs="Times New Roman"/>
          <w:i/>
          <w:color w:val="000000"/>
          <w:sz w:val="20"/>
          <w:szCs w:val="20"/>
        </w:rPr>
        <w:t>Cuestiones sustantivas que se plantean en la aplicación del pacto de derechos económicos, sociales y culturales.</w:t>
      </w:r>
      <w:r>
        <w:rPr>
          <w:rFonts w:ascii="Times New Roman" w:eastAsia="Times New Roman" w:hAnsi="Times New Roman" w:cs="Times New Roman"/>
          <w:color w:val="000000"/>
          <w:sz w:val="20"/>
          <w:szCs w:val="20"/>
        </w:rPr>
        <w:t xml:space="preserve"> Observación General 12. 20º Periodo de Sesiones. 1999. Pár. 15</w:t>
      </w:r>
    </w:p>
  </w:footnote>
  <w:footnote w:id="32">
    <w:p w14:paraId="38F7C379"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Económico y Social de las Naciones Unidas. </w:t>
      </w:r>
      <w:r>
        <w:rPr>
          <w:rFonts w:ascii="Times New Roman" w:eastAsia="Times New Roman" w:hAnsi="Times New Roman" w:cs="Times New Roman"/>
          <w:i/>
          <w:color w:val="000000"/>
          <w:sz w:val="20"/>
          <w:szCs w:val="20"/>
        </w:rPr>
        <w:t>Cuestiones sustantivas que se plantean en la aplicación del pacto de derechos económicos, sociales y culturales.</w:t>
      </w:r>
      <w:r>
        <w:rPr>
          <w:rFonts w:ascii="Times New Roman" w:eastAsia="Times New Roman" w:hAnsi="Times New Roman" w:cs="Times New Roman"/>
          <w:color w:val="000000"/>
          <w:sz w:val="20"/>
          <w:szCs w:val="20"/>
        </w:rPr>
        <w:t xml:space="preserve"> Observación General 12. 20º Periodo de Sesiones. 1999. Pár. 21</w:t>
      </w:r>
    </w:p>
  </w:footnote>
  <w:footnote w:id="33">
    <w:p w14:paraId="1412C6AA"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Amartya K. Sen, El derecho a no tener hambre. Estudios de Filosofía y Derecho No. 3 Universidad Externado de Colombia: 2002.</w:t>
      </w:r>
    </w:p>
  </w:footnote>
  <w:footnote w:id="34">
    <w:p w14:paraId="2F5C19BD" w14:textId="77777777" w:rsidR="00FA066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Ibídem.</w:t>
      </w:r>
    </w:p>
  </w:footnote>
  <w:footnote w:id="35">
    <w:p w14:paraId="7B54210D" w14:textId="77777777" w:rsidR="00FA066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Ibídem.</w:t>
      </w:r>
    </w:p>
  </w:footnote>
  <w:footnote w:id="36">
    <w:p w14:paraId="6584F52B" w14:textId="77777777" w:rsidR="00FA0665" w:rsidRDefault="0000000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Consejo Económico y Social de las Naciones Unidas. </w:t>
      </w:r>
      <w:r>
        <w:rPr>
          <w:rFonts w:ascii="Arial" w:eastAsia="Arial" w:hAnsi="Arial" w:cs="Arial"/>
          <w:i/>
          <w:color w:val="000000"/>
          <w:sz w:val="18"/>
          <w:szCs w:val="18"/>
        </w:rPr>
        <w:t>Cuestiones sustantivas que se plantean en la aplicación del pacto de derechos económicos, sociales y culturales.</w:t>
      </w:r>
      <w:r>
        <w:rPr>
          <w:rFonts w:ascii="Arial" w:eastAsia="Arial" w:hAnsi="Arial" w:cs="Arial"/>
          <w:color w:val="000000"/>
          <w:sz w:val="18"/>
          <w:szCs w:val="18"/>
        </w:rPr>
        <w:t xml:space="preserve"> Observación General 12. 20º Periodo de Sesiones. 1999.</w:t>
      </w:r>
    </w:p>
  </w:footnote>
  <w:footnote w:id="37">
    <w:p w14:paraId="38BE5FCB" w14:textId="77777777" w:rsidR="00FA0665" w:rsidRDefault="0000000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FAO, </w:t>
      </w:r>
      <w:r>
        <w:rPr>
          <w:rFonts w:ascii="Arial" w:eastAsia="Arial" w:hAnsi="Arial" w:cs="Arial"/>
          <w:i/>
          <w:color w:val="000000"/>
          <w:sz w:val="18"/>
          <w:szCs w:val="18"/>
        </w:rPr>
        <w:t>El Estado de la Inseguridad Alimentaria en el Mundo</w:t>
      </w:r>
      <w:r>
        <w:rPr>
          <w:rFonts w:ascii="Arial" w:eastAsia="Arial" w:hAnsi="Arial" w:cs="Arial"/>
          <w:color w:val="000000"/>
          <w:sz w:val="18"/>
          <w:szCs w:val="18"/>
        </w:rPr>
        <w:t xml:space="preserve"> – 2001. Roma, 2001 En: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 5</w:t>
      </w:r>
    </w:p>
  </w:footnote>
  <w:footnote w:id="38">
    <w:p w14:paraId="7A6DBB2B" w14:textId="77777777" w:rsidR="00FA0665" w:rsidRDefault="0000000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Págs. 5 – 6.</w:t>
      </w:r>
    </w:p>
  </w:footnote>
  <w:footnote w:id="39">
    <w:p w14:paraId="5EB26B50" w14:textId="77777777" w:rsidR="00FA0665"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Folleto informativo No. 34 sobre el derecho a la alimentación</w:t>
      </w:r>
    </w:p>
  </w:footnote>
  <w:footnote w:id="40">
    <w:p w14:paraId="7DCBBE4A"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Arial" w:eastAsia="Arial" w:hAnsi="Arial" w:cs="Arial"/>
          <w:color w:val="000000"/>
          <w:sz w:val="18"/>
          <w:szCs w:val="18"/>
        </w:rPr>
        <w:t xml:space="preserve">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 6.</w:t>
      </w:r>
    </w:p>
  </w:footnote>
  <w:footnote w:id="41">
    <w:p w14:paraId="0C50221C" w14:textId="77777777" w:rsidR="00FA06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Ver: Jorge Andrés Obando Moreno “Seguridad y soberanía alimentaria en los conflictos ambientales colombianos. Análisis de los conflictos actuales y la jurisprudencia de la Corte Constitucional” en: María del Pilar García Pachón (Ed). “Lecturas sobre derecho del Medio Ambiente Tomo XX” - Universidad Externado de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13D3" w14:textId="77777777" w:rsidR="00FA0665" w:rsidRDefault="00000000">
    <w:pPr>
      <w:pBdr>
        <w:top w:val="nil"/>
        <w:left w:val="nil"/>
        <w:bottom w:val="nil"/>
        <w:right w:val="nil"/>
        <w:between w:val="nil"/>
      </w:pBdr>
      <w:rPr>
        <w:sz w:val="20"/>
        <w:szCs w:val="20"/>
      </w:rPr>
    </w:pPr>
    <w:r>
      <w:rPr>
        <w:noProof/>
      </w:rPr>
      <w:drawing>
        <wp:anchor distT="0" distB="0" distL="0" distR="0" simplePos="0" relativeHeight="251658240" behindDoc="0" locked="0" layoutInCell="1" hidden="0" allowOverlap="1" wp14:anchorId="25C9164D" wp14:editId="2E693D53">
          <wp:simplePos x="0" y="0"/>
          <wp:positionH relativeFrom="column">
            <wp:posOffset>1705755</wp:posOffset>
          </wp:positionH>
          <wp:positionV relativeFrom="paragraph">
            <wp:posOffset>-23853</wp:posOffset>
          </wp:positionV>
          <wp:extent cx="2200619" cy="647700"/>
          <wp:effectExtent l="0" t="0" r="0" b="0"/>
          <wp:wrapSquare wrapText="bothSides" distT="0" distB="0" distL="0" distR="0"/>
          <wp:docPr id="100" name="image7.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 Texto&#10;&#10;Descripción generada automáticamente"/>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0BAC54A1" w14:textId="77777777" w:rsidR="00FA0665" w:rsidRDefault="00FA0665">
    <w:pPr>
      <w:pBdr>
        <w:top w:val="nil"/>
        <w:left w:val="nil"/>
        <w:bottom w:val="nil"/>
        <w:right w:val="nil"/>
        <w:between w:val="nil"/>
      </w:pBdr>
      <w:rPr>
        <w:sz w:val="20"/>
        <w:szCs w:val="20"/>
      </w:rPr>
    </w:pPr>
  </w:p>
  <w:p w14:paraId="6D376932" w14:textId="77777777" w:rsidR="00FA0665" w:rsidRDefault="00FA0665">
    <w:pPr>
      <w:pBdr>
        <w:top w:val="nil"/>
        <w:left w:val="nil"/>
        <w:bottom w:val="nil"/>
        <w:right w:val="nil"/>
        <w:between w:val="nil"/>
      </w:pBdr>
      <w:ind w:left="-1133"/>
      <w:rPr>
        <w:sz w:val="20"/>
        <w:szCs w:val="20"/>
      </w:rPr>
    </w:pPr>
  </w:p>
  <w:p w14:paraId="01CB92A9" w14:textId="77777777" w:rsidR="00FA0665" w:rsidRDefault="00FA066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47BE"/>
    <w:multiLevelType w:val="multilevel"/>
    <w:tmpl w:val="3220789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8475D4"/>
    <w:multiLevelType w:val="multilevel"/>
    <w:tmpl w:val="0FFA4B02"/>
    <w:lvl w:ilvl="0">
      <w:start w:val="1"/>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893BB7"/>
    <w:multiLevelType w:val="multilevel"/>
    <w:tmpl w:val="16CE3FD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973413161">
    <w:abstractNumId w:val="1"/>
  </w:num>
  <w:num w:numId="2" w16cid:durableId="747000875">
    <w:abstractNumId w:val="0"/>
  </w:num>
  <w:num w:numId="3" w16cid:durableId="836966127">
    <w:abstractNumId w:val="5"/>
  </w:num>
  <w:num w:numId="4" w16cid:durableId="2104496765">
    <w:abstractNumId w:val="4"/>
  </w:num>
  <w:num w:numId="5" w16cid:durableId="311981167">
    <w:abstractNumId w:val="2"/>
  </w:num>
  <w:num w:numId="6" w16cid:durableId="1638149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65"/>
    <w:rsid w:val="000B05EC"/>
    <w:rsid w:val="0017109D"/>
    <w:rsid w:val="001A0845"/>
    <w:rsid w:val="0037077D"/>
    <w:rsid w:val="00423A5B"/>
    <w:rsid w:val="00517C18"/>
    <w:rsid w:val="00540829"/>
    <w:rsid w:val="00566616"/>
    <w:rsid w:val="005A2698"/>
    <w:rsid w:val="00785E66"/>
    <w:rsid w:val="008A65BE"/>
    <w:rsid w:val="008B5AF7"/>
    <w:rsid w:val="00AD110F"/>
    <w:rsid w:val="00B0666F"/>
    <w:rsid w:val="00BA11E9"/>
    <w:rsid w:val="00F51457"/>
    <w:rsid w:val="00FA06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CE8B"/>
  <w15:docId w15:val="{219AED38-34F0-2C4B-A719-96BCE7A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DC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753E2"/>
    <w:pPr>
      <w:widowControl w:val="0"/>
      <w:spacing w:after="0" w:line="240" w:lineRule="auto"/>
      <w:ind w:left="102"/>
      <w:outlineLvl w:val="1"/>
    </w:pPr>
    <w:rPr>
      <w:rFonts w:ascii="Times New Roman" w:eastAsia="Times New Roman" w:hAnsi="Times New Roman" w:cs="Times New Roman"/>
      <w:b/>
      <w:sz w:val="28"/>
      <w:szCs w:val="28"/>
      <w:lang w:eastAsia="es-CO"/>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3A7DC5"/>
    <w:pPr>
      <w:ind w:left="720"/>
      <w:contextualSpacing/>
    </w:pPr>
  </w:style>
  <w:style w:type="paragraph" w:styleId="Textonotapie">
    <w:name w:val="footnote text"/>
    <w:aliases w:val="Ref. de nota al pie1,referencia nota al pie,Appel note de bas de page,Texto de nota al pie,Footnotes refss,Footnote number,BVI fnr,f,Nota de pie,Texto nota al pie,4_G,16 Point,Superscript 6 Point,Ref. de nota al pie 2,Fago Fußnotenzeichen"/>
    <w:basedOn w:val="Normal"/>
    <w:link w:val="TextonotapieCar"/>
    <w:uiPriority w:val="99"/>
    <w:unhideWhenUsed/>
    <w:qFormat/>
    <w:rsid w:val="003A7DC5"/>
    <w:pPr>
      <w:spacing w:after="0" w:line="240" w:lineRule="auto"/>
    </w:pPr>
    <w:rPr>
      <w:sz w:val="20"/>
      <w:szCs w:val="20"/>
    </w:rPr>
  </w:style>
  <w:style w:type="character" w:customStyle="1" w:styleId="TextonotapieCar">
    <w:name w:val="Texto nota pie Car"/>
    <w:aliases w:val="Ref. de nota al pie1 Car,referencia nota al pie Car,Appel note de bas de page Car,Texto de nota al pie Car,Footnotes refss Car,Footnote number Car,BVI fnr Car,f Car,Nota de pie Car,Texto nota al pie Car,4_G Car,16 Point Car"/>
    <w:basedOn w:val="Fuentedeprrafopredeter"/>
    <w:link w:val="Textonotapie"/>
    <w:uiPriority w:val="99"/>
    <w:rsid w:val="003A7DC5"/>
    <w:rPr>
      <w:sz w:val="20"/>
      <w:szCs w:val="20"/>
    </w:rPr>
  </w:style>
  <w:style w:type="character" w:styleId="Refdenotaalpie">
    <w:name w:val="footnote reference"/>
    <w:basedOn w:val="Fuentedeprrafopredeter"/>
    <w:uiPriority w:val="99"/>
    <w:unhideWhenUsed/>
    <w:rsid w:val="003A7DC5"/>
    <w:rPr>
      <w:vertAlign w:val="superscript"/>
    </w:rPr>
  </w:style>
  <w:style w:type="character" w:styleId="Hipervnculo">
    <w:name w:val="Hyperlink"/>
    <w:basedOn w:val="Fuentedeprrafopredeter"/>
    <w:uiPriority w:val="99"/>
    <w:unhideWhenUsed/>
    <w:rsid w:val="003A7DC5"/>
    <w:rPr>
      <w:color w:val="0563C1" w:themeColor="hyperlink"/>
      <w:u w:val="single"/>
    </w:rPr>
  </w:style>
  <w:style w:type="table" w:styleId="Tablaconcuadrcula">
    <w:name w:val="Table Grid"/>
    <w:basedOn w:val="Tablanormal"/>
    <w:uiPriority w:val="39"/>
    <w:rsid w:val="003A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7DC5"/>
  </w:style>
  <w:style w:type="character" w:styleId="Hipervnculovisitado">
    <w:name w:val="FollowedHyperlink"/>
    <w:basedOn w:val="Fuentedeprrafopredeter"/>
    <w:uiPriority w:val="99"/>
    <w:semiHidden/>
    <w:unhideWhenUsed/>
    <w:rsid w:val="00E30E21"/>
    <w:rPr>
      <w:color w:val="954F72" w:themeColor="followedHyperlink"/>
      <w:u w:val="single"/>
    </w:rPr>
  </w:style>
  <w:style w:type="paragraph" w:styleId="Revisin">
    <w:name w:val="Revision"/>
    <w:hidden/>
    <w:uiPriority w:val="99"/>
    <w:semiHidden/>
    <w:rsid w:val="00E275AA"/>
    <w:pPr>
      <w:spacing w:after="0" w:line="240" w:lineRule="auto"/>
    </w:pPr>
  </w:style>
  <w:style w:type="character" w:styleId="Refdecomentario">
    <w:name w:val="annotation reference"/>
    <w:basedOn w:val="Fuentedeprrafopredeter"/>
    <w:uiPriority w:val="99"/>
    <w:semiHidden/>
    <w:unhideWhenUsed/>
    <w:rsid w:val="00E275AA"/>
    <w:rPr>
      <w:sz w:val="16"/>
      <w:szCs w:val="16"/>
    </w:rPr>
  </w:style>
  <w:style w:type="paragraph" w:styleId="Textocomentario">
    <w:name w:val="annotation text"/>
    <w:basedOn w:val="Normal"/>
    <w:link w:val="TextocomentarioCar"/>
    <w:uiPriority w:val="99"/>
    <w:semiHidden/>
    <w:unhideWhenUsed/>
    <w:rsid w:val="00E27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5AA"/>
    <w:rPr>
      <w:sz w:val="20"/>
      <w:szCs w:val="20"/>
    </w:rPr>
  </w:style>
  <w:style w:type="paragraph" w:styleId="Asuntodelcomentario">
    <w:name w:val="annotation subject"/>
    <w:basedOn w:val="Textocomentario"/>
    <w:next w:val="Textocomentario"/>
    <w:link w:val="AsuntodelcomentarioCar"/>
    <w:uiPriority w:val="99"/>
    <w:semiHidden/>
    <w:unhideWhenUsed/>
    <w:rsid w:val="00E275AA"/>
    <w:rPr>
      <w:b/>
      <w:bCs/>
    </w:rPr>
  </w:style>
  <w:style w:type="character" w:customStyle="1" w:styleId="AsuntodelcomentarioCar">
    <w:name w:val="Asunto del comentario Car"/>
    <w:basedOn w:val="TextocomentarioCar"/>
    <w:link w:val="Asuntodelcomentario"/>
    <w:uiPriority w:val="99"/>
    <w:semiHidden/>
    <w:rsid w:val="00E275AA"/>
    <w:rPr>
      <w:b/>
      <w:bCs/>
      <w:sz w:val="20"/>
      <w:szCs w:val="20"/>
    </w:rPr>
  </w:style>
  <w:style w:type="paragraph" w:styleId="NormalWeb">
    <w:name w:val="Normal (Web)"/>
    <w:basedOn w:val="Normal"/>
    <w:uiPriority w:val="99"/>
    <w:unhideWhenUsed/>
    <w:rsid w:val="004753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rsid w:val="004753E2"/>
    <w:rPr>
      <w:rFonts w:ascii="Times New Roman" w:eastAsia="Times New Roman" w:hAnsi="Times New Roman" w:cs="Times New Roman"/>
      <w:b/>
      <w:sz w:val="28"/>
      <w:szCs w:val="28"/>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1758">
      <w:bodyDiv w:val="1"/>
      <w:marLeft w:val="0"/>
      <w:marRight w:val="0"/>
      <w:marTop w:val="0"/>
      <w:marBottom w:val="0"/>
      <w:divBdr>
        <w:top w:val="none" w:sz="0" w:space="0" w:color="auto"/>
        <w:left w:val="none" w:sz="0" w:space="0" w:color="auto"/>
        <w:bottom w:val="none" w:sz="0" w:space="0" w:color="auto"/>
        <w:right w:val="none" w:sz="0" w:space="0" w:color="auto"/>
      </w:divBdr>
    </w:div>
    <w:div w:id="201983945">
      <w:bodyDiv w:val="1"/>
      <w:marLeft w:val="0"/>
      <w:marRight w:val="0"/>
      <w:marTop w:val="0"/>
      <w:marBottom w:val="0"/>
      <w:divBdr>
        <w:top w:val="none" w:sz="0" w:space="0" w:color="auto"/>
        <w:left w:val="none" w:sz="0" w:space="0" w:color="auto"/>
        <w:bottom w:val="none" w:sz="0" w:space="0" w:color="auto"/>
        <w:right w:val="none" w:sz="0" w:space="0" w:color="auto"/>
      </w:divBdr>
    </w:div>
    <w:div w:id="995258072">
      <w:bodyDiv w:val="1"/>
      <w:marLeft w:val="0"/>
      <w:marRight w:val="0"/>
      <w:marTop w:val="0"/>
      <w:marBottom w:val="0"/>
      <w:divBdr>
        <w:top w:val="none" w:sz="0" w:space="0" w:color="auto"/>
        <w:left w:val="none" w:sz="0" w:space="0" w:color="auto"/>
        <w:bottom w:val="none" w:sz="0" w:space="0" w:color="auto"/>
        <w:right w:val="none" w:sz="0" w:space="0" w:color="auto"/>
      </w:divBdr>
    </w:div>
    <w:div w:id="1533300885">
      <w:bodyDiv w:val="1"/>
      <w:marLeft w:val="0"/>
      <w:marRight w:val="0"/>
      <w:marTop w:val="0"/>
      <w:marBottom w:val="0"/>
      <w:divBdr>
        <w:top w:val="none" w:sz="0" w:space="0" w:color="auto"/>
        <w:left w:val="none" w:sz="0" w:space="0" w:color="auto"/>
        <w:bottom w:val="none" w:sz="0" w:space="0" w:color="auto"/>
        <w:right w:val="none" w:sz="0" w:space="0" w:color="auto"/>
      </w:divBdr>
    </w:div>
    <w:div w:id="1939867735">
      <w:bodyDiv w:val="1"/>
      <w:marLeft w:val="0"/>
      <w:marRight w:val="0"/>
      <w:marTop w:val="0"/>
      <w:marBottom w:val="0"/>
      <w:divBdr>
        <w:top w:val="none" w:sz="0" w:space="0" w:color="auto"/>
        <w:left w:val="none" w:sz="0" w:space="0" w:color="auto"/>
        <w:bottom w:val="none" w:sz="0" w:space="0" w:color="auto"/>
        <w:right w:val="none" w:sz="0" w:space="0" w:color="auto"/>
      </w:divBdr>
    </w:div>
    <w:div w:id="1952080687">
      <w:bodyDiv w:val="1"/>
      <w:marLeft w:val="0"/>
      <w:marRight w:val="0"/>
      <w:marTop w:val="0"/>
      <w:marBottom w:val="0"/>
      <w:divBdr>
        <w:top w:val="none" w:sz="0" w:space="0" w:color="auto"/>
        <w:left w:val="none" w:sz="0" w:space="0" w:color="auto"/>
        <w:bottom w:val="none" w:sz="0" w:space="0" w:color="auto"/>
        <w:right w:val="none" w:sz="0" w:space="0" w:color="auto"/>
      </w:divBdr>
    </w:div>
    <w:div w:id="2021083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maritza-martinez-aristizabal" TargetMode="External"/><Relationship Id="rId13" Type="http://schemas.openxmlformats.org/officeDocument/2006/relationships/hyperlink" Target="https://www.camara.gov.co/guillermo-garcia-realpe" TargetMode="External"/><Relationship Id="rId18" Type="http://schemas.openxmlformats.org/officeDocument/2006/relationships/hyperlink" Target="https://www.camara.gov.co/representantes/juan-carlos-lozada-varga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mara.gov.co/roosvelt-rodriguez-rengifo" TargetMode="External"/><Relationship Id="rId17" Type="http://schemas.openxmlformats.org/officeDocument/2006/relationships/hyperlink" Target="https://www.camara.gov.co/representantes/norma-hurtado-sanchez" TargetMode="External"/><Relationship Id="rId2" Type="http://schemas.openxmlformats.org/officeDocument/2006/relationships/numbering" Target="numbering.xml"/><Relationship Id="rId16" Type="http://schemas.openxmlformats.org/officeDocument/2006/relationships/hyperlink" Target="https://www.camara.gov.co/jorge-eduardo-londono-ulloa" TargetMode="External"/><Relationship Id="rId20" Type="http://schemas.openxmlformats.org/officeDocument/2006/relationships/hyperlink" Target="https://www.camara.gov.co/representantes/juanita-maria-goebertus-estr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aida-yolanda-avella-esquivel" TargetMode="External"/><Relationship Id="rId5" Type="http://schemas.openxmlformats.org/officeDocument/2006/relationships/webSettings" Target="webSettings.xml"/><Relationship Id="rId15" Type="http://schemas.openxmlformats.org/officeDocument/2006/relationships/hyperlink" Target="https://www.camara.gov.co/angelica-lisbeth-lozano-correa" TargetMode="External"/><Relationship Id="rId23" Type="http://schemas.openxmlformats.org/officeDocument/2006/relationships/theme" Target="theme/theme1.xml"/><Relationship Id="rId10" Type="http://schemas.openxmlformats.org/officeDocument/2006/relationships/hyperlink" Target="https://www.camara.gov.co/myriam-alicia-paredes-aguirre" TargetMode="External"/><Relationship Id="rId19" Type="http://schemas.openxmlformats.org/officeDocument/2006/relationships/hyperlink" Target="https://www.camara.gov.co/representantes/alejandro-alberto-vega-perez" TargetMode="External"/><Relationship Id="rId4" Type="http://schemas.openxmlformats.org/officeDocument/2006/relationships/settings" Target="settings.xml"/><Relationship Id="rId9" Type="http://schemas.openxmlformats.org/officeDocument/2006/relationships/hyperlink" Target="https://www.camara.gov.co/berner-leon-zambrano-erazo" TargetMode="External"/><Relationship Id="rId14" Type="http://schemas.openxmlformats.org/officeDocument/2006/relationships/hyperlink" Target="https://www.camara.gov.co/ivan-leonidas-name-vasquez"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overtyactionlab.org/es/evaluation/el-rol-de-las-transferencias-monetarias-condicionadas-en-el-desarrollo-infantil-en" TargetMode="External"/><Relationship Id="rId2" Type="http://schemas.openxmlformats.org/officeDocument/2006/relationships/hyperlink" Target="https://fiancolombia.org/informe-dhana-2021/" TargetMode="External"/><Relationship Id="rId1" Type="http://schemas.openxmlformats.org/officeDocument/2006/relationships/hyperlink" Target="https://www.fao.org/3/cb5409es/cb5409es.pdf" TargetMode="External"/><Relationship Id="rId5" Type="http://schemas.openxmlformats.org/officeDocument/2006/relationships/hyperlink" Target="https://www.fao.org/3/cb7654es/cb7654es.pdf" TargetMode="External"/><Relationship Id="rId4" Type="http://schemas.openxmlformats.org/officeDocument/2006/relationships/hyperlink" Target="https://www.unicef.org/es/comunicados-prensa/la-mala-alimentaci%C3%B3n-perjudica-la-salud-de-los-ni%C3%B1os-en-todo-el-mundo-advier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aW5GKx8ryJwwskmMglX3UqKdOA==">AMUW2mVdel2gY7rUOrEAS3Ki7LRsYylqHVynmfuQGP8yESG8Tk0oFzZLMC1dDgoYSi8FYNDMlvTgFksOf6sNxPZXlfgas8VFlXeeLhsjqAHqnEaxj/sj+mQ=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7440</Words>
  <Characters>40923</Characters>
  <Application>Microsoft Office Word</Application>
  <DocSecurity>0</DocSecurity>
  <Lines>341</Lines>
  <Paragraphs>96</Paragraphs>
  <ScaleCrop>false</ScaleCrop>
  <Company/>
  <LinksUpToDate>false</LinksUpToDate>
  <CharactersWithSpaces>48267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Arrieta Betancourt</dc:creator>
  <cp:lastModifiedBy>Ana Maria Hinestrosa Villa</cp:lastModifiedBy>
  <cp:revision>3</cp:revision>
  <dcterms:created xsi:type="dcterms:W3CDTF">2022-07-20T23:03:00Z</dcterms:created>
  <dcterms:modified xsi:type="dcterms:W3CDTF">2022-07-21T13:33:00Z</dcterms:modified>
</cp:coreProperties>
</file>