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01E7C" w14:textId="1CD0A07B" w:rsidR="007A4020" w:rsidRDefault="001F39ED" w:rsidP="001F39ED">
      <w:pPr>
        <w:spacing w:after="0"/>
        <w:rPr>
          <w:rFonts w:ascii="Times New Roman" w:hAnsi="Times New Roman" w:cs="Times New Roman"/>
          <w:sz w:val="25"/>
          <w:szCs w:val="26"/>
          <w:lang w:val="es-ES"/>
        </w:rPr>
      </w:pPr>
      <w:r>
        <w:rPr>
          <w:rFonts w:ascii="Times New Roman" w:hAnsi="Times New Roman" w:cs="Times New Roman"/>
          <w:sz w:val="25"/>
          <w:szCs w:val="26"/>
          <w:lang w:val="es-ES"/>
        </w:rPr>
        <w:t>Bogotá D.C., julio de 2024</w:t>
      </w:r>
    </w:p>
    <w:p w14:paraId="28D1CC6B" w14:textId="77777777" w:rsidR="001F39ED" w:rsidRDefault="001F39ED" w:rsidP="001F39ED">
      <w:pPr>
        <w:spacing w:after="0"/>
        <w:rPr>
          <w:rFonts w:ascii="Times New Roman" w:hAnsi="Times New Roman" w:cs="Times New Roman"/>
          <w:sz w:val="25"/>
          <w:szCs w:val="26"/>
          <w:lang w:val="es-ES"/>
        </w:rPr>
      </w:pPr>
    </w:p>
    <w:p w14:paraId="5FA77EE5" w14:textId="77777777" w:rsidR="001F39ED" w:rsidRDefault="001F39ED" w:rsidP="001F39ED">
      <w:pPr>
        <w:spacing w:after="0"/>
        <w:rPr>
          <w:rFonts w:ascii="Times New Roman" w:hAnsi="Times New Roman" w:cs="Times New Roman"/>
          <w:sz w:val="25"/>
          <w:szCs w:val="26"/>
          <w:lang w:val="es-ES"/>
        </w:rPr>
      </w:pPr>
    </w:p>
    <w:p w14:paraId="1C6FCFA6" w14:textId="72F3A7F5" w:rsidR="001F39ED" w:rsidRDefault="001F39ED" w:rsidP="001F39ED">
      <w:pPr>
        <w:spacing w:after="0"/>
        <w:rPr>
          <w:rFonts w:ascii="Times New Roman" w:hAnsi="Times New Roman" w:cs="Times New Roman"/>
          <w:sz w:val="25"/>
          <w:szCs w:val="26"/>
          <w:lang w:val="es-ES"/>
        </w:rPr>
      </w:pPr>
      <w:r>
        <w:rPr>
          <w:rFonts w:ascii="Times New Roman" w:hAnsi="Times New Roman" w:cs="Times New Roman"/>
          <w:sz w:val="25"/>
          <w:szCs w:val="26"/>
          <w:lang w:val="es-ES"/>
        </w:rPr>
        <w:t>Doctor</w:t>
      </w:r>
    </w:p>
    <w:p w14:paraId="1ACD52A8" w14:textId="792E709A" w:rsidR="001F39ED" w:rsidRDefault="001462F1" w:rsidP="001F39ED">
      <w:pPr>
        <w:spacing w:after="0"/>
        <w:rPr>
          <w:rFonts w:ascii="Times New Roman" w:hAnsi="Times New Roman" w:cs="Times New Roman"/>
          <w:b/>
          <w:bCs/>
          <w:sz w:val="25"/>
          <w:szCs w:val="26"/>
          <w:lang w:val="es-ES"/>
        </w:rPr>
      </w:pPr>
      <w:r>
        <w:rPr>
          <w:rFonts w:ascii="Times New Roman" w:hAnsi="Times New Roman" w:cs="Times New Roman"/>
          <w:b/>
          <w:bCs/>
          <w:sz w:val="25"/>
          <w:szCs w:val="26"/>
          <w:lang w:val="es-ES"/>
        </w:rPr>
        <w:t xml:space="preserve">JAIME LUIS </w:t>
      </w:r>
      <w:r w:rsidR="00915304">
        <w:rPr>
          <w:rFonts w:ascii="Times New Roman" w:hAnsi="Times New Roman" w:cs="Times New Roman"/>
          <w:b/>
          <w:bCs/>
          <w:sz w:val="25"/>
          <w:szCs w:val="26"/>
          <w:lang w:val="es-ES"/>
        </w:rPr>
        <w:t xml:space="preserve">LACOUTURE </w:t>
      </w:r>
      <w:r w:rsidR="00DF2608">
        <w:rPr>
          <w:rFonts w:ascii="Times New Roman" w:hAnsi="Times New Roman" w:cs="Times New Roman"/>
          <w:b/>
          <w:bCs/>
          <w:sz w:val="25"/>
          <w:szCs w:val="26"/>
          <w:lang w:val="es-ES"/>
        </w:rPr>
        <w:t>PEÑALOZA</w:t>
      </w:r>
    </w:p>
    <w:p w14:paraId="51C7267B" w14:textId="756EA2CE" w:rsidR="00DF2608" w:rsidRDefault="00DF2608" w:rsidP="001F39ED">
      <w:pPr>
        <w:spacing w:after="0"/>
        <w:rPr>
          <w:rFonts w:ascii="Times New Roman" w:hAnsi="Times New Roman" w:cs="Times New Roman"/>
          <w:b/>
          <w:bCs/>
          <w:sz w:val="25"/>
          <w:szCs w:val="26"/>
          <w:lang w:val="es-ES"/>
        </w:rPr>
      </w:pPr>
      <w:r>
        <w:rPr>
          <w:rFonts w:ascii="Times New Roman" w:hAnsi="Times New Roman" w:cs="Times New Roman"/>
          <w:b/>
          <w:bCs/>
          <w:sz w:val="25"/>
          <w:szCs w:val="26"/>
          <w:lang w:val="es-ES"/>
        </w:rPr>
        <w:t>Secretario General</w:t>
      </w:r>
    </w:p>
    <w:p w14:paraId="3D6CE7E3" w14:textId="089DE2EC" w:rsidR="00DF2608" w:rsidRDefault="00DF2608" w:rsidP="001F39ED">
      <w:pPr>
        <w:spacing w:after="0"/>
        <w:rPr>
          <w:rFonts w:ascii="Times New Roman" w:hAnsi="Times New Roman" w:cs="Times New Roman"/>
          <w:b/>
          <w:bCs/>
          <w:sz w:val="25"/>
          <w:szCs w:val="26"/>
          <w:lang w:val="es-ES"/>
        </w:rPr>
      </w:pPr>
      <w:r>
        <w:rPr>
          <w:rFonts w:ascii="Times New Roman" w:hAnsi="Times New Roman" w:cs="Times New Roman"/>
          <w:b/>
          <w:bCs/>
          <w:sz w:val="25"/>
          <w:szCs w:val="26"/>
          <w:lang w:val="es-ES"/>
        </w:rPr>
        <w:t>Cámara de Representantes</w:t>
      </w:r>
    </w:p>
    <w:p w14:paraId="12964920" w14:textId="77777777" w:rsidR="00DF2608" w:rsidRDefault="00DF2608" w:rsidP="001F39ED">
      <w:pPr>
        <w:spacing w:after="0"/>
        <w:rPr>
          <w:rFonts w:ascii="Times New Roman" w:hAnsi="Times New Roman" w:cs="Times New Roman"/>
          <w:b/>
          <w:bCs/>
          <w:sz w:val="25"/>
          <w:szCs w:val="26"/>
          <w:lang w:val="es-ES"/>
        </w:rPr>
      </w:pPr>
    </w:p>
    <w:p w14:paraId="07AAFD49" w14:textId="77777777" w:rsidR="00E5424D" w:rsidRDefault="00E5424D" w:rsidP="001F39ED">
      <w:pPr>
        <w:spacing w:after="0"/>
        <w:rPr>
          <w:rFonts w:ascii="Times New Roman" w:hAnsi="Times New Roman" w:cs="Times New Roman"/>
          <w:b/>
          <w:bCs/>
          <w:sz w:val="25"/>
          <w:szCs w:val="26"/>
          <w:lang w:val="es-ES"/>
        </w:rPr>
      </w:pPr>
    </w:p>
    <w:p w14:paraId="0CBCC486" w14:textId="7D8CB768" w:rsidR="00DF2608" w:rsidRPr="00DF2608" w:rsidRDefault="00DF2608" w:rsidP="00E90402">
      <w:pPr>
        <w:spacing w:after="0"/>
        <w:ind w:left="708"/>
        <w:rPr>
          <w:rFonts w:ascii="Times New Roman" w:hAnsi="Times New Roman" w:cs="Times New Roman"/>
          <w:sz w:val="25"/>
          <w:szCs w:val="26"/>
          <w:lang w:val="es-ES"/>
        </w:rPr>
      </w:pPr>
      <w:r>
        <w:rPr>
          <w:rFonts w:ascii="Times New Roman" w:hAnsi="Times New Roman" w:cs="Times New Roman"/>
          <w:sz w:val="25"/>
          <w:szCs w:val="26"/>
          <w:lang w:val="es-ES"/>
        </w:rPr>
        <w:t xml:space="preserve">REF: RADICACIÓN </w:t>
      </w:r>
      <w:r w:rsidR="00E90402">
        <w:rPr>
          <w:rFonts w:ascii="Times New Roman" w:hAnsi="Times New Roman" w:cs="Times New Roman"/>
          <w:sz w:val="25"/>
          <w:szCs w:val="26"/>
          <w:lang w:val="es-ES"/>
        </w:rPr>
        <w:t>PROYECTO DE LEY – CÁMARA DE REPRESENTANTES</w:t>
      </w:r>
    </w:p>
    <w:p w14:paraId="12F1034D" w14:textId="77777777" w:rsidR="007A4020" w:rsidRDefault="007A4020" w:rsidP="00E90402">
      <w:pPr>
        <w:spacing w:after="0"/>
        <w:rPr>
          <w:rFonts w:ascii="Times New Roman" w:hAnsi="Times New Roman" w:cs="Times New Roman"/>
          <w:b/>
          <w:bCs/>
          <w:sz w:val="25"/>
          <w:szCs w:val="26"/>
          <w:lang w:val="es-ES"/>
        </w:rPr>
      </w:pPr>
    </w:p>
    <w:p w14:paraId="553DBFB9" w14:textId="77777777" w:rsidR="00E90402" w:rsidRDefault="00E90402" w:rsidP="00E90402">
      <w:pPr>
        <w:spacing w:after="0"/>
        <w:rPr>
          <w:rFonts w:ascii="Times New Roman" w:hAnsi="Times New Roman" w:cs="Times New Roman"/>
          <w:b/>
          <w:bCs/>
          <w:sz w:val="25"/>
          <w:szCs w:val="26"/>
          <w:lang w:val="es-ES"/>
        </w:rPr>
      </w:pPr>
    </w:p>
    <w:p w14:paraId="0418F0A8" w14:textId="477677F6" w:rsidR="00E90402" w:rsidRDefault="00E90402" w:rsidP="00E90402">
      <w:pPr>
        <w:spacing w:after="0"/>
        <w:rPr>
          <w:rFonts w:ascii="Times New Roman" w:hAnsi="Times New Roman" w:cs="Times New Roman"/>
          <w:sz w:val="25"/>
          <w:szCs w:val="26"/>
          <w:lang w:val="es-ES"/>
        </w:rPr>
      </w:pPr>
      <w:r>
        <w:rPr>
          <w:rFonts w:ascii="Times New Roman" w:hAnsi="Times New Roman" w:cs="Times New Roman"/>
          <w:sz w:val="25"/>
          <w:szCs w:val="26"/>
          <w:lang w:val="es-ES"/>
        </w:rPr>
        <w:t>Respetado Señor Secretario.</w:t>
      </w:r>
    </w:p>
    <w:p w14:paraId="36A2DEA5" w14:textId="77777777" w:rsidR="00E90402" w:rsidRDefault="00E90402" w:rsidP="00E90402">
      <w:pPr>
        <w:spacing w:after="0"/>
        <w:rPr>
          <w:rFonts w:ascii="Times New Roman" w:hAnsi="Times New Roman" w:cs="Times New Roman"/>
          <w:sz w:val="25"/>
          <w:szCs w:val="26"/>
          <w:lang w:val="es-ES"/>
        </w:rPr>
      </w:pPr>
    </w:p>
    <w:p w14:paraId="0CE4B359" w14:textId="4B6F1B4B" w:rsidR="00ED6E0B" w:rsidRDefault="00E90402" w:rsidP="00ED6E0B">
      <w:pPr>
        <w:spacing w:after="0"/>
        <w:jc w:val="both"/>
        <w:rPr>
          <w:rFonts w:ascii="Times New Roman" w:hAnsi="Times New Roman" w:cs="Times New Roman"/>
          <w:b/>
          <w:bCs/>
          <w:sz w:val="25"/>
          <w:szCs w:val="26"/>
          <w:lang w:val="es-ES"/>
        </w:rPr>
      </w:pPr>
      <w:r>
        <w:rPr>
          <w:rFonts w:ascii="Times New Roman" w:hAnsi="Times New Roman" w:cs="Times New Roman"/>
          <w:sz w:val="25"/>
          <w:szCs w:val="26"/>
          <w:lang w:val="es-ES"/>
        </w:rPr>
        <w:t xml:space="preserve">En mi condición de miembro de la Cámara de Representantes </w:t>
      </w:r>
      <w:r w:rsidR="009F056B">
        <w:rPr>
          <w:rFonts w:ascii="Times New Roman" w:hAnsi="Times New Roman" w:cs="Times New Roman"/>
          <w:sz w:val="25"/>
          <w:szCs w:val="26"/>
          <w:lang w:val="es-ES"/>
        </w:rPr>
        <w:t xml:space="preserve">y en uso de las facultades consagradas en los artículos 150 y 154 de la Constitución Política de Colombia y los artículos 139 y siguientes de la Ley 5ª de 1992, </w:t>
      </w:r>
      <w:r w:rsidR="000C7328">
        <w:rPr>
          <w:rFonts w:ascii="Times New Roman" w:hAnsi="Times New Roman" w:cs="Times New Roman"/>
          <w:sz w:val="25"/>
          <w:szCs w:val="26"/>
          <w:lang w:val="es-ES"/>
        </w:rPr>
        <w:t xml:space="preserve">me permito radicar ante su despacho </w:t>
      </w:r>
      <w:r w:rsidR="00ED6E0B">
        <w:rPr>
          <w:rFonts w:ascii="Times New Roman" w:hAnsi="Times New Roman" w:cs="Times New Roman"/>
          <w:sz w:val="25"/>
          <w:szCs w:val="26"/>
          <w:lang w:val="es-ES"/>
        </w:rPr>
        <w:t xml:space="preserve">y poner a consideración del Honorable Congreso de la República el Proyecto de Ley </w:t>
      </w:r>
      <w:r w:rsidR="00ED6E0B" w:rsidRPr="00DF1C61">
        <w:rPr>
          <w:rFonts w:ascii="Times New Roman" w:hAnsi="Times New Roman" w:cs="Times New Roman"/>
          <w:b/>
          <w:bCs/>
          <w:sz w:val="25"/>
          <w:szCs w:val="26"/>
          <w:lang w:val="es-ES"/>
        </w:rPr>
        <w:t>“</w:t>
      </w:r>
      <w:r w:rsidR="00ED6E0B" w:rsidRPr="00DF1C61">
        <w:rPr>
          <w:rFonts w:ascii="Times New Roman" w:hAnsi="Times New Roman" w:cs="Times New Roman"/>
          <w:b/>
          <w:bCs/>
          <w:i/>
          <w:iCs/>
          <w:sz w:val="25"/>
          <w:szCs w:val="26"/>
        </w:rPr>
        <w:t>Por medio de la cual se realizan unas condonaciones para la búsqueda de mayor recaudo y protección de las cuencas hídricas del país y se dictan otras disposiciones</w:t>
      </w:r>
      <w:r w:rsidR="00ED6E0B" w:rsidRPr="00DF1C61">
        <w:rPr>
          <w:rFonts w:ascii="Times New Roman" w:hAnsi="Times New Roman" w:cs="Times New Roman"/>
          <w:b/>
          <w:bCs/>
          <w:sz w:val="25"/>
          <w:szCs w:val="26"/>
          <w:lang w:val="es-ES"/>
        </w:rPr>
        <w:t>”</w:t>
      </w:r>
      <w:r w:rsidR="00A6747A">
        <w:rPr>
          <w:rFonts w:ascii="Times New Roman" w:hAnsi="Times New Roman" w:cs="Times New Roman"/>
          <w:b/>
          <w:bCs/>
          <w:sz w:val="25"/>
          <w:szCs w:val="26"/>
          <w:lang w:val="es-ES"/>
        </w:rPr>
        <w:t>.</w:t>
      </w:r>
    </w:p>
    <w:p w14:paraId="6DDB5AD9" w14:textId="77777777" w:rsidR="00A6747A" w:rsidRDefault="00A6747A" w:rsidP="00ED6E0B">
      <w:pPr>
        <w:spacing w:after="0"/>
        <w:jc w:val="both"/>
        <w:rPr>
          <w:rFonts w:ascii="Times New Roman" w:hAnsi="Times New Roman" w:cs="Times New Roman"/>
          <w:b/>
          <w:bCs/>
          <w:sz w:val="25"/>
          <w:szCs w:val="26"/>
          <w:lang w:val="es-ES"/>
        </w:rPr>
      </w:pPr>
    </w:p>
    <w:p w14:paraId="1523B002" w14:textId="372C58EC" w:rsidR="00A6747A" w:rsidRDefault="00A6747A" w:rsidP="00ED6E0B">
      <w:pPr>
        <w:spacing w:after="0"/>
        <w:jc w:val="both"/>
        <w:rPr>
          <w:rFonts w:ascii="Times New Roman" w:hAnsi="Times New Roman" w:cs="Times New Roman"/>
          <w:sz w:val="25"/>
          <w:szCs w:val="26"/>
          <w:lang w:val="es-ES"/>
        </w:rPr>
      </w:pPr>
      <w:r>
        <w:rPr>
          <w:rFonts w:ascii="Times New Roman" w:hAnsi="Times New Roman" w:cs="Times New Roman"/>
          <w:sz w:val="25"/>
          <w:szCs w:val="26"/>
          <w:lang w:val="es-ES"/>
        </w:rPr>
        <w:t>Cordialmente,</w:t>
      </w:r>
    </w:p>
    <w:p w14:paraId="57B17908" w14:textId="77777777" w:rsidR="00A6747A" w:rsidRDefault="00A6747A" w:rsidP="00ED6E0B">
      <w:pPr>
        <w:spacing w:after="0"/>
        <w:jc w:val="both"/>
        <w:rPr>
          <w:rFonts w:ascii="Times New Roman" w:hAnsi="Times New Roman" w:cs="Times New Roman"/>
          <w:sz w:val="25"/>
          <w:szCs w:val="26"/>
          <w:lang w:val="es-ES"/>
        </w:rPr>
      </w:pPr>
    </w:p>
    <w:p w14:paraId="302E263A" w14:textId="77777777" w:rsidR="00A6747A" w:rsidRDefault="00A6747A" w:rsidP="00ED6E0B">
      <w:pPr>
        <w:spacing w:after="0"/>
        <w:jc w:val="both"/>
        <w:rPr>
          <w:rFonts w:ascii="Times New Roman" w:hAnsi="Times New Roman" w:cs="Times New Roman"/>
          <w:sz w:val="25"/>
          <w:szCs w:val="26"/>
          <w:lang w:val="es-ES"/>
        </w:rPr>
      </w:pPr>
    </w:p>
    <w:p w14:paraId="6438FAC8" w14:textId="77777777" w:rsidR="00A6747A" w:rsidRDefault="00A6747A" w:rsidP="00ED6E0B">
      <w:pPr>
        <w:spacing w:after="0"/>
        <w:jc w:val="both"/>
        <w:rPr>
          <w:rFonts w:ascii="Times New Roman" w:hAnsi="Times New Roman" w:cs="Times New Roman"/>
          <w:sz w:val="25"/>
          <w:szCs w:val="26"/>
          <w:lang w:val="es-ES"/>
        </w:rPr>
      </w:pPr>
    </w:p>
    <w:p w14:paraId="1E395604" w14:textId="77777777" w:rsidR="00A6747A" w:rsidRDefault="00A6747A" w:rsidP="00ED6E0B">
      <w:pPr>
        <w:spacing w:after="0"/>
        <w:jc w:val="both"/>
        <w:rPr>
          <w:rFonts w:ascii="Times New Roman" w:hAnsi="Times New Roman" w:cs="Times New Roman"/>
          <w:sz w:val="25"/>
          <w:szCs w:val="26"/>
          <w:lang w:val="es-ES"/>
        </w:rPr>
      </w:pPr>
    </w:p>
    <w:p w14:paraId="231D0F22" w14:textId="3567C8AE" w:rsidR="00A6747A" w:rsidRDefault="00A6747A" w:rsidP="00ED6E0B">
      <w:pPr>
        <w:spacing w:after="0"/>
        <w:jc w:val="both"/>
        <w:rPr>
          <w:rFonts w:ascii="Times New Roman" w:hAnsi="Times New Roman" w:cs="Times New Roman"/>
          <w:b/>
          <w:bCs/>
          <w:sz w:val="25"/>
          <w:szCs w:val="26"/>
          <w:lang w:val="es-ES"/>
        </w:rPr>
      </w:pPr>
      <w:r>
        <w:rPr>
          <w:rFonts w:ascii="Times New Roman" w:hAnsi="Times New Roman" w:cs="Times New Roman"/>
          <w:b/>
          <w:bCs/>
          <w:sz w:val="25"/>
          <w:szCs w:val="26"/>
          <w:lang w:val="es-ES"/>
        </w:rPr>
        <w:t>ALEJANDRO MARTÍNEZ SÁNCHEZ</w:t>
      </w:r>
    </w:p>
    <w:p w14:paraId="0379916D" w14:textId="65C704CD" w:rsidR="00A6747A" w:rsidRPr="00A6747A" w:rsidRDefault="00A6747A" w:rsidP="00ED6E0B">
      <w:pPr>
        <w:spacing w:after="0"/>
        <w:jc w:val="both"/>
        <w:rPr>
          <w:rFonts w:ascii="Times New Roman" w:hAnsi="Times New Roman" w:cs="Times New Roman"/>
          <w:b/>
          <w:bCs/>
          <w:sz w:val="25"/>
          <w:szCs w:val="26"/>
          <w:lang w:val="es-ES"/>
        </w:rPr>
      </w:pPr>
      <w:r>
        <w:rPr>
          <w:rFonts w:ascii="Times New Roman" w:hAnsi="Times New Roman" w:cs="Times New Roman"/>
          <w:b/>
          <w:bCs/>
          <w:sz w:val="25"/>
          <w:szCs w:val="26"/>
          <w:lang w:val="es-ES"/>
        </w:rPr>
        <w:t>Representante Cámara Tolima</w:t>
      </w:r>
    </w:p>
    <w:p w14:paraId="4FB772DB" w14:textId="3CC103FF" w:rsidR="00E90402" w:rsidRPr="00E90402" w:rsidRDefault="00E90402" w:rsidP="00ED6E0B">
      <w:pPr>
        <w:spacing w:after="0"/>
        <w:rPr>
          <w:rFonts w:ascii="Times New Roman" w:hAnsi="Times New Roman" w:cs="Times New Roman"/>
          <w:sz w:val="25"/>
          <w:szCs w:val="26"/>
          <w:lang w:val="es-ES"/>
        </w:rPr>
      </w:pPr>
    </w:p>
    <w:p w14:paraId="16755C93" w14:textId="77777777" w:rsidR="007A4020" w:rsidRDefault="007A4020" w:rsidP="00D67ECC">
      <w:pPr>
        <w:spacing w:after="0"/>
        <w:jc w:val="center"/>
        <w:rPr>
          <w:rFonts w:ascii="Times New Roman" w:hAnsi="Times New Roman" w:cs="Times New Roman"/>
          <w:b/>
          <w:bCs/>
          <w:sz w:val="25"/>
          <w:szCs w:val="26"/>
          <w:lang w:val="es-ES"/>
        </w:rPr>
      </w:pPr>
    </w:p>
    <w:p w14:paraId="0AC6C869" w14:textId="77777777" w:rsidR="007A4020" w:rsidRDefault="007A4020" w:rsidP="00D67ECC">
      <w:pPr>
        <w:spacing w:after="0"/>
        <w:jc w:val="center"/>
        <w:rPr>
          <w:rFonts w:ascii="Times New Roman" w:hAnsi="Times New Roman" w:cs="Times New Roman"/>
          <w:b/>
          <w:bCs/>
          <w:sz w:val="25"/>
          <w:szCs w:val="26"/>
          <w:lang w:val="es-ES"/>
        </w:rPr>
      </w:pPr>
    </w:p>
    <w:p w14:paraId="1FB61D85" w14:textId="77777777" w:rsidR="007A4020" w:rsidRDefault="007A4020" w:rsidP="00D67ECC">
      <w:pPr>
        <w:spacing w:after="0"/>
        <w:jc w:val="center"/>
        <w:rPr>
          <w:rFonts w:ascii="Times New Roman" w:hAnsi="Times New Roman" w:cs="Times New Roman"/>
          <w:b/>
          <w:bCs/>
          <w:sz w:val="25"/>
          <w:szCs w:val="26"/>
          <w:lang w:val="es-ES"/>
        </w:rPr>
      </w:pPr>
    </w:p>
    <w:p w14:paraId="4A3A8074" w14:textId="77777777" w:rsidR="007A4020" w:rsidRDefault="007A4020" w:rsidP="00D67ECC">
      <w:pPr>
        <w:spacing w:after="0"/>
        <w:jc w:val="center"/>
        <w:rPr>
          <w:rFonts w:ascii="Times New Roman" w:hAnsi="Times New Roman" w:cs="Times New Roman"/>
          <w:b/>
          <w:bCs/>
          <w:sz w:val="25"/>
          <w:szCs w:val="26"/>
          <w:lang w:val="es-ES"/>
        </w:rPr>
      </w:pPr>
    </w:p>
    <w:p w14:paraId="697E27F1" w14:textId="77777777" w:rsidR="007A4020" w:rsidRDefault="007A4020" w:rsidP="00D67ECC">
      <w:pPr>
        <w:spacing w:after="0"/>
        <w:jc w:val="center"/>
        <w:rPr>
          <w:rFonts w:ascii="Times New Roman" w:hAnsi="Times New Roman" w:cs="Times New Roman"/>
          <w:b/>
          <w:bCs/>
          <w:sz w:val="25"/>
          <w:szCs w:val="26"/>
          <w:lang w:val="es-ES"/>
        </w:rPr>
      </w:pPr>
    </w:p>
    <w:p w14:paraId="3B836EEB" w14:textId="77777777" w:rsidR="00ED6E0B" w:rsidRDefault="00ED6E0B" w:rsidP="00ED6E0B">
      <w:pPr>
        <w:spacing w:after="0"/>
        <w:rPr>
          <w:rFonts w:ascii="Times New Roman" w:hAnsi="Times New Roman" w:cs="Times New Roman"/>
          <w:b/>
          <w:bCs/>
          <w:sz w:val="25"/>
          <w:szCs w:val="26"/>
          <w:lang w:val="es-ES"/>
        </w:rPr>
      </w:pPr>
    </w:p>
    <w:p w14:paraId="6697C81E" w14:textId="77777777" w:rsidR="00A6747A" w:rsidRDefault="00A6747A" w:rsidP="00ED6E0B">
      <w:pPr>
        <w:spacing w:after="0"/>
        <w:rPr>
          <w:rFonts w:ascii="Times New Roman" w:hAnsi="Times New Roman" w:cs="Times New Roman"/>
          <w:b/>
          <w:bCs/>
          <w:sz w:val="25"/>
          <w:szCs w:val="26"/>
          <w:lang w:val="es-ES"/>
        </w:rPr>
      </w:pPr>
    </w:p>
    <w:p w14:paraId="51743129" w14:textId="77777777" w:rsidR="007A4020" w:rsidRDefault="007A4020" w:rsidP="00D67ECC">
      <w:pPr>
        <w:spacing w:after="0"/>
        <w:jc w:val="center"/>
        <w:rPr>
          <w:rFonts w:ascii="Times New Roman" w:hAnsi="Times New Roman" w:cs="Times New Roman"/>
          <w:b/>
          <w:bCs/>
          <w:sz w:val="25"/>
          <w:szCs w:val="26"/>
          <w:lang w:val="es-ES"/>
        </w:rPr>
      </w:pPr>
    </w:p>
    <w:p w14:paraId="0DBAA204" w14:textId="77777777" w:rsidR="007A4020" w:rsidRDefault="007A4020" w:rsidP="00D67ECC">
      <w:pPr>
        <w:spacing w:after="0"/>
        <w:jc w:val="center"/>
        <w:rPr>
          <w:rFonts w:ascii="Times New Roman" w:hAnsi="Times New Roman" w:cs="Times New Roman"/>
          <w:b/>
          <w:bCs/>
          <w:sz w:val="25"/>
          <w:szCs w:val="26"/>
          <w:lang w:val="es-ES"/>
        </w:rPr>
      </w:pPr>
    </w:p>
    <w:p w14:paraId="2B635610" w14:textId="718EC8CF" w:rsidR="0029027A" w:rsidRPr="00DF1C61" w:rsidRDefault="0029027A" w:rsidP="00D67ECC">
      <w:pPr>
        <w:spacing w:after="0"/>
        <w:jc w:val="center"/>
        <w:rPr>
          <w:rFonts w:ascii="Times New Roman" w:hAnsi="Times New Roman" w:cs="Times New Roman"/>
          <w:b/>
          <w:bCs/>
          <w:sz w:val="25"/>
          <w:szCs w:val="26"/>
          <w:lang w:val="es-ES"/>
        </w:rPr>
      </w:pPr>
      <w:r w:rsidRPr="00DF1C61">
        <w:rPr>
          <w:rFonts w:ascii="Times New Roman" w:hAnsi="Times New Roman" w:cs="Times New Roman"/>
          <w:b/>
          <w:bCs/>
          <w:sz w:val="25"/>
          <w:szCs w:val="26"/>
          <w:lang w:val="es-ES"/>
        </w:rPr>
        <w:t>PROYECTO DE LEY ______ DE 202</w:t>
      </w:r>
      <w:r w:rsidR="00BE1CD0" w:rsidRPr="00DF1C61">
        <w:rPr>
          <w:rFonts w:ascii="Times New Roman" w:hAnsi="Times New Roman" w:cs="Times New Roman"/>
          <w:b/>
          <w:bCs/>
          <w:sz w:val="25"/>
          <w:szCs w:val="26"/>
          <w:lang w:val="es-ES"/>
        </w:rPr>
        <w:t>4</w:t>
      </w:r>
      <w:r w:rsidRPr="00DF1C61">
        <w:rPr>
          <w:rFonts w:ascii="Times New Roman" w:hAnsi="Times New Roman" w:cs="Times New Roman"/>
          <w:b/>
          <w:bCs/>
          <w:sz w:val="25"/>
          <w:szCs w:val="26"/>
          <w:lang w:val="es-ES"/>
        </w:rPr>
        <w:t xml:space="preserve"> CÁMARA</w:t>
      </w:r>
    </w:p>
    <w:p w14:paraId="1CE971AA" w14:textId="77777777" w:rsidR="0029027A" w:rsidRPr="00DF1C61" w:rsidRDefault="0029027A" w:rsidP="00D67ECC">
      <w:pPr>
        <w:spacing w:after="0"/>
        <w:jc w:val="center"/>
        <w:rPr>
          <w:rFonts w:ascii="Times New Roman" w:hAnsi="Times New Roman" w:cs="Times New Roman"/>
          <w:b/>
          <w:bCs/>
          <w:sz w:val="25"/>
          <w:szCs w:val="26"/>
          <w:lang w:val="es-ES"/>
        </w:rPr>
      </w:pPr>
    </w:p>
    <w:p w14:paraId="42BA5608" w14:textId="2FBCCB5D" w:rsidR="0029027A" w:rsidRPr="00DF1C61" w:rsidRDefault="0029027A" w:rsidP="00D67ECC">
      <w:pPr>
        <w:spacing w:after="0"/>
        <w:jc w:val="center"/>
        <w:rPr>
          <w:rFonts w:ascii="Times New Roman" w:hAnsi="Times New Roman" w:cs="Times New Roman"/>
          <w:b/>
          <w:bCs/>
          <w:sz w:val="25"/>
          <w:szCs w:val="26"/>
          <w:lang w:val="es-ES"/>
        </w:rPr>
      </w:pPr>
      <w:r w:rsidRPr="00DF1C61">
        <w:rPr>
          <w:rFonts w:ascii="Times New Roman" w:hAnsi="Times New Roman" w:cs="Times New Roman"/>
          <w:b/>
          <w:bCs/>
          <w:sz w:val="25"/>
          <w:szCs w:val="26"/>
          <w:lang w:val="es-ES"/>
        </w:rPr>
        <w:t>“</w:t>
      </w:r>
      <w:r w:rsidRPr="00DF1C61">
        <w:rPr>
          <w:rFonts w:ascii="Times New Roman" w:hAnsi="Times New Roman" w:cs="Times New Roman"/>
          <w:b/>
          <w:bCs/>
          <w:i/>
          <w:iCs/>
          <w:sz w:val="25"/>
          <w:szCs w:val="26"/>
        </w:rPr>
        <w:t>Por medio de la cual se realiza</w:t>
      </w:r>
      <w:r w:rsidR="001207F4" w:rsidRPr="00DF1C61">
        <w:rPr>
          <w:rFonts w:ascii="Times New Roman" w:hAnsi="Times New Roman" w:cs="Times New Roman"/>
          <w:b/>
          <w:bCs/>
          <w:i/>
          <w:iCs/>
          <w:sz w:val="25"/>
          <w:szCs w:val="26"/>
        </w:rPr>
        <w:t>n</w:t>
      </w:r>
      <w:r w:rsidRPr="00DF1C61">
        <w:rPr>
          <w:rFonts w:ascii="Times New Roman" w:hAnsi="Times New Roman" w:cs="Times New Roman"/>
          <w:b/>
          <w:bCs/>
          <w:i/>
          <w:iCs/>
          <w:sz w:val="25"/>
          <w:szCs w:val="26"/>
        </w:rPr>
        <w:t xml:space="preserve"> unas condonaciones </w:t>
      </w:r>
      <w:r w:rsidR="00BE1CD0" w:rsidRPr="00DF1C61">
        <w:rPr>
          <w:rFonts w:ascii="Times New Roman" w:hAnsi="Times New Roman" w:cs="Times New Roman"/>
          <w:b/>
          <w:bCs/>
          <w:i/>
          <w:iCs/>
          <w:sz w:val="25"/>
          <w:szCs w:val="26"/>
        </w:rPr>
        <w:t>para la búsqueda de mayor recaudo y protección de las cuencas hídricas del país</w:t>
      </w:r>
      <w:r w:rsidRPr="00DF1C61">
        <w:rPr>
          <w:rFonts w:ascii="Times New Roman" w:hAnsi="Times New Roman" w:cs="Times New Roman"/>
          <w:b/>
          <w:bCs/>
          <w:i/>
          <w:iCs/>
          <w:sz w:val="25"/>
          <w:szCs w:val="26"/>
        </w:rPr>
        <w:t xml:space="preserve"> y se dictan otras disposiciones</w:t>
      </w:r>
      <w:r w:rsidRPr="00DF1C61">
        <w:rPr>
          <w:rFonts w:ascii="Times New Roman" w:hAnsi="Times New Roman" w:cs="Times New Roman"/>
          <w:b/>
          <w:bCs/>
          <w:sz w:val="25"/>
          <w:szCs w:val="26"/>
          <w:lang w:val="es-ES"/>
        </w:rPr>
        <w:t>”</w:t>
      </w:r>
    </w:p>
    <w:p w14:paraId="0183517E" w14:textId="77777777" w:rsidR="0029027A" w:rsidRPr="00DF1C61" w:rsidRDefault="0029027A" w:rsidP="00D67ECC">
      <w:pPr>
        <w:spacing w:after="0"/>
        <w:jc w:val="center"/>
        <w:rPr>
          <w:rFonts w:ascii="Times New Roman" w:hAnsi="Times New Roman" w:cs="Times New Roman"/>
          <w:b/>
          <w:bCs/>
          <w:sz w:val="25"/>
          <w:szCs w:val="26"/>
          <w:lang w:val="es-ES"/>
        </w:rPr>
      </w:pPr>
    </w:p>
    <w:p w14:paraId="25DA076C" w14:textId="77777777" w:rsidR="0029027A" w:rsidRPr="00DF1C61" w:rsidRDefault="0029027A" w:rsidP="00D67ECC">
      <w:pPr>
        <w:spacing w:after="0"/>
        <w:jc w:val="center"/>
        <w:rPr>
          <w:rFonts w:ascii="Times New Roman" w:hAnsi="Times New Roman" w:cs="Times New Roman"/>
          <w:b/>
          <w:bCs/>
          <w:sz w:val="25"/>
          <w:szCs w:val="26"/>
          <w:lang w:val="es-ES"/>
        </w:rPr>
      </w:pPr>
      <w:r w:rsidRPr="00DF1C61">
        <w:rPr>
          <w:rFonts w:ascii="Times New Roman" w:hAnsi="Times New Roman" w:cs="Times New Roman"/>
          <w:b/>
          <w:bCs/>
          <w:sz w:val="25"/>
          <w:szCs w:val="26"/>
          <w:lang w:val="es-ES"/>
        </w:rPr>
        <w:t>El Congreso de la República de Colombia</w:t>
      </w:r>
    </w:p>
    <w:p w14:paraId="385B7A00" w14:textId="77777777" w:rsidR="0029027A" w:rsidRPr="00DF1C61" w:rsidRDefault="0029027A" w:rsidP="00D67ECC">
      <w:pPr>
        <w:spacing w:after="0"/>
        <w:jc w:val="center"/>
        <w:rPr>
          <w:rFonts w:ascii="Times New Roman" w:hAnsi="Times New Roman" w:cs="Times New Roman"/>
          <w:b/>
          <w:bCs/>
          <w:sz w:val="25"/>
          <w:szCs w:val="26"/>
          <w:lang w:val="es-ES"/>
        </w:rPr>
      </w:pPr>
    </w:p>
    <w:p w14:paraId="28642715" w14:textId="77777777" w:rsidR="0029027A" w:rsidRPr="00DF1C61" w:rsidRDefault="0029027A" w:rsidP="00D67ECC">
      <w:pPr>
        <w:spacing w:after="0"/>
        <w:jc w:val="center"/>
        <w:rPr>
          <w:rFonts w:ascii="Times New Roman" w:hAnsi="Times New Roman" w:cs="Times New Roman"/>
          <w:b/>
          <w:bCs/>
          <w:sz w:val="25"/>
          <w:szCs w:val="26"/>
          <w:lang w:val="es-ES"/>
        </w:rPr>
      </w:pPr>
      <w:r w:rsidRPr="00DF1C61">
        <w:rPr>
          <w:rFonts w:ascii="Times New Roman" w:hAnsi="Times New Roman" w:cs="Times New Roman"/>
          <w:b/>
          <w:bCs/>
          <w:sz w:val="25"/>
          <w:szCs w:val="26"/>
          <w:lang w:val="es-ES"/>
        </w:rPr>
        <w:t>DECRETA</w:t>
      </w:r>
    </w:p>
    <w:p w14:paraId="253C20F4" w14:textId="77777777" w:rsidR="0029027A" w:rsidRPr="00DF1C61" w:rsidRDefault="0029027A" w:rsidP="00D67ECC">
      <w:pPr>
        <w:spacing w:after="0"/>
        <w:jc w:val="both"/>
        <w:rPr>
          <w:rFonts w:ascii="Times New Roman" w:hAnsi="Times New Roman" w:cs="Times New Roman"/>
          <w:b/>
          <w:bCs/>
          <w:sz w:val="25"/>
          <w:szCs w:val="26"/>
          <w:lang w:val="es-ES"/>
        </w:rPr>
      </w:pPr>
    </w:p>
    <w:p w14:paraId="4F37BBDA" w14:textId="28AB7E34" w:rsidR="00644B63" w:rsidRPr="00DF1C61"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b/>
          <w:bCs/>
          <w:sz w:val="25"/>
          <w:szCs w:val="26"/>
        </w:rPr>
        <w:t>Artículo 1.º</w:t>
      </w:r>
      <w:r w:rsidRPr="00DF1C61">
        <w:rPr>
          <w:rFonts w:ascii="Times New Roman" w:hAnsi="Times New Roman" w:cs="Times New Roman"/>
          <w:sz w:val="25"/>
          <w:szCs w:val="26"/>
        </w:rPr>
        <w:t xml:space="preserve"> Condónese a los municipios sujetos pasivos de la obligación de Tasa Retributiva por vertimientos, el 70% </w:t>
      </w:r>
      <w:r w:rsidR="00BE1CD0" w:rsidRPr="00DF1C61">
        <w:rPr>
          <w:rFonts w:ascii="Times New Roman" w:hAnsi="Times New Roman" w:cs="Times New Roman"/>
          <w:sz w:val="25"/>
          <w:szCs w:val="26"/>
        </w:rPr>
        <w:t xml:space="preserve">del capital y el 100% de intereses de cualquier tipo </w:t>
      </w:r>
      <w:r w:rsidRPr="00DF1C61">
        <w:rPr>
          <w:rFonts w:ascii="Times New Roman" w:hAnsi="Times New Roman" w:cs="Times New Roman"/>
          <w:sz w:val="25"/>
          <w:szCs w:val="26"/>
        </w:rPr>
        <w:t>de dichas obligaciones que se encuentren impagas hasta la fecha de la entrada en vigencia de esta norma, por una única vez</w:t>
      </w:r>
      <w:r w:rsidR="001913CF">
        <w:rPr>
          <w:rFonts w:ascii="Times New Roman" w:hAnsi="Times New Roman" w:cs="Times New Roman"/>
          <w:sz w:val="25"/>
          <w:szCs w:val="26"/>
        </w:rPr>
        <w:t xml:space="preserve"> y hasta el 31 de diciembre de 202</w:t>
      </w:r>
      <w:r w:rsidR="005D2A24">
        <w:rPr>
          <w:rFonts w:ascii="Times New Roman" w:hAnsi="Times New Roman" w:cs="Times New Roman"/>
          <w:sz w:val="25"/>
          <w:szCs w:val="26"/>
        </w:rPr>
        <w:t>5</w:t>
      </w:r>
      <w:r w:rsidRPr="00DF1C61">
        <w:rPr>
          <w:rFonts w:ascii="Times New Roman" w:hAnsi="Times New Roman" w:cs="Times New Roman"/>
          <w:sz w:val="25"/>
          <w:szCs w:val="26"/>
        </w:rPr>
        <w:t xml:space="preserve">. </w:t>
      </w:r>
    </w:p>
    <w:p w14:paraId="55359035" w14:textId="77777777" w:rsidR="00644B63" w:rsidRPr="00DF1C61" w:rsidRDefault="00644B63" w:rsidP="00D67ECC">
      <w:pPr>
        <w:spacing w:after="0"/>
        <w:jc w:val="both"/>
        <w:rPr>
          <w:rFonts w:ascii="Times New Roman" w:hAnsi="Times New Roman" w:cs="Times New Roman"/>
          <w:sz w:val="25"/>
          <w:szCs w:val="26"/>
        </w:rPr>
      </w:pPr>
    </w:p>
    <w:p w14:paraId="282E7FBA" w14:textId="4A59FC26" w:rsidR="00644B63" w:rsidRPr="00DF1C61"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sz w:val="25"/>
          <w:szCs w:val="26"/>
        </w:rPr>
        <w:t>Las Corporaciones Regionales Autónomas y las Corporaciones de Desarrollo Sostenible harán tal condonación y notificarán al municipio usuario el monto condonado y el nuevo saldo a pagar.</w:t>
      </w:r>
    </w:p>
    <w:p w14:paraId="792B22CE" w14:textId="77777777" w:rsidR="00644B63" w:rsidRPr="00DF1C61" w:rsidRDefault="00644B63" w:rsidP="00D67ECC">
      <w:pPr>
        <w:spacing w:after="0"/>
        <w:jc w:val="both"/>
        <w:rPr>
          <w:rFonts w:ascii="Times New Roman" w:hAnsi="Times New Roman" w:cs="Times New Roman"/>
          <w:sz w:val="25"/>
          <w:szCs w:val="26"/>
        </w:rPr>
      </w:pPr>
    </w:p>
    <w:p w14:paraId="1AE6BAC5" w14:textId="409BC759" w:rsidR="00644B63" w:rsidRPr="00DF1C61"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b/>
          <w:bCs/>
          <w:sz w:val="25"/>
          <w:szCs w:val="26"/>
        </w:rPr>
        <w:t>Parágrafo 1.º</w:t>
      </w:r>
      <w:r w:rsidRPr="00DF1C61">
        <w:rPr>
          <w:rFonts w:ascii="Times New Roman" w:hAnsi="Times New Roman" w:cs="Times New Roman"/>
          <w:sz w:val="25"/>
          <w:szCs w:val="26"/>
        </w:rPr>
        <w:t xml:space="preserve"> </w:t>
      </w:r>
      <w:r w:rsidR="00341C78" w:rsidRPr="00DF1C61">
        <w:rPr>
          <w:rFonts w:ascii="Times New Roman" w:hAnsi="Times New Roman" w:cs="Times New Roman"/>
          <w:sz w:val="25"/>
          <w:szCs w:val="26"/>
        </w:rPr>
        <w:t>Las Corporaciones Regionales Autónomas y las Corporaciones de Desarrollo Sostenible realizarán la divulgación respectiva de esta información con el fin de que los municipios usuarios acudan a la realización de los acuerdos de pago.</w:t>
      </w:r>
    </w:p>
    <w:p w14:paraId="139535DD" w14:textId="77777777" w:rsidR="00644B63" w:rsidRPr="00DF1C61" w:rsidRDefault="00644B63" w:rsidP="00D67ECC">
      <w:pPr>
        <w:spacing w:after="0"/>
        <w:jc w:val="both"/>
        <w:rPr>
          <w:rFonts w:ascii="Times New Roman" w:hAnsi="Times New Roman" w:cs="Times New Roman"/>
          <w:sz w:val="25"/>
          <w:szCs w:val="26"/>
        </w:rPr>
      </w:pPr>
    </w:p>
    <w:p w14:paraId="2097D3E3" w14:textId="071BCE68" w:rsidR="00644B63"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b/>
          <w:bCs/>
          <w:sz w:val="25"/>
          <w:szCs w:val="26"/>
        </w:rPr>
        <w:t>Parágrafo 2.º</w:t>
      </w:r>
      <w:r w:rsidRPr="00DF1C61">
        <w:rPr>
          <w:rFonts w:ascii="Times New Roman" w:hAnsi="Times New Roman" w:cs="Times New Roman"/>
          <w:sz w:val="25"/>
          <w:szCs w:val="26"/>
        </w:rPr>
        <w:t xml:space="preserve"> </w:t>
      </w:r>
      <w:r w:rsidR="00341C78" w:rsidRPr="00DF1C61">
        <w:rPr>
          <w:rFonts w:ascii="Times New Roman" w:hAnsi="Times New Roman" w:cs="Times New Roman"/>
          <w:sz w:val="25"/>
          <w:szCs w:val="26"/>
        </w:rPr>
        <w:t>Cualquier proceso judicial y/o de cobro coactivo que esté en curso contra los municipios sujetos pasivos de la Tasa Retributiva y que el objeto del litigio sea el cobro de la obligación generada por dicha tasa, cesarán y se archivarán las diligencias.</w:t>
      </w:r>
    </w:p>
    <w:p w14:paraId="48DC208C" w14:textId="77777777" w:rsidR="00DF1C61" w:rsidRDefault="00DF1C61" w:rsidP="00D67ECC">
      <w:pPr>
        <w:spacing w:after="0"/>
        <w:jc w:val="both"/>
        <w:rPr>
          <w:rFonts w:ascii="Times New Roman" w:hAnsi="Times New Roman" w:cs="Times New Roman"/>
          <w:sz w:val="25"/>
          <w:szCs w:val="26"/>
        </w:rPr>
      </w:pPr>
    </w:p>
    <w:p w14:paraId="167570A6" w14:textId="6BBB84A9" w:rsidR="00DF1C61" w:rsidRPr="00DF1C61" w:rsidRDefault="00DF1C61" w:rsidP="00D67ECC">
      <w:pPr>
        <w:spacing w:after="0"/>
        <w:jc w:val="both"/>
        <w:rPr>
          <w:rFonts w:ascii="Times New Roman" w:hAnsi="Times New Roman" w:cs="Times New Roman"/>
          <w:sz w:val="25"/>
          <w:szCs w:val="26"/>
        </w:rPr>
      </w:pPr>
      <w:r>
        <w:rPr>
          <w:rFonts w:ascii="Times New Roman" w:hAnsi="Times New Roman" w:cs="Times New Roman"/>
          <w:b/>
          <w:bCs/>
          <w:sz w:val="25"/>
          <w:szCs w:val="26"/>
        </w:rPr>
        <w:t xml:space="preserve">Parágrafo 3° </w:t>
      </w:r>
      <w:r>
        <w:rPr>
          <w:rFonts w:ascii="Times New Roman" w:hAnsi="Times New Roman" w:cs="Times New Roman"/>
          <w:sz w:val="25"/>
          <w:szCs w:val="26"/>
        </w:rPr>
        <w:t xml:space="preserve">Los municipios que accedan a las medidas anteriormente descritas en el presente artículo deberán presentar, en el término de tres (3) meses, proyectos de recuperación de pasivos ambientales para que, con ayuda presupuestal y técnica de las </w:t>
      </w:r>
      <w:r w:rsidRPr="00DF1C61">
        <w:rPr>
          <w:rFonts w:ascii="Times New Roman" w:hAnsi="Times New Roman" w:cs="Times New Roman"/>
          <w:sz w:val="25"/>
          <w:szCs w:val="26"/>
        </w:rPr>
        <w:t>Corporaciones Regionales Autónomas y las Corporaciones de Desarrollo Sostenible</w:t>
      </w:r>
      <w:r>
        <w:rPr>
          <w:rFonts w:ascii="Times New Roman" w:hAnsi="Times New Roman" w:cs="Times New Roman"/>
          <w:sz w:val="25"/>
          <w:szCs w:val="26"/>
        </w:rPr>
        <w:t xml:space="preserve">, se desarrollen las finalidades de la Tasa Retributiva con la creación o </w:t>
      </w:r>
      <w:r w:rsidR="007303BC">
        <w:rPr>
          <w:rFonts w:ascii="Times New Roman" w:hAnsi="Times New Roman" w:cs="Times New Roman"/>
          <w:sz w:val="25"/>
          <w:szCs w:val="26"/>
        </w:rPr>
        <w:t>adecuación de las</w:t>
      </w:r>
      <w:r>
        <w:rPr>
          <w:rFonts w:ascii="Times New Roman" w:hAnsi="Times New Roman" w:cs="Times New Roman"/>
          <w:sz w:val="25"/>
          <w:szCs w:val="26"/>
        </w:rPr>
        <w:t xml:space="preserve"> Plantas de Tratamiento de Aguas Re</w:t>
      </w:r>
      <w:r w:rsidR="007303BC">
        <w:rPr>
          <w:rFonts w:ascii="Times New Roman" w:hAnsi="Times New Roman" w:cs="Times New Roman"/>
          <w:sz w:val="25"/>
          <w:szCs w:val="26"/>
        </w:rPr>
        <w:t>siduales de los municipios.</w:t>
      </w:r>
    </w:p>
    <w:p w14:paraId="5F69400F" w14:textId="77777777" w:rsidR="00644B63" w:rsidRPr="00DF1C61" w:rsidRDefault="00644B63" w:rsidP="00D67ECC">
      <w:pPr>
        <w:spacing w:after="0"/>
        <w:jc w:val="both"/>
        <w:rPr>
          <w:rFonts w:ascii="Times New Roman" w:hAnsi="Times New Roman" w:cs="Times New Roman"/>
          <w:sz w:val="25"/>
          <w:szCs w:val="26"/>
        </w:rPr>
      </w:pPr>
    </w:p>
    <w:p w14:paraId="0693E69D" w14:textId="2DDF3E88" w:rsidR="00644B63" w:rsidRPr="00DF1C61"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b/>
          <w:bCs/>
          <w:sz w:val="25"/>
          <w:szCs w:val="26"/>
        </w:rPr>
        <w:t>A</w:t>
      </w:r>
      <w:r w:rsidR="003E3733" w:rsidRPr="00DF1C61">
        <w:rPr>
          <w:rFonts w:ascii="Times New Roman" w:hAnsi="Times New Roman" w:cs="Times New Roman"/>
          <w:b/>
          <w:bCs/>
          <w:sz w:val="25"/>
          <w:szCs w:val="26"/>
        </w:rPr>
        <w:t>rtículo</w:t>
      </w:r>
      <w:r w:rsidRPr="00DF1C61">
        <w:rPr>
          <w:rFonts w:ascii="Times New Roman" w:hAnsi="Times New Roman" w:cs="Times New Roman"/>
          <w:b/>
          <w:bCs/>
          <w:sz w:val="25"/>
          <w:szCs w:val="26"/>
        </w:rPr>
        <w:t xml:space="preserve"> 2.º </w:t>
      </w:r>
      <w:r w:rsidRPr="00DF1C61">
        <w:rPr>
          <w:rFonts w:ascii="Times New Roman" w:hAnsi="Times New Roman" w:cs="Times New Roman"/>
          <w:sz w:val="25"/>
          <w:szCs w:val="26"/>
        </w:rPr>
        <w:t>Suspéndase los procesos de cobro coactivo de los sujetos pasivos de la Tasa Retributiva distintos a los municipios por el término de tres (3) meses contados a partir de la entrada en vigencia de esta norma, con el fin de que se realicen acuerdos de pago durante dicho lapso.</w:t>
      </w:r>
    </w:p>
    <w:p w14:paraId="615EE6A9" w14:textId="77777777" w:rsidR="00644B63" w:rsidRPr="00DF1C61" w:rsidRDefault="00644B63" w:rsidP="00D67ECC">
      <w:pPr>
        <w:spacing w:after="0"/>
        <w:jc w:val="both"/>
        <w:rPr>
          <w:rFonts w:ascii="Times New Roman" w:hAnsi="Times New Roman" w:cs="Times New Roman"/>
          <w:sz w:val="25"/>
          <w:szCs w:val="26"/>
        </w:rPr>
      </w:pPr>
    </w:p>
    <w:p w14:paraId="7302C2D0" w14:textId="61DA62DF" w:rsidR="00644B63" w:rsidRPr="00DF1C61" w:rsidRDefault="00644B63" w:rsidP="00D67ECC">
      <w:pPr>
        <w:spacing w:after="0"/>
        <w:jc w:val="both"/>
        <w:rPr>
          <w:rFonts w:ascii="Times New Roman" w:hAnsi="Times New Roman" w:cs="Times New Roman"/>
          <w:sz w:val="25"/>
          <w:szCs w:val="26"/>
        </w:rPr>
      </w:pPr>
      <w:r w:rsidRPr="00DF1C61">
        <w:rPr>
          <w:rFonts w:ascii="Times New Roman" w:hAnsi="Times New Roman" w:cs="Times New Roman"/>
          <w:b/>
          <w:bCs/>
          <w:sz w:val="25"/>
          <w:szCs w:val="26"/>
        </w:rPr>
        <w:t xml:space="preserve">Parágrafo 1.º: </w:t>
      </w:r>
      <w:r w:rsidRPr="00DF1C61">
        <w:rPr>
          <w:rFonts w:ascii="Times New Roman" w:hAnsi="Times New Roman" w:cs="Times New Roman"/>
          <w:sz w:val="25"/>
          <w:szCs w:val="26"/>
        </w:rPr>
        <w:t>A los usuarios, distintos a los municipios, que dentro del término anterior hayan celebrado el acuerdo de pago, hará parte íntegra del acuerdo la condonación total de los intereses que por cualquier concepto se hayan causado por la obligación de Tasa Retributiva.</w:t>
      </w:r>
    </w:p>
    <w:p w14:paraId="120FFE8C" w14:textId="77777777" w:rsidR="00644B63" w:rsidRPr="00DF1C61" w:rsidRDefault="00644B63" w:rsidP="00D67ECC">
      <w:pPr>
        <w:spacing w:after="0"/>
        <w:jc w:val="both"/>
        <w:rPr>
          <w:rFonts w:ascii="Times New Roman" w:hAnsi="Times New Roman" w:cs="Times New Roman"/>
          <w:sz w:val="25"/>
          <w:szCs w:val="26"/>
        </w:rPr>
      </w:pPr>
    </w:p>
    <w:p w14:paraId="0FFFEAE7" w14:textId="77777777" w:rsidR="0029027A" w:rsidRPr="00DF1C61" w:rsidRDefault="0029027A" w:rsidP="00D67ECC">
      <w:pPr>
        <w:spacing w:after="0"/>
        <w:jc w:val="both"/>
        <w:rPr>
          <w:rFonts w:ascii="Times New Roman" w:hAnsi="Times New Roman" w:cs="Times New Roman"/>
          <w:sz w:val="25"/>
          <w:szCs w:val="26"/>
          <w:lang w:val="es-ES"/>
        </w:rPr>
      </w:pPr>
      <w:r w:rsidRPr="00DF1C61">
        <w:rPr>
          <w:rFonts w:ascii="Times New Roman" w:hAnsi="Times New Roman" w:cs="Times New Roman"/>
          <w:b/>
          <w:bCs/>
          <w:sz w:val="25"/>
          <w:szCs w:val="26"/>
          <w:lang w:val="es-ES"/>
        </w:rPr>
        <w:t>Artículo</w:t>
      </w:r>
      <w:r w:rsidRPr="00DF1C61">
        <w:rPr>
          <w:rFonts w:ascii="Times New Roman" w:hAnsi="Times New Roman" w:cs="Times New Roman"/>
          <w:b/>
          <w:bCs/>
          <w:sz w:val="25"/>
          <w:szCs w:val="26"/>
        </w:rPr>
        <w:t xml:space="preserve"> 3.º </w:t>
      </w:r>
      <w:r w:rsidRPr="00DF1C61">
        <w:rPr>
          <w:rFonts w:ascii="Times New Roman" w:hAnsi="Times New Roman" w:cs="Times New Roman"/>
          <w:b/>
          <w:bCs/>
          <w:i/>
          <w:iCs/>
          <w:sz w:val="25"/>
          <w:szCs w:val="26"/>
        </w:rPr>
        <w:t>Vigencia</w:t>
      </w:r>
      <w:r w:rsidRPr="00DF1C61">
        <w:rPr>
          <w:rFonts w:ascii="Times New Roman" w:hAnsi="Times New Roman" w:cs="Times New Roman"/>
          <w:b/>
          <w:bCs/>
          <w:sz w:val="25"/>
          <w:szCs w:val="26"/>
        </w:rPr>
        <w:t xml:space="preserve">. </w:t>
      </w:r>
      <w:r w:rsidRPr="00DF1C61">
        <w:rPr>
          <w:rFonts w:ascii="Times New Roman" w:hAnsi="Times New Roman" w:cs="Times New Roman"/>
          <w:sz w:val="25"/>
          <w:szCs w:val="26"/>
        </w:rPr>
        <w:t>Este proyecto de ley rige a partir de su promulgación y deroga todas las disposiciones que le sean contrarias. </w:t>
      </w:r>
    </w:p>
    <w:p w14:paraId="67E358DD" w14:textId="77777777" w:rsidR="0029027A" w:rsidRPr="00DF1C61" w:rsidRDefault="0029027A" w:rsidP="00075A46">
      <w:pPr>
        <w:spacing w:before="240" w:after="0"/>
        <w:jc w:val="both"/>
        <w:rPr>
          <w:rFonts w:ascii="Times New Roman" w:hAnsi="Times New Roman" w:cs="Times New Roman"/>
          <w:b/>
          <w:bCs/>
          <w:sz w:val="25"/>
          <w:szCs w:val="26"/>
          <w:lang w:val="es-ES"/>
        </w:rPr>
      </w:pPr>
    </w:p>
    <w:p w14:paraId="17D4F1ED" w14:textId="77777777" w:rsidR="0029027A" w:rsidRPr="00DF1C61" w:rsidRDefault="0029027A" w:rsidP="00D67ECC">
      <w:pPr>
        <w:spacing w:after="0"/>
        <w:jc w:val="both"/>
        <w:rPr>
          <w:rFonts w:ascii="Times New Roman" w:hAnsi="Times New Roman" w:cs="Times New Roman"/>
          <w:sz w:val="25"/>
          <w:szCs w:val="26"/>
          <w:lang w:val="es-ES"/>
        </w:rPr>
      </w:pPr>
      <w:r w:rsidRPr="00DF1C61">
        <w:rPr>
          <w:rFonts w:ascii="Times New Roman" w:hAnsi="Times New Roman" w:cs="Times New Roman"/>
          <w:sz w:val="25"/>
          <w:szCs w:val="26"/>
          <w:lang w:val="es-ES"/>
        </w:rPr>
        <w:t>De los Honorables Congresistas,</w:t>
      </w:r>
    </w:p>
    <w:p w14:paraId="5F51CA31" w14:textId="77777777" w:rsidR="0029027A" w:rsidRPr="00DF1C61" w:rsidRDefault="0029027A" w:rsidP="00D67ECC">
      <w:pPr>
        <w:spacing w:after="0"/>
        <w:jc w:val="both"/>
        <w:rPr>
          <w:rFonts w:ascii="Times New Roman" w:hAnsi="Times New Roman" w:cs="Times New Roman"/>
          <w:sz w:val="25"/>
          <w:szCs w:val="26"/>
          <w:lang w:val="es-ES"/>
        </w:rPr>
      </w:pPr>
    </w:p>
    <w:p w14:paraId="5FC6A360" w14:textId="77777777" w:rsidR="0029027A" w:rsidRPr="00DF1C61" w:rsidRDefault="0029027A" w:rsidP="00D67ECC">
      <w:pPr>
        <w:spacing w:after="0"/>
        <w:jc w:val="both"/>
        <w:rPr>
          <w:rFonts w:ascii="Times New Roman" w:hAnsi="Times New Roman" w:cs="Times New Roman"/>
          <w:sz w:val="25"/>
          <w:szCs w:val="26"/>
          <w:lang w:val="es-ES"/>
        </w:rPr>
      </w:pPr>
    </w:p>
    <w:p w14:paraId="62767117" w14:textId="77777777" w:rsidR="0029027A" w:rsidRPr="00DF1C61" w:rsidRDefault="0029027A" w:rsidP="00D67ECC">
      <w:pPr>
        <w:spacing w:after="0"/>
        <w:jc w:val="both"/>
        <w:rPr>
          <w:rFonts w:ascii="Times New Roman" w:hAnsi="Times New Roman" w:cs="Times New Roman"/>
          <w:sz w:val="25"/>
          <w:szCs w:val="26"/>
          <w:lang w:val="es-ES"/>
        </w:rPr>
      </w:pPr>
    </w:p>
    <w:p w14:paraId="74DD69AD" w14:textId="77777777" w:rsidR="0029027A" w:rsidRPr="00DF1C61" w:rsidRDefault="0029027A" w:rsidP="00D67ECC">
      <w:pPr>
        <w:spacing w:after="0"/>
        <w:jc w:val="both"/>
        <w:rPr>
          <w:rFonts w:ascii="Times New Roman" w:hAnsi="Times New Roman" w:cs="Times New Roman"/>
          <w:b/>
          <w:bCs/>
          <w:sz w:val="25"/>
          <w:szCs w:val="26"/>
        </w:rPr>
      </w:pPr>
    </w:p>
    <w:p w14:paraId="6D2C0862" w14:textId="77777777" w:rsidR="0029027A" w:rsidRPr="00DF1C61" w:rsidRDefault="0029027A" w:rsidP="00D67ECC">
      <w:pPr>
        <w:spacing w:after="0"/>
        <w:jc w:val="both"/>
        <w:rPr>
          <w:rFonts w:ascii="Times New Roman" w:hAnsi="Times New Roman" w:cs="Times New Roman"/>
          <w:b/>
          <w:bCs/>
          <w:sz w:val="25"/>
          <w:szCs w:val="26"/>
        </w:rPr>
      </w:pPr>
      <w:r w:rsidRPr="00DF1C61">
        <w:rPr>
          <w:rFonts w:ascii="Times New Roman" w:hAnsi="Times New Roman" w:cs="Times New Roman"/>
          <w:b/>
          <w:bCs/>
          <w:sz w:val="25"/>
          <w:szCs w:val="26"/>
        </w:rPr>
        <w:t>ALEJANDRO MARTINEZ SÁNCHEZ</w:t>
      </w:r>
    </w:p>
    <w:p w14:paraId="4D4A7F3A" w14:textId="77777777" w:rsidR="0029027A" w:rsidRPr="00DF1C61" w:rsidRDefault="0029027A" w:rsidP="00D67ECC">
      <w:pPr>
        <w:spacing w:after="0"/>
        <w:jc w:val="both"/>
        <w:rPr>
          <w:rFonts w:ascii="Times New Roman" w:hAnsi="Times New Roman" w:cs="Times New Roman"/>
          <w:b/>
          <w:bCs/>
          <w:sz w:val="25"/>
          <w:szCs w:val="26"/>
        </w:rPr>
      </w:pPr>
      <w:r w:rsidRPr="00DF1C61">
        <w:rPr>
          <w:rFonts w:ascii="Times New Roman" w:hAnsi="Times New Roman" w:cs="Times New Roman"/>
          <w:b/>
          <w:bCs/>
          <w:sz w:val="25"/>
          <w:szCs w:val="26"/>
        </w:rPr>
        <w:t>Representante a la Cámara Tolima</w:t>
      </w:r>
    </w:p>
    <w:p w14:paraId="6DF6D1D5"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2145B6B5"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478B2178"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0D128C48"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59B6FB8C"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493717F3"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1C903BFB"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61EF6A01"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1C7C4EDD"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1D1294DE"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4706EB6C"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79E226EF"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39854E4C"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4FAB11EF"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3FB0869E"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2F6853CD"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1D19801E" w14:textId="0FFD0325" w:rsidR="00644B63" w:rsidRPr="00DF1C61" w:rsidRDefault="00644B63" w:rsidP="00D67ECC">
      <w:pPr>
        <w:spacing w:after="0"/>
        <w:jc w:val="center"/>
        <w:rPr>
          <w:rFonts w:ascii="Times New Roman" w:hAnsi="Times New Roman" w:cs="Times New Roman"/>
          <w:b/>
          <w:bCs/>
          <w:sz w:val="25"/>
          <w:szCs w:val="25"/>
          <w:u w:val="single"/>
          <w:lang w:val="es-ES"/>
        </w:rPr>
      </w:pPr>
    </w:p>
    <w:p w14:paraId="786E4D86" w14:textId="3AA0F887" w:rsidR="003E3733" w:rsidRPr="00DF1C61" w:rsidRDefault="003E3733" w:rsidP="00D67ECC">
      <w:pPr>
        <w:spacing w:after="0"/>
        <w:jc w:val="center"/>
        <w:rPr>
          <w:rFonts w:ascii="Times New Roman" w:hAnsi="Times New Roman" w:cs="Times New Roman"/>
          <w:b/>
          <w:bCs/>
          <w:sz w:val="25"/>
          <w:szCs w:val="25"/>
          <w:u w:val="single"/>
          <w:lang w:val="es-ES"/>
        </w:rPr>
      </w:pPr>
    </w:p>
    <w:p w14:paraId="7685487B" w14:textId="77777777" w:rsidR="00341C78" w:rsidRPr="00DF1C61" w:rsidRDefault="00341C78" w:rsidP="00D67ECC">
      <w:pPr>
        <w:spacing w:after="0"/>
        <w:jc w:val="center"/>
        <w:rPr>
          <w:rFonts w:ascii="Times New Roman" w:hAnsi="Times New Roman" w:cs="Times New Roman"/>
          <w:b/>
          <w:bCs/>
          <w:sz w:val="25"/>
          <w:szCs w:val="25"/>
          <w:u w:val="single"/>
          <w:lang w:val="es-ES"/>
        </w:rPr>
      </w:pPr>
    </w:p>
    <w:p w14:paraId="4A349162" w14:textId="77777777" w:rsidR="00341C78" w:rsidRPr="00DF1C61" w:rsidRDefault="00341C78" w:rsidP="00D67ECC">
      <w:pPr>
        <w:spacing w:after="0"/>
        <w:jc w:val="center"/>
        <w:rPr>
          <w:rFonts w:ascii="Times New Roman" w:hAnsi="Times New Roman" w:cs="Times New Roman"/>
          <w:b/>
          <w:bCs/>
          <w:sz w:val="25"/>
          <w:szCs w:val="25"/>
          <w:u w:val="single"/>
          <w:lang w:val="es-ES"/>
        </w:rPr>
      </w:pPr>
    </w:p>
    <w:p w14:paraId="4EC9BC10" w14:textId="77777777" w:rsidR="00341C78" w:rsidRPr="00DF1C61" w:rsidRDefault="00341C78" w:rsidP="00D67ECC">
      <w:pPr>
        <w:spacing w:after="0"/>
        <w:jc w:val="center"/>
        <w:rPr>
          <w:rFonts w:ascii="Times New Roman" w:hAnsi="Times New Roman" w:cs="Times New Roman"/>
          <w:b/>
          <w:bCs/>
          <w:sz w:val="25"/>
          <w:szCs w:val="25"/>
          <w:u w:val="single"/>
          <w:lang w:val="es-ES"/>
        </w:rPr>
      </w:pPr>
    </w:p>
    <w:p w14:paraId="4C6B2DC8" w14:textId="46C82A39" w:rsidR="003E3733" w:rsidRPr="00DF1C61" w:rsidRDefault="003E3733" w:rsidP="00D67ECC">
      <w:pPr>
        <w:spacing w:after="0"/>
        <w:jc w:val="center"/>
        <w:rPr>
          <w:rFonts w:ascii="Times New Roman" w:hAnsi="Times New Roman" w:cs="Times New Roman"/>
          <w:b/>
          <w:bCs/>
          <w:sz w:val="25"/>
          <w:szCs w:val="25"/>
          <w:u w:val="single"/>
          <w:lang w:val="es-ES"/>
        </w:rPr>
      </w:pPr>
    </w:p>
    <w:p w14:paraId="2A2F1FD7" w14:textId="77777777" w:rsidR="00644B63" w:rsidRPr="00DF1C61" w:rsidRDefault="00644B63" w:rsidP="007303BC">
      <w:pPr>
        <w:spacing w:after="0"/>
        <w:rPr>
          <w:rFonts w:ascii="Times New Roman" w:hAnsi="Times New Roman" w:cs="Times New Roman"/>
          <w:b/>
          <w:bCs/>
          <w:sz w:val="25"/>
          <w:szCs w:val="25"/>
          <w:u w:val="single"/>
          <w:lang w:val="es-ES"/>
        </w:rPr>
      </w:pPr>
    </w:p>
    <w:p w14:paraId="35549573" w14:textId="77777777" w:rsidR="00644B63" w:rsidRPr="00DF1C61" w:rsidRDefault="00644B63" w:rsidP="00D67ECC">
      <w:pPr>
        <w:spacing w:after="0"/>
        <w:jc w:val="center"/>
        <w:rPr>
          <w:rFonts w:ascii="Times New Roman" w:hAnsi="Times New Roman" w:cs="Times New Roman"/>
          <w:b/>
          <w:bCs/>
          <w:sz w:val="25"/>
          <w:szCs w:val="25"/>
          <w:u w:val="single"/>
          <w:lang w:val="es-ES"/>
        </w:rPr>
      </w:pPr>
    </w:p>
    <w:p w14:paraId="3DFFB601" w14:textId="08F62589" w:rsidR="0029027A" w:rsidRPr="00DF1C61" w:rsidRDefault="0029027A" w:rsidP="00D67ECC">
      <w:pPr>
        <w:spacing w:after="0"/>
        <w:jc w:val="center"/>
        <w:rPr>
          <w:rFonts w:ascii="Times New Roman" w:hAnsi="Times New Roman" w:cs="Times New Roman"/>
          <w:b/>
          <w:bCs/>
          <w:sz w:val="25"/>
          <w:szCs w:val="25"/>
          <w:u w:val="single"/>
          <w:lang w:val="es-ES"/>
        </w:rPr>
      </w:pPr>
      <w:r w:rsidRPr="00DF1C61">
        <w:rPr>
          <w:rFonts w:ascii="Times New Roman" w:hAnsi="Times New Roman" w:cs="Times New Roman"/>
          <w:b/>
          <w:bCs/>
          <w:sz w:val="25"/>
          <w:szCs w:val="25"/>
          <w:u w:val="single"/>
          <w:lang w:val="es-ES"/>
        </w:rPr>
        <w:t>EXPOSICIÓN DE MOTIVOS</w:t>
      </w:r>
    </w:p>
    <w:p w14:paraId="15F6075A" w14:textId="77777777" w:rsidR="0029027A" w:rsidRPr="00DF1C61" w:rsidRDefault="0029027A" w:rsidP="00D67ECC">
      <w:pPr>
        <w:spacing w:after="0"/>
        <w:jc w:val="center"/>
        <w:rPr>
          <w:rFonts w:ascii="Times New Roman" w:hAnsi="Times New Roman" w:cs="Times New Roman"/>
          <w:b/>
          <w:bCs/>
          <w:sz w:val="25"/>
          <w:szCs w:val="25"/>
          <w:lang w:val="es-ES"/>
        </w:rPr>
      </w:pPr>
    </w:p>
    <w:p w14:paraId="1A84CA02" w14:textId="06E18DB5" w:rsidR="0029027A" w:rsidRPr="00DF1C61" w:rsidRDefault="0029027A" w:rsidP="00D67ECC">
      <w:pPr>
        <w:jc w:val="center"/>
        <w:rPr>
          <w:rFonts w:ascii="Times New Roman" w:hAnsi="Times New Roman" w:cs="Times New Roman"/>
          <w:b/>
          <w:bCs/>
          <w:sz w:val="25"/>
          <w:szCs w:val="25"/>
          <w:lang w:val="es-ES"/>
        </w:rPr>
      </w:pPr>
      <w:r w:rsidRPr="00DF1C61">
        <w:rPr>
          <w:rFonts w:ascii="Times New Roman" w:hAnsi="Times New Roman" w:cs="Times New Roman"/>
          <w:b/>
          <w:bCs/>
          <w:sz w:val="25"/>
          <w:szCs w:val="25"/>
          <w:lang w:val="es-ES"/>
        </w:rPr>
        <w:t>PROYECTO DE LEY _____</w:t>
      </w:r>
      <w:r w:rsidR="001207F4" w:rsidRPr="00DF1C61">
        <w:rPr>
          <w:rFonts w:ascii="Times New Roman" w:hAnsi="Times New Roman" w:cs="Times New Roman"/>
          <w:b/>
          <w:bCs/>
          <w:sz w:val="25"/>
          <w:szCs w:val="25"/>
          <w:lang w:val="es-ES"/>
        </w:rPr>
        <w:t>_</w:t>
      </w:r>
      <w:r w:rsidRPr="00DF1C61">
        <w:rPr>
          <w:rFonts w:ascii="Times New Roman" w:hAnsi="Times New Roman" w:cs="Times New Roman"/>
          <w:b/>
          <w:bCs/>
          <w:sz w:val="25"/>
          <w:szCs w:val="25"/>
          <w:lang w:val="es-ES"/>
        </w:rPr>
        <w:t xml:space="preserve"> DE 2022 CÁMARA</w:t>
      </w:r>
    </w:p>
    <w:p w14:paraId="0DF31521" w14:textId="77777777" w:rsidR="00341C78" w:rsidRPr="00DF1C61" w:rsidRDefault="00341C78" w:rsidP="00341C78">
      <w:pPr>
        <w:spacing w:after="0"/>
        <w:jc w:val="center"/>
        <w:rPr>
          <w:rFonts w:ascii="Times New Roman" w:hAnsi="Times New Roman" w:cs="Times New Roman"/>
          <w:b/>
          <w:bCs/>
          <w:sz w:val="25"/>
          <w:szCs w:val="26"/>
          <w:lang w:val="es-ES"/>
        </w:rPr>
      </w:pPr>
      <w:r w:rsidRPr="00DF1C61">
        <w:rPr>
          <w:rFonts w:ascii="Times New Roman" w:hAnsi="Times New Roman" w:cs="Times New Roman"/>
          <w:b/>
          <w:bCs/>
          <w:sz w:val="25"/>
          <w:szCs w:val="26"/>
          <w:lang w:val="es-ES"/>
        </w:rPr>
        <w:t>“</w:t>
      </w:r>
      <w:r w:rsidRPr="00DF1C61">
        <w:rPr>
          <w:rFonts w:ascii="Times New Roman" w:hAnsi="Times New Roman" w:cs="Times New Roman"/>
          <w:b/>
          <w:bCs/>
          <w:i/>
          <w:iCs/>
          <w:sz w:val="25"/>
          <w:szCs w:val="26"/>
        </w:rPr>
        <w:t>Por medio de la cual se realizan unas condonaciones para la búsqueda de mayor recaudo y protección de las cuencas hídricas del país y se dictan otras disposiciones</w:t>
      </w:r>
      <w:r w:rsidRPr="00DF1C61">
        <w:rPr>
          <w:rFonts w:ascii="Times New Roman" w:hAnsi="Times New Roman" w:cs="Times New Roman"/>
          <w:b/>
          <w:bCs/>
          <w:sz w:val="25"/>
          <w:szCs w:val="26"/>
          <w:lang w:val="es-ES"/>
        </w:rPr>
        <w:t>”</w:t>
      </w:r>
    </w:p>
    <w:p w14:paraId="7284E4C5" w14:textId="77777777" w:rsidR="0029027A" w:rsidRPr="00DF1C61" w:rsidRDefault="0029027A" w:rsidP="00D67ECC">
      <w:pPr>
        <w:spacing w:after="0"/>
        <w:jc w:val="both"/>
        <w:rPr>
          <w:rFonts w:ascii="Times New Roman" w:hAnsi="Times New Roman" w:cs="Times New Roman"/>
          <w:b/>
          <w:bCs/>
          <w:sz w:val="25"/>
          <w:szCs w:val="25"/>
          <w:lang w:val="es-ES"/>
        </w:rPr>
      </w:pPr>
    </w:p>
    <w:p w14:paraId="6F494BAE" w14:textId="60EC5C2B" w:rsidR="0029027A" w:rsidRPr="00DF1C61" w:rsidRDefault="00701A62" w:rsidP="00D67ECC">
      <w:pPr>
        <w:pStyle w:val="Prrafodelista"/>
        <w:numPr>
          <w:ilvl w:val="0"/>
          <w:numId w:val="6"/>
        </w:numPr>
        <w:spacing w:after="0"/>
        <w:ind w:left="567" w:hanging="387"/>
        <w:jc w:val="both"/>
        <w:rPr>
          <w:rFonts w:ascii="Times New Roman" w:hAnsi="Times New Roman" w:cs="Times New Roman"/>
          <w:b/>
          <w:bCs/>
          <w:sz w:val="25"/>
          <w:szCs w:val="25"/>
          <w:lang w:val="es-ES"/>
        </w:rPr>
      </w:pPr>
      <w:r w:rsidRPr="00DF1C61">
        <w:rPr>
          <w:rFonts w:ascii="Times New Roman" w:hAnsi="Times New Roman" w:cs="Times New Roman"/>
          <w:b/>
          <w:bCs/>
          <w:sz w:val="25"/>
          <w:szCs w:val="25"/>
          <w:lang w:val="es-ES"/>
        </w:rPr>
        <w:t>Objeto</w:t>
      </w:r>
      <w:r w:rsidR="0029027A" w:rsidRPr="00DF1C61">
        <w:rPr>
          <w:rFonts w:ascii="Times New Roman" w:hAnsi="Times New Roman" w:cs="Times New Roman"/>
          <w:b/>
          <w:bCs/>
          <w:sz w:val="25"/>
          <w:szCs w:val="25"/>
          <w:lang w:val="es-ES"/>
        </w:rPr>
        <w:t xml:space="preserve"> del proyecto</w:t>
      </w:r>
    </w:p>
    <w:p w14:paraId="1FA98387" w14:textId="0D9CA246" w:rsidR="00E15E84" w:rsidRPr="00DF1C61" w:rsidRDefault="00E15E84" w:rsidP="00D67ECC">
      <w:pPr>
        <w:spacing w:after="0"/>
        <w:jc w:val="both"/>
        <w:rPr>
          <w:rFonts w:ascii="Times New Roman" w:hAnsi="Times New Roman" w:cs="Times New Roman"/>
          <w:sz w:val="25"/>
          <w:szCs w:val="25"/>
          <w:lang w:eastAsia="es-ES"/>
        </w:rPr>
      </w:pPr>
    </w:p>
    <w:p w14:paraId="16157B3D" w14:textId="31BA91CC" w:rsidR="00701A62"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Este proyecto de ley tiene por objeto condonar parte de las obligaciones que aún hoy están impagas por concepto de Tasa Retributiva, contenida en el artículo 42 de la Ley 99 de 1993 y demás normas concordantes y regulatorias, con el fin de alivianar la carga en la mayoría de los municipios que decidieron destinar recursos a otras esferas del desarrollo territorial durante la emergencia sanitaria derivada de la pandemia del COVID-19,</w:t>
      </w:r>
      <w:r w:rsidR="00341C78" w:rsidRPr="00DF1C61">
        <w:rPr>
          <w:rFonts w:ascii="Times New Roman" w:hAnsi="Times New Roman" w:cs="Times New Roman"/>
          <w:sz w:val="25"/>
          <w:szCs w:val="25"/>
          <w:lang w:eastAsia="es-ES"/>
        </w:rPr>
        <w:t xml:space="preserve"> sus implicaciones posteriores como la subida de la inflación, el incremento de insumos y bienes de primera necesidad que se vieron afectados por la guerra de Ucrania y Rusia, las alzas de la gasolina y el desempleo que aumenta por distintos factores</w:t>
      </w:r>
      <w:r w:rsidRPr="00DF1C61">
        <w:rPr>
          <w:rFonts w:ascii="Times New Roman" w:hAnsi="Times New Roman" w:cs="Times New Roman"/>
          <w:sz w:val="25"/>
          <w:szCs w:val="25"/>
          <w:lang w:eastAsia="es-ES"/>
        </w:rPr>
        <w:t xml:space="preserve"> y así mismo procurar el saneamiento de todas las carteras de las Corporaciones Autónomas Regionales </w:t>
      </w:r>
      <w:r w:rsidR="00E916BB" w:rsidRPr="00DF1C61">
        <w:rPr>
          <w:rFonts w:ascii="Times New Roman" w:hAnsi="Times New Roman" w:cs="Times New Roman"/>
          <w:sz w:val="25"/>
          <w:szCs w:val="25"/>
          <w:lang w:eastAsia="es-ES"/>
        </w:rPr>
        <w:t xml:space="preserve">-CAR- </w:t>
      </w:r>
      <w:r w:rsidRPr="00DF1C61">
        <w:rPr>
          <w:rFonts w:ascii="Times New Roman" w:hAnsi="Times New Roman" w:cs="Times New Roman"/>
          <w:sz w:val="25"/>
          <w:szCs w:val="25"/>
          <w:lang w:eastAsia="es-ES"/>
        </w:rPr>
        <w:t>y Corporaciones de Desarrollo Sostenible</w:t>
      </w:r>
      <w:r w:rsidR="00341C78" w:rsidRPr="00DF1C61">
        <w:rPr>
          <w:rFonts w:ascii="Times New Roman" w:hAnsi="Times New Roman" w:cs="Times New Roman"/>
          <w:sz w:val="25"/>
          <w:szCs w:val="25"/>
          <w:lang w:eastAsia="es-ES"/>
        </w:rPr>
        <w:t>, situación que ayuda, de igual forma, a lograr que sus cierres financieros y sus balances generales de presupuesto puedan fenecer</w:t>
      </w:r>
      <w:r w:rsidRPr="00DF1C61">
        <w:rPr>
          <w:rFonts w:ascii="Times New Roman" w:hAnsi="Times New Roman" w:cs="Times New Roman"/>
          <w:sz w:val="25"/>
          <w:szCs w:val="25"/>
          <w:lang w:eastAsia="es-ES"/>
        </w:rPr>
        <w:t>.</w:t>
      </w:r>
    </w:p>
    <w:p w14:paraId="49E8ADF0" w14:textId="77777777" w:rsidR="00701A62" w:rsidRPr="00DF1C61" w:rsidRDefault="00701A62" w:rsidP="00D67ECC">
      <w:pPr>
        <w:spacing w:after="0"/>
        <w:jc w:val="both"/>
        <w:rPr>
          <w:rFonts w:ascii="Times New Roman" w:hAnsi="Times New Roman" w:cs="Times New Roman"/>
          <w:sz w:val="25"/>
          <w:szCs w:val="25"/>
          <w:lang w:eastAsia="es-ES"/>
        </w:rPr>
      </w:pPr>
    </w:p>
    <w:p w14:paraId="51257E2B" w14:textId="7E65A514" w:rsidR="00701A62"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Aunado a lo anterior, bajo la motivación del pago, se pretende seguir con la implementación de los proyectos de inversión en descontaminación y monitoreo de la calidad del recurso respectivo, además de la protección y renovación del recurso natural.</w:t>
      </w:r>
    </w:p>
    <w:p w14:paraId="1C7AE8C1" w14:textId="7CFE8864" w:rsidR="00701A62" w:rsidRPr="00DF1C61" w:rsidRDefault="00701A62" w:rsidP="00D67ECC">
      <w:pPr>
        <w:spacing w:after="0"/>
        <w:jc w:val="both"/>
        <w:rPr>
          <w:rFonts w:ascii="Times New Roman" w:hAnsi="Times New Roman" w:cs="Times New Roman"/>
          <w:sz w:val="25"/>
          <w:szCs w:val="25"/>
          <w:lang w:eastAsia="es-ES"/>
        </w:rPr>
      </w:pPr>
    </w:p>
    <w:p w14:paraId="0788C540" w14:textId="6991E562" w:rsidR="00701A62" w:rsidRPr="00DF1C61" w:rsidRDefault="00701A62" w:rsidP="00D67ECC">
      <w:pPr>
        <w:pStyle w:val="Prrafodelista"/>
        <w:numPr>
          <w:ilvl w:val="0"/>
          <w:numId w:val="6"/>
        </w:numPr>
        <w:spacing w:after="0"/>
        <w:ind w:left="567" w:hanging="387"/>
        <w:jc w:val="both"/>
        <w:rPr>
          <w:rFonts w:ascii="Times New Roman" w:hAnsi="Times New Roman" w:cs="Times New Roman"/>
          <w:b/>
          <w:bCs/>
          <w:sz w:val="25"/>
          <w:szCs w:val="25"/>
          <w:lang w:val="es-ES"/>
        </w:rPr>
      </w:pPr>
      <w:r w:rsidRPr="00DF1C61">
        <w:rPr>
          <w:rFonts w:ascii="Times New Roman" w:hAnsi="Times New Roman" w:cs="Times New Roman"/>
          <w:b/>
          <w:bCs/>
          <w:sz w:val="25"/>
          <w:szCs w:val="25"/>
          <w:lang w:val="es-ES"/>
        </w:rPr>
        <w:t>Justificación</w:t>
      </w:r>
      <w:r w:rsidR="00F65C9A" w:rsidRPr="00DF1C61">
        <w:rPr>
          <w:rFonts w:ascii="Times New Roman" w:hAnsi="Times New Roman" w:cs="Times New Roman"/>
          <w:b/>
          <w:bCs/>
          <w:sz w:val="25"/>
          <w:szCs w:val="25"/>
          <w:lang w:val="es-ES"/>
        </w:rPr>
        <w:t xml:space="preserve"> y fundamentación</w:t>
      </w:r>
      <w:r w:rsidRPr="00DF1C61">
        <w:rPr>
          <w:rFonts w:ascii="Times New Roman" w:hAnsi="Times New Roman" w:cs="Times New Roman"/>
          <w:b/>
          <w:bCs/>
          <w:sz w:val="25"/>
          <w:szCs w:val="25"/>
          <w:lang w:val="es-ES"/>
        </w:rPr>
        <w:t xml:space="preserve"> del proyecto</w:t>
      </w:r>
    </w:p>
    <w:p w14:paraId="0B95A933" w14:textId="77777777" w:rsidR="00701A62" w:rsidRPr="00DF1C61" w:rsidRDefault="00701A62" w:rsidP="00D67ECC">
      <w:pPr>
        <w:spacing w:after="0"/>
        <w:jc w:val="both"/>
        <w:rPr>
          <w:rFonts w:ascii="Times New Roman" w:hAnsi="Times New Roman" w:cs="Times New Roman"/>
          <w:sz w:val="25"/>
          <w:szCs w:val="25"/>
          <w:lang w:eastAsia="es-ES"/>
        </w:rPr>
      </w:pPr>
    </w:p>
    <w:p w14:paraId="2022D443" w14:textId="7A4304D7" w:rsidR="004B7EE7"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Para comprender más la importancia de</w:t>
      </w:r>
      <w:r w:rsidR="00E916BB" w:rsidRPr="00DF1C61">
        <w:rPr>
          <w:rFonts w:ascii="Times New Roman" w:hAnsi="Times New Roman" w:cs="Times New Roman"/>
          <w:sz w:val="25"/>
          <w:szCs w:val="25"/>
          <w:lang w:eastAsia="es-ES"/>
        </w:rPr>
        <w:t xml:space="preserve"> la</w:t>
      </w:r>
      <w:r w:rsidRPr="00DF1C61">
        <w:rPr>
          <w:rFonts w:ascii="Times New Roman" w:hAnsi="Times New Roman" w:cs="Times New Roman"/>
          <w:sz w:val="25"/>
          <w:szCs w:val="25"/>
          <w:lang w:eastAsia="es-ES"/>
        </w:rPr>
        <w:t xml:space="preserve"> Tasa </w:t>
      </w:r>
      <w:r w:rsidR="00E916BB" w:rsidRPr="00DF1C61">
        <w:rPr>
          <w:rFonts w:ascii="Times New Roman" w:hAnsi="Times New Roman" w:cs="Times New Roman"/>
          <w:sz w:val="25"/>
          <w:szCs w:val="25"/>
          <w:lang w:eastAsia="es-ES"/>
        </w:rPr>
        <w:t xml:space="preserve">Retributiva </w:t>
      </w:r>
      <w:r w:rsidRPr="00DF1C61">
        <w:rPr>
          <w:rFonts w:ascii="Times New Roman" w:hAnsi="Times New Roman" w:cs="Times New Roman"/>
          <w:sz w:val="25"/>
          <w:szCs w:val="25"/>
          <w:lang w:eastAsia="es-ES"/>
        </w:rPr>
        <w:t xml:space="preserve">y la obtención de beneficios para los sujetos pasivos de dicha obligación, en aras de sanear las carteras de las </w:t>
      </w:r>
      <w:r w:rsidR="00E916BB" w:rsidRPr="00DF1C61">
        <w:rPr>
          <w:rFonts w:ascii="Times New Roman" w:hAnsi="Times New Roman" w:cs="Times New Roman"/>
          <w:sz w:val="25"/>
          <w:szCs w:val="25"/>
          <w:lang w:eastAsia="es-ES"/>
        </w:rPr>
        <w:t>CAR</w:t>
      </w:r>
      <w:r w:rsidRPr="00DF1C61">
        <w:rPr>
          <w:rFonts w:ascii="Times New Roman" w:hAnsi="Times New Roman" w:cs="Times New Roman"/>
          <w:sz w:val="25"/>
          <w:szCs w:val="25"/>
          <w:lang w:eastAsia="es-ES"/>
        </w:rPr>
        <w:t xml:space="preserve"> y a su vez incentivar los pagos para la realización de los proyectos que promueven el bienestar y la recuperación ambiental de los posibles daños ocasionados por los vertimientos, en punto del recurso hídrico, la </w:t>
      </w:r>
      <w:r w:rsidR="00E916BB" w:rsidRPr="00DF1C61">
        <w:rPr>
          <w:rFonts w:ascii="Times New Roman" w:hAnsi="Times New Roman" w:cs="Times New Roman"/>
          <w:sz w:val="25"/>
          <w:szCs w:val="25"/>
          <w:lang w:eastAsia="es-ES"/>
        </w:rPr>
        <w:t>L</w:t>
      </w:r>
      <w:r w:rsidRPr="00DF1C61">
        <w:rPr>
          <w:rFonts w:ascii="Times New Roman" w:hAnsi="Times New Roman" w:cs="Times New Roman"/>
          <w:sz w:val="25"/>
          <w:szCs w:val="25"/>
          <w:lang w:eastAsia="es-ES"/>
        </w:rPr>
        <w:t>ey 99 de 1993, en su art</w:t>
      </w:r>
      <w:r w:rsidR="00E916BB" w:rsidRPr="00DF1C61">
        <w:rPr>
          <w:rFonts w:ascii="Times New Roman" w:hAnsi="Times New Roman" w:cs="Times New Roman"/>
          <w:sz w:val="25"/>
          <w:szCs w:val="25"/>
          <w:lang w:eastAsia="es-ES"/>
        </w:rPr>
        <w:t>ículo</w:t>
      </w:r>
      <w:r w:rsidRPr="00DF1C61">
        <w:rPr>
          <w:rFonts w:ascii="Times New Roman" w:hAnsi="Times New Roman" w:cs="Times New Roman"/>
          <w:sz w:val="25"/>
          <w:szCs w:val="25"/>
          <w:lang w:eastAsia="es-ES"/>
        </w:rPr>
        <w:t xml:space="preserve"> 42</w:t>
      </w:r>
      <w:r w:rsidR="00E916BB"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desarrolla el inciso 2 del art</w:t>
      </w:r>
      <w:r w:rsidR="00E916BB" w:rsidRPr="00DF1C61">
        <w:rPr>
          <w:rFonts w:ascii="Times New Roman" w:hAnsi="Times New Roman" w:cs="Times New Roman"/>
          <w:sz w:val="25"/>
          <w:szCs w:val="25"/>
          <w:lang w:eastAsia="es-ES"/>
        </w:rPr>
        <w:t>ículo</w:t>
      </w:r>
      <w:r w:rsidRPr="00DF1C61">
        <w:rPr>
          <w:rFonts w:ascii="Times New Roman" w:hAnsi="Times New Roman" w:cs="Times New Roman"/>
          <w:sz w:val="25"/>
          <w:szCs w:val="25"/>
          <w:lang w:eastAsia="es-ES"/>
        </w:rPr>
        <w:t xml:space="preserve"> 388 de la Constitución </w:t>
      </w:r>
      <w:r w:rsidR="00E916BB" w:rsidRPr="00DF1C61">
        <w:rPr>
          <w:rFonts w:ascii="Times New Roman" w:hAnsi="Times New Roman" w:cs="Times New Roman"/>
          <w:sz w:val="25"/>
          <w:szCs w:val="25"/>
          <w:lang w:eastAsia="es-ES"/>
        </w:rPr>
        <w:t>Política</w:t>
      </w:r>
      <w:r w:rsidR="0036154A" w:rsidRPr="00DF1C61">
        <w:rPr>
          <w:rFonts w:ascii="Times New Roman" w:hAnsi="Times New Roman" w:cs="Times New Roman"/>
          <w:sz w:val="25"/>
          <w:szCs w:val="25"/>
          <w:lang w:eastAsia="es-ES"/>
        </w:rPr>
        <w:t xml:space="preserve"> de 1991</w:t>
      </w:r>
      <w:r w:rsidRPr="00DF1C61">
        <w:rPr>
          <w:rFonts w:ascii="Times New Roman" w:hAnsi="Times New Roman" w:cs="Times New Roman"/>
          <w:sz w:val="25"/>
          <w:szCs w:val="25"/>
          <w:lang w:eastAsia="es-ES"/>
        </w:rPr>
        <w:t xml:space="preserve"> sobre cuya base han de calcularse las tasas retributivas y compensatorias a las que se refiere el precitado artículo. Dichas tasas fueron creadas de conformidad con lo dispuesto por el Código Nacional de </w:t>
      </w:r>
      <w:r w:rsidRPr="00DF1C61">
        <w:rPr>
          <w:rFonts w:ascii="Times New Roman" w:hAnsi="Times New Roman" w:cs="Times New Roman"/>
          <w:sz w:val="25"/>
          <w:szCs w:val="25"/>
          <w:lang w:eastAsia="es-ES"/>
        </w:rPr>
        <w:lastRenderedPageBreak/>
        <w:t xml:space="preserve">Recursos Naturales Renovables y de Protección al Medio Ambiente, Decreto 2811 de 1974, </w:t>
      </w:r>
      <w:r w:rsidR="004B7EE7" w:rsidRPr="00DF1C61">
        <w:rPr>
          <w:rFonts w:ascii="Times New Roman" w:hAnsi="Times New Roman" w:cs="Times New Roman"/>
          <w:sz w:val="25"/>
          <w:szCs w:val="25"/>
          <w:lang w:eastAsia="es-ES"/>
        </w:rPr>
        <w:t>aplicándose</w:t>
      </w:r>
      <w:r w:rsidRPr="00DF1C61">
        <w:rPr>
          <w:rFonts w:ascii="Times New Roman" w:hAnsi="Times New Roman" w:cs="Times New Roman"/>
          <w:sz w:val="25"/>
          <w:szCs w:val="25"/>
          <w:lang w:eastAsia="es-ES"/>
        </w:rPr>
        <w:t xml:space="preserve"> el sistema establecido por el conjunto de las siguientes reglas: </w:t>
      </w:r>
    </w:p>
    <w:p w14:paraId="3639DC36" w14:textId="77777777" w:rsidR="00701A62" w:rsidRPr="00DF1C61" w:rsidRDefault="00701A62" w:rsidP="00D67ECC">
      <w:pPr>
        <w:spacing w:before="240"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a) La tasa incluirá el valor de depreciación del recurso afectado; </w:t>
      </w:r>
    </w:p>
    <w:p w14:paraId="64C1CDDF" w14:textId="77777777" w:rsidR="00701A62" w:rsidRPr="00DF1C61" w:rsidRDefault="00701A62" w:rsidP="00D67ECC">
      <w:pPr>
        <w:spacing w:before="240"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b) El Ministerio del Medio Ambiente teniendo en cuenta los costos sociales y ambientales del daño, y los costos de recuperación del recurso afectado, definirá anualmente las bases sobre las cuales se hará el cálculo de la depreciación; </w:t>
      </w:r>
    </w:p>
    <w:p w14:paraId="7A03BE13" w14:textId="77777777" w:rsidR="00701A62" w:rsidRPr="00DF1C61" w:rsidRDefault="00701A62" w:rsidP="00D67ECC">
      <w:pPr>
        <w:spacing w:before="240"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c) El cálculo de la depreciación incluirá la evaluación económica de los daños sociales y ambientales causados por la respectiva actividad. Se entiende por daños sociales, entre otros, los ocasionados a la salud humana, el paisaje, la tranquilidad pública, los bienes públicos y privados y demás bienes con valor económico directamente afectados por la actividad contaminante. Se entiende por daño ambiental el que afecte el normal funcionamiento de los ecosistemas o la renovabilidad de sus recursos y componentes; </w:t>
      </w:r>
    </w:p>
    <w:p w14:paraId="7C9FC57A" w14:textId="5755B971" w:rsidR="00701A62" w:rsidRPr="00DF1C61" w:rsidRDefault="00701A62" w:rsidP="00D67ECC">
      <w:pPr>
        <w:spacing w:before="240"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d) El cálculo de costos así obtenido, será la base para la definición del monto tarifario de las tasas.</w:t>
      </w:r>
    </w:p>
    <w:p w14:paraId="0EB7F6A0" w14:textId="77777777" w:rsidR="004B7EE7" w:rsidRPr="00DF1C61" w:rsidRDefault="004B7EE7" w:rsidP="00D67ECC">
      <w:pPr>
        <w:spacing w:after="0"/>
        <w:jc w:val="both"/>
        <w:rPr>
          <w:rFonts w:ascii="Times New Roman" w:hAnsi="Times New Roman" w:cs="Times New Roman"/>
          <w:sz w:val="25"/>
          <w:szCs w:val="25"/>
          <w:lang w:eastAsia="es-ES"/>
        </w:rPr>
      </w:pPr>
    </w:p>
    <w:p w14:paraId="1867CCCA" w14:textId="077A3F8C" w:rsidR="00701A62"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Con base en lo anterior, y bajo las fórmulas que se han desarrollado por las normas regulatorias, en este caso el Decreto 1076 de 2015</w:t>
      </w:r>
      <w:r w:rsidR="00A56228" w:rsidRPr="00DF1C61">
        <w:rPr>
          <w:rFonts w:ascii="Times New Roman" w:hAnsi="Times New Roman" w:cs="Times New Roman"/>
          <w:sz w:val="25"/>
          <w:szCs w:val="25"/>
          <w:lang w:eastAsia="es-ES"/>
        </w:rPr>
        <w:t xml:space="preserve"> -Decreto Único Reglamentario del Sector Ambiente y Desarrollo Sostenible-</w:t>
      </w:r>
      <w:r w:rsidRPr="00DF1C61">
        <w:rPr>
          <w:rFonts w:ascii="Times New Roman" w:hAnsi="Times New Roman" w:cs="Times New Roman"/>
          <w:b/>
          <w:bCs/>
          <w:sz w:val="25"/>
          <w:szCs w:val="25"/>
          <w:lang w:eastAsia="es-ES"/>
        </w:rPr>
        <w:t xml:space="preserve"> </w:t>
      </w:r>
      <w:r w:rsidRPr="00DF1C61">
        <w:rPr>
          <w:rFonts w:ascii="Times New Roman" w:hAnsi="Times New Roman" w:cs="Times New Roman"/>
          <w:sz w:val="25"/>
          <w:szCs w:val="25"/>
          <w:lang w:eastAsia="es-ES"/>
        </w:rPr>
        <w:t>los recursos provenientes del recaudo de las tasas retributivas están destinados a proyectos de inversión en descontaminación y monitoreo de la calidad del recurso respectivo. Para cubrir los gastos de implementación y seguimiento de la tasa, la autoridad ambiental competente podrá utilizar hasta el 10% de los recursos recaudados.</w:t>
      </w:r>
    </w:p>
    <w:p w14:paraId="77E49933" w14:textId="77777777" w:rsidR="00A56228" w:rsidRPr="00DF1C61" w:rsidRDefault="00A56228" w:rsidP="00D67ECC">
      <w:pPr>
        <w:spacing w:after="0"/>
        <w:jc w:val="both"/>
        <w:rPr>
          <w:rFonts w:ascii="Times New Roman" w:hAnsi="Times New Roman" w:cs="Times New Roman"/>
          <w:sz w:val="25"/>
          <w:szCs w:val="25"/>
          <w:lang w:eastAsia="es-ES"/>
        </w:rPr>
      </w:pPr>
    </w:p>
    <w:p w14:paraId="61281169" w14:textId="666CC904" w:rsidR="00701A62"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De la misma manera, dichos recursos se destinarán para la protección y renovación del recurso natural respectivo, teniendo en cuenta las directrices del Ministerio de Ambiente, Vivienda y Desarrollo Territorial, o quien haga sus veces. Para cubrir gastos de implementación y seguimiento de la tasa, </w:t>
      </w:r>
      <w:r w:rsidR="00A56228" w:rsidRPr="00DF1C61">
        <w:rPr>
          <w:rFonts w:ascii="Times New Roman" w:hAnsi="Times New Roman" w:cs="Times New Roman"/>
          <w:sz w:val="25"/>
          <w:szCs w:val="25"/>
          <w:lang w:eastAsia="es-ES"/>
        </w:rPr>
        <w:t xml:space="preserve">se reitera, </w:t>
      </w:r>
      <w:r w:rsidRPr="00DF1C61">
        <w:rPr>
          <w:rFonts w:ascii="Times New Roman" w:hAnsi="Times New Roman" w:cs="Times New Roman"/>
          <w:sz w:val="25"/>
          <w:szCs w:val="25"/>
          <w:lang w:eastAsia="es-ES"/>
        </w:rPr>
        <w:t>la autoridad ambiental podrá utilizar hasta el 10% de los recaudos.</w:t>
      </w:r>
    </w:p>
    <w:p w14:paraId="1CCC0CA4" w14:textId="77777777" w:rsidR="00A56228" w:rsidRPr="00DF1C61" w:rsidRDefault="00A56228" w:rsidP="00D67ECC">
      <w:pPr>
        <w:spacing w:after="0"/>
        <w:jc w:val="both"/>
        <w:rPr>
          <w:rFonts w:ascii="Times New Roman" w:hAnsi="Times New Roman" w:cs="Times New Roman"/>
          <w:sz w:val="25"/>
          <w:szCs w:val="25"/>
          <w:lang w:eastAsia="es-ES"/>
        </w:rPr>
      </w:pPr>
    </w:p>
    <w:p w14:paraId="5930D38B" w14:textId="2386E15B" w:rsidR="00701A62" w:rsidRPr="00DF1C61" w:rsidRDefault="00701A62"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Finalmente,</w:t>
      </w:r>
      <w:r w:rsidRPr="00DF1C61">
        <w:rPr>
          <w:rFonts w:ascii="Times New Roman" w:hAnsi="Times New Roman" w:cs="Times New Roman"/>
          <w:b/>
          <w:bCs/>
          <w:sz w:val="25"/>
          <w:szCs w:val="25"/>
          <w:lang w:eastAsia="es-ES"/>
        </w:rPr>
        <w:t xml:space="preserve"> </w:t>
      </w:r>
      <w:r w:rsidRPr="00DF1C61">
        <w:rPr>
          <w:rFonts w:ascii="Times New Roman" w:hAnsi="Times New Roman" w:cs="Times New Roman"/>
          <w:sz w:val="25"/>
          <w:szCs w:val="25"/>
          <w:lang w:eastAsia="es-ES"/>
        </w:rPr>
        <w:t>la Tasa Retributiva se encuentra reglamentada en el Decreto 1076 de 2015, estableciendo de manera clara en el Libro 2</w:t>
      </w:r>
      <w:r w:rsidR="00A56228"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Parte 2</w:t>
      </w:r>
      <w:r w:rsidR="00A56228"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Titulo 9</w:t>
      </w:r>
      <w:r w:rsidR="00A56228"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Capitulo 7</w:t>
      </w:r>
      <w:r w:rsidR="00A56228" w:rsidRPr="00DF1C61">
        <w:rPr>
          <w:rFonts w:ascii="Times New Roman" w:hAnsi="Times New Roman" w:cs="Times New Roman"/>
          <w:sz w:val="25"/>
          <w:szCs w:val="25"/>
          <w:lang w:eastAsia="es-ES"/>
        </w:rPr>
        <w:t>, el</w:t>
      </w:r>
      <w:r w:rsidRPr="00DF1C61">
        <w:rPr>
          <w:rFonts w:ascii="Times New Roman" w:hAnsi="Times New Roman" w:cs="Times New Roman"/>
          <w:sz w:val="25"/>
          <w:szCs w:val="25"/>
          <w:lang w:eastAsia="es-ES"/>
        </w:rPr>
        <w:t xml:space="preserve"> proceso a surtirse para cobrar la misma. Al respecto</w:t>
      </w:r>
      <w:r w:rsidR="00A56228"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la CARDER discriminó y detalló cada una de las actividades necesarias a realizarse para implementar de manera adecuada el procedimiento técnico de la Tasa Retributiva, profiriendo para tal fin el proceso PR 18 02 aplicación de las Tasas Retributivas</w:t>
      </w:r>
      <w:r w:rsidR="00A56228" w:rsidRPr="00DF1C61">
        <w:rPr>
          <w:rFonts w:ascii="Times New Roman" w:hAnsi="Times New Roman" w:cs="Times New Roman"/>
          <w:sz w:val="25"/>
          <w:szCs w:val="25"/>
          <w:lang w:eastAsia="es-ES"/>
        </w:rPr>
        <w:t>.</w:t>
      </w:r>
    </w:p>
    <w:p w14:paraId="08802FC9" w14:textId="77777777" w:rsidR="00A56228" w:rsidRPr="00DF1C61" w:rsidRDefault="00A56228" w:rsidP="00D67ECC">
      <w:pPr>
        <w:spacing w:after="0"/>
        <w:jc w:val="both"/>
        <w:rPr>
          <w:rFonts w:ascii="Times New Roman" w:hAnsi="Times New Roman" w:cs="Times New Roman"/>
          <w:sz w:val="25"/>
          <w:szCs w:val="25"/>
          <w:lang w:eastAsia="es-ES"/>
        </w:rPr>
      </w:pPr>
    </w:p>
    <w:p w14:paraId="413052A3" w14:textId="26F2659A" w:rsidR="00701A62" w:rsidRPr="00DF1C61" w:rsidRDefault="00A56228"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Ahora bien</w:t>
      </w:r>
      <w:r w:rsidR="00701A62" w:rsidRPr="00DF1C61">
        <w:rPr>
          <w:rFonts w:ascii="Times New Roman" w:hAnsi="Times New Roman" w:cs="Times New Roman"/>
          <w:sz w:val="25"/>
          <w:szCs w:val="25"/>
          <w:lang w:eastAsia="es-ES"/>
        </w:rPr>
        <w:t xml:space="preserve">, considerando que la implementación de la Tasa Retributiva inicia con el proceso de establecimiento de Metas de Carga Contaminante, en el que, entre otros, se fijan los usuarios de la Tasa Retributiva y sus respectivas metas de Carga Contaminante, para periodos quinquenales, se tiene que, este debe ser participativo, dando la oportunidad tanto a los usuarios de la Tasa como a la comunidad en general de presentar propuestas y/o pronunciarse en cada etapa; mismo que culmina con la expedición de Acuerdo del Consejo Directivo de cada </w:t>
      </w:r>
      <w:r w:rsidRPr="00DF1C61">
        <w:rPr>
          <w:rFonts w:ascii="Times New Roman" w:hAnsi="Times New Roman" w:cs="Times New Roman"/>
          <w:sz w:val="25"/>
          <w:szCs w:val="25"/>
          <w:lang w:eastAsia="es-ES"/>
        </w:rPr>
        <w:t>CAR</w:t>
      </w:r>
      <w:r w:rsidR="00701A62" w:rsidRPr="00DF1C61">
        <w:rPr>
          <w:rFonts w:ascii="Times New Roman" w:hAnsi="Times New Roman" w:cs="Times New Roman"/>
          <w:sz w:val="25"/>
          <w:szCs w:val="25"/>
          <w:lang w:eastAsia="es-ES"/>
        </w:rPr>
        <w:t>.</w:t>
      </w:r>
    </w:p>
    <w:p w14:paraId="3C308CCD" w14:textId="2D9675BB" w:rsidR="008203C9" w:rsidRPr="00DF1C61" w:rsidRDefault="008203C9" w:rsidP="00D67ECC">
      <w:pPr>
        <w:spacing w:after="0"/>
        <w:jc w:val="both"/>
        <w:rPr>
          <w:rFonts w:ascii="Times New Roman" w:hAnsi="Times New Roman" w:cs="Times New Roman"/>
          <w:sz w:val="25"/>
          <w:szCs w:val="25"/>
          <w:lang w:eastAsia="es-ES"/>
        </w:rPr>
      </w:pPr>
    </w:p>
    <w:p w14:paraId="0508860D" w14:textId="479FD15D" w:rsidR="00B23206" w:rsidRPr="00DF1C61" w:rsidRDefault="008203C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Para conocer en detalle de cuánto es el recaudo y cuáles son las obligaciones impagas en las 33 CAR existentes en el país, creadas mediante la Ley 99 de 1993, se enviaron sendos derechos de petición con el fin de obtener dicha información, arrojando el siguiente panorama:</w:t>
      </w:r>
    </w:p>
    <w:p w14:paraId="592FA850" w14:textId="77777777" w:rsidR="00B23206" w:rsidRPr="00DF1C61" w:rsidRDefault="00B23206" w:rsidP="00B23206">
      <w:pPr>
        <w:spacing w:after="0"/>
        <w:jc w:val="both"/>
        <w:rPr>
          <w:rFonts w:ascii="Times New Roman" w:hAnsi="Times New Roman" w:cs="Times New Roman"/>
          <w:sz w:val="25"/>
        </w:rPr>
      </w:pPr>
    </w:p>
    <w:tbl>
      <w:tblPr>
        <w:tblStyle w:val="Tablaconcuadrcula"/>
        <w:tblW w:w="0" w:type="auto"/>
        <w:tblLayout w:type="fixed"/>
        <w:tblLook w:val="04A0" w:firstRow="1" w:lastRow="0" w:firstColumn="1" w:lastColumn="0" w:noHBand="0" w:noVBand="1"/>
      </w:tblPr>
      <w:tblGrid>
        <w:gridCol w:w="2263"/>
        <w:gridCol w:w="2232"/>
        <w:gridCol w:w="2163"/>
        <w:gridCol w:w="2170"/>
      </w:tblGrid>
      <w:tr w:rsidR="00D67ECC" w:rsidRPr="00DF1C61" w14:paraId="54B6480D" w14:textId="77777777" w:rsidTr="00485C2E">
        <w:trPr>
          <w:trHeight w:val="329"/>
        </w:trPr>
        <w:tc>
          <w:tcPr>
            <w:tcW w:w="2263" w:type="dxa"/>
            <w:shd w:val="clear" w:color="auto" w:fill="DEEAF6" w:themeFill="accent5" w:themeFillTint="33"/>
          </w:tcPr>
          <w:p w14:paraId="330B5181" w14:textId="77777777" w:rsidR="00B23206" w:rsidRPr="00DF1C61" w:rsidRDefault="00B23206" w:rsidP="00D67ECC">
            <w:pPr>
              <w:jc w:val="center"/>
              <w:rPr>
                <w:rFonts w:ascii="Times New Roman" w:hAnsi="Times New Roman" w:cs="Times New Roman"/>
                <w:b/>
                <w:bCs/>
                <w:sz w:val="25"/>
                <w:szCs w:val="23"/>
              </w:rPr>
            </w:pPr>
            <w:r w:rsidRPr="00DF1C61">
              <w:rPr>
                <w:rFonts w:ascii="Times New Roman" w:hAnsi="Times New Roman" w:cs="Times New Roman"/>
                <w:b/>
                <w:bCs/>
                <w:sz w:val="25"/>
                <w:szCs w:val="23"/>
              </w:rPr>
              <w:t>CORPORACIÓN</w:t>
            </w:r>
          </w:p>
        </w:tc>
        <w:tc>
          <w:tcPr>
            <w:tcW w:w="2232" w:type="dxa"/>
            <w:shd w:val="clear" w:color="auto" w:fill="DEEAF6" w:themeFill="accent5" w:themeFillTint="33"/>
          </w:tcPr>
          <w:p w14:paraId="54427EDB" w14:textId="77777777" w:rsidR="00B23206" w:rsidRPr="00DF1C61" w:rsidRDefault="00B23206" w:rsidP="00D67ECC">
            <w:pPr>
              <w:jc w:val="center"/>
              <w:rPr>
                <w:rFonts w:ascii="Times New Roman" w:hAnsi="Times New Roman" w:cs="Times New Roman"/>
                <w:b/>
                <w:bCs/>
                <w:sz w:val="25"/>
                <w:szCs w:val="23"/>
              </w:rPr>
            </w:pPr>
            <w:r w:rsidRPr="00DF1C61">
              <w:rPr>
                <w:rFonts w:ascii="Times New Roman" w:hAnsi="Times New Roman" w:cs="Times New Roman"/>
                <w:b/>
                <w:bCs/>
                <w:sz w:val="25"/>
                <w:szCs w:val="23"/>
              </w:rPr>
              <w:t>RECAUDO (2021)</w:t>
            </w:r>
          </w:p>
        </w:tc>
        <w:tc>
          <w:tcPr>
            <w:tcW w:w="2163" w:type="dxa"/>
            <w:shd w:val="clear" w:color="auto" w:fill="DEEAF6" w:themeFill="accent5" w:themeFillTint="33"/>
          </w:tcPr>
          <w:p w14:paraId="16096BDB" w14:textId="77777777" w:rsidR="00B23206" w:rsidRPr="00DF1C61" w:rsidRDefault="00B23206" w:rsidP="00D67ECC">
            <w:pPr>
              <w:jc w:val="center"/>
              <w:rPr>
                <w:rFonts w:ascii="Times New Roman" w:hAnsi="Times New Roman" w:cs="Times New Roman"/>
                <w:b/>
                <w:bCs/>
                <w:sz w:val="25"/>
                <w:szCs w:val="23"/>
              </w:rPr>
            </w:pPr>
            <w:r w:rsidRPr="00DF1C61">
              <w:rPr>
                <w:rFonts w:ascii="Times New Roman" w:hAnsi="Times New Roman" w:cs="Times New Roman"/>
                <w:b/>
                <w:bCs/>
                <w:sz w:val="25"/>
                <w:szCs w:val="23"/>
              </w:rPr>
              <w:t>RECAUDO (2022)</w:t>
            </w:r>
          </w:p>
        </w:tc>
        <w:tc>
          <w:tcPr>
            <w:tcW w:w="2170" w:type="dxa"/>
            <w:shd w:val="clear" w:color="auto" w:fill="DEEAF6" w:themeFill="accent5" w:themeFillTint="33"/>
          </w:tcPr>
          <w:p w14:paraId="027B714D" w14:textId="77777777" w:rsidR="00B23206" w:rsidRPr="00DF1C61" w:rsidRDefault="00B23206" w:rsidP="00D67ECC">
            <w:pPr>
              <w:jc w:val="center"/>
              <w:rPr>
                <w:rFonts w:ascii="Times New Roman" w:hAnsi="Times New Roman" w:cs="Times New Roman"/>
                <w:b/>
                <w:bCs/>
                <w:sz w:val="25"/>
                <w:szCs w:val="23"/>
              </w:rPr>
            </w:pPr>
            <w:r w:rsidRPr="00DF1C61">
              <w:rPr>
                <w:rFonts w:ascii="Times New Roman" w:hAnsi="Times New Roman" w:cs="Times New Roman"/>
                <w:b/>
                <w:bCs/>
                <w:sz w:val="25"/>
                <w:szCs w:val="23"/>
              </w:rPr>
              <w:t>DEUDA</w:t>
            </w:r>
          </w:p>
        </w:tc>
      </w:tr>
      <w:tr w:rsidR="00D67ECC" w:rsidRPr="00DF1C61" w14:paraId="5DB40695" w14:textId="77777777" w:rsidTr="00485C2E">
        <w:tc>
          <w:tcPr>
            <w:tcW w:w="2263" w:type="dxa"/>
          </w:tcPr>
          <w:p w14:paraId="6FF6F396"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para el Desarrollo Sostenible del Chocó – CODECHOCÓ</w:t>
            </w:r>
          </w:p>
        </w:tc>
        <w:tc>
          <w:tcPr>
            <w:tcW w:w="2232" w:type="dxa"/>
          </w:tcPr>
          <w:p w14:paraId="6FEBC2A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4297F9A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5B516C4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r>
      <w:tr w:rsidR="00D67ECC" w:rsidRPr="00DF1C61" w14:paraId="596C30E5" w14:textId="77777777" w:rsidTr="00485C2E">
        <w:tc>
          <w:tcPr>
            <w:tcW w:w="2263" w:type="dxa"/>
          </w:tcPr>
          <w:p w14:paraId="5E6D68B4"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para el Desarrollo Sostenible del Norte y Oriente Amazónico – CDA</w:t>
            </w:r>
          </w:p>
        </w:tc>
        <w:tc>
          <w:tcPr>
            <w:tcW w:w="2232" w:type="dxa"/>
          </w:tcPr>
          <w:p w14:paraId="2656B4C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$1.161.259.061,50</w:t>
            </w:r>
          </w:p>
        </w:tc>
        <w:tc>
          <w:tcPr>
            <w:tcW w:w="2163" w:type="dxa"/>
          </w:tcPr>
          <w:p w14:paraId="67622C01"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3C3F09E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$203.585.961</w:t>
            </w:r>
          </w:p>
        </w:tc>
      </w:tr>
      <w:tr w:rsidR="00D67ECC" w:rsidRPr="00DF1C61" w14:paraId="2DBD4597" w14:textId="77777777" w:rsidTr="00485C2E">
        <w:tc>
          <w:tcPr>
            <w:tcW w:w="2263" w:type="dxa"/>
          </w:tcPr>
          <w:p w14:paraId="269CA7B2"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centro de Antioquia – CORANTIOQUIA</w:t>
            </w:r>
          </w:p>
        </w:tc>
        <w:tc>
          <w:tcPr>
            <w:tcW w:w="2232" w:type="dxa"/>
          </w:tcPr>
          <w:p w14:paraId="62DA1DB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$11.459.396.956</w:t>
            </w:r>
          </w:p>
        </w:tc>
        <w:tc>
          <w:tcPr>
            <w:tcW w:w="2163" w:type="dxa"/>
          </w:tcPr>
          <w:p w14:paraId="64B315A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$8.512.315.759 (AGOSTO)</w:t>
            </w:r>
          </w:p>
        </w:tc>
        <w:tc>
          <w:tcPr>
            <w:tcW w:w="2170" w:type="dxa"/>
          </w:tcPr>
          <w:p w14:paraId="45537506"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$55.567.383.589</w:t>
            </w:r>
          </w:p>
        </w:tc>
      </w:tr>
      <w:tr w:rsidR="00D67ECC" w:rsidRPr="00DF1C61" w14:paraId="6814C3ED" w14:textId="77777777" w:rsidTr="00485C2E">
        <w:tc>
          <w:tcPr>
            <w:tcW w:w="2263" w:type="dxa"/>
          </w:tcPr>
          <w:p w14:paraId="51238699"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 Nariño – CORPONARIÑO</w:t>
            </w:r>
          </w:p>
        </w:tc>
        <w:tc>
          <w:tcPr>
            <w:tcW w:w="2232" w:type="dxa"/>
          </w:tcPr>
          <w:p w14:paraId="5AEF8621"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31F98511"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$1.026.400.962,36 (JULIO)</w:t>
            </w:r>
          </w:p>
        </w:tc>
        <w:tc>
          <w:tcPr>
            <w:tcW w:w="2170" w:type="dxa"/>
          </w:tcPr>
          <w:p w14:paraId="4C72B84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$12.844.429.000,76</w:t>
            </w:r>
          </w:p>
        </w:tc>
      </w:tr>
      <w:tr w:rsidR="00D67ECC" w:rsidRPr="00DF1C61" w14:paraId="37755427" w14:textId="77777777" w:rsidTr="00485C2E">
        <w:tc>
          <w:tcPr>
            <w:tcW w:w="2263" w:type="dxa"/>
          </w:tcPr>
          <w:p w14:paraId="7FAD3B27"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lastRenderedPageBreak/>
              <w:t>Corporación Autónoma Regional de la Orinoquía – CORPORINOQUIA</w:t>
            </w:r>
          </w:p>
        </w:tc>
        <w:tc>
          <w:tcPr>
            <w:tcW w:w="2232" w:type="dxa"/>
          </w:tcPr>
          <w:p w14:paraId="33C34220"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$968.361.250</w:t>
            </w:r>
          </w:p>
        </w:tc>
        <w:tc>
          <w:tcPr>
            <w:tcW w:w="2163" w:type="dxa"/>
          </w:tcPr>
          <w:p w14:paraId="64CCA24F"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197BA4FE"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$1.099.522.322,06</w:t>
            </w:r>
          </w:p>
        </w:tc>
      </w:tr>
      <w:tr w:rsidR="00D67ECC" w:rsidRPr="00DF1C61" w14:paraId="32C2A63F" w14:textId="77777777" w:rsidTr="00485C2E">
        <w:tc>
          <w:tcPr>
            <w:tcW w:w="2263" w:type="dxa"/>
          </w:tcPr>
          <w:p w14:paraId="2B2A38A2"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para la Defensa de la Meseta de Bucaramanga – CDMB</w:t>
            </w:r>
          </w:p>
        </w:tc>
        <w:tc>
          <w:tcPr>
            <w:tcW w:w="2232" w:type="dxa"/>
          </w:tcPr>
          <w:p w14:paraId="0DCB57E0" w14:textId="77777777" w:rsidR="00B23206" w:rsidRPr="00DF1C61" w:rsidRDefault="00B23206" w:rsidP="00D67ECC">
            <w:pPr>
              <w:rPr>
                <w:rFonts w:ascii="Times New Roman" w:hAnsi="Times New Roman" w:cs="Times New Roman"/>
                <w:sz w:val="25"/>
                <w:szCs w:val="23"/>
              </w:rPr>
            </w:pPr>
          </w:p>
        </w:tc>
        <w:tc>
          <w:tcPr>
            <w:tcW w:w="2163" w:type="dxa"/>
          </w:tcPr>
          <w:p w14:paraId="4CF6E89E"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$3.348.572.529,74 (JULIO)</w:t>
            </w:r>
          </w:p>
        </w:tc>
        <w:tc>
          <w:tcPr>
            <w:tcW w:w="2170" w:type="dxa"/>
          </w:tcPr>
          <w:p w14:paraId="3746D0B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$1.376.052.011</w:t>
            </w:r>
          </w:p>
        </w:tc>
      </w:tr>
      <w:tr w:rsidR="00D67ECC" w:rsidRPr="00DF1C61" w14:paraId="7E6ED84A" w14:textId="77777777" w:rsidTr="00485C2E">
        <w:tc>
          <w:tcPr>
            <w:tcW w:w="2263" w:type="dxa"/>
          </w:tcPr>
          <w:p w14:paraId="70709294"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Tolima – CORTOLIMA</w:t>
            </w:r>
          </w:p>
        </w:tc>
        <w:tc>
          <w:tcPr>
            <w:tcW w:w="2232" w:type="dxa"/>
          </w:tcPr>
          <w:p w14:paraId="29B433D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$3.554.769.952</w:t>
            </w:r>
          </w:p>
        </w:tc>
        <w:tc>
          <w:tcPr>
            <w:tcW w:w="2163" w:type="dxa"/>
          </w:tcPr>
          <w:p w14:paraId="0135DDE2"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$818.638.711 (AGOSTO)</w:t>
            </w:r>
          </w:p>
        </w:tc>
        <w:tc>
          <w:tcPr>
            <w:tcW w:w="2170" w:type="dxa"/>
          </w:tcPr>
          <w:p w14:paraId="0A8DD69C"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$15.686.369.730</w:t>
            </w:r>
          </w:p>
        </w:tc>
      </w:tr>
      <w:tr w:rsidR="00D67ECC" w:rsidRPr="00DF1C61" w14:paraId="223B8DA6" w14:textId="77777777" w:rsidTr="00485C2E">
        <w:tc>
          <w:tcPr>
            <w:tcW w:w="2263" w:type="dxa"/>
          </w:tcPr>
          <w:p w14:paraId="7D6C8E5F"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para el Desarrollo Sostenible del Archipiélago de San Andrés, Providencia y Santa Catalina – CORALINA</w:t>
            </w:r>
          </w:p>
        </w:tc>
        <w:tc>
          <w:tcPr>
            <w:tcW w:w="2232" w:type="dxa"/>
          </w:tcPr>
          <w:p w14:paraId="489EC1EE"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$12.030.847</w:t>
            </w:r>
          </w:p>
        </w:tc>
        <w:tc>
          <w:tcPr>
            <w:tcW w:w="2163" w:type="dxa"/>
          </w:tcPr>
          <w:p w14:paraId="0D82A533"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$ 44.747.878 (AGOSTO)</w:t>
            </w:r>
          </w:p>
        </w:tc>
        <w:tc>
          <w:tcPr>
            <w:tcW w:w="2170" w:type="dxa"/>
          </w:tcPr>
          <w:p w14:paraId="680851EB"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$177.676.877</w:t>
            </w:r>
          </w:p>
        </w:tc>
      </w:tr>
      <w:tr w:rsidR="00D67ECC" w:rsidRPr="00DF1C61" w14:paraId="001D4BBA" w14:textId="77777777" w:rsidTr="00485C2E">
        <w:tc>
          <w:tcPr>
            <w:tcW w:w="2263" w:type="dxa"/>
          </w:tcPr>
          <w:p w14:paraId="61B5D4A5"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Sur de Bolívar – CSB</w:t>
            </w:r>
          </w:p>
        </w:tc>
        <w:tc>
          <w:tcPr>
            <w:tcW w:w="2232" w:type="dxa"/>
          </w:tcPr>
          <w:p w14:paraId="17ABB8C0"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$206.288.511</w:t>
            </w:r>
          </w:p>
        </w:tc>
        <w:tc>
          <w:tcPr>
            <w:tcW w:w="2163" w:type="dxa"/>
          </w:tcPr>
          <w:p w14:paraId="31DB6C6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$70.530.278 (AGOSTO)</w:t>
            </w:r>
          </w:p>
        </w:tc>
        <w:tc>
          <w:tcPr>
            <w:tcW w:w="2170" w:type="dxa"/>
          </w:tcPr>
          <w:p w14:paraId="49DB60CC"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$1.035.429.537,61</w:t>
            </w:r>
          </w:p>
        </w:tc>
      </w:tr>
      <w:tr w:rsidR="00D67ECC" w:rsidRPr="00DF1C61" w14:paraId="2A085B42" w14:textId="77777777" w:rsidTr="00485C2E">
        <w:tc>
          <w:tcPr>
            <w:tcW w:w="2263" w:type="dxa"/>
          </w:tcPr>
          <w:p w14:paraId="7EEEDB55"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Guavio – CORPOGUAVIO</w:t>
            </w:r>
          </w:p>
        </w:tc>
        <w:tc>
          <w:tcPr>
            <w:tcW w:w="2232" w:type="dxa"/>
          </w:tcPr>
          <w:p w14:paraId="2C6157FF"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$ 64.378.219</w:t>
            </w:r>
          </w:p>
        </w:tc>
        <w:tc>
          <w:tcPr>
            <w:tcW w:w="2163" w:type="dxa"/>
          </w:tcPr>
          <w:p w14:paraId="2D79AD20"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$82.644.579 (AGOSTO)</w:t>
            </w:r>
          </w:p>
        </w:tc>
        <w:tc>
          <w:tcPr>
            <w:tcW w:w="2170" w:type="dxa"/>
          </w:tcPr>
          <w:p w14:paraId="2FF37626"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$ 51.655.411</w:t>
            </w:r>
          </w:p>
        </w:tc>
      </w:tr>
      <w:tr w:rsidR="00D67ECC" w:rsidRPr="00DF1C61" w14:paraId="5B2EC0B8" w14:textId="77777777" w:rsidTr="00485C2E">
        <w:trPr>
          <w:trHeight w:hRule="exact" w:val="940"/>
        </w:trPr>
        <w:tc>
          <w:tcPr>
            <w:tcW w:w="2263" w:type="dxa"/>
          </w:tcPr>
          <w:p w14:paraId="1DA1C972"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para el Desarrollo Sostenible del Urabá</w:t>
            </w:r>
          </w:p>
        </w:tc>
        <w:tc>
          <w:tcPr>
            <w:tcW w:w="2232" w:type="dxa"/>
          </w:tcPr>
          <w:p w14:paraId="62B9E56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$2.308.546.427</w:t>
            </w:r>
          </w:p>
        </w:tc>
        <w:tc>
          <w:tcPr>
            <w:tcW w:w="2163" w:type="dxa"/>
          </w:tcPr>
          <w:p w14:paraId="10A30CE5"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$2.724.458.389 (AGOSTO)</w:t>
            </w:r>
          </w:p>
        </w:tc>
        <w:tc>
          <w:tcPr>
            <w:tcW w:w="2170" w:type="dxa"/>
          </w:tcPr>
          <w:p w14:paraId="5A326A8E"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$6.193.152.788</w:t>
            </w:r>
          </w:p>
        </w:tc>
      </w:tr>
      <w:tr w:rsidR="00D67ECC" w:rsidRPr="00DF1C61" w14:paraId="5CD37D55" w14:textId="77777777" w:rsidTr="00485C2E">
        <w:trPr>
          <w:trHeight w:hRule="exact" w:val="1085"/>
        </w:trPr>
        <w:tc>
          <w:tcPr>
            <w:tcW w:w="2263" w:type="dxa"/>
          </w:tcPr>
          <w:p w14:paraId="2BA44BB4"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lastRenderedPageBreak/>
              <w:t>Corporación Autónoma Regional de Cundinamarca – CAR</w:t>
            </w:r>
          </w:p>
        </w:tc>
        <w:tc>
          <w:tcPr>
            <w:tcW w:w="2232" w:type="dxa"/>
          </w:tcPr>
          <w:p w14:paraId="58F911B4"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$24.121.059.059</w:t>
            </w:r>
          </w:p>
        </w:tc>
        <w:tc>
          <w:tcPr>
            <w:tcW w:w="2163" w:type="dxa"/>
          </w:tcPr>
          <w:p w14:paraId="66291402"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$8.768.816.411 (JUNIO)</w:t>
            </w:r>
          </w:p>
        </w:tc>
        <w:tc>
          <w:tcPr>
            <w:tcW w:w="2170" w:type="dxa"/>
          </w:tcPr>
          <w:p w14:paraId="50F186F6"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$11.274.276.788</w:t>
            </w:r>
          </w:p>
        </w:tc>
      </w:tr>
      <w:tr w:rsidR="00D67ECC" w:rsidRPr="00DF1C61" w14:paraId="5B09BAF2" w14:textId="77777777" w:rsidTr="00485C2E">
        <w:trPr>
          <w:trHeight w:hRule="exact" w:val="1166"/>
        </w:trPr>
        <w:tc>
          <w:tcPr>
            <w:tcW w:w="2263" w:type="dxa"/>
          </w:tcPr>
          <w:p w14:paraId="387C0A49"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Canal del Dique – CARDIQUE</w:t>
            </w:r>
          </w:p>
        </w:tc>
        <w:tc>
          <w:tcPr>
            <w:tcW w:w="2232" w:type="dxa"/>
          </w:tcPr>
          <w:p w14:paraId="09A3554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$1.106.924.929</w:t>
            </w:r>
          </w:p>
        </w:tc>
        <w:tc>
          <w:tcPr>
            <w:tcW w:w="2163" w:type="dxa"/>
          </w:tcPr>
          <w:p w14:paraId="5A0B7EE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TENÍAN RECAUDO A 2 DE SEPTIEMBRE DE 2022</w:t>
            </w:r>
          </w:p>
        </w:tc>
        <w:tc>
          <w:tcPr>
            <w:tcW w:w="2170" w:type="dxa"/>
          </w:tcPr>
          <w:p w14:paraId="061126C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$715.099.573</w:t>
            </w:r>
          </w:p>
        </w:tc>
      </w:tr>
      <w:tr w:rsidR="00D67ECC" w:rsidRPr="00DF1C61" w14:paraId="2FC2DB2C" w14:textId="77777777" w:rsidTr="00485C2E">
        <w:trPr>
          <w:trHeight w:hRule="exact" w:val="1074"/>
        </w:trPr>
        <w:tc>
          <w:tcPr>
            <w:tcW w:w="2263" w:type="dxa"/>
          </w:tcPr>
          <w:p w14:paraId="1F55AC29"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w:t>
            </w:r>
          </w:p>
          <w:p w14:paraId="34BA56FE"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Regional de Chivor – CORPOCHIVOR</w:t>
            </w:r>
          </w:p>
        </w:tc>
        <w:tc>
          <w:tcPr>
            <w:tcW w:w="2232" w:type="dxa"/>
          </w:tcPr>
          <w:p w14:paraId="6BA82DA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2DEC68A3"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$66.426.040 (AGOSTO)</w:t>
            </w:r>
          </w:p>
        </w:tc>
        <w:tc>
          <w:tcPr>
            <w:tcW w:w="2170" w:type="dxa"/>
          </w:tcPr>
          <w:p w14:paraId="6177108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$283.649.471,62</w:t>
            </w:r>
          </w:p>
        </w:tc>
      </w:tr>
      <w:tr w:rsidR="00D67ECC" w:rsidRPr="00DF1C61" w14:paraId="0493E3B5" w14:textId="77777777" w:rsidTr="00485C2E">
        <w:trPr>
          <w:trHeight w:hRule="exact" w:val="1436"/>
        </w:trPr>
        <w:tc>
          <w:tcPr>
            <w:tcW w:w="2263" w:type="dxa"/>
          </w:tcPr>
          <w:p w14:paraId="615EFAAD"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 la Frontera Nororiental – CORPONOR</w:t>
            </w:r>
          </w:p>
        </w:tc>
        <w:tc>
          <w:tcPr>
            <w:tcW w:w="2232" w:type="dxa"/>
          </w:tcPr>
          <w:p w14:paraId="13C3BAEF"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$4.641.061.617,43</w:t>
            </w:r>
          </w:p>
        </w:tc>
        <w:tc>
          <w:tcPr>
            <w:tcW w:w="2163" w:type="dxa"/>
          </w:tcPr>
          <w:p w14:paraId="56E70E82"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$3.147.938.141,40 (AGOSTO)</w:t>
            </w:r>
          </w:p>
        </w:tc>
        <w:tc>
          <w:tcPr>
            <w:tcW w:w="2170" w:type="dxa"/>
          </w:tcPr>
          <w:p w14:paraId="79246717"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$38.786.112.844</w:t>
            </w:r>
          </w:p>
        </w:tc>
      </w:tr>
      <w:tr w:rsidR="00D67ECC" w:rsidRPr="00DF1C61" w14:paraId="4E895C17" w14:textId="77777777" w:rsidTr="00485C2E">
        <w:trPr>
          <w:trHeight w:hRule="exact" w:val="1614"/>
        </w:trPr>
        <w:tc>
          <w:tcPr>
            <w:tcW w:w="2263" w:type="dxa"/>
          </w:tcPr>
          <w:p w14:paraId="38933E18"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para el Desarrollo Sostenible de la Mojana y el San Jorge – CORPOMOJANA</w:t>
            </w:r>
          </w:p>
        </w:tc>
        <w:tc>
          <w:tcPr>
            <w:tcW w:w="2232" w:type="dxa"/>
          </w:tcPr>
          <w:p w14:paraId="03C1E00F"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3FBD61E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$1.692.458.322 (AGOSTO)</w:t>
            </w:r>
          </w:p>
        </w:tc>
        <w:tc>
          <w:tcPr>
            <w:tcW w:w="2170" w:type="dxa"/>
          </w:tcPr>
          <w:p w14:paraId="5F6205E7"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$2.127.164839</w:t>
            </w:r>
          </w:p>
        </w:tc>
      </w:tr>
      <w:tr w:rsidR="00D67ECC" w:rsidRPr="00DF1C61" w14:paraId="10CE3679" w14:textId="77777777" w:rsidTr="00485C2E">
        <w:trPr>
          <w:trHeight w:hRule="exact" w:val="867"/>
        </w:trPr>
        <w:tc>
          <w:tcPr>
            <w:tcW w:w="2263" w:type="dxa"/>
          </w:tcPr>
          <w:p w14:paraId="069EAAC9"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Cauca – CRC</w:t>
            </w:r>
          </w:p>
        </w:tc>
        <w:tc>
          <w:tcPr>
            <w:tcW w:w="2232" w:type="dxa"/>
          </w:tcPr>
          <w:p w14:paraId="100A9EF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$1.130.469.811</w:t>
            </w:r>
          </w:p>
        </w:tc>
        <w:tc>
          <w:tcPr>
            <w:tcW w:w="2163" w:type="dxa"/>
          </w:tcPr>
          <w:p w14:paraId="02820BB5"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$942.436.843</w:t>
            </w:r>
          </w:p>
        </w:tc>
        <w:tc>
          <w:tcPr>
            <w:tcW w:w="2170" w:type="dxa"/>
          </w:tcPr>
          <w:p w14:paraId="5207D04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$5.352.475.994</w:t>
            </w:r>
          </w:p>
        </w:tc>
      </w:tr>
      <w:tr w:rsidR="00D67ECC" w:rsidRPr="00DF1C61" w14:paraId="38D44246" w14:textId="77777777" w:rsidTr="00485C2E">
        <w:trPr>
          <w:trHeight w:hRule="exact" w:val="867"/>
        </w:trPr>
        <w:tc>
          <w:tcPr>
            <w:tcW w:w="2263" w:type="dxa"/>
          </w:tcPr>
          <w:p w14:paraId="520C820B"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Quindío – CRQ</w:t>
            </w:r>
          </w:p>
        </w:tc>
        <w:tc>
          <w:tcPr>
            <w:tcW w:w="2232" w:type="dxa"/>
          </w:tcPr>
          <w:p w14:paraId="44E5C1C7"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3D47CAB5"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$2.769.818.401,38</w:t>
            </w:r>
          </w:p>
        </w:tc>
        <w:tc>
          <w:tcPr>
            <w:tcW w:w="2170" w:type="dxa"/>
          </w:tcPr>
          <w:p w14:paraId="06384C50"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$9.736.421.342,03</w:t>
            </w:r>
          </w:p>
        </w:tc>
      </w:tr>
      <w:tr w:rsidR="00D67ECC" w:rsidRPr="00DF1C61" w14:paraId="33313A74" w14:textId="77777777" w:rsidTr="00485C2E">
        <w:trPr>
          <w:trHeight w:hRule="exact" w:val="867"/>
        </w:trPr>
        <w:tc>
          <w:tcPr>
            <w:tcW w:w="2263" w:type="dxa"/>
          </w:tcPr>
          <w:p w14:paraId="41FF4D86"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Atlántico – CRA</w:t>
            </w:r>
          </w:p>
        </w:tc>
        <w:tc>
          <w:tcPr>
            <w:tcW w:w="2232" w:type="dxa"/>
          </w:tcPr>
          <w:p w14:paraId="7A4DDC34"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$6.073.600.174</w:t>
            </w:r>
          </w:p>
        </w:tc>
        <w:tc>
          <w:tcPr>
            <w:tcW w:w="2163" w:type="dxa"/>
          </w:tcPr>
          <w:p w14:paraId="18059E85"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2A9F0FE3"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r>
      <w:tr w:rsidR="00D67ECC" w:rsidRPr="00DF1C61" w14:paraId="4C5A440C" w14:textId="77777777" w:rsidTr="00485C2E">
        <w:trPr>
          <w:trHeight w:hRule="exact" w:val="1198"/>
        </w:trPr>
        <w:tc>
          <w:tcPr>
            <w:tcW w:w="2263" w:type="dxa"/>
          </w:tcPr>
          <w:p w14:paraId="029C3675"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 La Guajira – CORPOGUAJIRA</w:t>
            </w:r>
          </w:p>
        </w:tc>
        <w:tc>
          <w:tcPr>
            <w:tcW w:w="2232" w:type="dxa"/>
          </w:tcPr>
          <w:p w14:paraId="3DE1D077"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$1.053.064.535</w:t>
            </w:r>
          </w:p>
        </w:tc>
        <w:tc>
          <w:tcPr>
            <w:tcW w:w="2163" w:type="dxa"/>
          </w:tcPr>
          <w:p w14:paraId="1B07344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$219.403.375</w:t>
            </w:r>
          </w:p>
        </w:tc>
        <w:tc>
          <w:tcPr>
            <w:tcW w:w="2170" w:type="dxa"/>
          </w:tcPr>
          <w:p w14:paraId="7E6D90D5"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$5.168.438.946</w:t>
            </w:r>
          </w:p>
        </w:tc>
      </w:tr>
      <w:tr w:rsidR="00D67ECC" w:rsidRPr="00DF1C61" w14:paraId="1A12F23F" w14:textId="77777777" w:rsidTr="00485C2E">
        <w:trPr>
          <w:trHeight w:hRule="exact" w:val="1082"/>
        </w:trPr>
        <w:tc>
          <w:tcPr>
            <w:tcW w:w="2263" w:type="dxa"/>
          </w:tcPr>
          <w:p w14:paraId="3DF16630"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Alto Magdalena – CAM</w:t>
            </w:r>
          </w:p>
        </w:tc>
        <w:tc>
          <w:tcPr>
            <w:tcW w:w="2232" w:type="dxa"/>
          </w:tcPr>
          <w:p w14:paraId="70EA1381"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5EFB346C"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$1.353.227.183</w:t>
            </w:r>
          </w:p>
        </w:tc>
        <w:tc>
          <w:tcPr>
            <w:tcW w:w="2170" w:type="dxa"/>
          </w:tcPr>
          <w:p w14:paraId="6616F71D"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$1.801.207.160</w:t>
            </w:r>
          </w:p>
        </w:tc>
      </w:tr>
      <w:tr w:rsidR="00D67ECC" w:rsidRPr="00DF1C61" w14:paraId="006B33CD" w14:textId="77777777" w:rsidTr="00485C2E">
        <w:trPr>
          <w:trHeight w:hRule="exact" w:val="1081"/>
        </w:trPr>
        <w:tc>
          <w:tcPr>
            <w:tcW w:w="2263" w:type="dxa"/>
          </w:tcPr>
          <w:p w14:paraId="63E42524"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lastRenderedPageBreak/>
              <w:t>Corporación Autónoma Regional de Risaralda – CARDER</w:t>
            </w:r>
          </w:p>
        </w:tc>
        <w:tc>
          <w:tcPr>
            <w:tcW w:w="2232" w:type="dxa"/>
          </w:tcPr>
          <w:p w14:paraId="4271B024"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$6.874.889.297</w:t>
            </w:r>
          </w:p>
        </w:tc>
        <w:tc>
          <w:tcPr>
            <w:tcW w:w="2163" w:type="dxa"/>
          </w:tcPr>
          <w:p w14:paraId="1E7F3BA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$7.435.312.541</w:t>
            </w:r>
          </w:p>
        </w:tc>
        <w:tc>
          <w:tcPr>
            <w:tcW w:w="2170" w:type="dxa"/>
          </w:tcPr>
          <w:p w14:paraId="12206910"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$3.666.225.820</w:t>
            </w:r>
          </w:p>
        </w:tc>
      </w:tr>
      <w:tr w:rsidR="00D67ECC" w:rsidRPr="00DF1C61" w14:paraId="29FC4EC4" w14:textId="77777777" w:rsidTr="00485C2E">
        <w:trPr>
          <w:trHeight w:hRule="exact" w:val="1651"/>
        </w:trPr>
        <w:tc>
          <w:tcPr>
            <w:tcW w:w="2263" w:type="dxa"/>
          </w:tcPr>
          <w:p w14:paraId="2BAF00A9"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 xml:space="preserve">Corporación para el Desarrollo Sostenible del Área de Manejo Especial de La Macarena – CORMACARENA </w:t>
            </w:r>
          </w:p>
        </w:tc>
        <w:tc>
          <w:tcPr>
            <w:tcW w:w="2232" w:type="dxa"/>
          </w:tcPr>
          <w:p w14:paraId="73B92E4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22317229"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$2.534.120.574</w:t>
            </w:r>
          </w:p>
        </w:tc>
        <w:tc>
          <w:tcPr>
            <w:tcW w:w="2170" w:type="dxa"/>
          </w:tcPr>
          <w:p w14:paraId="5DF563A3"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$1.465.022.541</w:t>
            </w:r>
          </w:p>
        </w:tc>
      </w:tr>
      <w:tr w:rsidR="00D67ECC" w:rsidRPr="00DF1C61" w14:paraId="460BF81A" w14:textId="77777777" w:rsidTr="00485C2E">
        <w:trPr>
          <w:trHeight w:hRule="exact" w:val="1344"/>
        </w:trPr>
        <w:tc>
          <w:tcPr>
            <w:tcW w:w="2263" w:type="dxa"/>
          </w:tcPr>
          <w:p w14:paraId="4F6673EB"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 las Cuencas de los Ríos Negro y Nare – CORNARE</w:t>
            </w:r>
          </w:p>
        </w:tc>
        <w:tc>
          <w:tcPr>
            <w:tcW w:w="2232" w:type="dxa"/>
          </w:tcPr>
          <w:p w14:paraId="2879D97C"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63" w:type="dxa"/>
          </w:tcPr>
          <w:p w14:paraId="65993F17"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$2.279.490.891</w:t>
            </w:r>
          </w:p>
        </w:tc>
        <w:tc>
          <w:tcPr>
            <w:tcW w:w="2170" w:type="dxa"/>
          </w:tcPr>
          <w:p w14:paraId="4316356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$1.494.651.735</w:t>
            </w:r>
          </w:p>
        </w:tc>
      </w:tr>
      <w:tr w:rsidR="00D67ECC" w:rsidRPr="00DF1C61" w14:paraId="040A90F4" w14:textId="77777777" w:rsidTr="00485C2E">
        <w:trPr>
          <w:trHeight w:hRule="exact" w:val="1456"/>
        </w:trPr>
        <w:tc>
          <w:tcPr>
            <w:tcW w:w="2263" w:type="dxa"/>
          </w:tcPr>
          <w:p w14:paraId="5439DA0E" w14:textId="7C750944"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para el Desarrollo Sostenible del Sur de la Amazonia – CORPAMAZONIA</w:t>
            </w:r>
          </w:p>
        </w:tc>
        <w:tc>
          <w:tcPr>
            <w:tcW w:w="2232" w:type="dxa"/>
          </w:tcPr>
          <w:p w14:paraId="4A6F386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$65.299.003</w:t>
            </w:r>
          </w:p>
        </w:tc>
        <w:tc>
          <w:tcPr>
            <w:tcW w:w="2163" w:type="dxa"/>
          </w:tcPr>
          <w:p w14:paraId="27D3C826"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02B20F88"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$6.761.597.328</w:t>
            </w:r>
          </w:p>
        </w:tc>
      </w:tr>
      <w:tr w:rsidR="00D67ECC" w:rsidRPr="00DF1C61" w14:paraId="7EBACA54" w14:textId="77777777" w:rsidTr="00485C2E">
        <w:trPr>
          <w:trHeight w:hRule="exact" w:val="1122"/>
        </w:trPr>
        <w:tc>
          <w:tcPr>
            <w:tcW w:w="2263" w:type="dxa"/>
          </w:tcPr>
          <w:p w14:paraId="24678B21"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del Valle del Cauca – CVC</w:t>
            </w:r>
          </w:p>
        </w:tc>
        <w:tc>
          <w:tcPr>
            <w:tcW w:w="2232" w:type="dxa"/>
          </w:tcPr>
          <w:p w14:paraId="33513B16"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$11.346.528.545</w:t>
            </w:r>
          </w:p>
        </w:tc>
        <w:tc>
          <w:tcPr>
            <w:tcW w:w="2163" w:type="dxa"/>
          </w:tcPr>
          <w:p w14:paraId="4E5477DF"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$3.791.754.428</w:t>
            </w:r>
          </w:p>
        </w:tc>
        <w:tc>
          <w:tcPr>
            <w:tcW w:w="2170" w:type="dxa"/>
          </w:tcPr>
          <w:p w14:paraId="1987830A"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$24.282.869.744</w:t>
            </w:r>
          </w:p>
        </w:tc>
      </w:tr>
      <w:tr w:rsidR="00D67ECC" w:rsidRPr="00DF1C61" w14:paraId="343CB9DA" w14:textId="77777777" w:rsidTr="00485C2E">
        <w:trPr>
          <w:trHeight w:hRule="exact" w:val="1451"/>
        </w:trPr>
        <w:tc>
          <w:tcPr>
            <w:tcW w:w="2263" w:type="dxa"/>
          </w:tcPr>
          <w:p w14:paraId="5EF10574"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Corporación Autónoma Regional de los Valles del Sinú y del San Jorge – CVS</w:t>
            </w:r>
          </w:p>
        </w:tc>
        <w:tc>
          <w:tcPr>
            <w:tcW w:w="2232" w:type="dxa"/>
          </w:tcPr>
          <w:p w14:paraId="5F6B269B"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$702.309.659</w:t>
            </w:r>
          </w:p>
        </w:tc>
        <w:tc>
          <w:tcPr>
            <w:tcW w:w="2163" w:type="dxa"/>
          </w:tcPr>
          <w:p w14:paraId="2CB4DEA1"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NO INFORMAN</w:t>
            </w:r>
          </w:p>
        </w:tc>
        <w:tc>
          <w:tcPr>
            <w:tcW w:w="2170" w:type="dxa"/>
          </w:tcPr>
          <w:p w14:paraId="31CD838E" w14:textId="77777777" w:rsidR="00B23206" w:rsidRPr="00DF1C61" w:rsidRDefault="00B23206" w:rsidP="00D67ECC">
            <w:pPr>
              <w:rPr>
                <w:rFonts w:ascii="Times New Roman" w:hAnsi="Times New Roman" w:cs="Times New Roman"/>
                <w:sz w:val="25"/>
                <w:szCs w:val="23"/>
              </w:rPr>
            </w:pPr>
            <w:r w:rsidRPr="00DF1C61">
              <w:rPr>
                <w:rFonts w:ascii="Times New Roman" w:hAnsi="Times New Roman" w:cs="Times New Roman"/>
                <w:sz w:val="25"/>
                <w:szCs w:val="23"/>
              </w:rPr>
              <w:t>$2.087.665.654</w:t>
            </w:r>
          </w:p>
        </w:tc>
      </w:tr>
      <w:tr w:rsidR="00D67ECC" w:rsidRPr="00DF1C61" w14:paraId="1D7EC6E3" w14:textId="77777777" w:rsidTr="00485C2E">
        <w:trPr>
          <w:trHeight w:hRule="exact" w:val="563"/>
        </w:trPr>
        <w:tc>
          <w:tcPr>
            <w:tcW w:w="2263" w:type="dxa"/>
            <w:shd w:val="clear" w:color="auto" w:fill="FFFF00"/>
          </w:tcPr>
          <w:p w14:paraId="18B29CD1"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TOTALES</w:t>
            </w:r>
          </w:p>
        </w:tc>
        <w:tc>
          <w:tcPr>
            <w:tcW w:w="2232" w:type="dxa"/>
            <w:shd w:val="clear" w:color="auto" w:fill="FFFF00"/>
          </w:tcPr>
          <w:p w14:paraId="1736AF62"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$ 76.147.928.194</w:t>
            </w:r>
          </w:p>
          <w:p w14:paraId="27F2F195" w14:textId="77777777" w:rsidR="00B23206" w:rsidRPr="00DF1C61" w:rsidRDefault="00B23206" w:rsidP="00D67ECC">
            <w:pPr>
              <w:rPr>
                <w:rFonts w:ascii="Times New Roman" w:hAnsi="Times New Roman" w:cs="Times New Roman"/>
                <w:b/>
                <w:bCs/>
                <w:sz w:val="25"/>
                <w:szCs w:val="23"/>
              </w:rPr>
            </w:pPr>
          </w:p>
        </w:tc>
        <w:tc>
          <w:tcPr>
            <w:tcW w:w="2163" w:type="dxa"/>
            <w:shd w:val="clear" w:color="auto" w:fill="FFFF00"/>
          </w:tcPr>
          <w:p w14:paraId="2E2AB6B3"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$ 51.629.512.237</w:t>
            </w:r>
          </w:p>
        </w:tc>
        <w:tc>
          <w:tcPr>
            <w:tcW w:w="2170" w:type="dxa"/>
            <w:shd w:val="clear" w:color="auto" w:fill="FFFF00"/>
          </w:tcPr>
          <w:p w14:paraId="37AFB523" w14:textId="77777777" w:rsidR="00B23206" w:rsidRPr="00DF1C61" w:rsidRDefault="00B23206" w:rsidP="00D67ECC">
            <w:pPr>
              <w:rPr>
                <w:rFonts w:ascii="Times New Roman" w:hAnsi="Times New Roman" w:cs="Times New Roman"/>
                <w:b/>
                <w:bCs/>
                <w:sz w:val="25"/>
                <w:szCs w:val="23"/>
              </w:rPr>
            </w:pPr>
            <w:r w:rsidRPr="00DF1C61">
              <w:rPr>
                <w:rFonts w:ascii="Times New Roman" w:hAnsi="Times New Roman" w:cs="Times New Roman"/>
                <w:b/>
                <w:bCs/>
                <w:sz w:val="25"/>
                <w:szCs w:val="23"/>
              </w:rPr>
              <w:t>$209.238.137.007</w:t>
            </w:r>
          </w:p>
          <w:p w14:paraId="6AC4DDD3" w14:textId="77777777" w:rsidR="00B23206" w:rsidRPr="00DF1C61" w:rsidRDefault="00B23206" w:rsidP="00D67ECC">
            <w:pPr>
              <w:rPr>
                <w:rFonts w:ascii="Times New Roman" w:hAnsi="Times New Roman" w:cs="Times New Roman"/>
                <w:b/>
                <w:bCs/>
                <w:sz w:val="25"/>
                <w:szCs w:val="23"/>
              </w:rPr>
            </w:pPr>
          </w:p>
        </w:tc>
      </w:tr>
    </w:tbl>
    <w:p w14:paraId="1835207C" w14:textId="1A09CB55"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Así las cosas, las deudas impagas a nivel nacional son muy altas y algunas con varios años de retraso en el pago, por lo que se hace imperioso que el Congreso de la República aliviane la carga a los municipios, que en gran extensión son de categorías quinta y sexta, para que se puedan llegar a algunos acuerdos de pago sobre un monto menor y dar mayor viabilidad de recaudo a las CAR para tener proyecciones más exactas y que sus presupuestos se adecuen a cifras reales en pro de la inversión y la protección al medio ambiente colombiano.</w:t>
      </w:r>
    </w:p>
    <w:p w14:paraId="04CA2C10" w14:textId="77777777" w:rsidR="005714D9" w:rsidRPr="00DF1C61" w:rsidRDefault="005714D9" w:rsidP="00D67ECC">
      <w:pPr>
        <w:spacing w:after="0"/>
        <w:jc w:val="both"/>
        <w:rPr>
          <w:rFonts w:ascii="Times New Roman" w:hAnsi="Times New Roman" w:cs="Times New Roman"/>
          <w:sz w:val="25"/>
          <w:szCs w:val="25"/>
          <w:lang w:eastAsia="es-ES"/>
        </w:rPr>
      </w:pPr>
    </w:p>
    <w:p w14:paraId="492C000D" w14:textId="6AA742EA" w:rsidR="005714D9" w:rsidRPr="00DF1C61" w:rsidRDefault="001F2898"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Tener</w:t>
      </w:r>
      <w:r w:rsidR="005714D9" w:rsidRPr="00DF1C61">
        <w:rPr>
          <w:rFonts w:ascii="Times New Roman" w:hAnsi="Times New Roman" w:cs="Times New Roman"/>
          <w:sz w:val="25"/>
          <w:szCs w:val="25"/>
          <w:lang w:eastAsia="es-ES"/>
        </w:rPr>
        <w:t xml:space="preserve"> las cifras reales</w:t>
      </w:r>
      <w:r w:rsidR="00341C78" w:rsidRPr="00DF1C61">
        <w:rPr>
          <w:rFonts w:ascii="Times New Roman" w:hAnsi="Times New Roman" w:cs="Times New Roman"/>
          <w:sz w:val="25"/>
          <w:szCs w:val="25"/>
          <w:lang w:eastAsia="es-ES"/>
        </w:rPr>
        <w:t xml:space="preserve"> de períodos inmediatamente anteriores</w:t>
      </w:r>
      <w:r w:rsidR="005714D9" w:rsidRPr="00DF1C61">
        <w:rPr>
          <w:rFonts w:ascii="Times New Roman" w:hAnsi="Times New Roman" w:cs="Times New Roman"/>
          <w:sz w:val="25"/>
          <w:szCs w:val="25"/>
          <w:lang w:eastAsia="es-ES"/>
        </w:rPr>
        <w:t xml:space="preserve"> permite que los proyectos de inversión para la protección de las cuencas hídricas sean más eficientes a la hora de </w:t>
      </w:r>
      <w:r w:rsidR="005714D9" w:rsidRPr="00DF1C61">
        <w:rPr>
          <w:rFonts w:ascii="Times New Roman" w:hAnsi="Times New Roman" w:cs="Times New Roman"/>
          <w:sz w:val="25"/>
          <w:szCs w:val="25"/>
          <w:lang w:eastAsia="es-ES"/>
        </w:rPr>
        <w:lastRenderedPageBreak/>
        <w:t>destinar los recursos bajo proyecciones reales de recaud</w:t>
      </w:r>
      <w:r w:rsidRPr="00DF1C61">
        <w:rPr>
          <w:rFonts w:ascii="Times New Roman" w:hAnsi="Times New Roman" w:cs="Times New Roman"/>
          <w:sz w:val="25"/>
          <w:szCs w:val="25"/>
          <w:lang w:eastAsia="es-ES"/>
        </w:rPr>
        <w:t>o. Ello,</w:t>
      </w:r>
      <w:r w:rsidR="005714D9" w:rsidRPr="00DF1C61">
        <w:rPr>
          <w:rFonts w:ascii="Times New Roman" w:hAnsi="Times New Roman" w:cs="Times New Roman"/>
          <w:sz w:val="25"/>
          <w:szCs w:val="25"/>
          <w:lang w:eastAsia="es-ES"/>
        </w:rPr>
        <w:t xml:space="preserve"> se acompasa con la necesidad imperante de la protección del ambiente, para su goce efectivo como derecho colectivo y en condiciones de materialización como derecho individual de las personas, imprescindible para el desarrollo de un proyecto de vida digno de cada ser humano (</w:t>
      </w:r>
      <w:r w:rsidRPr="00DF1C61">
        <w:rPr>
          <w:rFonts w:ascii="Times New Roman" w:hAnsi="Times New Roman" w:cs="Times New Roman"/>
          <w:sz w:val="25"/>
          <w:szCs w:val="25"/>
          <w:lang w:eastAsia="es-ES"/>
        </w:rPr>
        <w:t xml:space="preserve">Corte Constitucional </w:t>
      </w:r>
      <w:r w:rsidR="005714D9" w:rsidRPr="00DF1C61">
        <w:rPr>
          <w:rFonts w:ascii="Times New Roman" w:hAnsi="Times New Roman" w:cs="Times New Roman"/>
          <w:sz w:val="25"/>
          <w:szCs w:val="25"/>
          <w:lang w:eastAsia="es-ES"/>
        </w:rPr>
        <w:t>Sentencia SU-217 de 2017).</w:t>
      </w:r>
    </w:p>
    <w:p w14:paraId="17DE58AA" w14:textId="77777777" w:rsidR="001F2898" w:rsidRPr="00DF1C61" w:rsidRDefault="001F2898" w:rsidP="00D67ECC">
      <w:pPr>
        <w:spacing w:after="0"/>
        <w:jc w:val="both"/>
        <w:rPr>
          <w:rFonts w:ascii="Times New Roman" w:hAnsi="Times New Roman" w:cs="Times New Roman"/>
          <w:sz w:val="25"/>
          <w:szCs w:val="25"/>
          <w:lang w:eastAsia="es-ES"/>
        </w:rPr>
      </w:pPr>
    </w:p>
    <w:p w14:paraId="380AC5BE" w14:textId="6A97DB9F"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La jurisprudencia constitucional ha explicado que el derecho al ambiente sano es un deber y un fin del Estado. En efecto, este derecho ha sido reconocido a través de la Constitución Política de 1991, mediante, entre otros, los artículos 8, 79, 80 y 95. En dichos preceptos constitucionales se establece la obligación estatal de velar por la protección, la conservación y la participación de las comunidades en el cuidado de la integridad del ambiente. Asimismo, </w:t>
      </w:r>
      <w:r w:rsidR="001473F7" w:rsidRPr="00DF1C61">
        <w:rPr>
          <w:rFonts w:ascii="Times New Roman" w:hAnsi="Times New Roman" w:cs="Times New Roman"/>
          <w:sz w:val="25"/>
          <w:szCs w:val="25"/>
          <w:lang w:eastAsia="es-ES"/>
        </w:rPr>
        <w:t>consagra</w:t>
      </w:r>
      <w:r w:rsidRPr="00DF1C61">
        <w:rPr>
          <w:rFonts w:ascii="Times New Roman" w:hAnsi="Times New Roman" w:cs="Times New Roman"/>
          <w:sz w:val="25"/>
          <w:szCs w:val="25"/>
          <w:lang w:eastAsia="es-ES"/>
        </w:rPr>
        <w:t xml:space="preserve"> la planificación, en manos del Estado, de la explotación y aprovechamiento de los recursos naturales, siempre en pro de un desarrollo responsable y sostenible, que no ponga en riesgo el goce de los espacios para las personas que habitan en Colombia (</w:t>
      </w:r>
      <w:r w:rsidR="001473F7" w:rsidRPr="00DF1C61">
        <w:rPr>
          <w:rFonts w:ascii="Times New Roman" w:hAnsi="Times New Roman" w:cs="Times New Roman"/>
          <w:sz w:val="25"/>
          <w:szCs w:val="25"/>
          <w:lang w:eastAsia="es-ES"/>
        </w:rPr>
        <w:t xml:space="preserve">Corte Constitucional, </w:t>
      </w:r>
      <w:r w:rsidRPr="00DF1C61">
        <w:rPr>
          <w:rFonts w:ascii="Times New Roman" w:hAnsi="Times New Roman" w:cs="Times New Roman"/>
          <w:sz w:val="25"/>
          <w:szCs w:val="25"/>
          <w:lang w:eastAsia="es-ES"/>
        </w:rPr>
        <w:t>Sentencia T-325 de 2017).</w:t>
      </w:r>
    </w:p>
    <w:p w14:paraId="133B28AD" w14:textId="77777777" w:rsidR="001473F7" w:rsidRPr="00DF1C61" w:rsidRDefault="001473F7" w:rsidP="00D67ECC">
      <w:pPr>
        <w:spacing w:after="0"/>
        <w:jc w:val="both"/>
        <w:rPr>
          <w:rFonts w:ascii="Times New Roman" w:hAnsi="Times New Roman" w:cs="Times New Roman"/>
          <w:sz w:val="25"/>
          <w:szCs w:val="25"/>
          <w:lang w:eastAsia="es-ES"/>
        </w:rPr>
      </w:pPr>
    </w:p>
    <w:p w14:paraId="1050EDC2" w14:textId="2C722D32"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Por eso es de vital importancia hacer que los proyectos para la recuperación de las cuencas hídricas y del tratamiento de los vertimientos, a partir de los Planes de Saneamiento y Manejo de Vertimientos (PSMV) por parte de los usuarios y las medidas (programas y proyectos que cada C</w:t>
      </w:r>
      <w:r w:rsidR="001473F7" w:rsidRPr="00DF1C61">
        <w:rPr>
          <w:rFonts w:ascii="Times New Roman" w:hAnsi="Times New Roman" w:cs="Times New Roman"/>
          <w:sz w:val="25"/>
          <w:szCs w:val="25"/>
          <w:lang w:eastAsia="es-ES"/>
        </w:rPr>
        <w:t>AR</w:t>
      </w:r>
      <w:r w:rsidRPr="00DF1C61">
        <w:rPr>
          <w:rFonts w:ascii="Times New Roman" w:hAnsi="Times New Roman" w:cs="Times New Roman"/>
          <w:sz w:val="25"/>
          <w:szCs w:val="25"/>
          <w:lang w:eastAsia="es-ES"/>
        </w:rPr>
        <w:t xml:space="preserve"> plantee en sus planes de desarrollo) se coordinen y se financien con los recursos provenientes de la recuperación de la cartera, como se pretende con este proyecto, y </w:t>
      </w:r>
      <w:r w:rsidR="001473F7" w:rsidRPr="00DF1C61">
        <w:rPr>
          <w:rFonts w:ascii="Times New Roman" w:hAnsi="Times New Roman" w:cs="Times New Roman"/>
          <w:sz w:val="25"/>
          <w:szCs w:val="25"/>
          <w:lang w:eastAsia="es-ES"/>
        </w:rPr>
        <w:t xml:space="preserve">así mismo por </w:t>
      </w:r>
      <w:r w:rsidRPr="00DF1C61">
        <w:rPr>
          <w:rFonts w:ascii="Times New Roman" w:hAnsi="Times New Roman" w:cs="Times New Roman"/>
          <w:sz w:val="25"/>
          <w:szCs w:val="25"/>
          <w:lang w:eastAsia="es-ES"/>
        </w:rPr>
        <w:t>el recaudo ordinario.</w:t>
      </w:r>
    </w:p>
    <w:p w14:paraId="0C47B215" w14:textId="77777777" w:rsidR="009362A9" w:rsidRPr="00DF1C61" w:rsidRDefault="009362A9" w:rsidP="00D67ECC">
      <w:pPr>
        <w:spacing w:after="0"/>
        <w:jc w:val="both"/>
        <w:rPr>
          <w:rFonts w:ascii="Times New Roman" w:hAnsi="Times New Roman" w:cs="Times New Roman"/>
          <w:sz w:val="25"/>
          <w:szCs w:val="25"/>
          <w:lang w:eastAsia="es-ES"/>
        </w:rPr>
      </w:pPr>
    </w:p>
    <w:p w14:paraId="063E4805" w14:textId="0D89A13B" w:rsidR="00EB118E" w:rsidRPr="00DF1C61" w:rsidRDefault="009362A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Y es que las condonaciones como medidas para lograr mayor recaudo</w:t>
      </w:r>
      <w:r w:rsidR="00EB118E" w:rsidRPr="00DF1C61">
        <w:rPr>
          <w:rFonts w:ascii="Times New Roman" w:hAnsi="Times New Roman" w:cs="Times New Roman"/>
          <w:sz w:val="25"/>
          <w:szCs w:val="25"/>
          <w:lang w:eastAsia="es-ES"/>
        </w:rPr>
        <w:t xml:space="preserve"> obedecen al principio de capacidad de pago que enrola el Estado Social de Derecho; este principio hace referencia a que los impuestos deben tener en cuenta el ingreso y patrimonio de los contribuyentes cualquiera que este sea, personas, empresas u organizaciones. Al pensar en realizar una condonación de este tipo, en aras de que con su difusión se logre llegar a acuerdos de pago frente a lo impago y así permitir que el saneamiento de pasivos permita retornar a la normalidad el cobro de la Tasa Retributiva, se debe tener en cuenta algunos aspectos, que según la teoría permitirían contar con un proceso satisfactorio, pero sobre todo que al implementarla se obtengan los resultados esperados, mencionemos algunos de estos aspectos: </w:t>
      </w:r>
    </w:p>
    <w:p w14:paraId="0920F227" w14:textId="77777777" w:rsidR="00EB118E" w:rsidRPr="00DF1C61" w:rsidRDefault="00EB118E" w:rsidP="00D67ECC">
      <w:pPr>
        <w:spacing w:after="0"/>
        <w:jc w:val="both"/>
        <w:rPr>
          <w:rFonts w:ascii="Times New Roman" w:hAnsi="Times New Roman" w:cs="Times New Roman"/>
          <w:sz w:val="25"/>
          <w:szCs w:val="25"/>
          <w:lang w:eastAsia="es-ES"/>
        </w:rPr>
      </w:pPr>
    </w:p>
    <w:p w14:paraId="3E455E84" w14:textId="77777777" w:rsidR="00EB118E" w:rsidRPr="00DF1C61" w:rsidRDefault="00EB118E"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 Los impuestos no deben afectar la eficiencia en el uso de los recursos; lo que quiere decir que estos no deben generar que el trabajo que se realice por parte de las personas sea menor o utilice el capital de producción para su pago. </w:t>
      </w:r>
    </w:p>
    <w:p w14:paraId="0C6395EE" w14:textId="77777777" w:rsidR="00EB118E" w:rsidRPr="00DF1C61" w:rsidRDefault="00EB118E" w:rsidP="00D67ECC">
      <w:pPr>
        <w:spacing w:after="0"/>
        <w:jc w:val="both"/>
        <w:rPr>
          <w:rFonts w:ascii="Times New Roman" w:hAnsi="Times New Roman" w:cs="Times New Roman"/>
          <w:sz w:val="25"/>
          <w:szCs w:val="25"/>
          <w:lang w:eastAsia="es-ES"/>
        </w:rPr>
      </w:pPr>
    </w:p>
    <w:p w14:paraId="119C8790" w14:textId="77777777" w:rsidR="00EB118E" w:rsidRPr="00DF1C61" w:rsidRDefault="00EB118E"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lastRenderedPageBreak/>
        <w:t xml:space="preserve">• No se debe permitir que los impuestos desincentiven la actividad productiva, lo que implica flexibilidad para acomodarse a las circunstancias económicas del país. </w:t>
      </w:r>
    </w:p>
    <w:p w14:paraId="2CA25F90" w14:textId="77777777" w:rsidR="00EB118E" w:rsidRPr="00DF1C61" w:rsidRDefault="00EB118E" w:rsidP="00D67ECC">
      <w:pPr>
        <w:spacing w:after="0"/>
        <w:jc w:val="both"/>
        <w:rPr>
          <w:rFonts w:ascii="Times New Roman" w:hAnsi="Times New Roman" w:cs="Times New Roman"/>
          <w:sz w:val="25"/>
          <w:szCs w:val="25"/>
          <w:lang w:eastAsia="es-ES"/>
        </w:rPr>
      </w:pPr>
    </w:p>
    <w:p w14:paraId="5ABCCE10" w14:textId="6F689143" w:rsidR="00EB118E" w:rsidRPr="00DF1C61" w:rsidRDefault="00EB118E"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 Deben tener una cuota de simplicidad; éstos deben ser sencillos de imponer y recaudar para evitar que se produzcan evasiones basadas en su complejidad. En la práctica lo que se observa es que los tecnicismos usados hacen más difícil el entendimiento de estos por parte del contribuyente, y esto se traslada en muchos casos, incluso a las amnistías donde la aplicación de las mismas y la densidad normativa generan el no uso de ellas y sobre todo se deben valer de terceros para poder aplicarlas. </w:t>
      </w:r>
    </w:p>
    <w:p w14:paraId="068E82A8" w14:textId="77777777" w:rsidR="00EB118E" w:rsidRPr="00DF1C61" w:rsidRDefault="00EB118E" w:rsidP="00D67ECC">
      <w:pPr>
        <w:spacing w:after="0"/>
        <w:jc w:val="both"/>
        <w:rPr>
          <w:rFonts w:ascii="Times New Roman" w:hAnsi="Times New Roman" w:cs="Times New Roman"/>
          <w:sz w:val="25"/>
          <w:szCs w:val="25"/>
          <w:lang w:eastAsia="es-ES"/>
        </w:rPr>
      </w:pPr>
    </w:p>
    <w:p w14:paraId="2DFC2F1B" w14:textId="183A1042" w:rsidR="009362A9" w:rsidRPr="00DF1C61" w:rsidRDefault="00EB118E"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La estructura de impuestos debe ser aceptada por todos o, por lo menos, por la mayoría. Por ejemplo, en Colombia, una reforma tributaria debe ser aprobada por el Congreso de la República, integrado por personas que representan a los ciudadanos.</w:t>
      </w:r>
    </w:p>
    <w:p w14:paraId="079A513E" w14:textId="77777777" w:rsidR="001473F7" w:rsidRPr="00DF1C61" w:rsidRDefault="001473F7" w:rsidP="00D67ECC">
      <w:pPr>
        <w:spacing w:after="0"/>
        <w:jc w:val="both"/>
        <w:rPr>
          <w:rFonts w:ascii="Times New Roman" w:hAnsi="Times New Roman" w:cs="Times New Roman"/>
          <w:sz w:val="25"/>
          <w:szCs w:val="25"/>
          <w:lang w:eastAsia="es-ES"/>
        </w:rPr>
      </w:pPr>
    </w:p>
    <w:p w14:paraId="7F2955CC" w14:textId="40670914" w:rsidR="00EB118E" w:rsidRPr="00DF1C61" w:rsidRDefault="00EB118E"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Lo anterior se acompasa con la situación que atraviesa nuestro país en su economía, la cual debe ser afrontada por los particulares y las entidades públicas </w:t>
      </w:r>
      <w:r w:rsidR="00D15C3C" w:rsidRPr="00DF1C61">
        <w:rPr>
          <w:rFonts w:ascii="Times New Roman" w:hAnsi="Times New Roman" w:cs="Times New Roman"/>
          <w:sz w:val="25"/>
          <w:szCs w:val="25"/>
          <w:lang w:eastAsia="es-ES"/>
        </w:rPr>
        <w:t>que deben destinar ingentes esfuerzos humanos y presupuestales para mitigar los efectos negativos que devienen incluso desde el término de la pandemia del COVID-19.</w:t>
      </w:r>
    </w:p>
    <w:p w14:paraId="2126DF6B" w14:textId="77777777" w:rsidR="00D15C3C" w:rsidRPr="00DF1C61" w:rsidRDefault="00D15C3C" w:rsidP="00D67ECC">
      <w:pPr>
        <w:spacing w:after="0"/>
        <w:jc w:val="both"/>
        <w:rPr>
          <w:rFonts w:ascii="Times New Roman" w:hAnsi="Times New Roman" w:cs="Times New Roman"/>
          <w:sz w:val="25"/>
          <w:szCs w:val="25"/>
          <w:lang w:eastAsia="es-ES"/>
        </w:rPr>
      </w:pPr>
    </w:p>
    <w:p w14:paraId="54B43E54" w14:textId="32EB3E17" w:rsidR="00D15C3C" w:rsidRPr="00DF1C61" w:rsidRDefault="00575F58"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Todavía afectada como todo el mundo por los coletazos del cataclismo económico y social del covid-19, Colombia ha empezado el 2024 en medio de fuentes de incertidumbre nuevas y viejas, empezando por las de creación humana, como las guerras de fuera y las violencias de dentro. Avivados a nivel global por la pandemia y la invasión de Rusia a Ucrania, la inflación y el desempleo</w:t>
      </w:r>
      <w:r w:rsidR="00392443" w:rsidRPr="00DF1C61">
        <w:rPr>
          <w:rFonts w:ascii="Times New Roman" w:hAnsi="Times New Roman" w:cs="Times New Roman"/>
          <w:sz w:val="25"/>
          <w:szCs w:val="25"/>
          <w:lang w:eastAsia="es-ES"/>
        </w:rPr>
        <w:t xml:space="preserve"> que</w:t>
      </w:r>
      <w:r w:rsidRPr="00DF1C61">
        <w:rPr>
          <w:rFonts w:ascii="Times New Roman" w:hAnsi="Times New Roman" w:cs="Times New Roman"/>
          <w:sz w:val="25"/>
          <w:szCs w:val="25"/>
          <w:lang w:eastAsia="es-ES"/>
        </w:rPr>
        <w:t xml:space="preserve"> con los años han ido cediendo terreno.</w:t>
      </w:r>
    </w:p>
    <w:p w14:paraId="62F8A26F" w14:textId="77777777" w:rsidR="00575F58" w:rsidRPr="00DF1C61" w:rsidRDefault="00575F58" w:rsidP="00D67ECC">
      <w:pPr>
        <w:spacing w:after="0"/>
        <w:jc w:val="both"/>
        <w:rPr>
          <w:rFonts w:ascii="Times New Roman" w:hAnsi="Times New Roman" w:cs="Times New Roman"/>
          <w:sz w:val="25"/>
          <w:szCs w:val="25"/>
          <w:lang w:eastAsia="es-ES"/>
        </w:rPr>
      </w:pPr>
    </w:p>
    <w:p w14:paraId="7B49B52A" w14:textId="7B1D6425" w:rsidR="00575F58" w:rsidRPr="00DF1C61" w:rsidRDefault="006C1544"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Sin embargo, el aumento del costo de vida en 2023, del orden de 9,6%-9,8%, aún está lejos de la meta del 3 % fijada por el Banco de República, mientras que el desempleo, de alrededor de 10%, tampoco da pie para declarar misión cumplida. En el 2023 el crecimiento económico del país apenas compensó o superó por algún tanto el crecimiento de la población, cercano del 1%, de acuerdo con estimaciones preliminares. Una desaceleración económica marcada en el segundo semestre del año ha enturbiado el panorama. </w:t>
      </w:r>
    </w:p>
    <w:p w14:paraId="14C5AAD1" w14:textId="77777777" w:rsidR="00DF1C61" w:rsidRPr="00DF1C61" w:rsidRDefault="00DF1C61" w:rsidP="00D67ECC">
      <w:pPr>
        <w:spacing w:after="0"/>
        <w:jc w:val="both"/>
        <w:rPr>
          <w:rFonts w:ascii="Times New Roman" w:hAnsi="Times New Roman" w:cs="Times New Roman"/>
          <w:sz w:val="25"/>
          <w:szCs w:val="25"/>
          <w:lang w:eastAsia="es-ES"/>
        </w:rPr>
      </w:pPr>
    </w:p>
    <w:p w14:paraId="77980DAA" w14:textId="77777777" w:rsidR="00DF1C61" w:rsidRPr="00DF1C61" w:rsidRDefault="00DF1C61" w:rsidP="00DF1C61">
      <w:pPr>
        <w:spacing w:after="0"/>
        <w:jc w:val="both"/>
        <w:rPr>
          <w:rFonts w:ascii="Times New Roman" w:hAnsi="Times New Roman" w:cs="Roboto Slab"/>
          <w:color w:val="313131"/>
          <w:sz w:val="25"/>
          <w:shd w:val="clear" w:color="auto" w:fill="FFFFFF"/>
        </w:rPr>
      </w:pPr>
      <w:r w:rsidRPr="00DF1C61">
        <w:rPr>
          <w:rFonts w:ascii="Times New Roman" w:hAnsi="Times New Roman" w:cs="Roboto Slab"/>
          <w:color w:val="313131"/>
          <w:sz w:val="25"/>
          <w:shd w:val="clear" w:color="auto" w:fill="FFFFFF"/>
        </w:rPr>
        <w:t>El PIB del tercer trimestre de 2023 cayó 0,3% con respecto al mismo trimestre de 2022, pero aumentó 0,2% con respecto al segundo trimestre de 2023. Según la convención internacional, la comparación apropiada sería frente al trimestre inmediatamente anterior, no frente al año anterior.</w:t>
      </w:r>
    </w:p>
    <w:p w14:paraId="0992B3BE" w14:textId="77777777" w:rsidR="00DF1C61" w:rsidRPr="00DF1C61" w:rsidRDefault="00DF1C61" w:rsidP="00DF1C61">
      <w:pPr>
        <w:spacing w:after="0"/>
        <w:jc w:val="both"/>
        <w:rPr>
          <w:rFonts w:ascii="Times New Roman" w:hAnsi="Times New Roman" w:cs="Roboto Slab"/>
          <w:color w:val="313131"/>
          <w:sz w:val="25"/>
          <w:shd w:val="clear" w:color="auto" w:fill="FFFFFF"/>
        </w:rPr>
      </w:pPr>
    </w:p>
    <w:p w14:paraId="6B0B21CE" w14:textId="1F513609" w:rsidR="00DF1C61" w:rsidRPr="00DF1C61" w:rsidRDefault="00DF1C61" w:rsidP="00DF1C61">
      <w:pPr>
        <w:spacing w:after="0"/>
        <w:jc w:val="both"/>
        <w:rPr>
          <w:rFonts w:ascii="Times New Roman" w:hAnsi="Times New Roman" w:cs="Roboto Slab"/>
          <w:color w:val="313131"/>
          <w:sz w:val="25"/>
          <w:shd w:val="clear" w:color="auto" w:fill="FFFFFF"/>
        </w:rPr>
      </w:pPr>
      <w:r w:rsidRPr="00DF1C61">
        <w:rPr>
          <w:rFonts w:ascii="Times New Roman" w:hAnsi="Times New Roman" w:cs="Roboto Slab"/>
          <w:color w:val="313131"/>
          <w:sz w:val="25"/>
          <w:shd w:val="clear" w:color="auto" w:fill="FFFFFF"/>
        </w:rPr>
        <w:lastRenderedPageBreak/>
        <w:t>El mercado laboral ha dado muestras de debilitamiento, con cierto rezago, ante el deterioro de la actividad económica. La tasa de desempleo (desestacionalizada) ha subido por tres meses seguidos, pasando de 9,4% en agosto a 10,2% en noviembre de 2023. Con todo, estos resultados son mejores que los registrados en 2022. </w:t>
      </w:r>
    </w:p>
    <w:p w14:paraId="409AC6FB" w14:textId="77777777" w:rsidR="00DF1C61" w:rsidRDefault="00DF1C61" w:rsidP="00D67ECC">
      <w:pPr>
        <w:spacing w:after="0"/>
        <w:jc w:val="both"/>
        <w:rPr>
          <w:rFonts w:ascii="Times New Roman" w:hAnsi="Times New Roman" w:cs="Roboto Slab"/>
          <w:color w:val="313131"/>
          <w:sz w:val="25"/>
          <w:shd w:val="clear" w:color="auto" w:fill="FFFFFF"/>
        </w:rPr>
      </w:pPr>
    </w:p>
    <w:p w14:paraId="535711BF" w14:textId="77777777" w:rsidR="00DF1C61" w:rsidRPr="00DF1C61" w:rsidRDefault="00DF1C61" w:rsidP="00DF1C61">
      <w:pPr>
        <w:jc w:val="both"/>
        <w:rPr>
          <w:rFonts w:cs="Roboto Slab"/>
          <w:color w:val="313131"/>
          <w:sz w:val="25"/>
          <w:shd w:val="clear" w:color="auto" w:fill="FFFFFF"/>
        </w:rPr>
      </w:pPr>
      <w:r w:rsidRPr="00DF1C61">
        <w:rPr>
          <w:rFonts w:ascii="Times New Roman" w:hAnsi="Times New Roman" w:cs="Roboto Slab"/>
          <w:color w:val="313131"/>
          <w:sz w:val="25"/>
          <w:shd w:val="clear" w:color="auto" w:fill="FFFFFF"/>
        </w:rPr>
        <w:t>La inversión en capital fijo (fábricas, maquinaria, tecnología, etc.) es clave en la ampliación de la capacidad productiva y suele marcar las fluctuaciones de corto plazo de la actividad económica y el e</w:t>
      </w:r>
      <w:r w:rsidRPr="00DF1C61">
        <w:rPr>
          <w:rFonts w:ascii="Times New Roman" w:hAnsi="Times New Roman" w:cs="Times New Roman"/>
          <w:color w:val="313131"/>
          <w:sz w:val="25"/>
          <w:shd w:val="clear" w:color="auto" w:fill="FFFFFF"/>
        </w:rPr>
        <w:t>mpleo. Esta variable salió lesionada de la pandemia:  ha rondado el 19% del PIB desde el 2021, frente al 22% del mismo agregado en el periodo 2010-2019.</w:t>
      </w:r>
      <w:r w:rsidRPr="00DF1C61">
        <w:rPr>
          <w:rFonts w:cs="Roboto Slab"/>
          <w:color w:val="313131"/>
          <w:sz w:val="25"/>
          <w:shd w:val="clear" w:color="auto" w:fill="FFFFFF"/>
        </w:rPr>
        <w:t> </w:t>
      </w:r>
    </w:p>
    <w:p w14:paraId="57BD3B85" w14:textId="3BD19BE3" w:rsidR="00DF1C61" w:rsidRDefault="00DF1C61" w:rsidP="00D67ECC">
      <w:pPr>
        <w:spacing w:after="0"/>
        <w:jc w:val="both"/>
        <w:rPr>
          <w:rFonts w:ascii="Times New Roman" w:hAnsi="Times New Roman" w:cs="Roboto Slab"/>
          <w:color w:val="313131"/>
          <w:sz w:val="25"/>
          <w:shd w:val="clear" w:color="auto" w:fill="FFFFFF"/>
        </w:rPr>
      </w:pPr>
      <w:r w:rsidRPr="00DF1C61">
        <w:rPr>
          <w:rFonts w:ascii="Times New Roman" w:hAnsi="Times New Roman" w:cs="Roboto Slab"/>
          <w:color w:val="313131"/>
          <w:sz w:val="25"/>
          <w:shd w:val="clear" w:color="auto" w:fill="FFFFFF"/>
        </w:rPr>
        <w:t>Lo llamativo ahora es que la inversión, en su serie desestacionalizada, lleva cuatro trimestres consecutivos de decrecimiento, contando hasta octubre de 2023, una tendencia sin antecedentes al menos desde el 2005, excluido el periodo de pandemia. </w:t>
      </w:r>
    </w:p>
    <w:p w14:paraId="4B880158" w14:textId="77777777" w:rsidR="00DF1C61" w:rsidRDefault="00DF1C61" w:rsidP="00D67ECC">
      <w:pPr>
        <w:spacing w:after="0"/>
        <w:jc w:val="both"/>
        <w:rPr>
          <w:rFonts w:ascii="Times New Roman" w:hAnsi="Times New Roman" w:cs="Roboto Slab"/>
          <w:color w:val="313131"/>
          <w:sz w:val="25"/>
          <w:shd w:val="clear" w:color="auto" w:fill="FFFFFF"/>
        </w:rPr>
      </w:pPr>
    </w:p>
    <w:p w14:paraId="5F2BC207" w14:textId="044198E2" w:rsidR="00DF1C61" w:rsidRPr="00DF1C61" w:rsidRDefault="00DF1C61" w:rsidP="00DF1C61">
      <w:pPr>
        <w:spacing w:after="0"/>
        <w:jc w:val="both"/>
        <w:rPr>
          <w:rFonts w:ascii="Times New Roman" w:hAnsi="Times New Roman" w:cs="Roboto Slab"/>
          <w:color w:val="313131"/>
          <w:sz w:val="25"/>
          <w:shd w:val="clear" w:color="auto" w:fill="FFFFFF"/>
        </w:rPr>
      </w:pPr>
      <w:r w:rsidRPr="00DF1C61">
        <w:rPr>
          <w:rFonts w:ascii="Times New Roman" w:hAnsi="Times New Roman" w:cs="Roboto Slab"/>
          <w:color w:val="313131"/>
          <w:sz w:val="25"/>
          <w:shd w:val="clear" w:color="auto" w:fill="FFFFFF"/>
        </w:rPr>
        <w:t>La industria manufacturera, la construcción y el comercio, que dan cuenta de la tercera parte de la generación de valor agregado nacional, han sido los más afectados por la contracción reciente; en contraste, el sector financiero y la minería han crecido. Al contrario de estas tendencias, el Plan Nacional de Desarrollo (PND) vigente propugna por la reindustrialización y “la disminución de la dependencia de los hidrocarburos y la minería”.</w:t>
      </w:r>
    </w:p>
    <w:p w14:paraId="47F2940F" w14:textId="77777777" w:rsidR="00DF1C61" w:rsidRPr="00DF1C61" w:rsidRDefault="00DF1C61" w:rsidP="00D67ECC">
      <w:pPr>
        <w:spacing w:after="0"/>
        <w:jc w:val="both"/>
        <w:rPr>
          <w:rFonts w:ascii="Times New Roman" w:hAnsi="Times New Roman" w:cs="Roboto Slab"/>
          <w:color w:val="313131"/>
          <w:sz w:val="25"/>
          <w:shd w:val="clear" w:color="auto" w:fill="FFFFFF"/>
        </w:rPr>
      </w:pPr>
    </w:p>
    <w:p w14:paraId="37F01442" w14:textId="357D1AA9" w:rsidR="00EB118E" w:rsidRDefault="00DF1C61" w:rsidP="00D67ECC">
      <w:pPr>
        <w:spacing w:after="0"/>
        <w:jc w:val="both"/>
        <w:rPr>
          <w:rFonts w:ascii="Times New Roman" w:hAnsi="Times New Roman" w:cs="Times New Roman"/>
          <w:sz w:val="25"/>
          <w:szCs w:val="25"/>
          <w:lang w:eastAsia="es-ES"/>
        </w:rPr>
      </w:pPr>
      <w:r>
        <w:rPr>
          <w:rFonts w:ascii="Times New Roman" w:hAnsi="Times New Roman" w:cs="Times New Roman"/>
          <w:sz w:val="25"/>
          <w:szCs w:val="25"/>
          <w:lang w:eastAsia="es-ES"/>
        </w:rPr>
        <w:t>Con ese panorama y con los pasivos tan altos que existen en las Corporaciones como anteriormente se evidencia, obligan a que se aliviane la carga impositiva, de modo tal que dicha elasticidad del recaudo logre el efecto de mayor recuperación de recursos para obtener resultados tangibles sobre los fines de la Tasa Retributiva que es recuperar las cuen</w:t>
      </w:r>
      <w:r w:rsidR="007303BC">
        <w:rPr>
          <w:rFonts w:ascii="Times New Roman" w:hAnsi="Times New Roman" w:cs="Times New Roman"/>
          <w:sz w:val="25"/>
          <w:szCs w:val="25"/>
          <w:lang w:eastAsia="es-ES"/>
        </w:rPr>
        <w:t>c</w:t>
      </w:r>
      <w:r>
        <w:rPr>
          <w:rFonts w:ascii="Times New Roman" w:hAnsi="Times New Roman" w:cs="Times New Roman"/>
          <w:sz w:val="25"/>
          <w:szCs w:val="25"/>
          <w:lang w:eastAsia="es-ES"/>
        </w:rPr>
        <w:t xml:space="preserve">as del pasivo ambiental de los vertimientos y se logre </w:t>
      </w:r>
      <w:r w:rsidR="007303BC">
        <w:rPr>
          <w:rFonts w:ascii="Times New Roman" w:hAnsi="Times New Roman" w:cs="Times New Roman"/>
          <w:sz w:val="25"/>
          <w:szCs w:val="25"/>
          <w:lang w:eastAsia="es-ES"/>
        </w:rPr>
        <w:t>la proyección de plantas para su tratamiento.</w:t>
      </w:r>
    </w:p>
    <w:p w14:paraId="611C745A" w14:textId="77777777" w:rsidR="007303BC" w:rsidRDefault="007303BC" w:rsidP="00D67ECC">
      <w:pPr>
        <w:spacing w:after="0"/>
        <w:jc w:val="both"/>
        <w:rPr>
          <w:rFonts w:ascii="Times New Roman" w:hAnsi="Times New Roman" w:cs="Times New Roman"/>
          <w:sz w:val="25"/>
          <w:szCs w:val="25"/>
          <w:lang w:eastAsia="es-ES"/>
        </w:rPr>
      </w:pPr>
    </w:p>
    <w:p w14:paraId="2A3522A6" w14:textId="28E57BA9" w:rsidR="007303BC" w:rsidRDefault="007303BC" w:rsidP="00D67ECC">
      <w:pPr>
        <w:spacing w:after="0"/>
        <w:jc w:val="both"/>
        <w:rPr>
          <w:rFonts w:ascii="Times New Roman" w:hAnsi="Times New Roman" w:cs="Times New Roman"/>
          <w:sz w:val="25"/>
          <w:szCs w:val="25"/>
          <w:lang w:eastAsia="es-ES"/>
        </w:rPr>
      </w:pPr>
      <w:r>
        <w:rPr>
          <w:rFonts w:ascii="Times New Roman" w:hAnsi="Times New Roman" w:cs="Times New Roman"/>
          <w:sz w:val="25"/>
          <w:szCs w:val="25"/>
          <w:lang w:eastAsia="es-ES"/>
        </w:rPr>
        <w:t xml:space="preserve">Y es que esta condonación, al ser por una única vez, lo que propende es sensibilizar a los sujetos pasivos de la Tasa sobre la importancia de pagarla para que sean realmente invertidos en la protección del líquido vital, máxime que desde el Plan Nacional de Desarrollo 2022-2026 “Colombia, Potencia mundial de la vida”, Ley 2294 de 2023, en sus ejes de transformación propenden por el </w:t>
      </w:r>
      <w:r w:rsidR="00A45520">
        <w:rPr>
          <w:rFonts w:ascii="Times New Roman" w:hAnsi="Times New Roman" w:cs="Times New Roman"/>
          <w:sz w:val="25"/>
          <w:szCs w:val="25"/>
          <w:lang w:eastAsia="es-ES"/>
        </w:rPr>
        <w:t>“</w:t>
      </w:r>
      <w:r>
        <w:rPr>
          <w:rFonts w:ascii="Times New Roman" w:hAnsi="Times New Roman" w:cs="Times New Roman"/>
          <w:sz w:val="25"/>
          <w:szCs w:val="25"/>
          <w:lang w:eastAsia="es-ES"/>
        </w:rPr>
        <w:t>Ordenamiento del territorio alrededor del agua", lo cual busca que se logre</w:t>
      </w:r>
      <w:r w:rsidRPr="007303BC">
        <w:rPr>
          <w:rFonts w:ascii="Times New Roman" w:hAnsi="Times New Roman" w:cs="Times New Roman"/>
          <w:sz w:val="25"/>
          <w:szCs w:val="25"/>
          <w:lang w:eastAsia="es-ES"/>
        </w:rPr>
        <w:t xml:space="preserve"> un cambio en la planifica</w:t>
      </w:r>
      <w:r>
        <w:rPr>
          <w:rFonts w:ascii="Times New Roman" w:hAnsi="Times New Roman" w:cs="Times New Roman"/>
          <w:sz w:val="25"/>
          <w:szCs w:val="25"/>
          <w:lang w:eastAsia="es-ES"/>
        </w:rPr>
        <w:t>c</w:t>
      </w:r>
      <w:r w:rsidRPr="007303BC">
        <w:rPr>
          <w:rFonts w:ascii="Times New Roman" w:hAnsi="Times New Roman" w:cs="Times New Roman"/>
          <w:sz w:val="25"/>
          <w:szCs w:val="25"/>
          <w:lang w:eastAsia="es-ES"/>
        </w:rPr>
        <w:t>ión del ordenamiento y del desarrollo del territorio, donde la protección de los determinantes ambientales y de las áreas de especial i</w:t>
      </w:r>
      <w:r>
        <w:rPr>
          <w:rFonts w:ascii="Times New Roman" w:hAnsi="Times New Roman" w:cs="Times New Roman"/>
          <w:sz w:val="25"/>
          <w:szCs w:val="25"/>
          <w:lang w:eastAsia="es-ES"/>
        </w:rPr>
        <w:t>n</w:t>
      </w:r>
      <w:r w:rsidRPr="007303BC">
        <w:rPr>
          <w:rFonts w:ascii="Times New Roman" w:hAnsi="Times New Roman" w:cs="Times New Roman"/>
          <w:sz w:val="25"/>
          <w:szCs w:val="25"/>
          <w:lang w:eastAsia="es-ES"/>
        </w:rPr>
        <w:t xml:space="preserve">terés </w:t>
      </w:r>
      <w:r>
        <w:rPr>
          <w:rFonts w:ascii="Times New Roman" w:hAnsi="Times New Roman" w:cs="Times New Roman"/>
          <w:sz w:val="25"/>
          <w:szCs w:val="25"/>
          <w:lang w:eastAsia="es-ES"/>
        </w:rPr>
        <w:t>puedan</w:t>
      </w:r>
      <w:r w:rsidRPr="007303BC">
        <w:rPr>
          <w:rFonts w:ascii="Times New Roman" w:hAnsi="Times New Roman" w:cs="Times New Roman"/>
          <w:sz w:val="25"/>
          <w:szCs w:val="25"/>
          <w:lang w:eastAsia="es-ES"/>
        </w:rPr>
        <w:t xml:space="preserve"> garantizar el derecho a la alimentación </w:t>
      </w:r>
      <w:r w:rsidR="00A45520">
        <w:rPr>
          <w:rFonts w:ascii="Times New Roman" w:hAnsi="Times New Roman" w:cs="Times New Roman"/>
          <w:sz w:val="25"/>
          <w:szCs w:val="25"/>
          <w:lang w:eastAsia="es-ES"/>
        </w:rPr>
        <w:t>buscando</w:t>
      </w:r>
      <w:r w:rsidRPr="007303BC">
        <w:rPr>
          <w:rFonts w:ascii="Times New Roman" w:hAnsi="Times New Roman" w:cs="Times New Roman"/>
          <w:sz w:val="25"/>
          <w:szCs w:val="25"/>
          <w:lang w:eastAsia="es-ES"/>
        </w:rPr>
        <w:t xml:space="preserve"> un enfoque funcional del ordenamien</w:t>
      </w:r>
      <w:r w:rsidR="00A45520">
        <w:rPr>
          <w:rFonts w:ascii="Times New Roman" w:hAnsi="Times New Roman" w:cs="Times New Roman"/>
          <w:sz w:val="25"/>
          <w:szCs w:val="25"/>
          <w:lang w:eastAsia="es-ES"/>
        </w:rPr>
        <w:t>t</w:t>
      </w:r>
      <w:r w:rsidRPr="007303BC">
        <w:rPr>
          <w:rFonts w:ascii="Times New Roman" w:hAnsi="Times New Roman" w:cs="Times New Roman"/>
          <w:sz w:val="25"/>
          <w:szCs w:val="25"/>
          <w:lang w:eastAsia="es-ES"/>
        </w:rPr>
        <w:t xml:space="preserve">o, </w:t>
      </w:r>
      <w:r w:rsidR="00A45520">
        <w:rPr>
          <w:rFonts w:ascii="Times New Roman" w:hAnsi="Times New Roman" w:cs="Times New Roman"/>
          <w:sz w:val="25"/>
          <w:szCs w:val="25"/>
          <w:lang w:eastAsia="es-ES"/>
        </w:rPr>
        <w:t xml:space="preserve">consuno al eje de “Transformación productiva, internacionalización y acción climática”, el cual apunta a la diversificación de las </w:t>
      </w:r>
      <w:r w:rsidR="00A45520">
        <w:rPr>
          <w:rFonts w:ascii="Times New Roman" w:hAnsi="Times New Roman" w:cs="Times New Roman"/>
          <w:sz w:val="25"/>
          <w:szCs w:val="25"/>
          <w:lang w:eastAsia="es-ES"/>
        </w:rPr>
        <w:lastRenderedPageBreak/>
        <w:t>actividades productivas para que aprovechen el capital natural bajo el respeto y garantía de los derechos humanos y el aporte a la construcción de la resiliencia ante los choques climáticas.</w:t>
      </w:r>
    </w:p>
    <w:p w14:paraId="6AD072D1" w14:textId="77777777" w:rsidR="00A45520" w:rsidRDefault="00A45520" w:rsidP="00D67ECC">
      <w:pPr>
        <w:spacing w:after="0"/>
        <w:jc w:val="both"/>
        <w:rPr>
          <w:rFonts w:ascii="Times New Roman" w:hAnsi="Times New Roman" w:cs="Times New Roman"/>
          <w:sz w:val="25"/>
          <w:szCs w:val="25"/>
          <w:lang w:eastAsia="es-ES"/>
        </w:rPr>
      </w:pPr>
    </w:p>
    <w:p w14:paraId="5DF75210" w14:textId="76E9E0A7" w:rsidR="00A45520" w:rsidRDefault="00A45520" w:rsidP="00D67ECC">
      <w:pPr>
        <w:spacing w:after="0"/>
        <w:jc w:val="both"/>
        <w:rPr>
          <w:rFonts w:ascii="Times New Roman" w:hAnsi="Times New Roman" w:cs="Times New Roman"/>
          <w:sz w:val="25"/>
          <w:szCs w:val="25"/>
          <w:lang w:eastAsia="es-ES"/>
        </w:rPr>
      </w:pPr>
      <w:r>
        <w:rPr>
          <w:rFonts w:ascii="Times New Roman" w:hAnsi="Times New Roman" w:cs="Times New Roman"/>
          <w:sz w:val="25"/>
          <w:szCs w:val="25"/>
          <w:lang w:eastAsia="es-ES"/>
        </w:rPr>
        <w:t>Luego, lograr un mayor recaudo, sin el peso de la deuda impositiva que crece cada día más con los intereses, a partir del pago de unas cuentas saneadas, propenderían a la consecución de una real inversión del rubro ambiental para la recuperación y saneamiento de las cuencas que reciben los vertimientos puntuales, tanto del sector público, como privado;</w:t>
      </w:r>
      <w:r w:rsidR="000A7768">
        <w:rPr>
          <w:rFonts w:ascii="Times New Roman" w:hAnsi="Times New Roman" w:cs="Times New Roman"/>
          <w:sz w:val="25"/>
          <w:szCs w:val="25"/>
          <w:lang w:eastAsia="es-ES"/>
        </w:rPr>
        <w:t xml:space="preserve"> si bien es cierto, como con las exenciones, no existe, según la academia, la efectividad de estos alivios para el mayor recaudo, si es cierto que estas medidas acompañadas con otras iniciativas, como en este caso la publicidad de dar a conocer la medida como forma de sanear y continuar con el pago efectivo y presentación de proyectos de tratamiento de aguas residuales que se vierten, generan una mayor planificación ordenada y en clave de gobernanza y una visión a futuro </w:t>
      </w:r>
      <w:sdt>
        <w:sdtPr>
          <w:rPr>
            <w:rFonts w:ascii="Times New Roman" w:hAnsi="Times New Roman" w:cs="Times New Roman"/>
            <w:sz w:val="25"/>
            <w:szCs w:val="25"/>
            <w:lang w:eastAsia="es-ES"/>
          </w:rPr>
          <w:id w:val="403108936"/>
          <w:citation/>
        </w:sdtPr>
        <w:sdtEndPr/>
        <w:sdtContent>
          <w:r w:rsidR="000A7768">
            <w:rPr>
              <w:rFonts w:ascii="Times New Roman" w:hAnsi="Times New Roman" w:cs="Times New Roman"/>
              <w:sz w:val="25"/>
              <w:szCs w:val="25"/>
              <w:lang w:eastAsia="es-ES"/>
            </w:rPr>
            <w:fldChar w:fldCharType="begin"/>
          </w:r>
          <w:r w:rsidR="000A7768">
            <w:rPr>
              <w:rFonts w:ascii="Times New Roman" w:hAnsi="Times New Roman" w:cs="Times New Roman"/>
              <w:sz w:val="25"/>
              <w:szCs w:val="25"/>
              <w:lang w:eastAsia="es-ES"/>
            </w:rPr>
            <w:instrText xml:space="preserve"> CITATION Gon22 \l 9226 </w:instrText>
          </w:r>
          <w:r w:rsidR="000A7768">
            <w:rPr>
              <w:rFonts w:ascii="Times New Roman" w:hAnsi="Times New Roman" w:cs="Times New Roman"/>
              <w:sz w:val="25"/>
              <w:szCs w:val="25"/>
              <w:lang w:eastAsia="es-ES"/>
            </w:rPr>
            <w:fldChar w:fldCharType="separate"/>
          </w:r>
          <w:r w:rsidR="000A7768" w:rsidRPr="000A7768">
            <w:rPr>
              <w:rFonts w:ascii="Times New Roman" w:hAnsi="Times New Roman" w:cs="Times New Roman"/>
              <w:noProof/>
              <w:sz w:val="25"/>
              <w:szCs w:val="25"/>
              <w:lang w:eastAsia="es-ES"/>
            </w:rPr>
            <w:t>(Gonzalez Becerra, García García, &amp; Guatibonza Hernandez, 2022)</w:t>
          </w:r>
          <w:r w:rsidR="000A7768">
            <w:rPr>
              <w:rFonts w:ascii="Times New Roman" w:hAnsi="Times New Roman" w:cs="Times New Roman"/>
              <w:sz w:val="25"/>
              <w:szCs w:val="25"/>
              <w:lang w:eastAsia="es-ES"/>
            </w:rPr>
            <w:fldChar w:fldCharType="end"/>
          </w:r>
        </w:sdtContent>
      </w:sdt>
      <w:r w:rsidR="000A7768">
        <w:rPr>
          <w:rFonts w:ascii="Times New Roman" w:hAnsi="Times New Roman" w:cs="Times New Roman"/>
          <w:sz w:val="25"/>
          <w:szCs w:val="25"/>
          <w:lang w:eastAsia="es-ES"/>
        </w:rPr>
        <w:t xml:space="preserve">, en la que se apuesta por cambiar el modelo que hasta el momento se ha llevado para recaudar e invertir la Tasa Retributiva por vertimientos puntuales. </w:t>
      </w:r>
    </w:p>
    <w:p w14:paraId="0F3DFC1B" w14:textId="77777777" w:rsidR="00DF1C61" w:rsidRPr="00DF1C61" w:rsidRDefault="00DF1C61" w:rsidP="00D67ECC">
      <w:pPr>
        <w:spacing w:after="0"/>
        <w:jc w:val="both"/>
        <w:rPr>
          <w:rFonts w:ascii="Times New Roman" w:hAnsi="Times New Roman" w:cs="Times New Roman"/>
          <w:sz w:val="25"/>
          <w:szCs w:val="25"/>
          <w:lang w:eastAsia="es-ES"/>
        </w:rPr>
      </w:pPr>
    </w:p>
    <w:p w14:paraId="0BBDD5E4" w14:textId="7BD3BD6F"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Bajo esa óptica, la misma Constitución</w:t>
      </w:r>
      <w:r w:rsidR="00F65C9A" w:rsidRPr="00DF1C61">
        <w:rPr>
          <w:rFonts w:ascii="Times New Roman" w:hAnsi="Times New Roman" w:cs="Times New Roman"/>
          <w:sz w:val="25"/>
          <w:szCs w:val="25"/>
          <w:lang w:eastAsia="es-ES"/>
        </w:rPr>
        <w:t xml:space="preserve"> Política de 1991</w:t>
      </w:r>
      <w:r w:rsidRPr="00DF1C61">
        <w:rPr>
          <w:rFonts w:ascii="Times New Roman" w:hAnsi="Times New Roman" w:cs="Times New Roman"/>
          <w:sz w:val="25"/>
          <w:szCs w:val="25"/>
          <w:lang w:eastAsia="es-ES"/>
        </w:rPr>
        <w:t>, en su art</w:t>
      </w:r>
      <w:r w:rsidR="00F65C9A" w:rsidRPr="00DF1C61">
        <w:rPr>
          <w:rFonts w:ascii="Times New Roman" w:hAnsi="Times New Roman" w:cs="Times New Roman"/>
          <w:sz w:val="25"/>
          <w:szCs w:val="25"/>
          <w:lang w:eastAsia="es-ES"/>
        </w:rPr>
        <w:t>ículo 8</w:t>
      </w:r>
      <w:r w:rsidRPr="00DF1C61">
        <w:rPr>
          <w:rFonts w:ascii="Times New Roman" w:hAnsi="Times New Roman" w:cs="Times New Roman"/>
          <w:sz w:val="25"/>
          <w:szCs w:val="25"/>
          <w:lang w:eastAsia="es-ES"/>
        </w:rPr>
        <w:t xml:space="preserve">, genera la responsabilidad compartida entre el Estado y los particulares, lo que obliga a ambos a cooperar para la protección de las riquezas naturales y velar por la preservación del ambiente y sus distintos ecosistemas. Se presenta, así, una cooperación Estado-Individuo dirigida a la conservación y protección de las riquezas naturales de la </w:t>
      </w:r>
      <w:r w:rsidR="005451E5" w:rsidRPr="00DF1C61">
        <w:rPr>
          <w:rFonts w:ascii="Times New Roman" w:hAnsi="Times New Roman" w:cs="Times New Roman"/>
          <w:sz w:val="25"/>
          <w:szCs w:val="25"/>
          <w:lang w:eastAsia="es-ES"/>
        </w:rPr>
        <w:t>N</w:t>
      </w:r>
      <w:r w:rsidRPr="00DF1C61">
        <w:rPr>
          <w:rFonts w:ascii="Times New Roman" w:hAnsi="Times New Roman" w:cs="Times New Roman"/>
          <w:sz w:val="25"/>
          <w:szCs w:val="25"/>
          <w:lang w:eastAsia="es-ES"/>
        </w:rPr>
        <w:t>ación.</w:t>
      </w:r>
    </w:p>
    <w:p w14:paraId="61C33D45" w14:textId="77777777" w:rsidR="00D15C3C" w:rsidRPr="00DF1C61" w:rsidRDefault="00D15C3C" w:rsidP="00D67ECC">
      <w:pPr>
        <w:spacing w:after="0"/>
        <w:jc w:val="both"/>
        <w:rPr>
          <w:rFonts w:ascii="Times New Roman" w:hAnsi="Times New Roman" w:cs="Times New Roman"/>
          <w:sz w:val="25"/>
          <w:szCs w:val="25"/>
          <w:lang w:eastAsia="es-ES"/>
        </w:rPr>
      </w:pPr>
    </w:p>
    <w:p w14:paraId="0CC337F7" w14:textId="6FE4F7F5"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Si bien se conoce los esfuerzos realizados para sostener, desde el sector público y el privado, condiciones de dignidad en la calidad de vida y el sufragar las necesidades básicas que cada día toman un mayor valor, aunado a las situaciones económicas globales, desde la pandemia hasta los conflictos bélicos y la volatilidad de la economía mundial, es un esfuerzo que el Estado también realizaría para que la protección de los recursos hídricos no se vean afectados posteriormente por cifras irrisorias que no permitan la viabilidad de los proyectos y mejore los hábitos de pago en la Tasa Retributiva, cuya información debe ser cada día más resaltada en considerar la importancia de su pago para la protección de la casa común (</w:t>
      </w:r>
      <w:r w:rsidR="005451E5" w:rsidRPr="00DF1C61">
        <w:rPr>
          <w:rFonts w:ascii="Times New Roman" w:hAnsi="Times New Roman" w:cs="Times New Roman"/>
          <w:sz w:val="25"/>
          <w:szCs w:val="25"/>
          <w:lang w:eastAsia="es-ES"/>
        </w:rPr>
        <w:t xml:space="preserve">Corte Constitucional, </w:t>
      </w:r>
      <w:r w:rsidRPr="00DF1C61">
        <w:rPr>
          <w:rFonts w:ascii="Times New Roman" w:hAnsi="Times New Roman" w:cs="Times New Roman"/>
          <w:sz w:val="25"/>
          <w:szCs w:val="25"/>
          <w:lang w:eastAsia="es-ES"/>
        </w:rPr>
        <w:t>Sentencia C-048 de 2017).</w:t>
      </w:r>
    </w:p>
    <w:p w14:paraId="67E4C0CB" w14:textId="77777777" w:rsidR="005451E5" w:rsidRPr="00DF1C61" w:rsidRDefault="005451E5" w:rsidP="00D67ECC">
      <w:pPr>
        <w:spacing w:after="0"/>
        <w:jc w:val="both"/>
        <w:rPr>
          <w:rFonts w:ascii="Times New Roman" w:hAnsi="Times New Roman" w:cs="Times New Roman"/>
          <w:sz w:val="25"/>
          <w:szCs w:val="25"/>
          <w:lang w:eastAsia="es-ES"/>
        </w:rPr>
      </w:pPr>
    </w:p>
    <w:p w14:paraId="3846B1AF" w14:textId="4C03EB06"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En relación con los derechos y deberes de las comunidades, en este caso los </w:t>
      </w:r>
      <w:r w:rsidR="004E074B" w:rsidRPr="00DF1C61">
        <w:rPr>
          <w:rFonts w:ascii="Times New Roman" w:hAnsi="Times New Roman" w:cs="Times New Roman"/>
          <w:sz w:val="25"/>
          <w:szCs w:val="25"/>
          <w:lang w:eastAsia="es-ES"/>
        </w:rPr>
        <w:t>u</w:t>
      </w:r>
      <w:r w:rsidRPr="00DF1C61">
        <w:rPr>
          <w:rFonts w:ascii="Times New Roman" w:hAnsi="Times New Roman" w:cs="Times New Roman"/>
          <w:sz w:val="25"/>
          <w:szCs w:val="25"/>
          <w:lang w:eastAsia="es-ES"/>
        </w:rPr>
        <w:t xml:space="preserve">suarios que por cualquier motivo requieren de verter sobre las cuencas hídricas, la Corporación Judicial Constitucional ha indicado que el derecho al ambiente sano está ligado con la </w:t>
      </w:r>
      <w:r w:rsidRPr="00DF1C61">
        <w:rPr>
          <w:rFonts w:ascii="Times New Roman" w:hAnsi="Times New Roman" w:cs="Times New Roman"/>
          <w:sz w:val="25"/>
          <w:szCs w:val="25"/>
          <w:lang w:eastAsia="es-ES"/>
        </w:rPr>
        <w:lastRenderedPageBreak/>
        <w:t xml:space="preserve">igualdad. Por lo tanto, todas las personas deben tener acceso a los recursos de la Nación, siempre repartiéndose, de manera equitativa, las cargas de responsabilidad en el cuidado y preservación de esas mismas riquezas, de allí que se deba buscar métodos para alivianar por los embates que actualmente estamos viviendo, pero con la correlación de pagar un porcentaje o la totalidad de la deuda, bajo métodos acordados para alcanzar el recaudo para la protección del recurso </w:t>
      </w:r>
      <w:r w:rsidR="004E074B" w:rsidRPr="00DF1C61">
        <w:rPr>
          <w:rFonts w:ascii="Times New Roman" w:hAnsi="Times New Roman" w:cs="Times New Roman"/>
          <w:sz w:val="25"/>
          <w:szCs w:val="25"/>
          <w:lang w:eastAsia="es-ES"/>
        </w:rPr>
        <w:t xml:space="preserve">hídrico </w:t>
      </w:r>
      <w:r w:rsidRPr="00DF1C61">
        <w:rPr>
          <w:rFonts w:ascii="Times New Roman" w:hAnsi="Times New Roman" w:cs="Times New Roman"/>
          <w:sz w:val="25"/>
          <w:szCs w:val="25"/>
          <w:lang w:eastAsia="es-ES"/>
        </w:rPr>
        <w:t>(Sentencias T-348 de 2012; T-294 de 2014).</w:t>
      </w:r>
    </w:p>
    <w:p w14:paraId="4ABC10D4" w14:textId="77777777" w:rsidR="004E074B" w:rsidRPr="00DF1C61" w:rsidRDefault="004E074B" w:rsidP="00D67ECC">
      <w:pPr>
        <w:spacing w:after="0"/>
        <w:jc w:val="both"/>
        <w:rPr>
          <w:rFonts w:ascii="Times New Roman" w:hAnsi="Times New Roman" w:cs="Times New Roman"/>
          <w:sz w:val="25"/>
          <w:szCs w:val="25"/>
          <w:lang w:eastAsia="es-ES"/>
        </w:rPr>
      </w:pPr>
    </w:p>
    <w:p w14:paraId="0B1B4DD6" w14:textId="4476C2DA" w:rsidR="005714D9" w:rsidRPr="00DF1C61"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En últimas, el derecho al ambiente sano que se pretende proteger a partir de las medidas que se adoptan con los recursos de la Tasa Retributiva incluye una dimensión de la justicia, conforme a la cual se integra de una demanda de justicia distributiva en la que las cargas y beneficios ambientales sean soportadas por igual, eliminando aquellas medidas que obligan a una población especialmente vulnerable a soportar daños sin recibir beneficios como otras. </w:t>
      </w:r>
    </w:p>
    <w:p w14:paraId="1B1DF333" w14:textId="77777777" w:rsidR="004E074B" w:rsidRPr="00DF1C61" w:rsidRDefault="004E074B" w:rsidP="00D67ECC">
      <w:pPr>
        <w:spacing w:after="0"/>
        <w:jc w:val="both"/>
        <w:rPr>
          <w:rFonts w:ascii="Times New Roman" w:hAnsi="Times New Roman" w:cs="Times New Roman"/>
          <w:sz w:val="25"/>
          <w:szCs w:val="25"/>
          <w:lang w:eastAsia="es-ES"/>
        </w:rPr>
      </w:pPr>
    </w:p>
    <w:p w14:paraId="2E793B63" w14:textId="65C5FDC1" w:rsidR="005714D9" w:rsidRDefault="005714D9"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 xml:space="preserve">Adicional a los anteriores elementos, se ha indicado que la justicia ambiental también engloba </w:t>
      </w:r>
      <w:r w:rsidR="004E074B" w:rsidRPr="00DF1C61">
        <w:rPr>
          <w:rFonts w:ascii="Times New Roman" w:hAnsi="Times New Roman" w:cs="Times New Roman"/>
          <w:sz w:val="25"/>
          <w:szCs w:val="25"/>
          <w:lang w:eastAsia="es-ES"/>
        </w:rPr>
        <w:t>los principios</w:t>
      </w:r>
      <w:r w:rsidRPr="00DF1C61">
        <w:rPr>
          <w:rFonts w:ascii="Times New Roman" w:hAnsi="Times New Roman" w:cs="Times New Roman"/>
          <w:sz w:val="25"/>
          <w:szCs w:val="25"/>
          <w:lang w:eastAsia="es-ES"/>
        </w:rPr>
        <w:t xml:space="preserve"> de sostenibilidad y de precaución</w:t>
      </w:r>
      <w:r w:rsidR="004E074B" w:rsidRPr="00DF1C61">
        <w:rPr>
          <w:rFonts w:ascii="Times New Roman" w:hAnsi="Times New Roman" w:cs="Times New Roman"/>
          <w:sz w:val="25"/>
          <w:szCs w:val="25"/>
          <w:lang w:eastAsia="es-ES"/>
        </w:rPr>
        <w:t>. Por un lado, el p</w:t>
      </w:r>
      <w:r w:rsidRPr="00DF1C61">
        <w:rPr>
          <w:rFonts w:ascii="Times New Roman" w:hAnsi="Times New Roman" w:cs="Times New Roman"/>
          <w:sz w:val="25"/>
          <w:szCs w:val="25"/>
          <w:lang w:eastAsia="es-ES"/>
        </w:rPr>
        <w:t>rincipio de sostenibilidad es el mandato por el cual los sistemas económicos y sociales deben tener continuidad, pero sin el deterioro de los ecosistemas en que se encuentran, esto es, la viabilidad ecológica</w:t>
      </w:r>
      <w:r w:rsidR="004E074B" w:rsidRPr="00DF1C61">
        <w:rPr>
          <w:rFonts w:ascii="Times New Roman" w:hAnsi="Times New Roman" w:cs="Times New Roman"/>
          <w:sz w:val="25"/>
          <w:szCs w:val="25"/>
          <w:lang w:eastAsia="es-ES"/>
        </w:rPr>
        <w:t>;</w:t>
      </w:r>
      <w:r w:rsidRPr="00DF1C61">
        <w:rPr>
          <w:rFonts w:ascii="Times New Roman" w:hAnsi="Times New Roman" w:cs="Times New Roman"/>
          <w:sz w:val="25"/>
          <w:szCs w:val="25"/>
          <w:lang w:eastAsia="es-ES"/>
        </w:rPr>
        <w:t xml:space="preserve"> </w:t>
      </w:r>
      <w:r w:rsidR="004E074B" w:rsidRPr="00DF1C61">
        <w:rPr>
          <w:rFonts w:ascii="Times New Roman" w:hAnsi="Times New Roman" w:cs="Times New Roman"/>
          <w:sz w:val="25"/>
          <w:szCs w:val="25"/>
          <w:lang w:eastAsia="es-ES"/>
        </w:rPr>
        <w:t>e</w:t>
      </w:r>
      <w:r w:rsidRPr="00DF1C61">
        <w:rPr>
          <w:rFonts w:ascii="Times New Roman" w:hAnsi="Times New Roman" w:cs="Times New Roman"/>
          <w:sz w:val="25"/>
          <w:szCs w:val="25"/>
          <w:lang w:eastAsia="es-ES"/>
        </w:rPr>
        <w:t xml:space="preserve">sa sustentabilidad tiene la obligación de garantizar el disfrute para las generaciones futuras y para otras especies vivas no humanas. </w:t>
      </w:r>
      <w:r w:rsidR="004E074B" w:rsidRPr="00DF1C61">
        <w:rPr>
          <w:rFonts w:ascii="Times New Roman" w:hAnsi="Times New Roman" w:cs="Times New Roman"/>
          <w:sz w:val="25"/>
          <w:szCs w:val="25"/>
          <w:lang w:eastAsia="es-ES"/>
        </w:rPr>
        <w:t xml:space="preserve">Por otro lado, el </w:t>
      </w:r>
      <w:r w:rsidRPr="00DF1C61">
        <w:rPr>
          <w:rFonts w:ascii="Times New Roman" w:hAnsi="Times New Roman" w:cs="Times New Roman"/>
          <w:sz w:val="25"/>
          <w:szCs w:val="25"/>
          <w:lang w:eastAsia="es-ES"/>
        </w:rPr>
        <w:t>principio de precaución prescribe que los agentes públicos y privados deben abstenerse de ejecutar una actividad, siempre que exista una duda razonable de que el acto pueda causar un daño a la naturaleza.</w:t>
      </w:r>
    </w:p>
    <w:p w14:paraId="458FC300" w14:textId="77777777" w:rsidR="000A7768" w:rsidRPr="006775A6" w:rsidRDefault="000A7768" w:rsidP="00D67ECC">
      <w:pPr>
        <w:spacing w:after="0"/>
        <w:jc w:val="both"/>
        <w:rPr>
          <w:rFonts w:ascii="Times New Roman" w:hAnsi="Times New Roman" w:cs="Times New Roman"/>
          <w:sz w:val="25"/>
          <w:szCs w:val="25"/>
          <w:lang w:eastAsia="es-ES"/>
        </w:rPr>
      </w:pPr>
    </w:p>
    <w:p w14:paraId="395AA04B" w14:textId="77777777" w:rsidR="006775A6" w:rsidRPr="006775A6" w:rsidRDefault="000A7768" w:rsidP="006775A6">
      <w:pPr>
        <w:spacing w:after="0"/>
        <w:jc w:val="both"/>
        <w:rPr>
          <w:rFonts w:ascii="Times New Roman" w:hAnsi="Times New Roman" w:cs="Times New Roman"/>
          <w:sz w:val="25"/>
          <w:szCs w:val="25"/>
          <w:lang w:eastAsia="es-ES"/>
        </w:rPr>
      </w:pPr>
      <w:r w:rsidRPr="006775A6">
        <w:rPr>
          <w:rFonts w:ascii="Times New Roman" w:hAnsi="Times New Roman" w:cs="Times New Roman"/>
          <w:sz w:val="25"/>
          <w:szCs w:val="25"/>
          <w:lang w:eastAsia="es-ES"/>
        </w:rPr>
        <w:t xml:space="preserve">Finalmente, se prevé que ya existe un antecedente reciente de buscar </w:t>
      </w:r>
      <w:r w:rsidR="006775A6" w:rsidRPr="006775A6">
        <w:rPr>
          <w:rFonts w:ascii="Times New Roman" w:hAnsi="Times New Roman" w:cs="Times New Roman"/>
          <w:sz w:val="25"/>
          <w:szCs w:val="25"/>
          <w:lang w:eastAsia="es-ES"/>
        </w:rPr>
        <w:t xml:space="preserve">exención o condonación sobre el objeto de este proyecto, el cual se desprende del art. 91 de la Ley 2277 del 2022, </w:t>
      </w:r>
      <w:r w:rsidR="006775A6" w:rsidRPr="006775A6">
        <w:rPr>
          <w:rFonts w:ascii="Times New Roman" w:hAnsi="Times New Roman" w:cs="Times New Roman"/>
          <w:b/>
          <w:bCs/>
          <w:i/>
          <w:sz w:val="25"/>
          <w:szCs w:val="25"/>
          <w:lang w:eastAsia="es-ES"/>
        </w:rPr>
        <w:t xml:space="preserve">“Por medio de la cual se adopta una reforma tributaria para la igualdad y la justicia social y se dictan otras disposiciones”, </w:t>
      </w:r>
      <w:r w:rsidR="006775A6" w:rsidRPr="006775A6">
        <w:rPr>
          <w:rFonts w:ascii="Times New Roman" w:hAnsi="Times New Roman" w:cs="Times New Roman"/>
          <w:sz w:val="25"/>
          <w:szCs w:val="25"/>
          <w:lang w:eastAsia="es-ES"/>
        </w:rPr>
        <w:t>establece para las obligaciones tributarias y aduaneras que se paguen totalmente hasta el treinta (30) de junio de 2023, y para las facilidades o acuerdos para el pago de que trata el artículo 814 del Estatuto Tributario que se suscriban a partir de la entrada en vigencia de la presente Ley y hasta el treinta (30) de junio de 2023, la tasa de interés de mora será equivalente al cincuenta por ciento (50%) de la tasa de interés establecida en el artículo 635 del Estatuto Tributario. La solicitud para la suscripción de las facilidades o acuerdos para el pago de que trata el presente artículo deberá ser radicada a más tardar el quince (15) de mayo de 2023.</w:t>
      </w:r>
    </w:p>
    <w:p w14:paraId="134FAC04" w14:textId="64C44099" w:rsidR="000A7768" w:rsidRPr="00DF1C61" w:rsidRDefault="000A7768" w:rsidP="00D67ECC">
      <w:pPr>
        <w:spacing w:after="0"/>
        <w:jc w:val="both"/>
        <w:rPr>
          <w:rFonts w:ascii="Times New Roman" w:hAnsi="Times New Roman" w:cs="Times New Roman"/>
          <w:sz w:val="25"/>
          <w:szCs w:val="25"/>
          <w:lang w:eastAsia="es-ES"/>
        </w:rPr>
      </w:pPr>
    </w:p>
    <w:p w14:paraId="043C4459" w14:textId="77777777" w:rsidR="00B23206" w:rsidRPr="00DF1C61" w:rsidRDefault="00B23206" w:rsidP="00D67ECC">
      <w:pPr>
        <w:spacing w:after="0"/>
        <w:jc w:val="both"/>
        <w:rPr>
          <w:rFonts w:ascii="Times New Roman" w:hAnsi="Times New Roman" w:cs="Times New Roman"/>
          <w:sz w:val="25"/>
          <w:szCs w:val="25"/>
          <w:lang w:eastAsia="es-ES"/>
        </w:rPr>
      </w:pPr>
    </w:p>
    <w:p w14:paraId="26701811" w14:textId="77777777" w:rsidR="00CA0DED" w:rsidRPr="00DF1C61" w:rsidRDefault="00CA0DED" w:rsidP="00D67ECC">
      <w:pPr>
        <w:spacing w:after="0"/>
        <w:jc w:val="both"/>
        <w:rPr>
          <w:rFonts w:ascii="Times New Roman" w:hAnsi="Times New Roman" w:cs="Times New Roman"/>
          <w:b/>
          <w:bCs/>
          <w:sz w:val="25"/>
          <w:szCs w:val="25"/>
          <w:lang w:eastAsia="es-ES"/>
        </w:rPr>
      </w:pPr>
      <w:r w:rsidRPr="00DF1C61">
        <w:rPr>
          <w:rFonts w:ascii="Times New Roman" w:hAnsi="Times New Roman" w:cs="Times New Roman"/>
          <w:b/>
          <w:bCs/>
          <w:sz w:val="25"/>
          <w:szCs w:val="25"/>
          <w:lang w:eastAsia="es-ES"/>
        </w:rPr>
        <w:lastRenderedPageBreak/>
        <w:t>-</w:t>
      </w:r>
      <w:r w:rsidRPr="00DF1C61">
        <w:rPr>
          <w:rFonts w:ascii="Times New Roman" w:hAnsi="Times New Roman" w:cs="Times New Roman"/>
          <w:b/>
          <w:bCs/>
          <w:sz w:val="25"/>
          <w:szCs w:val="25"/>
          <w:lang w:eastAsia="es-ES"/>
        </w:rPr>
        <w:tab/>
        <w:t>Posibles conflictos de interés</w:t>
      </w:r>
    </w:p>
    <w:p w14:paraId="355818EC" w14:textId="77777777" w:rsidR="00CA0DED" w:rsidRPr="00DF1C61" w:rsidRDefault="00CA0DED" w:rsidP="00D67ECC">
      <w:pPr>
        <w:spacing w:after="0"/>
        <w:jc w:val="both"/>
        <w:rPr>
          <w:rFonts w:ascii="Times New Roman" w:hAnsi="Times New Roman" w:cs="Times New Roman"/>
          <w:sz w:val="25"/>
          <w:szCs w:val="25"/>
          <w:lang w:eastAsia="es-ES"/>
        </w:rPr>
      </w:pPr>
    </w:p>
    <w:p w14:paraId="0FC0D9EC" w14:textId="3961BEE6" w:rsidR="00CA0DED" w:rsidRPr="00DF1C61" w:rsidRDefault="00CA0DED" w:rsidP="00D67ECC">
      <w:pPr>
        <w:spacing w:after="0"/>
        <w:jc w:val="both"/>
        <w:rPr>
          <w:rFonts w:ascii="Times New Roman" w:hAnsi="Times New Roman" w:cs="Times New Roman"/>
          <w:sz w:val="25"/>
          <w:szCs w:val="25"/>
          <w:lang w:eastAsia="es-ES"/>
        </w:rPr>
      </w:pPr>
      <w:r w:rsidRPr="00DF1C61">
        <w:rPr>
          <w:rFonts w:ascii="Times New Roman" w:hAnsi="Times New Roman" w:cs="Times New Roman"/>
          <w:sz w:val="25"/>
          <w:szCs w:val="25"/>
          <w:lang w:eastAsia="es-ES"/>
        </w:rPr>
        <w:t>En cumplimiento a lo ordenado por el artículo 3.º de la Ley 2003 de 2019, que modificó el artículo 291 de la Ley 5.ª de 1992 (Reglamento del Congreso), se estima que la discusión y aprobación de este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que de acuerdo con lo establecido en este proyecto de ley estén vinculados con sujetos pasivos, distintos de los municipios, del pago de la obligación de la Tasa Retributiva.</w:t>
      </w:r>
    </w:p>
    <w:p w14:paraId="75E55D63" w14:textId="77777777" w:rsidR="00CA0DED" w:rsidRPr="00DF1C61" w:rsidRDefault="00CA0DED" w:rsidP="00D67ECC">
      <w:pPr>
        <w:spacing w:after="0"/>
        <w:jc w:val="both"/>
        <w:rPr>
          <w:rFonts w:ascii="Times New Roman" w:hAnsi="Times New Roman" w:cs="Times New Roman"/>
          <w:sz w:val="25"/>
          <w:szCs w:val="25"/>
          <w:lang w:eastAsia="es-ES"/>
        </w:rPr>
      </w:pPr>
    </w:p>
    <w:p w14:paraId="76F7ABDB" w14:textId="77777777" w:rsidR="00D67ECC" w:rsidRPr="00DF1C61" w:rsidRDefault="00D67ECC" w:rsidP="00D67ECC">
      <w:pPr>
        <w:spacing w:after="0"/>
        <w:jc w:val="both"/>
        <w:rPr>
          <w:rFonts w:ascii="Times New Roman" w:hAnsi="Times New Roman" w:cs="Times New Roman"/>
          <w:sz w:val="25"/>
          <w:szCs w:val="25"/>
          <w:lang w:val="es-ES_tradnl"/>
        </w:rPr>
      </w:pPr>
      <w:r w:rsidRPr="00DF1C61">
        <w:rPr>
          <w:rFonts w:ascii="Times New Roman" w:hAnsi="Times New Roman" w:cs="Times New Roman"/>
          <w:sz w:val="25"/>
          <w:szCs w:val="25"/>
          <w:lang w:val="es-ES_tradnl"/>
        </w:rPr>
        <w:t xml:space="preserve">Es importante destacar que los conflictos de interés son personales y corresponde a cada congresista evaluar su circunstancia particular respecto a la materia del proyecto de ley, de conformidad con lo establecido en el artículo 285 de la </w:t>
      </w:r>
      <w:r w:rsidRPr="00DF1C61">
        <w:rPr>
          <w:rFonts w:ascii="Times New Roman" w:hAnsi="Times New Roman" w:cs="Times New Roman"/>
          <w:sz w:val="25"/>
          <w:szCs w:val="25"/>
        </w:rPr>
        <w:t>Ley 5.ª de 1992 y la jurisprudencia que ha dado alcances interpretativos a la norma precitada</w:t>
      </w:r>
      <w:r w:rsidRPr="00DF1C61">
        <w:rPr>
          <w:rFonts w:ascii="Times New Roman" w:hAnsi="Times New Roman" w:cs="Times New Roman"/>
          <w:sz w:val="25"/>
          <w:szCs w:val="25"/>
          <w:lang w:val="es-ES_tradnl"/>
        </w:rPr>
        <w:t xml:space="preserve">. </w:t>
      </w:r>
    </w:p>
    <w:p w14:paraId="1688DB69" w14:textId="77777777" w:rsidR="00D67ECC" w:rsidRPr="00DF1C61" w:rsidRDefault="00D67ECC" w:rsidP="00D67ECC">
      <w:pPr>
        <w:spacing w:before="240" w:after="0"/>
        <w:jc w:val="both"/>
        <w:rPr>
          <w:rFonts w:ascii="Times New Roman" w:hAnsi="Times New Roman" w:cs="Times New Roman"/>
          <w:sz w:val="25"/>
          <w:szCs w:val="25"/>
          <w:lang w:val="es-ES_tradnl"/>
        </w:rPr>
      </w:pPr>
    </w:p>
    <w:p w14:paraId="1B55FF86" w14:textId="77777777" w:rsidR="00D67ECC" w:rsidRPr="00DF1C61" w:rsidRDefault="00D67ECC" w:rsidP="00D67ECC">
      <w:pPr>
        <w:spacing w:after="0"/>
        <w:jc w:val="both"/>
        <w:rPr>
          <w:rFonts w:ascii="Times New Roman" w:hAnsi="Times New Roman" w:cs="Times New Roman"/>
          <w:sz w:val="25"/>
          <w:szCs w:val="25"/>
          <w:lang w:val="es-ES"/>
        </w:rPr>
      </w:pPr>
      <w:r w:rsidRPr="00DF1C61">
        <w:rPr>
          <w:rFonts w:ascii="Times New Roman" w:hAnsi="Times New Roman" w:cs="Times New Roman"/>
          <w:sz w:val="25"/>
          <w:szCs w:val="25"/>
          <w:lang w:val="es-ES"/>
        </w:rPr>
        <w:t>De los Honorables Congresistas,</w:t>
      </w:r>
    </w:p>
    <w:p w14:paraId="4D3869E2" w14:textId="77777777" w:rsidR="00D67ECC" w:rsidRPr="00DF1C61" w:rsidRDefault="00D67ECC" w:rsidP="00D67ECC">
      <w:pPr>
        <w:spacing w:after="0"/>
        <w:jc w:val="both"/>
        <w:rPr>
          <w:rFonts w:ascii="Times New Roman" w:hAnsi="Times New Roman" w:cs="Times New Roman"/>
          <w:sz w:val="25"/>
          <w:szCs w:val="25"/>
          <w:lang w:val="es-ES"/>
        </w:rPr>
      </w:pPr>
    </w:p>
    <w:p w14:paraId="0842D168" w14:textId="77777777" w:rsidR="00D67ECC" w:rsidRPr="00DF1C61" w:rsidRDefault="00D67ECC" w:rsidP="00D67ECC">
      <w:pPr>
        <w:spacing w:after="0"/>
        <w:jc w:val="both"/>
        <w:rPr>
          <w:rFonts w:ascii="Times New Roman" w:hAnsi="Times New Roman" w:cs="Times New Roman"/>
          <w:sz w:val="25"/>
          <w:szCs w:val="25"/>
          <w:lang w:val="es-ES"/>
        </w:rPr>
      </w:pPr>
    </w:p>
    <w:p w14:paraId="06682F25" w14:textId="77777777" w:rsidR="00D67ECC" w:rsidRPr="00DF1C61" w:rsidRDefault="00D67ECC" w:rsidP="00D67ECC">
      <w:pPr>
        <w:spacing w:after="0"/>
        <w:jc w:val="both"/>
        <w:rPr>
          <w:rFonts w:ascii="Times New Roman" w:hAnsi="Times New Roman" w:cs="Times New Roman"/>
          <w:sz w:val="25"/>
          <w:szCs w:val="25"/>
          <w:lang w:val="es-ES"/>
        </w:rPr>
      </w:pPr>
    </w:p>
    <w:p w14:paraId="65E53FEF" w14:textId="77777777" w:rsidR="00D67ECC" w:rsidRPr="00DF1C61" w:rsidRDefault="00D67ECC" w:rsidP="00D67ECC">
      <w:pPr>
        <w:spacing w:after="0"/>
        <w:jc w:val="both"/>
        <w:rPr>
          <w:rFonts w:ascii="Times New Roman" w:hAnsi="Times New Roman" w:cs="Times New Roman"/>
          <w:b/>
          <w:bCs/>
          <w:sz w:val="25"/>
          <w:szCs w:val="25"/>
        </w:rPr>
      </w:pPr>
    </w:p>
    <w:p w14:paraId="26D29515" w14:textId="77777777" w:rsidR="00D67ECC" w:rsidRPr="00DF1C61" w:rsidRDefault="00D67ECC" w:rsidP="00D67ECC">
      <w:pPr>
        <w:spacing w:after="0"/>
        <w:jc w:val="both"/>
        <w:rPr>
          <w:rFonts w:ascii="Times New Roman" w:hAnsi="Times New Roman" w:cs="Times New Roman"/>
          <w:b/>
          <w:bCs/>
          <w:sz w:val="25"/>
          <w:szCs w:val="25"/>
        </w:rPr>
      </w:pPr>
      <w:r w:rsidRPr="00DF1C61">
        <w:rPr>
          <w:rFonts w:ascii="Times New Roman" w:hAnsi="Times New Roman" w:cs="Times New Roman"/>
          <w:b/>
          <w:bCs/>
          <w:sz w:val="25"/>
          <w:szCs w:val="25"/>
        </w:rPr>
        <w:t>ALEJANDRO MARTINEZ SÁNCHEZ</w:t>
      </w:r>
    </w:p>
    <w:p w14:paraId="77AE17A0" w14:textId="77777777" w:rsidR="00D67ECC" w:rsidRPr="00DF1C61" w:rsidRDefault="00D67ECC" w:rsidP="00D67ECC">
      <w:pPr>
        <w:spacing w:after="0"/>
        <w:jc w:val="both"/>
        <w:rPr>
          <w:rFonts w:ascii="Times New Roman" w:hAnsi="Times New Roman" w:cs="Times New Roman"/>
          <w:b/>
          <w:bCs/>
          <w:sz w:val="25"/>
          <w:szCs w:val="25"/>
        </w:rPr>
      </w:pPr>
      <w:r w:rsidRPr="00DF1C61">
        <w:rPr>
          <w:rFonts w:ascii="Times New Roman" w:hAnsi="Times New Roman" w:cs="Times New Roman"/>
          <w:b/>
          <w:bCs/>
          <w:sz w:val="25"/>
          <w:szCs w:val="25"/>
        </w:rPr>
        <w:t>Representante a la Cámara Tolima</w:t>
      </w:r>
    </w:p>
    <w:p w14:paraId="7474F172" w14:textId="46A734F9" w:rsidR="00CA0DED" w:rsidRDefault="00CA0DED" w:rsidP="00D67ECC">
      <w:pPr>
        <w:spacing w:after="0"/>
        <w:jc w:val="both"/>
        <w:rPr>
          <w:rFonts w:ascii="Times New Roman" w:hAnsi="Times New Roman" w:cs="Times New Roman"/>
          <w:sz w:val="25"/>
          <w:szCs w:val="25"/>
          <w:lang w:eastAsia="es-ES"/>
        </w:rPr>
      </w:pPr>
    </w:p>
    <w:p w14:paraId="17A8054F" w14:textId="23E05ACD" w:rsidR="00AC5F0A" w:rsidRDefault="00AC5F0A" w:rsidP="00D67ECC">
      <w:pPr>
        <w:spacing w:after="0"/>
        <w:jc w:val="both"/>
        <w:rPr>
          <w:rFonts w:ascii="Times New Roman" w:hAnsi="Times New Roman" w:cs="Times New Roman"/>
          <w:sz w:val="25"/>
          <w:szCs w:val="25"/>
          <w:lang w:eastAsia="es-ES"/>
        </w:rPr>
      </w:pPr>
    </w:p>
    <w:tbl>
      <w:tblPr>
        <w:tblStyle w:val="Tablaconcuadrcula"/>
        <w:tblW w:w="0" w:type="auto"/>
        <w:tblLook w:val="04A0" w:firstRow="1" w:lastRow="0" w:firstColumn="1" w:lastColumn="0" w:noHBand="0" w:noVBand="1"/>
      </w:tblPr>
      <w:tblGrid>
        <w:gridCol w:w="4414"/>
        <w:gridCol w:w="4414"/>
      </w:tblGrid>
      <w:tr w:rsidR="00AC5F0A" w14:paraId="3C78605E" w14:textId="77777777" w:rsidTr="00AC5F0A">
        <w:tc>
          <w:tcPr>
            <w:tcW w:w="4414" w:type="dxa"/>
          </w:tcPr>
          <w:p w14:paraId="1D2C3D85" w14:textId="77777777" w:rsidR="00AC5F0A" w:rsidRDefault="00AC5F0A" w:rsidP="00D67ECC">
            <w:pPr>
              <w:jc w:val="both"/>
              <w:rPr>
                <w:rFonts w:ascii="Times New Roman" w:hAnsi="Times New Roman" w:cs="Times New Roman"/>
                <w:sz w:val="25"/>
                <w:szCs w:val="25"/>
                <w:lang w:eastAsia="es-ES"/>
              </w:rPr>
            </w:pPr>
          </w:p>
          <w:p w14:paraId="6331CE16" w14:textId="77777777" w:rsidR="00AC5F0A" w:rsidRDefault="00AC5F0A" w:rsidP="00D67ECC">
            <w:pPr>
              <w:jc w:val="both"/>
              <w:rPr>
                <w:rFonts w:ascii="Times New Roman" w:hAnsi="Times New Roman" w:cs="Times New Roman"/>
                <w:sz w:val="25"/>
                <w:szCs w:val="25"/>
                <w:lang w:eastAsia="es-ES"/>
              </w:rPr>
            </w:pPr>
          </w:p>
          <w:p w14:paraId="3222C4BD" w14:textId="77777777" w:rsidR="00AC5F0A" w:rsidRDefault="00AC5F0A" w:rsidP="00D67ECC">
            <w:pPr>
              <w:jc w:val="both"/>
              <w:rPr>
                <w:rFonts w:ascii="Times New Roman" w:hAnsi="Times New Roman" w:cs="Times New Roman"/>
                <w:sz w:val="25"/>
                <w:szCs w:val="25"/>
                <w:lang w:eastAsia="es-ES"/>
              </w:rPr>
            </w:pPr>
          </w:p>
          <w:p w14:paraId="55C5CC66" w14:textId="77777777" w:rsidR="00AC5F0A" w:rsidRDefault="00AC5F0A" w:rsidP="00D67ECC">
            <w:pPr>
              <w:jc w:val="both"/>
              <w:rPr>
                <w:rFonts w:ascii="Times New Roman" w:hAnsi="Times New Roman" w:cs="Times New Roman"/>
                <w:sz w:val="25"/>
                <w:szCs w:val="25"/>
                <w:lang w:eastAsia="es-ES"/>
              </w:rPr>
            </w:pPr>
          </w:p>
          <w:p w14:paraId="3989F8C1" w14:textId="77777777" w:rsidR="00AC5F0A" w:rsidRDefault="00AC5F0A" w:rsidP="00D67ECC">
            <w:pPr>
              <w:jc w:val="both"/>
              <w:rPr>
                <w:rFonts w:ascii="Times New Roman" w:hAnsi="Times New Roman" w:cs="Times New Roman"/>
                <w:sz w:val="25"/>
                <w:szCs w:val="25"/>
                <w:lang w:eastAsia="es-ES"/>
              </w:rPr>
            </w:pPr>
          </w:p>
          <w:p w14:paraId="42B23CBA" w14:textId="203F5AC5" w:rsidR="00AC5F0A" w:rsidRDefault="00AC5F0A" w:rsidP="00D67ECC">
            <w:pPr>
              <w:jc w:val="both"/>
              <w:rPr>
                <w:rFonts w:ascii="Times New Roman" w:hAnsi="Times New Roman" w:cs="Times New Roman"/>
                <w:sz w:val="25"/>
                <w:szCs w:val="25"/>
                <w:lang w:eastAsia="es-ES"/>
              </w:rPr>
            </w:pPr>
          </w:p>
        </w:tc>
        <w:tc>
          <w:tcPr>
            <w:tcW w:w="4414" w:type="dxa"/>
          </w:tcPr>
          <w:p w14:paraId="4AD08483" w14:textId="77777777" w:rsidR="00AC5F0A" w:rsidRDefault="00AC5F0A" w:rsidP="00D67ECC">
            <w:pPr>
              <w:jc w:val="both"/>
              <w:rPr>
                <w:rFonts w:ascii="Times New Roman" w:hAnsi="Times New Roman" w:cs="Times New Roman"/>
                <w:sz w:val="25"/>
                <w:szCs w:val="25"/>
                <w:lang w:eastAsia="es-ES"/>
              </w:rPr>
            </w:pPr>
          </w:p>
        </w:tc>
      </w:tr>
      <w:tr w:rsidR="00AC5F0A" w14:paraId="04545FFF" w14:textId="77777777" w:rsidTr="00AC5F0A">
        <w:tc>
          <w:tcPr>
            <w:tcW w:w="4414" w:type="dxa"/>
          </w:tcPr>
          <w:p w14:paraId="3E2FE981" w14:textId="77777777" w:rsidR="00AC5F0A" w:rsidRDefault="00AC5F0A" w:rsidP="00D67ECC">
            <w:pPr>
              <w:jc w:val="both"/>
              <w:rPr>
                <w:rFonts w:ascii="Times New Roman" w:hAnsi="Times New Roman" w:cs="Times New Roman"/>
                <w:sz w:val="25"/>
                <w:szCs w:val="25"/>
                <w:lang w:eastAsia="es-ES"/>
              </w:rPr>
            </w:pPr>
          </w:p>
          <w:p w14:paraId="43589434" w14:textId="77777777" w:rsidR="00AC5F0A" w:rsidRDefault="00AC5F0A" w:rsidP="00D67ECC">
            <w:pPr>
              <w:jc w:val="both"/>
              <w:rPr>
                <w:rFonts w:ascii="Times New Roman" w:hAnsi="Times New Roman" w:cs="Times New Roman"/>
                <w:sz w:val="25"/>
                <w:szCs w:val="25"/>
                <w:lang w:eastAsia="es-ES"/>
              </w:rPr>
            </w:pPr>
          </w:p>
          <w:p w14:paraId="35D04896" w14:textId="77777777" w:rsidR="00AC5F0A" w:rsidRDefault="00AC5F0A" w:rsidP="00D67ECC">
            <w:pPr>
              <w:jc w:val="both"/>
              <w:rPr>
                <w:rFonts w:ascii="Times New Roman" w:hAnsi="Times New Roman" w:cs="Times New Roman"/>
                <w:sz w:val="25"/>
                <w:szCs w:val="25"/>
                <w:lang w:eastAsia="es-ES"/>
              </w:rPr>
            </w:pPr>
          </w:p>
          <w:p w14:paraId="72542358" w14:textId="77777777" w:rsidR="00AC5F0A" w:rsidRDefault="00AC5F0A" w:rsidP="00D67ECC">
            <w:pPr>
              <w:jc w:val="both"/>
              <w:rPr>
                <w:rFonts w:ascii="Times New Roman" w:hAnsi="Times New Roman" w:cs="Times New Roman"/>
                <w:sz w:val="25"/>
                <w:szCs w:val="25"/>
                <w:lang w:eastAsia="es-ES"/>
              </w:rPr>
            </w:pPr>
          </w:p>
          <w:p w14:paraId="518CC38C" w14:textId="77777777" w:rsidR="00AC5F0A" w:rsidRDefault="00AC5F0A" w:rsidP="00D67ECC">
            <w:pPr>
              <w:jc w:val="both"/>
              <w:rPr>
                <w:rFonts w:ascii="Times New Roman" w:hAnsi="Times New Roman" w:cs="Times New Roman"/>
                <w:sz w:val="25"/>
                <w:szCs w:val="25"/>
                <w:lang w:eastAsia="es-ES"/>
              </w:rPr>
            </w:pPr>
          </w:p>
          <w:p w14:paraId="7115DAA0" w14:textId="20DCCC0D" w:rsidR="00AC5F0A" w:rsidRDefault="00AC5F0A" w:rsidP="00D67ECC">
            <w:pPr>
              <w:jc w:val="both"/>
              <w:rPr>
                <w:rFonts w:ascii="Times New Roman" w:hAnsi="Times New Roman" w:cs="Times New Roman"/>
                <w:sz w:val="25"/>
                <w:szCs w:val="25"/>
                <w:lang w:eastAsia="es-ES"/>
              </w:rPr>
            </w:pPr>
          </w:p>
        </w:tc>
        <w:tc>
          <w:tcPr>
            <w:tcW w:w="4414" w:type="dxa"/>
          </w:tcPr>
          <w:p w14:paraId="6E711C37" w14:textId="77777777" w:rsidR="00AC5F0A" w:rsidRDefault="00AC5F0A" w:rsidP="00D67ECC">
            <w:pPr>
              <w:jc w:val="both"/>
              <w:rPr>
                <w:rFonts w:ascii="Times New Roman" w:hAnsi="Times New Roman" w:cs="Times New Roman"/>
                <w:sz w:val="25"/>
                <w:szCs w:val="25"/>
                <w:lang w:eastAsia="es-ES"/>
              </w:rPr>
            </w:pPr>
          </w:p>
        </w:tc>
      </w:tr>
    </w:tbl>
    <w:p w14:paraId="71083FAA" w14:textId="53682C33" w:rsidR="00AC5F0A" w:rsidRDefault="00AC5F0A" w:rsidP="00D67ECC">
      <w:pPr>
        <w:spacing w:after="0"/>
        <w:jc w:val="both"/>
        <w:rPr>
          <w:rFonts w:ascii="Times New Roman" w:hAnsi="Times New Roman" w:cs="Times New Roman"/>
          <w:sz w:val="25"/>
          <w:szCs w:val="25"/>
          <w:lang w:eastAsia="es-ES"/>
        </w:rPr>
      </w:pPr>
    </w:p>
    <w:tbl>
      <w:tblPr>
        <w:tblStyle w:val="Tablaconcuadrcula"/>
        <w:tblW w:w="0" w:type="auto"/>
        <w:tblLook w:val="04A0" w:firstRow="1" w:lastRow="0" w:firstColumn="1" w:lastColumn="0" w:noHBand="0" w:noVBand="1"/>
      </w:tblPr>
      <w:tblGrid>
        <w:gridCol w:w="4414"/>
        <w:gridCol w:w="4414"/>
      </w:tblGrid>
      <w:tr w:rsidR="00AC5F0A" w14:paraId="0D34B511" w14:textId="77777777" w:rsidTr="0018700B">
        <w:tc>
          <w:tcPr>
            <w:tcW w:w="4414" w:type="dxa"/>
          </w:tcPr>
          <w:p w14:paraId="372DC6CF" w14:textId="77777777" w:rsidR="00AC5F0A" w:rsidRDefault="00AC5F0A" w:rsidP="0018700B">
            <w:pPr>
              <w:jc w:val="both"/>
              <w:rPr>
                <w:rFonts w:ascii="Times New Roman" w:hAnsi="Times New Roman" w:cs="Times New Roman"/>
                <w:sz w:val="25"/>
                <w:szCs w:val="25"/>
                <w:lang w:eastAsia="es-ES"/>
              </w:rPr>
            </w:pPr>
          </w:p>
          <w:p w14:paraId="7230D49A" w14:textId="77777777" w:rsidR="00AC5F0A" w:rsidRDefault="00AC5F0A" w:rsidP="0018700B">
            <w:pPr>
              <w:jc w:val="both"/>
              <w:rPr>
                <w:rFonts w:ascii="Times New Roman" w:hAnsi="Times New Roman" w:cs="Times New Roman"/>
                <w:sz w:val="25"/>
                <w:szCs w:val="25"/>
                <w:lang w:eastAsia="es-ES"/>
              </w:rPr>
            </w:pPr>
          </w:p>
          <w:p w14:paraId="56591D3E" w14:textId="77777777" w:rsidR="00AC5F0A" w:rsidRDefault="00AC5F0A" w:rsidP="0018700B">
            <w:pPr>
              <w:jc w:val="both"/>
              <w:rPr>
                <w:rFonts w:ascii="Times New Roman" w:hAnsi="Times New Roman" w:cs="Times New Roman"/>
                <w:sz w:val="25"/>
                <w:szCs w:val="25"/>
                <w:lang w:eastAsia="es-ES"/>
              </w:rPr>
            </w:pPr>
          </w:p>
          <w:p w14:paraId="33C3B2C2" w14:textId="77777777" w:rsidR="00AC5F0A" w:rsidRDefault="00AC5F0A" w:rsidP="0018700B">
            <w:pPr>
              <w:jc w:val="both"/>
              <w:rPr>
                <w:rFonts w:ascii="Times New Roman" w:hAnsi="Times New Roman" w:cs="Times New Roman"/>
                <w:sz w:val="25"/>
                <w:szCs w:val="25"/>
                <w:lang w:eastAsia="es-ES"/>
              </w:rPr>
            </w:pPr>
          </w:p>
          <w:p w14:paraId="75AD9125" w14:textId="77777777" w:rsidR="00AC5F0A" w:rsidRDefault="00AC5F0A" w:rsidP="0018700B">
            <w:pPr>
              <w:jc w:val="both"/>
              <w:rPr>
                <w:rFonts w:ascii="Times New Roman" w:hAnsi="Times New Roman" w:cs="Times New Roman"/>
                <w:sz w:val="25"/>
                <w:szCs w:val="25"/>
                <w:lang w:eastAsia="es-ES"/>
              </w:rPr>
            </w:pPr>
          </w:p>
          <w:p w14:paraId="1EA61C06" w14:textId="77777777" w:rsidR="00AC5F0A" w:rsidRDefault="00AC5F0A" w:rsidP="0018700B">
            <w:pPr>
              <w:jc w:val="both"/>
              <w:rPr>
                <w:rFonts w:ascii="Times New Roman" w:hAnsi="Times New Roman" w:cs="Times New Roman"/>
                <w:sz w:val="25"/>
                <w:szCs w:val="25"/>
                <w:lang w:eastAsia="es-ES"/>
              </w:rPr>
            </w:pPr>
          </w:p>
        </w:tc>
        <w:tc>
          <w:tcPr>
            <w:tcW w:w="4414" w:type="dxa"/>
          </w:tcPr>
          <w:p w14:paraId="658DD517" w14:textId="77777777" w:rsidR="00AC5F0A" w:rsidRDefault="00AC5F0A" w:rsidP="0018700B">
            <w:pPr>
              <w:jc w:val="both"/>
              <w:rPr>
                <w:rFonts w:ascii="Times New Roman" w:hAnsi="Times New Roman" w:cs="Times New Roman"/>
                <w:sz w:val="25"/>
                <w:szCs w:val="25"/>
                <w:lang w:eastAsia="es-ES"/>
              </w:rPr>
            </w:pPr>
          </w:p>
        </w:tc>
      </w:tr>
      <w:tr w:rsidR="00AC5F0A" w14:paraId="70CA21A4" w14:textId="77777777" w:rsidTr="0018700B">
        <w:tc>
          <w:tcPr>
            <w:tcW w:w="4414" w:type="dxa"/>
          </w:tcPr>
          <w:p w14:paraId="3A12FB42" w14:textId="77777777" w:rsidR="00AC5F0A" w:rsidRDefault="00AC5F0A" w:rsidP="0018700B">
            <w:pPr>
              <w:jc w:val="both"/>
              <w:rPr>
                <w:rFonts w:ascii="Times New Roman" w:hAnsi="Times New Roman" w:cs="Times New Roman"/>
                <w:sz w:val="25"/>
                <w:szCs w:val="25"/>
                <w:lang w:eastAsia="es-ES"/>
              </w:rPr>
            </w:pPr>
          </w:p>
          <w:p w14:paraId="053DE1A8" w14:textId="77777777" w:rsidR="00AC5F0A" w:rsidRDefault="00AC5F0A" w:rsidP="0018700B">
            <w:pPr>
              <w:jc w:val="both"/>
              <w:rPr>
                <w:rFonts w:ascii="Times New Roman" w:hAnsi="Times New Roman" w:cs="Times New Roman"/>
                <w:sz w:val="25"/>
                <w:szCs w:val="25"/>
                <w:lang w:eastAsia="es-ES"/>
              </w:rPr>
            </w:pPr>
          </w:p>
          <w:p w14:paraId="320692DE" w14:textId="77777777" w:rsidR="00AC5F0A" w:rsidRDefault="00AC5F0A" w:rsidP="0018700B">
            <w:pPr>
              <w:jc w:val="both"/>
              <w:rPr>
                <w:rFonts w:ascii="Times New Roman" w:hAnsi="Times New Roman" w:cs="Times New Roman"/>
                <w:sz w:val="25"/>
                <w:szCs w:val="25"/>
                <w:lang w:eastAsia="es-ES"/>
              </w:rPr>
            </w:pPr>
          </w:p>
          <w:p w14:paraId="413D2843" w14:textId="77777777" w:rsidR="00AC5F0A" w:rsidRDefault="00AC5F0A" w:rsidP="0018700B">
            <w:pPr>
              <w:jc w:val="both"/>
              <w:rPr>
                <w:rFonts w:ascii="Times New Roman" w:hAnsi="Times New Roman" w:cs="Times New Roman"/>
                <w:sz w:val="25"/>
                <w:szCs w:val="25"/>
                <w:lang w:eastAsia="es-ES"/>
              </w:rPr>
            </w:pPr>
          </w:p>
          <w:p w14:paraId="623E7578" w14:textId="77777777" w:rsidR="00AC5F0A" w:rsidRDefault="00AC5F0A" w:rsidP="0018700B">
            <w:pPr>
              <w:jc w:val="both"/>
              <w:rPr>
                <w:rFonts w:ascii="Times New Roman" w:hAnsi="Times New Roman" w:cs="Times New Roman"/>
                <w:sz w:val="25"/>
                <w:szCs w:val="25"/>
                <w:lang w:eastAsia="es-ES"/>
              </w:rPr>
            </w:pPr>
          </w:p>
          <w:p w14:paraId="112D6259" w14:textId="77777777" w:rsidR="00AC5F0A" w:rsidRDefault="00AC5F0A" w:rsidP="0018700B">
            <w:pPr>
              <w:jc w:val="both"/>
              <w:rPr>
                <w:rFonts w:ascii="Times New Roman" w:hAnsi="Times New Roman" w:cs="Times New Roman"/>
                <w:sz w:val="25"/>
                <w:szCs w:val="25"/>
                <w:lang w:eastAsia="es-ES"/>
              </w:rPr>
            </w:pPr>
          </w:p>
        </w:tc>
        <w:tc>
          <w:tcPr>
            <w:tcW w:w="4414" w:type="dxa"/>
          </w:tcPr>
          <w:p w14:paraId="1522BD70" w14:textId="77777777" w:rsidR="00AC5F0A" w:rsidRDefault="00AC5F0A" w:rsidP="0018700B">
            <w:pPr>
              <w:jc w:val="both"/>
              <w:rPr>
                <w:rFonts w:ascii="Times New Roman" w:hAnsi="Times New Roman" w:cs="Times New Roman"/>
                <w:sz w:val="25"/>
                <w:szCs w:val="25"/>
                <w:lang w:eastAsia="es-ES"/>
              </w:rPr>
            </w:pPr>
          </w:p>
        </w:tc>
      </w:tr>
      <w:tr w:rsidR="00AC5F0A" w14:paraId="6EFC8C79" w14:textId="77777777" w:rsidTr="00AC5F0A">
        <w:tc>
          <w:tcPr>
            <w:tcW w:w="4414" w:type="dxa"/>
          </w:tcPr>
          <w:p w14:paraId="15797403" w14:textId="77777777" w:rsidR="00AC5F0A" w:rsidRDefault="00AC5F0A" w:rsidP="0018700B">
            <w:pPr>
              <w:jc w:val="both"/>
              <w:rPr>
                <w:rFonts w:ascii="Times New Roman" w:hAnsi="Times New Roman" w:cs="Times New Roman"/>
                <w:sz w:val="25"/>
                <w:szCs w:val="25"/>
                <w:lang w:eastAsia="es-ES"/>
              </w:rPr>
            </w:pPr>
          </w:p>
          <w:p w14:paraId="6F644C10" w14:textId="77777777" w:rsidR="00AC5F0A" w:rsidRDefault="00AC5F0A" w:rsidP="0018700B">
            <w:pPr>
              <w:jc w:val="both"/>
              <w:rPr>
                <w:rFonts w:ascii="Times New Roman" w:hAnsi="Times New Roman" w:cs="Times New Roman"/>
                <w:sz w:val="25"/>
                <w:szCs w:val="25"/>
                <w:lang w:eastAsia="es-ES"/>
              </w:rPr>
            </w:pPr>
          </w:p>
          <w:p w14:paraId="75C6EBC2" w14:textId="77777777" w:rsidR="00AC5F0A" w:rsidRDefault="00AC5F0A" w:rsidP="0018700B">
            <w:pPr>
              <w:jc w:val="both"/>
              <w:rPr>
                <w:rFonts w:ascii="Times New Roman" w:hAnsi="Times New Roman" w:cs="Times New Roman"/>
                <w:sz w:val="25"/>
                <w:szCs w:val="25"/>
                <w:lang w:eastAsia="es-ES"/>
              </w:rPr>
            </w:pPr>
          </w:p>
          <w:p w14:paraId="6B4F6BAF" w14:textId="77777777" w:rsidR="00AC5F0A" w:rsidRDefault="00AC5F0A" w:rsidP="0018700B">
            <w:pPr>
              <w:jc w:val="both"/>
              <w:rPr>
                <w:rFonts w:ascii="Times New Roman" w:hAnsi="Times New Roman" w:cs="Times New Roman"/>
                <w:sz w:val="25"/>
                <w:szCs w:val="25"/>
                <w:lang w:eastAsia="es-ES"/>
              </w:rPr>
            </w:pPr>
          </w:p>
          <w:p w14:paraId="60E2FC4D" w14:textId="77777777" w:rsidR="00AC5F0A" w:rsidRDefault="00AC5F0A" w:rsidP="0018700B">
            <w:pPr>
              <w:jc w:val="both"/>
              <w:rPr>
                <w:rFonts w:ascii="Times New Roman" w:hAnsi="Times New Roman" w:cs="Times New Roman"/>
                <w:sz w:val="25"/>
                <w:szCs w:val="25"/>
                <w:lang w:eastAsia="es-ES"/>
              </w:rPr>
            </w:pPr>
          </w:p>
          <w:p w14:paraId="7EF60D2E" w14:textId="77777777" w:rsidR="00AC5F0A" w:rsidRDefault="00AC5F0A" w:rsidP="0018700B">
            <w:pPr>
              <w:jc w:val="both"/>
              <w:rPr>
                <w:rFonts w:ascii="Times New Roman" w:hAnsi="Times New Roman" w:cs="Times New Roman"/>
                <w:sz w:val="25"/>
                <w:szCs w:val="25"/>
                <w:lang w:eastAsia="es-ES"/>
              </w:rPr>
            </w:pPr>
          </w:p>
        </w:tc>
        <w:tc>
          <w:tcPr>
            <w:tcW w:w="4414" w:type="dxa"/>
          </w:tcPr>
          <w:p w14:paraId="40649D8A" w14:textId="77777777" w:rsidR="00AC5F0A" w:rsidRDefault="00AC5F0A" w:rsidP="0018700B">
            <w:pPr>
              <w:jc w:val="both"/>
              <w:rPr>
                <w:rFonts w:ascii="Times New Roman" w:hAnsi="Times New Roman" w:cs="Times New Roman"/>
                <w:sz w:val="25"/>
                <w:szCs w:val="25"/>
                <w:lang w:eastAsia="es-ES"/>
              </w:rPr>
            </w:pPr>
          </w:p>
        </w:tc>
      </w:tr>
      <w:tr w:rsidR="00AC5F0A" w14:paraId="2328AD77" w14:textId="77777777" w:rsidTr="00AC5F0A">
        <w:tc>
          <w:tcPr>
            <w:tcW w:w="4414" w:type="dxa"/>
          </w:tcPr>
          <w:p w14:paraId="69A5F9E3" w14:textId="77777777" w:rsidR="00AC5F0A" w:rsidRDefault="00AC5F0A" w:rsidP="0018700B">
            <w:pPr>
              <w:jc w:val="both"/>
              <w:rPr>
                <w:rFonts w:ascii="Times New Roman" w:hAnsi="Times New Roman" w:cs="Times New Roman"/>
                <w:sz w:val="25"/>
                <w:szCs w:val="25"/>
                <w:lang w:eastAsia="es-ES"/>
              </w:rPr>
            </w:pPr>
          </w:p>
          <w:p w14:paraId="1F706417" w14:textId="77777777" w:rsidR="00AC5F0A" w:rsidRDefault="00AC5F0A" w:rsidP="0018700B">
            <w:pPr>
              <w:jc w:val="both"/>
              <w:rPr>
                <w:rFonts w:ascii="Times New Roman" w:hAnsi="Times New Roman" w:cs="Times New Roman"/>
                <w:sz w:val="25"/>
                <w:szCs w:val="25"/>
                <w:lang w:eastAsia="es-ES"/>
              </w:rPr>
            </w:pPr>
          </w:p>
          <w:p w14:paraId="35BC8C0A" w14:textId="77777777" w:rsidR="00AC5F0A" w:rsidRDefault="00AC5F0A" w:rsidP="0018700B">
            <w:pPr>
              <w:jc w:val="both"/>
              <w:rPr>
                <w:rFonts w:ascii="Times New Roman" w:hAnsi="Times New Roman" w:cs="Times New Roman"/>
                <w:sz w:val="25"/>
                <w:szCs w:val="25"/>
                <w:lang w:eastAsia="es-ES"/>
              </w:rPr>
            </w:pPr>
          </w:p>
          <w:p w14:paraId="1D5532A1" w14:textId="77777777" w:rsidR="00AC5F0A" w:rsidRDefault="00AC5F0A" w:rsidP="0018700B">
            <w:pPr>
              <w:jc w:val="both"/>
              <w:rPr>
                <w:rFonts w:ascii="Times New Roman" w:hAnsi="Times New Roman" w:cs="Times New Roman"/>
                <w:sz w:val="25"/>
                <w:szCs w:val="25"/>
                <w:lang w:eastAsia="es-ES"/>
              </w:rPr>
            </w:pPr>
          </w:p>
          <w:p w14:paraId="6883F98B" w14:textId="77777777" w:rsidR="00AC5F0A" w:rsidRDefault="00AC5F0A" w:rsidP="0018700B">
            <w:pPr>
              <w:jc w:val="both"/>
              <w:rPr>
                <w:rFonts w:ascii="Times New Roman" w:hAnsi="Times New Roman" w:cs="Times New Roman"/>
                <w:sz w:val="25"/>
                <w:szCs w:val="25"/>
                <w:lang w:eastAsia="es-ES"/>
              </w:rPr>
            </w:pPr>
          </w:p>
          <w:p w14:paraId="2A092609" w14:textId="77777777" w:rsidR="00AC5F0A" w:rsidRDefault="00AC5F0A" w:rsidP="0018700B">
            <w:pPr>
              <w:jc w:val="both"/>
              <w:rPr>
                <w:rFonts w:ascii="Times New Roman" w:hAnsi="Times New Roman" w:cs="Times New Roman"/>
                <w:sz w:val="25"/>
                <w:szCs w:val="25"/>
                <w:lang w:eastAsia="es-ES"/>
              </w:rPr>
            </w:pPr>
          </w:p>
        </w:tc>
        <w:tc>
          <w:tcPr>
            <w:tcW w:w="4414" w:type="dxa"/>
          </w:tcPr>
          <w:p w14:paraId="3C04E742" w14:textId="77777777" w:rsidR="00AC5F0A" w:rsidRDefault="00AC5F0A" w:rsidP="0018700B">
            <w:pPr>
              <w:jc w:val="both"/>
              <w:rPr>
                <w:rFonts w:ascii="Times New Roman" w:hAnsi="Times New Roman" w:cs="Times New Roman"/>
                <w:sz w:val="25"/>
                <w:szCs w:val="25"/>
                <w:lang w:eastAsia="es-ES"/>
              </w:rPr>
            </w:pPr>
          </w:p>
        </w:tc>
      </w:tr>
      <w:tr w:rsidR="00AC5F0A" w14:paraId="3F35EF55" w14:textId="77777777" w:rsidTr="00AC5F0A">
        <w:tc>
          <w:tcPr>
            <w:tcW w:w="4414" w:type="dxa"/>
          </w:tcPr>
          <w:p w14:paraId="6A936394" w14:textId="77777777" w:rsidR="00AC5F0A" w:rsidRDefault="00AC5F0A" w:rsidP="0018700B">
            <w:pPr>
              <w:jc w:val="both"/>
              <w:rPr>
                <w:rFonts w:ascii="Times New Roman" w:hAnsi="Times New Roman" w:cs="Times New Roman"/>
                <w:sz w:val="25"/>
                <w:szCs w:val="25"/>
                <w:lang w:eastAsia="es-ES"/>
              </w:rPr>
            </w:pPr>
          </w:p>
          <w:p w14:paraId="33600B32" w14:textId="77777777" w:rsidR="00AC5F0A" w:rsidRDefault="00AC5F0A" w:rsidP="0018700B">
            <w:pPr>
              <w:jc w:val="both"/>
              <w:rPr>
                <w:rFonts w:ascii="Times New Roman" w:hAnsi="Times New Roman" w:cs="Times New Roman"/>
                <w:sz w:val="25"/>
                <w:szCs w:val="25"/>
                <w:lang w:eastAsia="es-ES"/>
              </w:rPr>
            </w:pPr>
          </w:p>
          <w:p w14:paraId="069A3C42" w14:textId="77777777" w:rsidR="00AC5F0A" w:rsidRDefault="00AC5F0A" w:rsidP="0018700B">
            <w:pPr>
              <w:jc w:val="both"/>
              <w:rPr>
                <w:rFonts w:ascii="Times New Roman" w:hAnsi="Times New Roman" w:cs="Times New Roman"/>
                <w:sz w:val="25"/>
                <w:szCs w:val="25"/>
                <w:lang w:eastAsia="es-ES"/>
              </w:rPr>
            </w:pPr>
          </w:p>
          <w:p w14:paraId="66066134" w14:textId="77777777" w:rsidR="00AC5F0A" w:rsidRDefault="00AC5F0A" w:rsidP="0018700B">
            <w:pPr>
              <w:jc w:val="both"/>
              <w:rPr>
                <w:rFonts w:ascii="Times New Roman" w:hAnsi="Times New Roman" w:cs="Times New Roman"/>
                <w:sz w:val="25"/>
                <w:szCs w:val="25"/>
                <w:lang w:eastAsia="es-ES"/>
              </w:rPr>
            </w:pPr>
          </w:p>
          <w:p w14:paraId="1DCBEEB2" w14:textId="77777777" w:rsidR="00AC5F0A" w:rsidRDefault="00AC5F0A" w:rsidP="0018700B">
            <w:pPr>
              <w:jc w:val="both"/>
              <w:rPr>
                <w:rFonts w:ascii="Times New Roman" w:hAnsi="Times New Roman" w:cs="Times New Roman"/>
                <w:sz w:val="25"/>
                <w:szCs w:val="25"/>
                <w:lang w:eastAsia="es-ES"/>
              </w:rPr>
            </w:pPr>
          </w:p>
          <w:p w14:paraId="3390DE3C" w14:textId="77777777" w:rsidR="00AC5F0A" w:rsidRDefault="00AC5F0A" w:rsidP="0018700B">
            <w:pPr>
              <w:jc w:val="both"/>
              <w:rPr>
                <w:rFonts w:ascii="Times New Roman" w:hAnsi="Times New Roman" w:cs="Times New Roman"/>
                <w:sz w:val="25"/>
                <w:szCs w:val="25"/>
                <w:lang w:eastAsia="es-ES"/>
              </w:rPr>
            </w:pPr>
          </w:p>
        </w:tc>
        <w:tc>
          <w:tcPr>
            <w:tcW w:w="4414" w:type="dxa"/>
          </w:tcPr>
          <w:p w14:paraId="57AA66C8" w14:textId="77777777" w:rsidR="00AC5F0A" w:rsidRDefault="00AC5F0A" w:rsidP="0018700B">
            <w:pPr>
              <w:jc w:val="both"/>
              <w:rPr>
                <w:rFonts w:ascii="Times New Roman" w:hAnsi="Times New Roman" w:cs="Times New Roman"/>
                <w:sz w:val="25"/>
                <w:szCs w:val="25"/>
                <w:lang w:eastAsia="es-ES"/>
              </w:rPr>
            </w:pPr>
          </w:p>
        </w:tc>
      </w:tr>
      <w:tr w:rsidR="00AC5F0A" w14:paraId="5DDD0683" w14:textId="77777777" w:rsidTr="00AC5F0A">
        <w:tc>
          <w:tcPr>
            <w:tcW w:w="4414" w:type="dxa"/>
          </w:tcPr>
          <w:p w14:paraId="132B6035" w14:textId="77777777" w:rsidR="00AC5F0A" w:rsidRDefault="00AC5F0A" w:rsidP="0018700B">
            <w:pPr>
              <w:jc w:val="both"/>
              <w:rPr>
                <w:rFonts w:ascii="Times New Roman" w:hAnsi="Times New Roman" w:cs="Times New Roman"/>
                <w:sz w:val="25"/>
                <w:szCs w:val="25"/>
                <w:lang w:eastAsia="es-ES"/>
              </w:rPr>
            </w:pPr>
          </w:p>
          <w:p w14:paraId="021679F2" w14:textId="77777777" w:rsidR="00AC5F0A" w:rsidRDefault="00AC5F0A" w:rsidP="0018700B">
            <w:pPr>
              <w:jc w:val="both"/>
              <w:rPr>
                <w:rFonts w:ascii="Times New Roman" w:hAnsi="Times New Roman" w:cs="Times New Roman"/>
                <w:sz w:val="25"/>
                <w:szCs w:val="25"/>
                <w:lang w:eastAsia="es-ES"/>
              </w:rPr>
            </w:pPr>
          </w:p>
          <w:p w14:paraId="3350DE3B" w14:textId="77777777" w:rsidR="00AC5F0A" w:rsidRDefault="00AC5F0A" w:rsidP="0018700B">
            <w:pPr>
              <w:jc w:val="both"/>
              <w:rPr>
                <w:rFonts w:ascii="Times New Roman" w:hAnsi="Times New Roman" w:cs="Times New Roman"/>
                <w:sz w:val="25"/>
                <w:szCs w:val="25"/>
                <w:lang w:eastAsia="es-ES"/>
              </w:rPr>
            </w:pPr>
          </w:p>
          <w:p w14:paraId="406A4272" w14:textId="77777777" w:rsidR="00AC5F0A" w:rsidRDefault="00AC5F0A" w:rsidP="0018700B">
            <w:pPr>
              <w:jc w:val="both"/>
              <w:rPr>
                <w:rFonts w:ascii="Times New Roman" w:hAnsi="Times New Roman" w:cs="Times New Roman"/>
                <w:sz w:val="25"/>
                <w:szCs w:val="25"/>
                <w:lang w:eastAsia="es-ES"/>
              </w:rPr>
            </w:pPr>
          </w:p>
          <w:p w14:paraId="4783E50F" w14:textId="77777777" w:rsidR="00AC5F0A" w:rsidRDefault="00AC5F0A" w:rsidP="0018700B">
            <w:pPr>
              <w:jc w:val="both"/>
              <w:rPr>
                <w:rFonts w:ascii="Times New Roman" w:hAnsi="Times New Roman" w:cs="Times New Roman"/>
                <w:sz w:val="25"/>
                <w:szCs w:val="25"/>
                <w:lang w:eastAsia="es-ES"/>
              </w:rPr>
            </w:pPr>
          </w:p>
          <w:p w14:paraId="29F73B87" w14:textId="77777777" w:rsidR="00AC5F0A" w:rsidRDefault="00AC5F0A" w:rsidP="0018700B">
            <w:pPr>
              <w:jc w:val="both"/>
              <w:rPr>
                <w:rFonts w:ascii="Times New Roman" w:hAnsi="Times New Roman" w:cs="Times New Roman"/>
                <w:sz w:val="25"/>
                <w:szCs w:val="25"/>
                <w:lang w:eastAsia="es-ES"/>
              </w:rPr>
            </w:pPr>
          </w:p>
        </w:tc>
        <w:tc>
          <w:tcPr>
            <w:tcW w:w="4414" w:type="dxa"/>
          </w:tcPr>
          <w:p w14:paraId="0CB38409" w14:textId="77777777" w:rsidR="00AC5F0A" w:rsidRDefault="00AC5F0A" w:rsidP="0018700B">
            <w:pPr>
              <w:jc w:val="both"/>
              <w:rPr>
                <w:rFonts w:ascii="Times New Roman" w:hAnsi="Times New Roman" w:cs="Times New Roman"/>
                <w:sz w:val="25"/>
                <w:szCs w:val="25"/>
                <w:lang w:eastAsia="es-ES"/>
              </w:rPr>
            </w:pPr>
          </w:p>
        </w:tc>
      </w:tr>
    </w:tbl>
    <w:p w14:paraId="5E748561" w14:textId="77777777" w:rsidR="00AC5F0A" w:rsidRPr="00DF1C61" w:rsidRDefault="00AC5F0A" w:rsidP="00D67ECC">
      <w:pPr>
        <w:spacing w:after="0"/>
        <w:jc w:val="both"/>
        <w:rPr>
          <w:rFonts w:ascii="Times New Roman" w:hAnsi="Times New Roman" w:cs="Times New Roman"/>
          <w:sz w:val="25"/>
          <w:szCs w:val="25"/>
          <w:lang w:eastAsia="es-ES"/>
        </w:rPr>
      </w:pPr>
      <w:bookmarkStart w:id="0" w:name="_GoBack"/>
      <w:bookmarkEnd w:id="0"/>
    </w:p>
    <w:sectPr w:rsidR="00AC5F0A" w:rsidRPr="00DF1C6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D40DB" w14:textId="77777777" w:rsidR="008741EC" w:rsidRDefault="008741EC" w:rsidP="00891FC6">
      <w:pPr>
        <w:spacing w:after="0" w:line="240" w:lineRule="auto"/>
      </w:pPr>
      <w:r>
        <w:separator/>
      </w:r>
    </w:p>
  </w:endnote>
  <w:endnote w:type="continuationSeparator" w:id="0">
    <w:p w14:paraId="676892BD" w14:textId="77777777" w:rsidR="008741EC" w:rsidRDefault="008741EC" w:rsidP="0089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2C91" w14:textId="73EA5442" w:rsidR="00E778D2" w:rsidRDefault="00E778D2">
    <w:pPr>
      <w:pStyle w:val="Piedepgina"/>
    </w:pPr>
    <w:r>
      <w:rPr>
        <w:noProof/>
        <w:lang w:eastAsia="es-CO"/>
      </w:rPr>
      <w:drawing>
        <wp:anchor distT="0" distB="0" distL="0" distR="0" simplePos="0" relativeHeight="251661312" behindDoc="1" locked="0" layoutInCell="1" hidden="0" allowOverlap="1" wp14:anchorId="7FAF53F2" wp14:editId="40278DB8">
          <wp:simplePos x="0" y="0"/>
          <wp:positionH relativeFrom="column">
            <wp:posOffset>1257300</wp:posOffset>
          </wp:positionH>
          <wp:positionV relativeFrom="paragraph">
            <wp:posOffset>-421327</wp:posOffset>
          </wp:positionV>
          <wp:extent cx="3079589" cy="266700"/>
          <wp:effectExtent l="0" t="0" r="6985" b="0"/>
          <wp:wrapNone/>
          <wp:docPr id="11" name="image17.png" descr="https://lh6.googleusercontent.com/0_X6C9c8FlIBvsTRMH8UdA1OVGAKYp6LWDlWh-Qv3OcMTkn-P99x3y0727_t2SvVlAkMq6kSenQsNpUHHxj8EwZ6zxmvhh1FDyLWnSKPmK67nounAjlYqrb0KKy2BCyPyRRFfKWoMfm-nBfz3w"/>
          <wp:cNvGraphicFramePr/>
          <a:graphic xmlns:a="http://schemas.openxmlformats.org/drawingml/2006/main">
            <a:graphicData uri="http://schemas.openxmlformats.org/drawingml/2006/picture">
              <pic:pic xmlns:pic="http://schemas.openxmlformats.org/drawingml/2006/picture">
                <pic:nvPicPr>
                  <pic:cNvPr id="0" name="image17.png" descr="https://lh6.googleusercontent.com/0_X6C9c8FlIBvsTRMH8UdA1OVGAKYp6LWDlWh-Qv3OcMTkn-P99x3y0727_t2SvVlAkMq6kSenQsNpUHHxj8EwZ6zxmvhh1FDyLWnSKPmK67nounAjlYqrb0KKy2BCyPyRRFfKWoMfm-nBfz3w"/>
                  <pic:cNvPicPr preferRelativeResize="0"/>
                </pic:nvPicPr>
                <pic:blipFill>
                  <a:blip r:embed="rId1"/>
                  <a:srcRect/>
                  <a:stretch>
                    <a:fillRect/>
                  </a:stretch>
                </pic:blipFill>
                <pic:spPr>
                  <a:xfrm>
                    <a:off x="0" y="0"/>
                    <a:ext cx="3105697" cy="268961"/>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5F67" w14:textId="77777777" w:rsidR="008741EC" w:rsidRDefault="008741EC" w:rsidP="00891FC6">
      <w:pPr>
        <w:spacing w:after="0" w:line="240" w:lineRule="auto"/>
      </w:pPr>
      <w:r>
        <w:separator/>
      </w:r>
    </w:p>
  </w:footnote>
  <w:footnote w:type="continuationSeparator" w:id="0">
    <w:p w14:paraId="75ACD6D2" w14:textId="77777777" w:rsidR="008741EC" w:rsidRDefault="008741EC" w:rsidP="0089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ACF4" w14:textId="77777777" w:rsidR="00B71D5B" w:rsidRDefault="00B71D5B">
    <w:pPr>
      <w:pStyle w:val="Encabezado"/>
    </w:pPr>
  </w:p>
  <w:p w14:paraId="4E164798" w14:textId="1F97C78E" w:rsidR="00B71D5B" w:rsidRDefault="00B71D5B" w:rsidP="00B71D5B">
    <w:pPr>
      <w:pStyle w:val="Encabezado"/>
      <w:jc w:val="center"/>
    </w:pPr>
    <w:r>
      <w:rPr>
        <w:rFonts w:ascii="Century Gothic" w:hAnsi="Century Gothic"/>
        <w:strike/>
        <w:noProof/>
        <w:lang w:eastAsia="es-CO"/>
      </w:rPr>
      <w:drawing>
        <wp:inline distT="0" distB="0" distL="0" distR="0" wp14:anchorId="772D7CD8" wp14:editId="308BD8C8">
          <wp:extent cx="2401096" cy="724184"/>
          <wp:effectExtent l="0" t="0" r="0" b="0"/>
          <wp:docPr id="10" name="Imagen 1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1096" cy="724184"/>
                  </a:xfrm>
                  <a:prstGeom prst="rect">
                    <a:avLst/>
                  </a:prstGeom>
                </pic:spPr>
              </pic:pic>
            </a:graphicData>
          </a:graphic>
        </wp:inline>
      </w:drawing>
    </w:r>
  </w:p>
  <w:p w14:paraId="1CCF42B2" w14:textId="77777777" w:rsidR="00B71D5B" w:rsidRDefault="00B71D5B" w:rsidP="00B71D5B">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AA7"/>
    <w:multiLevelType w:val="multilevel"/>
    <w:tmpl w:val="EDE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7325C"/>
    <w:multiLevelType w:val="multilevel"/>
    <w:tmpl w:val="485C7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001350"/>
    <w:multiLevelType w:val="hybridMultilevel"/>
    <w:tmpl w:val="164E111A"/>
    <w:lvl w:ilvl="0" w:tplc="2946E8D6">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8F0B5D"/>
    <w:multiLevelType w:val="multilevel"/>
    <w:tmpl w:val="6EA07BAE"/>
    <w:lvl w:ilvl="0">
      <w:start w:val="1"/>
      <w:numFmt w:val="decimal"/>
      <w:lvlText w:val="%1."/>
      <w:lvlJc w:val="left"/>
      <w:pPr>
        <w:ind w:left="720" w:hanging="360"/>
      </w:pPr>
      <w:rPr>
        <w:rFonts w:hint="default"/>
        <w:b/>
        <w:bCs/>
      </w:rPr>
    </w:lvl>
    <w:lvl w:ilvl="1">
      <w:start w:val="1"/>
      <w:numFmt w:val="decimal"/>
      <w:isLgl/>
      <w:lvlText w:val="%1.%2."/>
      <w:lvlJc w:val="left"/>
      <w:pPr>
        <w:ind w:left="1571" w:hanging="720"/>
      </w:pPr>
      <w:rPr>
        <w:rFonts w:hint="default"/>
        <w:b/>
        <w:bCs/>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5C2114F7"/>
    <w:multiLevelType w:val="hybridMultilevel"/>
    <w:tmpl w:val="EF4E0B88"/>
    <w:lvl w:ilvl="0" w:tplc="3F04C93E">
      <w:start w:val="3"/>
      <w:numFmt w:val="bullet"/>
      <w:lvlText w:val="-"/>
      <w:lvlJc w:val="left"/>
      <w:pPr>
        <w:ind w:left="278" w:hanging="360"/>
      </w:pPr>
      <w:rPr>
        <w:rFonts w:ascii="Arial" w:eastAsia="Times New Roman" w:hAnsi="Arial" w:cs="Arial" w:hint="default"/>
      </w:rPr>
    </w:lvl>
    <w:lvl w:ilvl="1" w:tplc="240A0003" w:tentative="1">
      <w:start w:val="1"/>
      <w:numFmt w:val="bullet"/>
      <w:lvlText w:val="o"/>
      <w:lvlJc w:val="left"/>
      <w:pPr>
        <w:ind w:left="998" w:hanging="360"/>
      </w:pPr>
      <w:rPr>
        <w:rFonts w:ascii="Courier New" w:hAnsi="Courier New" w:cs="Courier New" w:hint="default"/>
      </w:rPr>
    </w:lvl>
    <w:lvl w:ilvl="2" w:tplc="240A0005" w:tentative="1">
      <w:start w:val="1"/>
      <w:numFmt w:val="bullet"/>
      <w:lvlText w:val=""/>
      <w:lvlJc w:val="left"/>
      <w:pPr>
        <w:ind w:left="1718" w:hanging="360"/>
      </w:pPr>
      <w:rPr>
        <w:rFonts w:ascii="Wingdings" w:hAnsi="Wingdings" w:hint="default"/>
      </w:rPr>
    </w:lvl>
    <w:lvl w:ilvl="3" w:tplc="240A0001" w:tentative="1">
      <w:start w:val="1"/>
      <w:numFmt w:val="bullet"/>
      <w:lvlText w:val=""/>
      <w:lvlJc w:val="left"/>
      <w:pPr>
        <w:ind w:left="2438" w:hanging="360"/>
      </w:pPr>
      <w:rPr>
        <w:rFonts w:ascii="Symbol" w:hAnsi="Symbol" w:hint="default"/>
      </w:rPr>
    </w:lvl>
    <w:lvl w:ilvl="4" w:tplc="240A0003" w:tentative="1">
      <w:start w:val="1"/>
      <w:numFmt w:val="bullet"/>
      <w:lvlText w:val="o"/>
      <w:lvlJc w:val="left"/>
      <w:pPr>
        <w:ind w:left="3158" w:hanging="360"/>
      </w:pPr>
      <w:rPr>
        <w:rFonts w:ascii="Courier New" w:hAnsi="Courier New" w:cs="Courier New" w:hint="default"/>
      </w:rPr>
    </w:lvl>
    <w:lvl w:ilvl="5" w:tplc="240A0005" w:tentative="1">
      <w:start w:val="1"/>
      <w:numFmt w:val="bullet"/>
      <w:lvlText w:val=""/>
      <w:lvlJc w:val="left"/>
      <w:pPr>
        <w:ind w:left="3878" w:hanging="360"/>
      </w:pPr>
      <w:rPr>
        <w:rFonts w:ascii="Wingdings" w:hAnsi="Wingdings" w:hint="default"/>
      </w:rPr>
    </w:lvl>
    <w:lvl w:ilvl="6" w:tplc="240A0001" w:tentative="1">
      <w:start w:val="1"/>
      <w:numFmt w:val="bullet"/>
      <w:lvlText w:val=""/>
      <w:lvlJc w:val="left"/>
      <w:pPr>
        <w:ind w:left="4598" w:hanging="360"/>
      </w:pPr>
      <w:rPr>
        <w:rFonts w:ascii="Symbol" w:hAnsi="Symbol" w:hint="default"/>
      </w:rPr>
    </w:lvl>
    <w:lvl w:ilvl="7" w:tplc="240A0003" w:tentative="1">
      <w:start w:val="1"/>
      <w:numFmt w:val="bullet"/>
      <w:lvlText w:val="o"/>
      <w:lvlJc w:val="left"/>
      <w:pPr>
        <w:ind w:left="5318" w:hanging="360"/>
      </w:pPr>
      <w:rPr>
        <w:rFonts w:ascii="Courier New" w:hAnsi="Courier New" w:cs="Courier New" w:hint="default"/>
      </w:rPr>
    </w:lvl>
    <w:lvl w:ilvl="8" w:tplc="240A0005" w:tentative="1">
      <w:start w:val="1"/>
      <w:numFmt w:val="bullet"/>
      <w:lvlText w:val=""/>
      <w:lvlJc w:val="left"/>
      <w:pPr>
        <w:ind w:left="6038" w:hanging="360"/>
      </w:pPr>
      <w:rPr>
        <w:rFonts w:ascii="Wingdings" w:hAnsi="Wingdings" w:hint="default"/>
      </w:rPr>
    </w:lvl>
  </w:abstractNum>
  <w:abstractNum w:abstractNumId="5" w15:restartNumberingAfterBreak="0">
    <w:nsid w:val="657C1D0D"/>
    <w:multiLevelType w:val="multilevel"/>
    <w:tmpl w:val="474A4E4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5"/>
  </w:num>
  <w:num w:numId="2">
    <w:abstractNumId w:val="4"/>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06"/>
    <w:rsid w:val="00000356"/>
    <w:rsid w:val="00013A5C"/>
    <w:rsid w:val="00015621"/>
    <w:rsid w:val="00035526"/>
    <w:rsid w:val="00043C17"/>
    <w:rsid w:val="00050C1C"/>
    <w:rsid w:val="00056D67"/>
    <w:rsid w:val="00057AC2"/>
    <w:rsid w:val="0006071F"/>
    <w:rsid w:val="00070051"/>
    <w:rsid w:val="00075A46"/>
    <w:rsid w:val="00083321"/>
    <w:rsid w:val="00084E60"/>
    <w:rsid w:val="00096449"/>
    <w:rsid w:val="000969F0"/>
    <w:rsid w:val="000A07D7"/>
    <w:rsid w:val="000A44BF"/>
    <w:rsid w:val="000A7768"/>
    <w:rsid w:val="000B1DB1"/>
    <w:rsid w:val="000B2AFC"/>
    <w:rsid w:val="000C309A"/>
    <w:rsid w:val="000C7328"/>
    <w:rsid w:val="000D6CC4"/>
    <w:rsid w:val="000E7857"/>
    <w:rsid w:val="000E7DC4"/>
    <w:rsid w:val="000F0BD6"/>
    <w:rsid w:val="000F0C85"/>
    <w:rsid w:val="000F20B2"/>
    <w:rsid w:val="000F6E41"/>
    <w:rsid w:val="00102083"/>
    <w:rsid w:val="00105A96"/>
    <w:rsid w:val="00114AED"/>
    <w:rsid w:val="001207F4"/>
    <w:rsid w:val="00141AAF"/>
    <w:rsid w:val="00143495"/>
    <w:rsid w:val="00144BD2"/>
    <w:rsid w:val="001462F1"/>
    <w:rsid w:val="001473F7"/>
    <w:rsid w:val="00157D5F"/>
    <w:rsid w:val="0016236E"/>
    <w:rsid w:val="00167C40"/>
    <w:rsid w:val="0017132A"/>
    <w:rsid w:val="00171839"/>
    <w:rsid w:val="001913CF"/>
    <w:rsid w:val="00192516"/>
    <w:rsid w:val="001A5795"/>
    <w:rsid w:val="001B03F0"/>
    <w:rsid w:val="001B2839"/>
    <w:rsid w:val="001B2C3B"/>
    <w:rsid w:val="001C4898"/>
    <w:rsid w:val="001C4E62"/>
    <w:rsid w:val="001D4EEC"/>
    <w:rsid w:val="001D5BAE"/>
    <w:rsid w:val="001D740C"/>
    <w:rsid w:val="001F1E33"/>
    <w:rsid w:val="001F2898"/>
    <w:rsid w:val="001F39ED"/>
    <w:rsid w:val="0020149C"/>
    <w:rsid w:val="00206A11"/>
    <w:rsid w:val="00211315"/>
    <w:rsid w:val="0022089F"/>
    <w:rsid w:val="00223F35"/>
    <w:rsid w:val="002325A5"/>
    <w:rsid w:val="002334C6"/>
    <w:rsid w:val="002338A9"/>
    <w:rsid w:val="00234887"/>
    <w:rsid w:val="002365CD"/>
    <w:rsid w:val="00243956"/>
    <w:rsid w:val="00254A76"/>
    <w:rsid w:val="00257BD8"/>
    <w:rsid w:val="002642B3"/>
    <w:rsid w:val="00264BE6"/>
    <w:rsid w:val="00273306"/>
    <w:rsid w:val="00283DDC"/>
    <w:rsid w:val="00285374"/>
    <w:rsid w:val="0029027A"/>
    <w:rsid w:val="0029480B"/>
    <w:rsid w:val="002A3ADA"/>
    <w:rsid w:val="002A4807"/>
    <w:rsid w:val="002A6F03"/>
    <w:rsid w:val="002B0719"/>
    <w:rsid w:val="002B1032"/>
    <w:rsid w:val="002B3BFB"/>
    <w:rsid w:val="002B40DA"/>
    <w:rsid w:val="002C5558"/>
    <w:rsid w:val="002C5FBA"/>
    <w:rsid w:val="002D0269"/>
    <w:rsid w:val="002D7C76"/>
    <w:rsid w:val="002E0F33"/>
    <w:rsid w:val="002E5E8F"/>
    <w:rsid w:val="002F67D5"/>
    <w:rsid w:val="002F6B52"/>
    <w:rsid w:val="0030064B"/>
    <w:rsid w:val="00305718"/>
    <w:rsid w:val="003310CD"/>
    <w:rsid w:val="00336A4F"/>
    <w:rsid w:val="00341C78"/>
    <w:rsid w:val="003465B2"/>
    <w:rsid w:val="00347A89"/>
    <w:rsid w:val="00352B0E"/>
    <w:rsid w:val="00357291"/>
    <w:rsid w:val="0036154A"/>
    <w:rsid w:val="00371C53"/>
    <w:rsid w:val="003722D3"/>
    <w:rsid w:val="003774F1"/>
    <w:rsid w:val="00380A7A"/>
    <w:rsid w:val="00392443"/>
    <w:rsid w:val="0039742C"/>
    <w:rsid w:val="003A23E3"/>
    <w:rsid w:val="003A6847"/>
    <w:rsid w:val="003B3176"/>
    <w:rsid w:val="003B48BF"/>
    <w:rsid w:val="003C19CA"/>
    <w:rsid w:val="003C5238"/>
    <w:rsid w:val="003D7086"/>
    <w:rsid w:val="003E10BC"/>
    <w:rsid w:val="003E3733"/>
    <w:rsid w:val="003F5E40"/>
    <w:rsid w:val="003F6D09"/>
    <w:rsid w:val="0040080A"/>
    <w:rsid w:val="00400C4E"/>
    <w:rsid w:val="00407737"/>
    <w:rsid w:val="004143B5"/>
    <w:rsid w:val="00414D19"/>
    <w:rsid w:val="00416515"/>
    <w:rsid w:val="00422804"/>
    <w:rsid w:val="004240BD"/>
    <w:rsid w:val="0043593D"/>
    <w:rsid w:val="00435A7B"/>
    <w:rsid w:val="00437F73"/>
    <w:rsid w:val="00454602"/>
    <w:rsid w:val="00454A51"/>
    <w:rsid w:val="004574E1"/>
    <w:rsid w:val="004624B1"/>
    <w:rsid w:val="00477FB1"/>
    <w:rsid w:val="00481027"/>
    <w:rsid w:val="00481938"/>
    <w:rsid w:val="00481963"/>
    <w:rsid w:val="004844F5"/>
    <w:rsid w:val="00485C2E"/>
    <w:rsid w:val="0049353E"/>
    <w:rsid w:val="00494CDD"/>
    <w:rsid w:val="00496D05"/>
    <w:rsid w:val="004A02F7"/>
    <w:rsid w:val="004B11AA"/>
    <w:rsid w:val="004B66E8"/>
    <w:rsid w:val="004B6E2F"/>
    <w:rsid w:val="004B7355"/>
    <w:rsid w:val="004B7EE7"/>
    <w:rsid w:val="004C0990"/>
    <w:rsid w:val="004D3988"/>
    <w:rsid w:val="004E074B"/>
    <w:rsid w:val="004E5C5E"/>
    <w:rsid w:val="004E73B9"/>
    <w:rsid w:val="00516C5A"/>
    <w:rsid w:val="005236DE"/>
    <w:rsid w:val="0054169F"/>
    <w:rsid w:val="005451E5"/>
    <w:rsid w:val="00561698"/>
    <w:rsid w:val="005714D9"/>
    <w:rsid w:val="00575F58"/>
    <w:rsid w:val="00576255"/>
    <w:rsid w:val="005803A9"/>
    <w:rsid w:val="00580F51"/>
    <w:rsid w:val="00583B00"/>
    <w:rsid w:val="00584C95"/>
    <w:rsid w:val="00590257"/>
    <w:rsid w:val="005933E4"/>
    <w:rsid w:val="00597723"/>
    <w:rsid w:val="005A41A3"/>
    <w:rsid w:val="005B18FA"/>
    <w:rsid w:val="005B416E"/>
    <w:rsid w:val="005B4489"/>
    <w:rsid w:val="005C49F3"/>
    <w:rsid w:val="005D2A24"/>
    <w:rsid w:val="005D2F8A"/>
    <w:rsid w:val="005E19B8"/>
    <w:rsid w:val="005E1ED4"/>
    <w:rsid w:val="005E325F"/>
    <w:rsid w:val="005E4571"/>
    <w:rsid w:val="005E51BB"/>
    <w:rsid w:val="00605213"/>
    <w:rsid w:val="006065AF"/>
    <w:rsid w:val="006106B7"/>
    <w:rsid w:val="0061775C"/>
    <w:rsid w:val="006225BD"/>
    <w:rsid w:val="00633FD6"/>
    <w:rsid w:val="0063690E"/>
    <w:rsid w:val="00637699"/>
    <w:rsid w:val="0063783C"/>
    <w:rsid w:val="006418A1"/>
    <w:rsid w:val="006427A2"/>
    <w:rsid w:val="00642C5F"/>
    <w:rsid w:val="00643998"/>
    <w:rsid w:val="00644B63"/>
    <w:rsid w:val="00645085"/>
    <w:rsid w:val="00652D1C"/>
    <w:rsid w:val="0066383E"/>
    <w:rsid w:val="006775A6"/>
    <w:rsid w:val="006828BC"/>
    <w:rsid w:val="006837DA"/>
    <w:rsid w:val="00683AC4"/>
    <w:rsid w:val="00684C95"/>
    <w:rsid w:val="006A038D"/>
    <w:rsid w:val="006A410E"/>
    <w:rsid w:val="006C1544"/>
    <w:rsid w:val="006E21B3"/>
    <w:rsid w:val="006E5674"/>
    <w:rsid w:val="006F25A6"/>
    <w:rsid w:val="00701A62"/>
    <w:rsid w:val="00705F84"/>
    <w:rsid w:val="0071114C"/>
    <w:rsid w:val="007303BC"/>
    <w:rsid w:val="007417A5"/>
    <w:rsid w:val="00743873"/>
    <w:rsid w:val="00747688"/>
    <w:rsid w:val="007540D3"/>
    <w:rsid w:val="00765EB9"/>
    <w:rsid w:val="00767452"/>
    <w:rsid w:val="00786C60"/>
    <w:rsid w:val="007958A1"/>
    <w:rsid w:val="007A21B1"/>
    <w:rsid w:val="007A4020"/>
    <w:rsid w:val="007A7AB7"/>
    <w:rsid w:val="007C1B6B"/>
    <w:rsid w:val="007D6CC1"/>
    <w:rsid w:val="007E72BB"/>
    <w:rsid w:val="007F27B8"/>
    <w:rsid w:val="007F4AD7"/>
    <w:rsid w:val="007F6B7D"/>
    <w:rsid w:val="0080043C"/>
    <w:rsid w:val="00812EA9"/>
    <w:rsid w:val="008171FD"/>
    <w:rsid w:val="008203C9"/>
    <w:rsid w:val="008246F4"/>
    <w:rsid w:val="00831661"/>
    <w:rsid w:val="00832FFC"/>
    <w:rsid w:val="00842A21"/>
    <w:rsid w:val="00845B27"/>
    <w:rsid w:val="00850656"/>
    <w:rsid w:val="00851337"/>
    <w:rsid w:val="00851415"/>
    <w:rsid w:val="008674F4"/>
    <w:rsid w:val="00867A4B"/>
    <w:rsid w:val="008741EC"/>
    <w:rsid w:val="00874739"/>
    <w:rsid w:val="00886870"/>
    <w:rsid w:val="00887668"/>
    <w:rsid w:val="00891FC6"/>
    <w:rsid w:val="008A32DE"/>
    <w:rsid w:val="008A7726"/>
    <w:rsid w:val="008B0C94"/>
    <w:rsid w:val="008B3F5C"/>
    <w:rsid w:val="008B3F69"/>
    <w:rsid w:val="008C6BBD"/>
    <w:rsid w:val="008D254A"/>
    <w:rsid w:val="008D6306"/>
    <w:rsid w:val="008D71FB"/>
    <w:rsid w:val="008F371D"/>
    <w:rsid w:val="008F3957"/>
    <w:rsid w:val="0090121E"/>
    <w:rsid w:val="00902D16"/>
    <w:rsid w:val="00902DB3"/>
    <w:rsid w:val="00911861"/>
    <w:rsid w:val="0091338C"/>
    <w:rsid w:val="00913C87"/>
    <w:rsid w:val="00915304"/>
    <w:rsid w:val="009314E9"/>
    <w:rsid w:val="009350E3"/>
    <w:rsid w:val="009362A9"/>
    <w:rsid w:val="009450CC"/>
    <w:rsid w:val="009456B5"/>
    <w:rsid w:val="009548A9"/>
    <w:rsid w:val="00966B93"/>
    <w:rsid w:val="0098032D"/>
    <w:rsid w:val="00981E42"/>
    <w:rsid w:val="0098330A"/>
    <w:rsid w:val="00990CC0"/>
    <w:rsid w:val="009938BF"/>
    <w:rsid w:val="009A3F7A"/>
    <w:rsid w:val="009A7962"/>
    <w:rsid w:val="009B1BDD"/>
    <w:rsid w:val="009B6803"/>
    <w:rsid w:val="009C08C2"/>
    <w:rsid w:val="009C5D46"/>
    <w:rsid w:val="009D5769"/>
    <w:rsid w:val="009E70E4"/>
    <w:rsid w:val="009F056B"/>
    <w:rsid w:val="009F412C"/>
    <w:rsid w:val="00A0084A"/>
    <w:rsid w:val="00A13829"/>
    <w:rsid w:val="00A13AAE"/>
    <w:rsid w:val="00A14A80"/>
    <w:rsid w:val="00A212A7"/>
    <w:rsid w:val="00A22C89"/>
    <w:rsid w:val="00A32D34"/>
    <w:rsid w:val="00A336E6"/>
    <w:rsid w:val="00A339E2"/>
    <w:rsid w:val="00A35A29"/>
    <w:rsid w:val="00A42C45"/>
    <w:rsid w:val="00A45520"/>
    <w:rsid w:val="00A54922"/>
    <w:rsid w:val="00A56228"/>
    <w:rsid w:val="00A6747A"/>
    <w:rsid w:val="00A76986"/>
    <w:rsid w:val="00A8510E"/>
    <w:rsid w:val="00A86B14"/>
    <w:rsid w:val="00A93C2A"/>
    <w:rsid w:val="00A95568"/>
    <w:rsid w:val="00AA1B1C"/>
    <w:rsid w:val="00AA3FF7"/>
    <w:rsid w:val="00AC0761"/>
    <w:rsid w:val="00AC5F0A"/>
    <w:rsid w:val="00AD0C82"/>
    <w:rsid w:val="00AD502D"/>
    <w:rsid w:val="00AD6D56"/>
    <w:rsid w:val="00AF1EBE"/>
    <w:rsid w:val="00AF45BD"/>
    <w:rsid w:val="00AF708A"/>
    <w:rsid w:val="00B003B2"/>
    <w:rsid w:val="00B037D5"/>
    <w:rsid w:val="00B23206"/>
    <w:rsid w:val="00B42CBA"/>
    <w:rsid w:val="00B43EE2"/>
    <w:rsid w:val="00B57BD8"/>
    <w:rsid w:val="00B641B5"/>
    <w:rsid w:val="00B716F5"/>
    <w:rsid w:val="00B71D5B"/>
    <w:rsid w:val="00B75E5D"/>
    <w:rsid w:val="00B76DAE"/>
    <w:rsid w:val="00B806B9"/>
    <w:rsid w:val="00B83EF1"/>
    <w:rsid w:val="00B951D3"/>
    <w:rsid w:val="00B9712A"/>
    <w:rsid w:val="00BA2361"/>
    <w:rsid w:val="00BA3DF4"/>
    <w:rsid w:val="00BA4AB2"/>
    <w:rsid w:val="00BB02C1"/>
    <w:rsid w:val="00BB283A"/>
    <w:rsid w:val="00BC010D"/>
    <w:rsid w:val="00BC109A"/>
    <w:rsid w:val="00BD3C75"/>
    <w:rsid w:val="00BE1CD0"/>
    <w:rsid w:val="00BE73C7"/>
    <w:rsid w:val="00C02F40"/>
    <w:rsid w:val="00C11765"/>
    <w:rsid w:val="00C126D0"/>
    <w:rsid w:val="00C25FB7"/>
    <w:rsid w:val="00C311D1"/>
    <w:rsid w:val="00C41150"/>
    <w:rsid w:val="00C43E5B"/>
    <w:rsid w:val="00C47E02"/>
    <w:rsid w:val="00C51C18"/>
    <w:rsid w:val="00C537E5"/>
    <w:rsid w:val="00C61CAE"/>
    <w:rsid w:val="00C7434F"/>
    <w:rsid w:val="00C74A94"/>
    <w:rsid w:val="00C76652"/>
    <w:rsid w:val="00C84B23"/>
    <w:rsid w:val="00C86A70"/>
    <w:rsid w:val="00C910B2"/>
    <w:rsid w:val="00C962AF"/>
    <w:rsid w:val="00CA0DED"/>
    <w:rsid w:val="00CA27A8"/>
    <w:rsid w:val="00CB0608"/>
    <w:rsid w:val="00CB2F79"/>
    <w:rsid w:val="00CC2CC6"/>
    <w:rsid w:val="00CD4E32"/>
    <w:rsid w:val="00CD64B7"/>
    <w:rsid w:val="00CD711B"/>
    <w:rsid w:val="00CE3020"/>
    <w:rsid w:val="00CE6BAA"/>
    <w:rsid w:val="00CE7567"/>
    <w:rsid w:val="00CF1DE9"/>
    <w:rsid w:val="00CF2A59"/>
    <w:rsid w:val="00CF4C47"/>
    <w:rsid w:val="00D0015D"/>
    <w:rsid w:val="00D050BD"/>
    <w:rsid w:val="00D05701"/>
    <w:rsid w:val="00D06870"/>
    <w:rsid w:val="00D11B33"/>
    <w:rsid w:val="00D15C3C"/>
    <w:rsid w:val="00D17BA0"/>
    <w:rsid w:val="00D26967"/>
    <w:rsid w:val="00D27317"/>
    <w:rsid w:val="00D34A26"/>
    <w:rsid w:val="00D37AFB"/>
    <w:rsid w:val="00D44B18"/>
    <w:rsid w:val="00D57031"/>
    <w:rsid w:val="00D60BA4"/>
    <w:rsid w:val="00D616FD"/>
    <w:rsid w:val="00D62BE5"/>
    <w:rsid w:val="00D6489E"/>
    <w:rsid w:val="00D67ECC"/>
    <w:rsid w:val="00D67F11"/>
    <w:rsid w:val="00D802A7"/>
    <w:rsid w:val="00D80DE9"/>
    <w:rsid w:val="00D93DAE"/>
    <w:rsid w:val="00DA62C8"/>
    <w:rsid w:val="00DB404B"/>
    <w:rsid w:val="00DB4901"/>
    <w:rsid w:val="00DB7F12"/>
    <w:rsid w:val="00DC071E"/>
    <w:rsid w:val="00DC4396"/>
    <w:rsid w:val="00DD0006"/>
    <w:rsid w:val="00DD1D23"/>
    <w:rsid w:val="00DD2D59"/>
    <w:rsid w:val="00DE0523"/>
    <w:rsid w:val="00DE146B"/>
    <w:rsid w:val="00DF1C61"/>
    <w:rsid w:val="00DF2608"/>
    <w:rsid w:val="00E15E84"/>
    <w:rsid w:val="00E16AD9"/>
    <w:rsid w:val="00E1739B"/>
    <w:rsid w:val="00E178C0"/>
    <w:rsid w:val="00E237F1"/>
    <w:rsid w:val="00E26D44"/>
    <w:rsid w:val="00E31D70"/>
    <w:rsid w:val="00E31F31"/>
    <w:rsid w:val="00E33305"/>
    <w:rsid w:val="00E33A12"/>
    <w:rsid w:val="00E35299"/>
    <w:rsid w:val="00E43E74"/>
    <w:rsid w:val="00E51042"/>
    <w:rsid w:val="00E528EE"/>
    <w:rsid w:val="00E5424D"/>
    <w:rsid w:val="00E7521A"/>
    <w:rsid w:val="00E778D2"/>
    <w:rsid w:val="00E84CA4"/>
    <w:rsid w:val="00E85C3D"/>
    <w:rsid w:val="00E87A29"/>
    <w:rsid w:val="00E90402"/>
    <w:rsid w:val="00E916BB"/>
    <w:rsid w:val="00E93042"/>
    <w:rsid w:val="00EA1DC3"/>
    <w:rsid w:val="00EA1DDE"/>
    <w:rsid w:val="00EA5DE5"/>
    <w:rsid w:val="00EA77D9"/>
    <w:rsid w:val="00EB118E"/>
    <w:rsid w:val="00EB4A92"/>
    <w:rsid w:val="00EC1400"/>
    <w:rsid w:val="00ED3627"/>
    <w:rsid w:val="00ED6E0B"/>
    <w:rsid w:val="00ED7778"/>
    <w:rsid w:val="00EE3690"/>
    <w:rsid w:val="00EE6DD1"/>
    <w:rsid w:val="00EF66F0"/>
    <w:rsid w:val="00F0478A"/>
    <w:rsid w:val="00F05EF8"/>
    <w:rsid w:val="00F062D9"/>
    <w:rsid w:val="00F07F1C"/>
    <w:rsid w:val="00F10808"/>
    <w:rsid w:val="00F16D2D"/>
    <w:rsid w:val="00F22F02"/>
    <w:rsid w:val="00F24782"/>
    <w:rsid w:val="00F353CA"/>
    <w:rsid w:val="00F428B6"/>
    <w:rsid w:val="00F466EA"/>
    <w:rsid w:val="00F524B1"/>
    <w:rsid w:val="00F5394D"/>
    <w:rsid w:val="00F53A2A"/>
    <w:rsid w:val="00F53E6A"/>
    <w:rsid w:val="00F548CC"/>
    <w:rsid w:val="00F6118C"/>
    <w:rsid w:val="00F63546"/>
    <w:rsid w:val="00F64B8F"/>
    <w:rsid w:val="00F65C9A"/>
    <w:rsid w:val="00F8160E"/>
    <w:rsid w:val="00F84D3C"/>
    <w:rsid w:val="00F962F8"/>
    <w:rsid w:val="00F967DB"/>
    <w:rsid w:val="00FA2477"/>
    <w:rsid w:val="00FA781D"/>
    <w:rsid w:val="00FB2015"/>
    <w:rsid w:val="00FB284B"/>
    <w:rsid w:val="00FC7BBE"/>
    <w:rsid w:val="00FD0625"/>
    <w:rsid w:val="00FE307C"/>
    <w:rsid w:val="00FF7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CA9A0"/>
  <w15:chartTrackingRefBased/>
  <w15:docId w15:val="{265A5158-BE58-4986-A27B-91C9430A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27A"/>
  </w:style>
  <w:style w:type="paragraph" w:styleId="Ttulo1">
    <w:name w:val="heading 1"/>
    <w:basedOn w:val="Normal"/>
    <w:next w:val="Normal"/>
    <w:link w:val="Ttulo1Car"/>
    <w:uiPriority w:val="9"/>
    <w:qFormat/>
    <w:rsid w:val="0057625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57625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57625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57625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57625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57625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57625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57625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57625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00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91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1FC6"/>
  </w:style>
  <w:style w:type="paragraph" w:styleId="Piedepgina">
    <w:name w:val="footer"/>
    <w:basedOn w:val="Normal"/>
    <w:link w:val="PiedepginaCar"/>
    <w:uiPriority w:val="99"/>
    <w:unhideWhenUsed/>
    <w:rsid w:val="00891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1FC6"/>
  </w:style>
  <w:style w:type="character" w:styleId="Hipervnculo">
    <w:name w:val="Hyperlink"/>
    <w:uiPriority w:val="99"/>
    <w:unhideWhenUsed/>
    <w:rsid w:val="00C43E5B"/>
    <w:rPr>
      <w:color w:val="0000FF"/>
      <w:u w:val="single"/>
    </w:rPr>
  </w:style>
  <w:style w:type="paragraph" w:styleId="NormalWeb">
    <w:name w:val="Normal (Web)"/>
    <w:basedOn w:val="Normal"/>
    <w:uiPriority w:val="99"/>
    <w:unhideWhenUsed/>
    <w:rsid w:val="00C43E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C537E5"/>
    <w:pPr>
      <w:ind w:left="720"/>
      <w:contextualSpacing/>
    </w:pPr>
  </w:style>
  <w:style w:type="character" w:customStyle="1" w:styleId="UnresolvedMention">
    <w:name w:val="Unresolved Mention"/>
    <w:basedOn w:val="Fuentedeprrafopredeter"/>
    <w:uiPriority w:val="99"/>
    <w:semiHidden/>
    <w:unhideWhenUsed/>
    <w:rsid w:val="00C537E5"/>
    <w:rPr>
      <w:color w:val="605E5C"/>
      <w:shd w:val="clear" w:color="auto" w:fill="E1DFDD"/>
    </w:rPr>
  </w:style>
  <w:style w:type="character" w:customStyle="1" w:styleId="Ttulo1Car">
    <w:name w:val="Título 1 Car"/>
    <w:basedOn w:val="Fuentedeprrafopredeter"/>
    <w:link w:val="Ttulo1"/>
    <w:uiPriority w:val="9"/>
    <w:rsid w:val="0057625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57625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57625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576255"/>
    <w:rPr>
      <w:rFonts w:eastAsiaTheme="minorEastAsia"/>
      <w:b/>
      <w:bCs/>
      <w:sz w:val="28"/>
      <w:szCs w:val="28"/>
      <w:lang w:val="en-US"/>
    </w:rPr>
  </w:style>
  <w:style w:type="character" w:customStyle="1" w:styleId="Ttulo5Car">
    <w:name w:val="Título 5 Car"/>
    <w:basedOn w:val="Fuentedeprrafopredeter"/>
    <w:link w:val="Ttulo5"/>
    <w:uiPriority w:val="9"/>
    <w:semiHidden/>
    <w:rsid w:val="00576255"/>
    <w:rPr>
      <w:rFonts w:eastAsiaTheme="minorEastAsia"/>
      <w:b/>
      <w:bCs/>
      <w:i/>
      <w:iCs/>
      <w:sz w:val="26"/>
      <w:szCs w:val="26"/>
      <w:lang w:val="en-US"/>
    </w:rPr>
  </w:style>
  <w:style w:type="character" w:customStyle="1" w:styleId="Ttulo6Car">
    <w:name w:val="Título 6 Car"/>
    <w:basedOn w:val="Fuentedeprrafopredeter"/>
    <w:link w:val="Ttulo6"/>
    <w:rsid w:val="0057625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76255"/>
    <w:rPr>
      <w:rFonts w:eastAsiaTheme="minorEastAsia"/>
      <w:sz w:val="24"/>
      <w:szCs w:val="24"/>
      <w:lang w:val="en-US"/>
    </w:rPr>
  </w:style>
  <w:style w:type="character" w:customStyle="1" w:styleId="Ttulo8Car">
    <w:name w:val="Título 8 Car"/>
    <w:basedOn w:val="Fuentedeprrafopredeter"/>
    <w:link w:val="Ttulo8"/>
    <w:uiPriority w:val="9"/>
    <w:semiHidden/>
    <w:rsid w:val="00576255"/>
    <w:rPr>
      <w:rFonts w:eastAsiaTheme="minorEastAsia"/>
      <w:i/>
      <w:iCs/>
      <w:sz w:val="24"/>
      <w:szCs w:val="24"/>
      <w:lang w:val="en-US"/>
    </w:rPr>
  </w:style>
  <w:style w:type="character" w:customStyle="1" w:styleId="Ttulo9Car">
    <w:name w:val="Título 9 Car"/>
    <w:basedOn w:val="Fuentedeprrafopredeter"/>
    <w:link w:val="Ttulo9"/>
    <w:uiPriority w:val="9"/>
    <w:semiHidden/>
    <w:rsid w:val="00576255"/>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0927">
      <w:bodyDiv w:val="1"/>
      <w:marLeft w:val="0"/>
      <w:marRight w:val="0"/>
      <w:marTop w:val="0"/>
      <w:marBottom w:val="0"/>
      <w:divBdr>
        <w:top w:val="none" w:sz="0" w:space="0" w:color="auto"/>
        <w:left w:val="none" w:sz="0" w:space="0" w:color="auto"/>
        <w:bottom w:val="none" w:sz="0" w:space="0" w:color="auto"/>
        <w:right w:val="none" w:sz="0" w:space="0" w:color="auto"/>
      </w:divBdr>
    </w:div>
    <w:div w:id="265384184">
      <w:bodyDiv w:val="1"/>
      <w:marLeft w:val="0"/>
      <w:marRight w:val="0"/>
      <w:marTop w:val="0"/>
      <w:marBottom w:val="0"/>
      <w:divBdr>
        <w:top w:val="none" w:sz="0" w:space="0" w:color="auto"/>
        <w:left w:val="none" w:sz="0" w:space="0" w:color="auto"/>
        <w:bottom w:val="none" w:sz="0" w:space="0" w:color="auto"/>
        <w:right w:val="none" w:sz="0" w:space="0" w:color="auto"/>
      </w:divBdr>
    </w:div>
    <w:div w:id="325864805">
      <w:bodyDiv w:val="1"/>
      <w:marLeft w:val="0"/>
      <w:marRight w:val="0"/>
      <w:marTop w:val="0"/>
      <w:marBottom w:val="0"/>
      <w:divBdr>
        <w:top w:val="none" w:sz="0" w:space="0" w:color="auto"/>
        <w:left w:val="none" w:sz="0" w:space="0" w:color="auto"/>
        <w:bottom w:val="none" w:sz="0" w:space="0" w:color="auto"/>
        <w:right w:val="none" w:sz="0" w:space="0" w:color="auto"/>
      </w:divBdr>
    </w:div>
    <w:div w:id="380642496">
      <w:bodyDiv w:val="1"/>
      <w:marLeft w:val="0"/>
      <w:marRight w:val="0"/>
      <w:marTop w:val="0"/>
      <w:marBottom w:val="0"/>
      <w:divBdr>
        <w:top w:val="none" w:sz="0" w:space="0" w:color="auto"/>
        <w:left w:val="none" w:sz="0" w:space="0" w:color="auto"/>
        <w:bottom w:val="none" w:sz="0" w:space="0" w:color="auto"/>
        <w:right w:val="none" w:sz="0" w:space="0" w:color="auto"/>
      </w:divBdr>
    </w:div>
    <w:div w:id="639505828">
      <w:bodyDiv w:val="1"/>
      <w:marLeft w:val="0"/>
      <w:marRight w:val="0"/>
      <w:marTop w:val="0"/>
      <w:marBottom w:val="0"/>
      <w:divBdr>
        <w:top w:val="none" w:sz="0" w:space="0" w:color="auto"/>
        <w:left w:val="none" w:sz="0" w:space="0" w:color="auto"/>
        <w:bottom w:val="none" w:sz="0" w:space="0" w:color="auto"/>
        <w:right w:val="none" w:sz="0" w:space="0" w:color="auto"/>
      </w:divBdr>
    </w:div>
    <w:div w:id="700785570">
      <w:bodyDiv w:val="1"/>
      <w:marLeft w:val="0"/>
      <w:marRight w:val="0"/>
      <w:marTop w:val="0"/>
      <w:marBottom w:val="0"/>
      <w:divBdr>
        <w:top w:val="none" w:sz="0" w:space="0" w:color="auto"/>
        <w:left w:val="none" w:sz="0" w:space="0" w:color="auto"/>
        <w:bottom w:val="none" w:sz="0" w:space="0" w:color="auto"/>
        <w:right w:val="none" w:sz="0" w:space="0" w:color="auto"/>
      </w:divBdr>
    </w:div>
    <w:div w:id="773936938">
      <w:bodyDiv w:val="1"/>
      <w:marLeft w:val="0"/>
      <w:marRight w:val="0"/>
      <w:marTop w:val="0"/>
      <w:marBottom w:val="0"/>
      <w:divBdr>
        <w:top w:val="none" w:sz="0" w:space="0" w:color="auto"/>
        <w:left w:val="none" w:sz="0" w:space="0" w:color="auto"/>
        <w:bottom w:val="none" w:sz="0" w:space="0" w:color="auto"/>
        <w:right w:val="none" w:sz="0" w:space="0" w:color="auto"/>
      </w:divBdr>
    </w:div>
    <w:div w:id="803549712">
      <w:bodyDiv w:val="1"/>
      <w:marLeft w:val="0"/>
      <w:marRight w:val="0"/>
      <w:marTop w:val="0"/>
      <w:marBottom w:val="0"/>
      <w:divBdr>
        <w:top w:val="none" w:sz="0" w:space="0" w:color="auto"/>
        <w:left w:val="none" w:sz="0" w:space="0" w:color="auto"/>
        <w:bottom w:val="none" w:sz="0" w:space="0" w:color="auto"/>
        <w:right w:val="none" w:sz="0" w:space="0" w:color="auto"/>
      </w:divBdr>
    </w:div>
    <w:div w:id="1043017931">
      <w:bodyDiv w:val="1"/>
      <w:marLeft w:val="0"/>
      <w:marRight w:val="0"/>
      <w:marTop w:val="0"/>
      <w:marBottom w:val="0"/>
      <w:divBdr>
        <w:top w:val="none" w:sz="0" w:space="0" w:color="auto"/>
        <w:left w:val="none" w:sz="0" w:space="0" w:color="auto"/>
        <w:bottom w:val="none" w:sz="0" w:space="0" w:color="auto"/>
        <w:right w:val="none" w:sz="0" w:space="0" w:color="auto"/>
      </w:divBdr>
    </w:div>
    <w:div w:id="1208907891">
      <w:bodyDiv w:val="1"/>
      <w:marLeft w:val="0"/>
      <w:marRight w:val="0"/>
      <w:marTop w:val="0"/>
      <w:marBottom w:val="0"/>
      <w:divBdr>
        <w:top w:val="none" w:sz="0" w:space="0" w:color="auto"/>
        <w:left w:val="none" w:sz="0" w:space="0" w:color="auto"/>
        <w:bottom w:val="none" w:sz="0" w:space="0" w:color="auto"/>
        <w:right w:val="none" w:sz="0" w:space="0" w:color="auto"/>
      </w:divBdr>
    </w:div>
    <w:div w:id="1368604944">
      <w:bodyDiv w:val="1"/>
      <w:marLeft w:val="0"/>
      <w:marRight w:val="0"/>
      <w:marTop w:val="0"/>
      <w:marBottom w:val="0"/>
      <w:divBdr>
        <w:top w:val="none" w:sz="0" w:space="0" w:color="auto"/>
        <w:left w:val="none" w:sz="0" w:space="0" w:color="auto"/>
        <w:bottom w:val="none" w:sz="0" w:space="0" w:color="auto"/>
        <w:right w:val="none" w:sz="0" w:space="0" w:color="auto"/>
      </w:divBdr>
    </w:div>
    <w:div w:id="1375155427">
      <w:bodyDiv w:val="1"/>
      <w:marLeft w:val="0"/>
      <w:marRight w:val="0"/>
      <w:marTop w:val="0"/>
      <w:marBottom w:val="0"/>
      <w:divBdr>
        <w:top w:val="none" w:sz="0" w:space="0" w:color="auto"/>
        <w:left w:val="none" w:sz="0" w:space="0" w:color="auto"/>
        <w:bottom w:val="none" w:sz="0" w:space="0" w:color="auto"/>
        <w:right w:val="none" w:sz="0" w:space="0" w:color="auto"/>
      </w:divBdr>
    </w:div>
    <w:div w:id="1412696947">
      <w:bodyDiv w:val="1"/>
      <w:marLeft w:val="0"/>
      <w:marRight w:val="0"/>
      <w:marTop w:val="0"/>
      <w:marBottom w:val="0"/>
      <w:divBdr>
        <w:top w:val="none" w:sz="0" w:space="0" w:color="auto"/>
        <w:left w:val="none" w:sz="0" w:space="0" w:color="auto"/>
        <w:bottom w:val="none" w:sz="0" w:space="0" w:color="auto"/>
        <w:right w:val="none" w:sz="0" w:space="0" w:color="auto"/>
      </w:divBdr>
    </w:div>
    <w:div w:id="17345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Gon22</b:Tag>
    <b:SourceType>JournalArticle</b:SourceType>
    <b:Guid>{845B937E-DD2F-4CF0-9D0B-2C78AEBA0599}</b:Guid>
    <b:Title>Exenciones Tributarias como factor diferenciador para la competitividad local y regional</b:Title>
    <b:Year>2022</b:Year>
    <b:Author>
      <b:Author>
        <b:NameList>
          <b:Person>
            <b:Last>Gonzalez Becerra</b:Last>
            <b:First>H.</b:First>
          </b:Person>
          <b:Person>
            <b:Last>García García</b:Last>
            <b:First>F</b:First>
          </b:Person>
          <b:Person>
            <b:Last>Guatibonza Hernandez</b:Last>
            <b:First>E.</b:First>
          </b:Person>
        </b:NameList>
      </b:Author>
    </b:Author>
    <b:JournalName>Estrategia organizacional</b:JournalName>
    <b:Pages>131-154</b:Pages>
    <b:RefOrder>1</b:RefOrder>
  </b:Source>
</b:Sources>
</file>

<file path=customXml/itemProps1.xml><?xml version="1.0" encoding="utf-8"?>
<ds:datastoreItem xmlns:ds="http://schemas.openxmlformats.org/officeDocument/2006/customXml" ds:itemID="{9E92FA01-844E-42E4-9C50-43080652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4197</Words>
  <Characters>23086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Alejandro Riveros</dc:creator>
  <cp:keywords/>
  <dc:description/>
  <cp:lastModifiedBy>Manuela Prado Guiza</cp:lastModifiedBy>
  <cp:revision>2</cp:revision>
  <cp:lastPrinted>2022-08-08T14:32:00Z</cp:lastPrinted>
  <dcterms:created xsi:type="dcterms:W3CDTF">2024-07-31T21:12:00Z</dcterms:created>
  <dcterms:modified xsi:type="dcterms:W3CDTF">2024-07-31T21:12:00Z</dcterms:modified>
</cp:coreProperties>
</file>