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AA" w:rsidRDefault="00FE64AA" w:rsidP="00FE64A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CUESTIONARIO </w:t>
      </w:r>
    </w:p>
    <w:p w:rsidR="00FE64AA" w:rsidRDefault="00FE64AA" w:rsidP="00FE64A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64AA" w:rsidRDefault="00FE64AA" w:rsidP="00FE64A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64AA" w:rsidRDefault="00FE64AA" w:rsidP="00FE64A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r>
        <w:rPr>
          <w:rFonts w:ascii="Arial" w:eastAsia="Arial" w:hAnsi="Arial" w:cs="Arial"/>
          <w:b/>
          <w:color w:val="000000"/>
          <w:sz w:val="24"/>
          <w:szCs w:val="24"/>
        </w:rPr>
        <w:t>Ministerio de Transporte:</w:t>
      </w:r>
    </w:p>
    <w:bookmarkEnd w:id="0"/>
    <w:p w:rsidR="00FE64AA" w:rsidRDefault="00FE64AA" w:rsidP="00FE64A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64AA" w:rsidRDefault="00FE64AA" w:rsidP="00FE64AA">
      <w:pPr>
        <w:spacing w:after="0" w:line="240" w:lineRule="auto"/>
        <w:ind w:left="567" w:hanging="28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Sírvase presentar un informe financiero completo de la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CONCESIÓN CCFC BOGOTÁ - FONTIBÓN - FACATATIVÁ - LOS ALPES. 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Presentar un informe completo que responda: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Cómo ha sido la ejecución de los recursos asignados al Instituto Nacional de Vías -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INVIAS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el desarrollo  de la doble Calzada de la vía Bogotá (Fontibón) - Facatativá Los Alpes,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CONCESIÓN CCFC BOGOTÁ - FONTIBÓN - FACATATIVÁ - LOS ALPES.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¿Cómo avanza dicha inversión o indicar si ya fue terminado?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Relacione los tramos pendientes por finalizar beneficiados por la inversión, realice una descripción completa de cómo avanza la ejecución por tramo.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spacing w:after="0" w:line="240" w:lineRule="auto"/>
        <w:ind w:left="567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Suministre información sobre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Cuál es el estado actual del contrato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CONCESIÓN CCFC BOGOTÁ - FONTIBÓN - FACATATIVÁ - LOS ALPES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suscrito por la </w:t>
      </w:r>
      <w:r>
        <w:rPr>
          <w:rFonts w:ascii="Arial" w:eastAsia="Arial" w:hAnsi="Arial" w:cs="Arial"/>
          <w:b/>
          <w:color w:val="000000"/>
          <w:sz w:val="24"/>
          <w:szCs w:val="24"/>
        </w:rPr>
        <w:t>ANI</w:t>
      </w:r>
      <w:r>
        <w:rPr>
          <w:rFonts w:ascii="Arial" w:eastAsia="Arial" w:hAnsi="Arial" w:cs="Arial"/>
          <w:color w:val="000000"/>
          <w:sz w:val="24"/>
          <w:szCs w:val="24"/>
        </w:rPr>
        <w:t>, ¿para la doble Calzada de la vía Bogotá (Fontibón) - Facatativá Los Alpes?</w:t>
      </w:r>
    </w:p>
    <w:p w:rsidR="00FE64AA" w:rsidRDefault="00FE64AA" w:rsidP="00FE64A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Cuál es el plan del Ministerio de Transporte para la gestión de la Concesión CCFC Bogotá (Fontibón) - Facatativá - ¿Los Alpes, una vez que finalice el 24 de marzo del 2024? 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¿Se tiene previsto un nuevo operador para la concesión o se contempla alguna otra alternativa?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¿Si se tiene previsto un nuevo operador, en qué estado está el proceso de selección contractual para escoger al posible contratista o concesionario? 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caso de haberse celebrado un contrato, ¿adjuntarlo junto con su correspondiente acta de inicio, o confirmar si está sujeta a la misma acta?</w:t>
      </w:r>
    </w:p>
    <w:p w:rsidR="00FE64AA" w:rsidRDefault="00FE64AA" w:rsidP="00FE64A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es el criterio utilizado por el Ministerio para seleccionar el futuro operador de la concesión? ¿Por qué se cambia al operador y no se realiza otrosí?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medidas tomará el Ministerio de Transporte para asegurar la transparencia y eficiencia en la gestión de una posible nueva concesión?</w:t>
      </w:r>
    </w:p>
    <w:p w:rsidR="00FE64AA" w:rsidRDefault="00FE64AA" w:rsidP="00FE64A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¿Conforme al cronograma actual, sírvase indicar la fecha en que culminaran el mejoramiento de la concesión de la doble calzada en la altura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dentro del proyecto CCFC Bogotá (Fontibón) - Facatativá – Los Alpes?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¿Cómo se garantizará la continuidad y calidad del servicio de transporte en la zona afectada por el cese de la concesión? ¿Existen planes de contingencia para evitar posibles interrupciones en la operación vial y de transporte público?</w:t>
      </w:r>
    </w:p>
    <w:p w:rsidR="00FE64AA" w:rsidRDefault="00FE64AA" w:rsidP="00FE64A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Cuál es la estrategia del Ministerio de Transporte para garantizar la continuidad y adecuado mantenimiento de la vía CCFC Bogotá (Fontibón) - Facatativá – ¿Los Alpes, a la altura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Facatativá al término de la concesión?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medidas se están implementando para asegurar que los usuarios de la vía no experimenten interrupciones en el servicio y que se mantengan los estándares de seguridad vial una vez finalizada la concesión el próximo 24 de marzo de 2024?</w:t>
      </w:r>
    </w:p>
    <w:p w:rsidR="00FE64AA" w:rsidRDefault="00FE64AA" w:rsidP="00FE64A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¿Cuáles fueron las acciones específicas tomadas como resultado de las conclusiones derivadas de anteriores debates de control político en la Cámara de Representantes, con relación a la Concesión CCFC Bogotá (Fontibón) - Facatativá – Los Alpes?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¿Se implementaron medidas correctivas o mejoras en la gestión de la concesión a raíz de las observaciones y recomendaciones surgidas de los debates de control político anteriores? En caso afirmativo, ¿cuáles fueron y qué impacto han tenido en la operatividad y eficiencia del proyecto?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Cuál es la evaluación actual del desempeño de la Concesión CCFC Bogotá (Fontibón) - Facatativá – Los Alpes en términos de calidad de servicio, mantenimiento de la infraestructura y cumplimiento de los compromisos contractuales, ¿considerando las acciones tomadas tras los debates de control político previos?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 es la evaluación del Ministerio de Transporte sobre el cumplimiento de los términos contractuales en la concesión de la doble calzada en la altura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dentro del proyecto CCFC Bogotá (Fontibón) - Facatativá – Los Alpes?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medidas ha tomado el Ministerio para garantizar que la concesionaria cumpla con los plazos establecidos y el presupuesto asignado?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 es el nivel de avance registrado hasta la fecha en la ejecución de la doble calzada en la altura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cómo se compara con las condiciones y los plazos inicialmente estipulados en el contrato de concesión?</w:t>
      </w:r>
    </w:p>
    <w:p w:rsidR="00FE64AA" w:rsidRDefault="00FE64AA" w:rsidP="00FE64AA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¿Se han presentado retrasos en la ejecución del proyecto? En caso afirmativo, ¿cuáles son las principales razones detrás de estos retrasos y qué acciones se están tomando para remediarlos?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acciones ha emprendido el Ministerio de Transporte para garantizar la entrega oportuna y satisfactoria de la obra, así como para asegurar que se cumplan los estándares de calidad exigidos en el proyecto CCFC Bogotá (Fontibón) - Facatativá – Los Alpes?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Cuál es el plan del Ministerio de Transporte para abordar las preocupaciones de la comunidad respecto a la falta de obras complementarias en la Concesión CCFC Bogotá (Fontibón) - Facatativá – Los Alpes, ¿tales como iluminación, puentes peatonales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ciclovías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¿Qué medidas específicas se están tomando para garantizar la seguridad y la accesibilidad de los ciudadanos en las áreas afectadas por la concesión, especialmente en términos de puentes peatonales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ciclovías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¿Se ha considerado la posibilidad de exonerar el pago del peaje a los nuevos pobladores del área de influencia de la concesión? En caso afirmativo, ¿cuáles serían los criterios para aplicar esta exoneración?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es la estrategia del Ministerio para abordar otras preocupaciones de la comunidad relacionadas con la concesión, como la mitigación de impactos ambientales y el desarrollo socioeconómico de la región afectada?</w:t>
      </w:r>
    </w:p>
    <w:p w:rsidR="00FE64AA" w:rsidRDefault="00FE64AA" w:rsidP="00FE64AA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64AA" w:rsidRDefault="00FE64AA" w:rsidP="00FE6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 es la razón oficial detrás de la negativa y falta de respuesta a la solicitud de convocatoria de una mesa de trabajo presentada a través del derecho de petición enviado el día 18 de enero de 2024 con relación a la Concesión CCFC Bogotá (Fontibón) - Facatativá – Los Alpes para de abordar y avanzar en la planificación y ejecución de la construcción de la variante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4A3DCC" w:rsidRDefault="00FE64AA"/>
    <w:sectPr w:rsidR="004A3DCC" w:rsidSect="00FE64AA">
      <w:headerReference w:type="default" r:id="rId7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AA" w:rsidRDefault="00FE64AA" w:rsidP="00FE64AA">
      <w:pPr>
        <w:spacing w:after="0" w:line="240" w:lineRule="auto"/>
      </w:pPr>
      <w:r>
        <w:separator/>
      </w:r>
    </w:p>
  </w:endnote>
  <w:endnote w:type="continuationSeparator" w:id="0">
    <w:p w:rsidR="00FE64AA" w:rsidRDefault="00FE64AA" w:rsidP="00FE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AA" w:rsidRDefault="00FE64AA" w:rsidP="00FE64AA">
      <w:pPr>
        <w:spacing w:after="0" w:line="240" w:lineRule="auto"/>
      </w:pPr>
      <w:r>
        <w:separator/>
      </w:r>
    </w:p>
  </w:footnote>
  <w:footnote w:type="continuationSeparator" w:id="0">
    <w:p w:rsidR="00FE64AA" w:rsidRDefault="00FE64AA" w:rsidP="00FE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AA" w:rsidRDefault="00FE64AA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6A72F324" wp14:editId="56E6ABC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61405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61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17426"/>
    <w:multiLevelType w:val="multilevel"/>
    <w:tmpl w:val="6FAED18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83F6946"/>
    <w:multiLevelType w:val="multilevel"/>
    <w:tmpl w:val="E7E614F6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AA"/>
    <w:rsid w:val="001D3BEE"/>
    <w:rsid w:val="00D77B37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84D03E9C-C3DE-4BFF-BBF6-F179DCDC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AA"/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4AA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E6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4AA"/>
    <w:rPr>
      <w:rFonts w:ascii="Calibri" w:eastAsia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Andrés Ortiz Fuertes</dc:creator>
  <cp:keywords/>
  <dc:description/>
  <cp:lastModifiedBy>Román Andrés Ortiz Fuertes</cp:lastModifiedBy>
  <cp:revision>1</cp:revision>
  <dcterms:created xsi:type="dcterms:W3CDTF">2024-02-28T20:41:00Z</dcterms:created>
  <dcterms:modified xsi:type="dcterms:W3CDTF">2024-02-28T20:43:00Z</dcterms:modified>
</cp:coreProperties>
</file>