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6E0" w:rsidRPr="00911669" w:rsidRDefault="006556E0" w:rsidP="006556E0">
      <w:pPr>
        <w:autoSpaceDE w:val="0"/>
        <w:autoSpaceDN w:val="0"/>
        <w:adjustRightInd w:val="0"/>
        <w:spacing w:after="0" w:line="240" w:lineRule="auto"/>
        <w:jc w:val="center"/>
        <w:rPr>
          <w:rFonts w:ascii="Arial" w:hAnsi="Arial" w:cs="Arial"/>
          <w:b/>
        </w:rPr>
      </w:pPr>
      <w:bookmarkStart w:id="0" w:name="_GoBack"/>
      <w:bookmarkEnd w:id="0"/>
      <w:r w:rsidRPr="00911669">
        <w:rPr>
          <w:rFonts w:ascii="Arial" w:hAnsi="Arial" w:cs="Arial"/>
          <w:b/>
        </w:rPr>
        <w:t>HONORABLE REPRESENTANTE</w:t>
      </w:r>
    </w:p>
    <w:p w:rsidR="006556E0" w:rsidRPr="00911669" w:rsidRDefault="006556E0" w:rsidP="006556E0">
      <w:pPr>
        <w:autoSpaceDE w:val="0"/>
        <w:autoSpaceDN w:val="0"/>
        <w:adjustRightInd w:val="0"/>
        <w:spacing w:after="0" w:line="240" w:lineRule="auto"/>
        <w:jc w:val="center"/>
        <w:rPr>
          <w:rFonts w:ascii="Arial" w:hAnsi="Arial" w:cs="Arial"/>
          <w:b/>
        </w:rPr>
      </w:pPr>
      <w:r>
        <w:rPr>
          <w:rFonts w:ascii="Arial" w:hAnsi="Arial" w:cs="Arial"/>
          <w:b/>
        </w:rPr>
        <w:t>LINA MARIA BARRERA RUEDA</w:t>
      </w:r>
    </w:p>
    <w:p w:rsidR="006556E0" w:rsidRDefault="006556E0" w:rsidP="006556E0">
      <w:pPr>
        <w:autoSpaceDE w:val="0"/>
        <w:autoSpaceDN w:val="0"/>
        <w:adjustRightInd w:val="0"/>
        <w:spacing w:after="0" w:line="240" w:lineRule="auto"/>
        <w:jc w:val="center"/>
        <w:rPr>
          <w:rFonts w:ascii="Arial" w:hAnsi="Arial" w:cs="Arial"/>
          <w:b/>
        </w:rPr>
      </w:pPr>
    </w:p>
    <w:p w:rsidR="006556E0" w:rsidRPr="00911669" w:rsidRDefault="006556E0" w:rsidP="006556E0">
      <w:pPr>
        <w:autoSpaceDE w:val="0"/>
        <w:autoSpaceDN w:val="0"/>
        <w:adjustRightInd w:val="0"/>
        <w:spacing w:after="0" w:line="240" w:lineRule="auto"/>
        <w:jc w:val="center"/>
        <w:rPr>
          <w:rFonts w:ascii="Arial" w:hAnsi="Arial" w:cs="Arial"/>
          <w:b/>
        </w:rPr>
      </w:pPr>
      <w:r w:rsidRPr="00911669">
        <w:rPr>
          <w:rFonts w:ascii="Arial" w:hAnsi="Arial" w:cs="Arial"/>
          <w:b/>
        </w:rPr>
        <w:t>RESPUESTA A CUESTIONARIO</w:t>
      </w:r>
    </w:p>
    <w:p w:rsidR="00A65A96" w:rsidRDefault="00A65A96" w:rsidP="008F7EA5">
      <w:pPr>
        <w:widowControl w:val="0"/>
        <w:autoSpaceDE w:val="0"/>
        <w:autoSpaceDN w:val="0"/>
        <w:adjustRightInd w:val="0"/>
        <w:spacing w:after="0" w:line="240" w:lineRule="auto"/>
        <w:jc w:val="both"/>
        <w:rPr>
          <w:rFonts w:ascii="Arial" w:hAnsi="Arial" w:cs="Arial"/>
          <w:b/>
          <w:bCs/>
          <w:color w:val="000000"/>
        </w:rPr>
      </w:pPr>
    </w:p>
    <w:p w:rsidR="00E12BD6" w:rsidRPr="00E12BD6" w:rsidRDefault="0021173A" w:rsidP="0021173A">
      <w:pPr>
        <w:widowControl w:val="0"/>
        <w:autoSpaceDE w:val="0"/>
        <w:autoSpaceDN w:val="0"/>
        <w:adjustRightInd w:val="0"/>
        <w:spacing w:after="0" w:line="240" w:lineRule="auto"/>
        <w:ind w:left="708"/>
        <w:jc w:val="both"/>
        <w:rPr>
          <w:rFonts w:ascii="Arial" w:hAnsi="Arial" w:cs="Arial"/>
          <w:b/>
          <w:i/>
          <w:color w:val="000000"/>
        </w:rPr>
      </w:pPr>
      <w:r>
        <w:rPr>
          <w:rFonts w:ascii="Arial" w:hAnsi="Arial" w:cs="Arial"/>
          <w:b/>
          <w:i/>
          <w:color w:val="000000"/>
        </w:rPr>
        <w:t xml:space="preserve">“1. </w:t>
      </w:r>
      <w:r w:rsidR="00E12BD6" w:rsidRPr="00E12BD6">
        <w:rPr>
          <w:rFonts w:ascii="Arial" w:hAnsi="Arial" w:cs="Arial"/>
          <w:b/>
          <w:i/>
          <w:color w:val="000000"/>
        </w:rPr>
        <w:t>Manifieste si a la Superintendencia Nacional de Salud han llegado quejas frente a la prestación del servicio en el Hospital Universitario de Santander (HUS) en los últimos tres años. Indicando cuáles son las razones de las quejas.”</w:t>
      </w:r>
    </w:p>
    <w:p w:rsidR="00E12BD6" w:rsidRDefault="00E12BD6" w:rsidP="008F7EA5">
      <w:pPr>
        <w:widowControl w:val="0"/>
        <w:autoSpaceDE w:val="0"/>
        <w:autoSpaceDN w:val="0"/>
        <w:adjustRightInd w:val="0"/>
        <w:spacing w:after="0" w:line="240" w:lineRule="auto"/>
        <w:jc w:val="both"/>
        <w:rPr>
          <w:rFonts w:ascii="Arial" w:hAnsi="Arial" w:cs="Arial"/>
          <w:b/>
          <w:bCs/>
          <w:color w:val="000000"/>
        </w:rPr>
      </w:pPr>
    </w:p>
    <w:p w:rsidR="00E12BD6" w:rsidRDefault="00E12BD6" w:rsidP="00E12BD6">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La Superintendencia Nacional de Salud durante los años 2011, 2012 y 2013, ha recibido quejas por deficiencias en la prestación de los servicios de salud por parte del Hospital Universitario de Santander así: </w:t>
      </w:r>
    </w:p>
    <w:p w:rsidR="00B81C28" w:rsidRDefault="00B81C28" w:rsidP="00E12BD6">
      <w:pPr>
        <w:autoSpaceDE w:val="0"/>
        <w:autoSpaceDN w:val="0"/>
        <w:adjustRightInd w:val="0"/>
        <w:spacing w:after="0" w:line="240" w:lineRule="auto"/>
        <w:jc w:val="both"/>
        <w:rPr>
          <w:rFonts w:ascii="Arial" w:hAnsi="Arial" w:cs="Arial"/>
          <w:color w:val="000000"/>
        </w:rPr>
      </w:pPr>
    </w:p>
    <w:tbl>
      <w:tblPr>
        <w:tblW w:w="9371" w:type="dxa"/>
        <w:tblInd w:w="55" w:type="dxa"/>
        <w:tblCellMar>
          <w:left w:w="70" w:type="dxa"/>
          <w:right w:w="70" w:type="dxa"/>
        </w:tblCellMar>
        <w:tblLook w:val="04A0" w:firstRow="1" w:lastRow="0" w:firstColumn="1" w:lastColumn="0" w:noHBand="0" w:noVBand="1"/>
      </w:tblPr>
      <w:tblGrid>
        <w:gridCol w:w="4268"/>
        <w:gridCol w:w="5103"/>
      </w:tblGrid>
      <w:tr w:rsidR="00B81C28" w:rsidRPr="00B81C28" w:rsidTr="00B81C28">
        <w:trPr>
          <w:trHeight w:val="20"/>
        </w:trPr>
        <w:tc>
          <w:tcPr>
            <w:tcW w:w="4268" w:type="dxa"/>
            <w:tcBorders>
              <w:top w:val="single" w:sz="4" w:space="0" w:color="auto"/>
              <w:left w:val="single" w:sz="4" w:space="0" w:color="auto"/>
              <w:bottom w:val="single" w:sz="4" w:space="0" w:color="auto"/>
              <w:right w:val="single" w:sz="4" w:space="0" w:color="auto"/>
            </w:tcBorders>
            <w:shd w:val="clear" w:color="000000" w:fill="D8E4BC"/>
            <w:vAlign w:val="center"/>
            <w:hideMark/>
          </w:tcPr>
          <w:p w:rsidR="00B81C28" w:rsidRPr="00B81C28" w:rsidRDefault="00B81C28" w:rsidP="00B81C28">
            <w:pPr>
              <w:spacing w:after="0" w:line="240" w:lineRule="auto"/>
              <w:jc w:val="center"/>
              <w:rPr>
                <w:rFonts w:ascii="Arial" w:eastAsia="Times New Roman" w:hAnsi="Arial" w:cs="Arial"/>
                <w:b/>
                <w:bCs/>
                <w:color w:val="000000"/>
                <w:sz w:val="20"/>
                <w:szCs w:val="20"/>
                <w:lang w:eastAsia="es-CO"/>
              </w:rPr>
            </w:pPr>
            <w:r w:rsidRPr="00B81C28">
              <w:rPr>
                <w:rFonts w:ascii="Arial" w:eastAsia="Times New Roman" w:hAnsi="Arial" w:cs="Arial"/>
                <w:b/>
                <w:bCs/>
                <w:color w:val="000000"/>
                <w:sz w:val="20"/>
                <w:szCs w:val="20"/>
                <w:lang w:eastAsia="es-CO"/>
              </w:rPr>
              <w:t>AÑO</w:t>
            </w:r>
          </w:p>
        </w:tc>
        <w:tc>
          <w:tcPr>
            <w:tcW w:w="5103" w:type="dxa"/>
            <w:tcBorders>
              <w:top w:val="single" w:sz="4" w:space="0" w:color="auto"/>
              <w:left w:val="nil"/>
              <w:bottom w:val="single" w:sz="4" w:space="0" w:color="auto"/>
              <w:right w:val="single" w:sz="4" w:space="0" w:color="auto"/>
            </w:tcBorders>
            <w:shd w:val="clear" w:color="000000" w:fill="D8E4BC"/>
            <w:vAlign w:val="center"/>
            <w:hideMark/>
          </w:tcPr>
          <w:p w:rsidR="00B81C28" w:rsidRPr="00B81C28" w:rsidRDefault="00B81C28" w:rsidP="00B81C28">
            <w:pPr>
              <w:spacing w:after="0" w:line="240" w:lineRule="auto"/>
              <w:jc w:val="center"/>
              <w:rPr>
                <w:rFonts w:ascii="Arial" w:eastAsia="Times New Roman" w:hAnsi="Arial" w:cs="Arial"/>
                <w:b/>
                <w:bCs/>
                <w:color w:val="000000"/>
                <w:sz w:val="20"/>
                <w:szCs w:val="20"/>
                <w:lang w:eastAsia="es-CO"/>
              </w:rPr>
            </w:pPr>
            <w:r w:rsidRPr="00B81C28">
              <w:rPr>
                <w:rFonts w:ascii="Arial" w:eastAsia="Times New Roman" w:hAnsi="Arial" w:cs="Arial"/>
                <w:b/>
                <w:bCs/>
                <w:color w:val="000000"/>
                <w:sz w:val="20"/>
                <w:szCs w:val="20"/>
                <w:lang w:eastAsia="es-CO"/>
              </w:rPr>
              <w:t>CANTIDAD</w:t>
            </w:r>
          </w:p>
        </w:tc>
      </w:tr>
      <w:tr w:rsidR="00B81C28" w:rsidRPr="00B81C28" w:rsidTr="00B81C28">
        <w:trPr>
          <w:trHeight w:val="20"/>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B81C28" w:rsidRPr="00B81C28" w:rsidRDefault="00B81C28" w:rsidP="00B81C28">
            <w:pPr>
              <w:spacing w:after="0" w:line="240" w:lineRule="auto"/>
              <w:jc w:val="center"/>
              <w:rPr>
                <w:rFonts w:ascii="Arial" w:eastAsia="Times New Roman" w:hAnsi="Arial" w:cs="Arial"/>
                <w:color w:val="000000"/>
                <w:sz w:val="20"/>
                <w:szCs w:val="20"/>
                <w:lang w:eastAsia="es-CO"/>
              </w:rPr>
            </w:pPr>
            <w:r w:rsidRPr="00B81C28">
              <w:rPr>
                <w:rFonts w:ascii="Arial" w:eastAsia="Times New Roman" w:hAnsi="Arial" w:cs="Arial"/>
                <w:color w:val="000000"/>
                <w:sz w:val="20"/>
                <w:szCs w:val="20"/>
                <w:lang w:eastAsia="es-CO"/>
              </w:rPr>
              <w:t>2011</w:t>
            </w:r>
          </w:p>
        </w:tc>
        <w:tc>
          <w:tcPr>
            <w:tcW w:w="5103" w:type="dxa"/>
            <w:tcBorders>
              <w:top w:val="nil"/>
              <w:left w:val="nil"/>
              <w:bottom w:val="single" w:sz="4" w:space="0" w:color="auto"/>
              <w:right w:val="single" w:sz="4" w:space="0" w:color="auto"/>
            </w:tcBorders>
            <w:shd w:val="clear" w:color="auto" w:fill="auto"/>
            <w:vAlign w:val="center"/>
            <w:hideMark/>
          </w:tcPr>
          <w:p w:rsidR="00B81C28" w:rsidRPr="00B81C28" w:rsidRDefault="00B81C28" w:rsidP="00B81C28">
            <w:pPr>
              <w:spacing w:after="0" w:line="240" w:lineRule="auto"/>
              <w:jc w:val="center"/>
              <w:rPr>
                <w:rFonts w:ascii="Arial" w:eastAsia="Times New Roman" w:hAnsi="Arial" w:cs="Arial"/>
                <w:color w:val="000000"/>
                <w:sz w:val="20"/>
                <w:szCs w:val="20"/>
                <w:lang w:eastAsia="es-CO"/>
              </w:rPr>
            </w:pPr>
            <w:r w:rsidRPr="00B81C28">
              <w:rPr>
                <w:rFonts w:ascii="Arial" w:eastAsia="Times New Roman" w:hAnsi="Arial" w:cs="Arial"/>
                <w:color w:val="000000"/>
                <w:sz w:val="20"/>
                <w:szCs w:val="20"/>
                <w:lang w:eastAsia="es-CO"/>
              </w:rPr>
              <w:t>99</w:t>
            </w:r>
          </w:p>
        </w:tc>
      </w:tr>
      <w:tr w:rsidR="00B81C28" w:rsidRPr="00B81C28" w:rsidTr="00B81C28">
        <w:trPr>
          <w:trHeight w:val="20"/>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B81C28" w:rsidRPr="00B81C28" w:rsidRDefault="00B81C28" w:rsidP="00B81C28">
            <w:pPr>
              <w:spacing w:after="0" w:line="240" w:lineRule="auto"/>
              <w:jc w:val="center"/>
              <w:rPr>
                <w:rFonts w:ascii="Arial" w:eastAsia="Times New Roman" w:hAnsi="Arial" w:cs="Arial"/>
                <w:color w:val="000000"/>
                <w:sz w:val="20"/>
                <w:szCs w:val="20"/>
                <w:lang w:eastAsia="es-CO"/>
              </w:rPr>
            </w:pPr>
            <w:r w:rsidRPr="00B81C28">
              <w:rPr>
                <w:rFonts w:ascii="Arial" w:eastAsia="Times New Roman" w:hAnsi="Arial" w:cs="Arial"/>
                <w:color w:val="000000"/>
                <w:sz w:val="20"/>
                <w:szCs w:val="20"/>
                <w:lang w:eastAsia="es-CO"/>
              </w:rPr>
              <w:t>2012</w:t>
            </w:r>
          </w:p>
        </w:tc>
        <w:tc>
          <w:tcPr>
            <w:tcW w:w="5103" w:type="dxa"/>
            <w:tcBorders>
              <w:top w:val="nil"/>
              <w:left w:val="nil"/>
              <w:bottom w:val="single" w:sz="4" w:space="0" w:color="auto"/>
              <w:right w:val="single" w:sz="4" w:space="0" w:color="auto"/>
            </w:tcBorders>
            <w:shd w:val="clear" w:color="auto" w:fill="auto"/>
            <w:vAlign w:val="center"/>
            <w:hideMark/>
          </w:tcPr>
          <w:p w:rsidR="00B81C28" w:rsidRPr="00B81C28" w:rsidRDefault="00B81C28" w:rsidP="00B81C28">
            <w:pPr>
              <w:spacing w:after="0" w:line="240" w:lineRule="auto"/>
              <w:jc w:val="center"/>
              <w:rPr>
                <w:rFonts w:ascii="Arial" w:eastAsia="Times New Roman" w:hAnsi="Arial" w:cs="Arial"/>
                <w:color w:val="000000"/>
                <w:sz w:val="20"/>
                <w:szCs w:val="20"/>
                <w:lang w:eastAsia="es-CO"/>
              </w:rPr>
            </w:pPr>
            <w:r w:rsidRPr="00B81C28">
              <w:rPr>
                <w:rFonts w:ascii="Arial" w:eastAsia="Times New Roman" w:hAnsi="Arial" w:cs="Arial"/>
                <w:color w:val="000000"/>
                <w:sz w:val="20"/>
                <w:szCs w:val="20"/>
                <w:lang w:eastAsia="es-CO"/>
              </w:rPr>
              <w:t>55</w:t>
            </w:r>
          </w:p>
        </w:tc>
      </w:tr>
      <w:tr w:rsidR="00B81C28" w:rsidRPr="00B81C28" w:rsidTr="00B81C28">
        <w:trPr>
          <w:trHeight w:val="20"/>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B81C28" w:rsidRPr="00B81C28" w:rsidRDefault="00B81C28" w:rsidP="00B81C28">
            <w:pPr>
              <w:spacing w:after="0" w:line="240" w:lineRule="auto"/>
              <w:jc w:val="center"/>
              <w:rPr>
                <w:rFonts w:ascii="Arial" w:eastAsia="Times New Roman" w:hAnsi="Arial" w:cs="Arial"/>
                <w:color w:val="000000"/>
                <w:sz w:val="20"/>
                <w:szCs w:val="20"/>
                <w:lang w:eastAsia="es-CO"/>
              </w:rPr>
            </w:pPr>
            <w:r w:rsidRPr="00B81C28">
              <w:rPr>
                <w:rFonts w:ascii="Arial" w:eastAsia="Times New Roman" w:hAnsi="Arial" w:cs="Arial"/>
                <w:color w:val="000000"/>
                <w:sz w:val="20"/>
                <w:szCs w:val="20"/>
                <w:lang w:eastAsia="es-CO"/>
              </w:rPr>
              <w:t>2013</w:t>
            </w:r>
          </w:p>
        </w:tc>
        <w:tc>
          <w:tcPr>
            <w:tcW w:w="5103" w:type="dxa"/>
            <w:tcBorders>
              <w:top w:val="nil"/>
              <w:left w:val="nil"/>
              <w:bottom w:val="single" w:sz="4" w:space="0" w:color="auto"/>
              <w:right w:val="single" w:sz="4" w:space="0" w:color="auto"/>
            </w:tcBorders>
            <w:shd w:val="clear" w:color="auto" w:fill="auto"/>
            <w:vAlign w:val="center"/>
            <w:hideMark/>
          </w:tcPr>
          <w:p w:rsidR="00B81C28" w:rsidRPr="00B81C28" w:rsidRDefault="00B81C28" w:rsidP="00B81C28">
            <w:pPr>
              <w:spacing w:after="0" w:line="240" w:lineRule="auto"/>
              <w:jc w:val="center"/>
              <w:rPr>
                <w:rFonts w:ascii="Arial" w:eastAsia="Times New Roman" w:hAnsi="Arial" w:cs="Arial"/>
                <w:color w:val="000000"/>
                <w:sz w:val="20"/>
                <w:szCs w:val="20"/>
                <w:lang w:eastAsia="es-CO"/>
              </w:rPr>
            </w:pPr>
            <w:r w:rsidRPr="00B81C28">
              <w:rPr>
                <w:rFonts w:ascii="Arial" w:eastAsia="Times New Roman" w:hAnsi="Arial" w:cs="Arial"/>
                <w:color w:val="000000"/>
                <w:sz w:val="20"/>
                <w:szCs w:val="20"/>
                <w:lang w:eastAsia="es-CO"/>
              </w:rPr>
              <w:t>54</w:t>
            </w:r>
          </w:p>
        </w:tc>
      </w:tr>
      <w:tr w:rsidR="00B81C28" w:rsidRPr="00B81C28" w:rsidTr="00B81C28">
        <w:trPr>
          <w:trHeight w:val="20"/>
        </w:trPr>
        <w:tc>
          <w:tcPr>
            <w:tcW w:w="4268" w:type="dxa"/>
            <w:tcBorders>
              <w:top w:val="nil"/>
              <w:left w:val="single" w:sz="4" w:space="0" w:color="auto"/>
              <w:bottom w:val="single" w:sz="4" w:space="0" w:color="auto"/>
              <w:right w:val="single" w:sz="4" w:space="0" w:color="auto"/>
            </w:tcBorders>
            <w:shd w:val="clear" w:color="000000" w:fill="D8E4BC"/>
            <w:vAlign w:val="center"/>
            <w:hideMark/>
          </w:tcPr>
          <w:p w:rsidR="00B81C28" w:rsidRPr="00B81C28" w:rsidRDefault="00B81C28" w:rsidP="00B81C28">
            <w:pPr>
              <w:spacing w:after="0" w:line="240" w:lineRule="auto"/>
              <w:jc w:val="center"/>
              <w:rPr>
                <w:rFonts w:ascii="Arial" w:eastAsia="Times New Roman" w:hAnsi="Arial" w:cs="Arial"/>
                <w:b/>
                <w:bCs/>
                <w:color w:val="000000"/>
                <w:sz w:val="20"/>
                <w:szCs w:val="20"/>
                <w:lang w:eastAsia="es-CO"/>
              </w:rPr>
            </w:pPr>
            <w:r w:rsidRPr="00B81C28">
              <w:rPr>
                <w:rFonts w:ascii="Arial" w:eastAsia="Times New Roman" w:hAnsi="Arial" w:cs="Arial"/>
                <w:b/>
                <w:bCs/>
                <w:color w:val="000000"/>
                <w:sz w:val="20"/>
                <w:szCs w:val="20"/>
                <w:lang w:eastAsia="es-CO"/>
              </w:rPr>
              <w:t>TOTAL</w:t>
            </w:r>
          </w:p>
        </w:tc>
        <w:tc>
          <w:tcPr>
            <w:tcW w:w="5103" w:type="dxa"/>
            <w:tcBorders>
              <w:top w:val="nil"/>
              <w:left w:val="nil"/>
              <w:bottom w:val="single" w:sz="4" w:space="0" w:color="auto"/>
              <w:right w:val="single" w:sz="4" w:space="0" w:color="auto"/>
            </w:tcBorders>
            <w:shd w:val="clear" w:color="000000" w:fill="D8E4BC"/>
            <w:vAlign w:val="center"/>
            <w:hideMark/>
          </w:tcPr>
          <w:p w:rsidR="00B81C28" w:rsidRPr="00B81C28" w:rsidRDefault="00B81C28" w:rsidP="00B81C28">
            <w:pPr>
              <w:spacing w:after="0" w:line="240" w:lineRule="auto"/>
              <w:jc w:val="center"/>
              <w:rPr>
                <w:rFonts w:ascii="Arial" w:eastAsia="Times New Roman" w:hAnsi="Arial" w:cs="Arial"/>
                <w:b/>
                <w:bCs/>
                <w:color w:val="000000"/>
                <w:sz w:val="20"/>
                <w:szCs w:val="20"/>
                <w:lang w:eastAsia="es-CO"/>
              </w:rPr>
            </w:pPr>
            <w:r w:rsidRPr="00B81C28">
              <w:rPr>
                <w:rFonts w:ascii="Arial" w:eastAsia="Times New Roman" w:hAnsi="Arial" w:cs="Arial"/>
                <w:b/>
                <w:bCs/>
                <w:color w:val="000000"/>
                <w:sz w:val="20"/>
                <w:szCs w:val="20"/>
                <w:lang w:eastAsia="es-CO"/>
              </w:rPr>
              <w:t>208</w:t>
            </w:r>
          </w:p>
        </w:tc>
      </w:tr>
    </w:tbl>
    <w:p w:rsidR="00B81C28" w:rsidRDefault="008F3068" w:rsidP="00E12BD6">
      <w:pPr>
        <w:autoSpaceDE w:val="0"/>
        <w:autoSpaceDN w:val="0"/>
        <w:adjustRightInd w:val="0"/>
        <w:spacing w:after="0" w:line="240" w:lineRule="auto"/>
        <w:jc w:val="both"/>
        <w:rPr>
          <w:rFonts w:ascii="Arial" w:hAnsi="Arial" w:cs="Arial"/>
          <w:color w:val="000000"/>
          <w:sz w:val="16"/>
          <w:szCs w:val="16"/>
        </w:rPr>
      </w:pPr>
      <w:r w:rsidRPr="008F3068">
        <w:rPr>
          <w:rFonts w:ascii="Arial" w:hAnsi="Arial" w:cs="Arial"/>
          <w:color w:val="000000"/>
          <w:sz w:val="16"/>
          <w:szCs w:val="16"/>
        </w:rPr>
        <w:t xml:space="preserve">Fuente: Construcción Despacho </w:t>
      </w:r>
    </w:p>
    <w:p w:rsidR="008F3068" w:rsidRPr="008F3068" w:rsidRDefault="008F3068" w:rsidP="00E12BD6">
      <w:pPr>
        <w:autoSpaceDE w:val="0"/>
        <w:autoSpaceDN w:val="0"/>
        <w:adjustRightInd w:val="0"/>
        <w:spacing w:after="0" w:line="240" w:lineRule="auto"/>
        <w:jc w:val="both"/>
        <w:rPr>
          <w:rFonts w:ascii="Arial" w:hAnsi="Arial" w:cs="Arial"/>
          <w:color w:val="000000"/>
          <w:sz w:val="16"/>
          <w:szCs w:val="16"/>
        </w:rPr>
      </w:pPr>
    </w:p>
    <w:p w:rsidR="00EC3D61" w:rsidRDefault="0074537E" w:rsidP="00E70602">
      <w:pPr>
        <w:pStyle w:val="Sinespaciado"/>
        <w:jc w:val="both"/>
        <w:rPr>
          <w:rFonts w:ascii="Arial" w:hAnsi="Arial" w:cs="Arial"/>
        </w:rPr>
      </w:pPr>
      <w:r w:rsidRPr="00E70602">
        <w:rPr>
          <w:rFonts w:ascii="Arial" w:hAnsi="Arial" w:cs="Arial"/>
          <w:color w:val="000000"/>
        </w:rPr>
        <w:t>De este universo de quejas el 30.29% corresponden a fallas en la calidad de la prestación del servicio de salud</w:t>
      </w:r>
      <w:r w:rsidR="00E70602" w:rsidRPr="00E70602">
        <w:rPr>
          <w:rFonts w:ascii="Arial" w:hAnsi="Arial" w:cs="Arial"/>
          <w:color w:val="000000"/>
        </w:rPr>
        <w:t xml:space="preserve"> y e</w:t>
      </w:r>
      <w:r w:rsidR="00EC3D61" w:rsidRPr="00E70602">
        <w:rPr>
          <w:rFonts w:ascii="Arial" w:hAnsi="Arial" w:cs="Arial"/>
        </w:rPr>
        <w:t xml:space="preserve">l 69.71% restante a peticiones relacionadas con falta de oportunidad en la asignación de citas de </w:t>
      </w:r>
      <w:r w:rsidR="008E1BD1" w:rsidRPr="00E70602">
        <w:rPr>
          <w:rFonts w:ascii="Arial" w:hAnsi="Arial" w:cs="Arial"/>
        </w:rPr>
        <w:t>m</w:t>
      </w:r>
      <w:r w:rsidR="00EC3D61" w:rsidRPr="00E70602">
        <w:rPr>
          <w:rFonts w:ascii="Arial" w:hAnsi="Arial" w:cs="Arial"/>
        </w:rPr>
        <w:t xml:space="preserve">edicina </w:t>
      </w:r>
      <w:r w:rsidR="008E1BD1" w:rsidRPr="00E70602">
        <w:rPr>
          <w:rFonts w:ascii="Arial" w:hAnsi="Arial" w:cs="Arial"/>
        </w:rPr>
        <w:t>g</w:t>
      </w:r>
      <w:r w:rsidR="00EC3D61" w:rsidRPr="00E70602">
        <w:rPr>
          <w:rFonts w:ascii="Arial" w:hAnsi="Arial" w:cs="Arial"/>
        </w:rPr>
        <w:t xml:space="preserve">eneral, </w:t>
      </w:r>
      <w:r w:rsidR="008E1BD1" w:rsidRPr="00E70602">
        <w:rPr>
          <w:rFonts w:ascii="Arial" w:hAnsi="Arial" w:cs="Arial"/>
        </w:rPr>
        <w:t>o</w:t>
      </w:r>
      <w:r w:rsidR="00EC3D61" w:rsidRPr="00E70602">
        <w:rPr>
          <w:rFonts w:ascii="Arial" w:hAnsi="Arial" w:cs="Arial"/>
        </w:rPr>
        <w:t xml:space="preserve">rtopedia, </w:t>
      </w:r>
      <w:r w:rsidR="008E1BD1" w:rsidRPr="00E70602">
        <w:rPr>
          <w:rFonts w:ascii="Arial" w:hAnsi="Arial" w:cs="Arial"/>
        </w:rPr>
        <w:t>m</w:t>
      </w:r>
      <w:r w:rsidR="00EC3D61" w:rsidRPr="00E70602">
        <w:rPr>
          <w:rFonts w:ascii="Arial" w:hAnsi="Arial" w:cs="Arial"/>
        </w:rPr>
        <w:t xml:space="preserve">edicina </w:t>
      </w:r>
      <w:r w:rsidR="008E1BD1" w:rsidRPr="00E70602">
        <w:rPr>
          <w:rFonts w:ascii="Arial" w:hAnsi="Arial" w:cs="Arial"/>
        </w:rPr>
        <w:t>i</w:t>
      </w:r>
      <w:r w:rsidR="00EC3D61" w:rsidRPr="00E70602">
        <w:rPr>
          <w:rFonts w:ascii="Arial" w:hAnsi="Arial" w:cs="Arial"/>
        </w:rPr>
        <w:t xml:space="preserve">nterna, </w:t>
      </w:r>
      <w:r w:rsidR="008E1BD1" w:rsidRPr="00E70602">
        <w:rPr>
          <w:rFonts w:ascii="Arial" w:hAnsi="Arial" w:cs="Arial"/>
        </w:rPr>
        <w:t>d</w:t>
      </w:r>
      <w:r w:rsidR="00EC3D61" w:rsidRPr="00E70602">
        <w:rPr>
          <w:rFonts w:ascii="Arial" w:hAnsi="Arial" w:cs="Arial"/>
        </w:rPr>
        <w:t xml:space="preserve">ermatología, </w:t>
      </w:r>
      <w:r w:rsidR="008E1BD1" w:rsidRPr="00E70602">
        <w:rPr>
          <w:rFonts w:ascii="Arial" w:hAnsi="Arial" w:cs="Arial"/>
        </w:rPr>
        <w:t>n</w:t>
      </w:r>
      <w:r w:rsidR="00EC3D61" w:rsidRPr="00E70602">
        <w:rPr>
          <w:rFonts w:ascii="Arial" w:hAnsi="Arial" w:cs="Arial"/>
        </w:rPr>
        <w:t xml:space="preserve">eurología, </w:t>
      </w:r>
      <w:r w:rsidR="008E1BD1" w:rsidRPr="00E70602">
        <w:rPr>
          <w:rFonts w:ascii="Arial" w:hAnsi="Arial" w:cs="Arial"/>
        </w:rPr>
        <w:t>u</w:t>
      </w:r>
      <w:r w:rsidR="00EC3D61" w:rsidRPr="00E70602">
        <w:rPr>
          <w:rFonts w:ascii="Arial" w:hAnsi="Arial" w:cs="Arial"/>
        </w:rPr>
        <w:t xml:space="preserve">rología, de otro lado también se observa un gran número de peticiones  encaminadas a la falta de oportunidad en la realización de procedimientos quirúrgicos de cirugía general y ortopedia.  </w:t>
      </w:r>
    </w:p>
    <w:p w:rsidR="00647181" w:rsidRDefault="00647181" w:rsidP="00E70602">
      <w:pPr>
        <w:pStyle w:val="Sinespaciado"/>
        <w:jc w:val="both"/>
        <w:rPr>
          <w:rFonts w:ascii="Arial" w:hAnsi="Arial" w:cs="Arial"/>
        </w:rPr>
      </w:pPr>
    </w:p>
    <w:p w:rsidR="00E46565" w:rsidRDefault="00647181" w:rsidP="00647181">
      <w:pPr>
        <w:pStyle w:val="Sinespaciado"/>
        <w:jc w:val="both"/>
        <w:rPr>
          <w:rFonts w:ascii="Arial" w:hAnsi="Arial" w:cs="Arial"/>
        </w:rPr>
      </w:pPr>
      <w:r>
        <w:rPr>
          <w:rFonts w:ascii="Arial" w:hAnsi="Arial" w:cs="Arial"/>
        </w:rPr>
        <w:t xml:space="preserve">Es importante enunciar </w:t>
      </w:r>
      <w:r w:rsidR="00E46565">
        <w:rPr>
          <w:rFonts w:ascii="Arial" w:hAnsi="Arial" w:cs="Arial"/>
        </w:rPr>
        <w:t xml:space="preserve">que </w:t>
      </w:r>
      <w:r>
        <w:rPr>
          <w:rFonts w:ascii="Arial" w:hAnsi="Arial" w:cs="Arial"/>
        </w:rPr>
        <w:t>e</w:t>
      </w:r>
      <w:r w:rsidRPr="00287761">
        <w:rPr>
          <w:rFonts w:ascii="Arial" w:hAnsi="Arial" w:cs="Arial"/>
        </w:rPr>
        <w:t>ntre los días 22 al 29 de agosto del pre</w:t>
      </w:r>
      <w:r>
        <w:rPr>
          <w:rFonts w:ascii="Arial" w:hAnsi="Arial" w:cs="Arial"/>
        </w:rPr>
        <w:t>sente año, la Superintendencia N</w:t>
      </w:r>
      <w:r w:rsidRPr="00287761">
        <w:rPr>
          <w:rFonts w:ascii="Arial" w:hAnsi="Arial" w:cs="Arial"/>
        </w:rPr>
        <w:t xml:space="preserve">acional de Salud </w:t>
      </w:r>
      <w:r w:rsidR="00E46565">
        <w:rPr>
          <w:rFonts w:ascii="Arial" w:hAnsi="Arial" w:cs="Arial"/>
        </w:rPr>
        <w:t xml:space="preserve">recibió </w:t>
      </w:r>
      <w:r w:rsidRPr="00287761">
        <w:rPr>
          <w:rFonts w:ascii="Arial" w:hAnsi="Arial" w:cs="Arial"/>
        </w:rPr>
        <w:t xml:space="preserve">535 correos donde </w:t>
      </w:r>
      <w:r w:rsidR="00E46565">
        <w:rPr>
          <w:rFonts w:ascii="Arial" w:hAnsi="Arial" w:cs="Arial"/>
        </w:rPr>
        <w:t xml:space="preserve">diferentes </w:t>
      </w:r>
      <w:r w:rsidRPr="00287761">
        <w:rPr>
          <w:rFonts w:ascii="Arial" w:hAnsi="Arial" w:cs="Arial"/>
        </w:rPr>
        <w:t>usuarios informan lo siguiente</w:t>
      </w:r>
      <w:r w:rsidR="00E46565">
        <w:rPr>
          <w:rFonts w:ascii="Arial" w:hAnsi="Arial" w:cs="Arial"/>
        </w:rPr>
        <w:t xml:space="preserve"> (el mismo texto):</w:t>
      </w:r>
    </w:p>
    <w:p w:rsidR="00E46565" w:rsidRDefault="00E46565" w:rsidP="00647181">
      <w:pPr>
        <w:pStyle w:val="Sinespaciado"/>
        <w:jc w:val="both"/>
        <w:rPr>
          <w:rFonts w:ascii="Arial" w:hAnsi="Arial" w:cs="Arial"/>
        </w:rPr>
      </w:pPr>
    </w:p>
    <w:p w:rsidR="00647181" w:rsidRPr="00287761" w:rsidRDefault="00647181" w:rsidP="00E46565">
      <w:pPr>
        <w:pStyle w:val="Sinespaciado"/>
        <w:ind w:left="708"/>
        <w:jc w:val="both"/>
        <w:rPr>
          <w:rFonts w:ascii="Arial" w:hAnsi="Arial" w:cs="Arial"/>
          <w:i/>
        </w:rPr>
      </w:pPr>
      <w:r w:rsidRPr="00E46565">
        <w:rPr>
          <w:rFonts w:ascii="Arial" w:hAnsi="Arial" w:cs="Arial"/>
          <w:i/>
          <w:sz w:val="20"/>
          <w:szCs w:val="20"/>
        </w:rPr>
        <w:t>“DENUNCIO LA FALTA DE EMPODERAMIENTO, EVALUACIÓN Y SEGUIMIENTO POR PARTE DE LA SECRETARIA DE SALUD DE SANTANDER EN CUANTO A LA EMERGENCIA EN SALUD QUE ATRAVIESA ACTUALMENTE EL HOSPITAL UNIVERSITARIO DE SANTANDER (H.U.S), QUIEN TIENE QUE SOPORTAR UNA RED HOSPITALARIA DE PRIMERO Y SEGUNDO NIVEL CON UNA LIMITADA CAPACIDAD INSTALADA QUE NO GARANTIZA UNA ATENCIÓN DIGNA, CON CALIDAD HUMANA Y AVANCES TÉCNICO CIENTÍFICOS QUE LO CONSOLIDEN COMO UNA DE LAS INSTITUCIONES MÁS IMPORTANTE EN LA ZONA DEL NORORIENTE COLOMBIANO”</w:t>
      </w:r>
      <w:r w:rsidRPr="00287761">
        <w:rPr>
          <w:rFonts w:ascii="Arial" w:hAnsi="Arial" w:cs="Arial"/>
          <w:i/>
        </w:rPr>
        <w:t xml:space="preserve"> </w:t>
      </w:r>
      <w:r w:rsidR="00E46565">
        <w:rPr>
          <w:rFonts w:ascii="Arial" w:hAnsi="Arial" w:cs="Arial"/>
          <w:i/>
        </w:rPr>
        <w:t>(sic)</w:t>
      </w:r>
      <w:r w:rsidRPr="00287761">
        <w:rPr>
          <w:rFonts w:ascii="Arial" w:hAnsi="Arial" w:cs="Arial"/>
          <w:i/>
        </w:rPr>
        <w:t xml:space="preserve"> </w:t>
      </w:r>
    </w:p>
    <w:p w:rsidR="00647181" w:rsidRDefault="00647181" w:rsidP="00647181">
      <w:pPr>
        <w:pStyle w:val="Sinespaciado"/>
        <w:jc w:val="both"/>
        <w:rPr>
          <w:rFonts w:ascii="Arial" w:hAnsi="Arial" w:cs="Arial"/>
        </w:rPr>
      </w:pPr>
    </w:p>
    <w:p w:rsidR="00F7170F" w:rsidRPr="0040792F" w:rsidRDefault="00E70602" w:rsidP="0040792F">
      <w:pPr>
        <w:pStyle w:val="Sinespaciado"/>
        <w:ind w:left="708"/>
        <w:jc w:val="both"/>
        <w:rPr>
          <w:rFonts w:ascii="Arial" w:hAnsi="Arial" w:cs="Arial"/>
          <w:b/>
          <w:i/>
        </w:rPr>
      </w:pPr>
      <w:r w:rsidRPr="0040792F">
        <w:rPr>
          <w:rFonts w:ascii="Arial" w:hAnsi="Arial" w:cs="Arial"/>
          <w:b/>
          <w:i/>
          <w:color w:val="000000"/>
        </w:rPr>
        <w:t>“2. ¿Cuáles son las acciones que se han adelantado por parte de la Superintendencia Nacional de Salud frente a las quejas presentadas, qué seguimiento se ha hecho?</w:t>
      </w:r>
      <w:r w:rsidR="0040792F" w:rsidRPr="0040792F">
        <w:rPr>
          <w:rFonts w:ascii="Arial" w:hAnsi="Arial" w:cs="Arial"/>
          <w:b/>
          <w:i/>
          <w:color w:val="000000"/>
        </w:rPr>
        <w:t>”</w:t>
      </w:r>
    </w:p>
    <w:p w:rsidR="00F7170F" w:rsidRPr="00F7170F" w:rsidRDefault="00F7170F" w:rsidP="00F7170F">
      <w:pPr>
        <w:pStyle w:val="Sinespaciado"/>
        <w:rPr>
          <w:rFonts w:ascii="Arial" w:hAnsi="Arial" w:cs="Arial"/>
        </w:rPr>
      </w:pPr>
    </w:p>
    <w:p w:rsidR="00F7170F" w:rsidRPr="00F7170F" w:rsidRDefault="00E70602" w:rsidP="00E70602">
      <w:pPr>
        <w:pStyle w:val="Sinespaciado"/>
        <w:jc w:val="both"/>
        <w:rPr>
          <w:rFonts w:ascii="Arial" w:hAnsi="Arial" w:cs="Arial"/>
        </w:rPr>
      </w:pPr>
      <w:r>
        <w:rPr>
          <w:rFonts w:ascii="Arial" w:hAnsi="Arial" w:cs="Arial"/>
          <w:color w:val="000000"/>
        </w:rPr>
        <w:t xml:space="preserve">Las quejas relacionadas con las fallas en la calidad de la prestación de los </w:t>
      </w:r>
      <w:r w:rsidR="0040792F">
        <w:rPr>
          <w:rFonts w:ascii="Arial" w:hAnsi="Arial" w:cs="Arial"/>
          <w:color w:val="000000"/>
        </w:rPr>
        <w:t xml:space="preserve">servicios </w:t>
      </w:r>
      <w:r>
        <w:rPr>
          <w:rFonts w:ascii="Arial" w:hAnsi="Arial" w:cs="Arial"/>
          <w:color w:val="000000"/>
        </w:rPr>
        <w:t xml:space="preserve">se trasladan, por competencia, a la Secretaria Departamental de Salud de Santander y si es el caso, al Tribunal de Ética Médica de Santander. </w:t>
      </w:r>
      <w:r w:rsidR="0040792F">
        <w:rPr>
          <w:rFonts w:ascii="Arial" w:hAnsi="Arial" w:cs="Arial"/>
          <w:color w:val="000000"/>
        </w:rPr>
        <w:t>Las quejas que corresponden a inoportunidad en la atención y otras en que s</w:t>
      </w:r>
      <w:r>
        <w:rPr>
          <w:rFonts w:ascii="Arial" w:hAnsi="Arial" w:cs="Arial"/>
          <w:color w:val="000000"/>
        </w:rPr>
        <w:t>e ve involucrada la EPS, la Superintendencia realiza las investigaciones correspondientes a dichas Entidades.</w:t>
      </w:r>
    </w:p>
    <w:p w:rsidR="00E12BD6" w:rsidRPr="00F7170F" w:rsidRDefault="00E12BD6" w:rsidP="00E70602">
      <w:pPr>
        <w:pStyle w:val="Sinespaciado"/>
        <w:jc w:val="both"/>
        <w:rPr>
          <w:rFonts w:ascii="Arial" w:hAnsi="Arial" w:cs="Arial"/>
          <w:b/>
          <w:bCs/>
        </w:rPr>
      </w:pPr>
    </w:p>
    <w:p w:rsidR="00E70602" w:rsidRPr="00E70602" w:rsidRDefault="00E70602" w:rsidP="00E70602">
      <w:pPr>
        <w:pStyle w:val="Sinespaciado"/>
        <w:jc w:val="both"/>
        <w:rPr>
          <w:rFonts w:ascii="Arial" w:hAnsi="Arial" w:cs="Arial"/>
          <w:color w:val="000000"/>
        </w:rPr>
      </w:pPr>
      <w:r>
        <w:rPr>
          <w:rFonts w:ascii="Arial" w:hAnsi="Arial" w:cs="Arial"/>
        </w:rPr>
        <w:lastRenderedPageBreak/>
        <w:t xml:space="preserve">En cuanto al </w:t>
      </w:r>
      <w:r w:rsidRPr="00E70602">
        <w:rPr>
          <w:rFonts w:ascii="Arial" w:hAnsi="Arial" w:cs="Arial"/>
          <w:color w:val="000000"/>
        </w:rPr>
        <w:t xml:space="preserve">trámite de quejas relacionadas con presuntas fallas en la atención inicial de urgencias, </w:t>
      </w:r>
      <w:r>
        <w:rPr>
          <w:rFonts w:ascii="Arial" w:hAnsi="Arial" w:cs="Arial"/>
          <w:color w:val="000000"/>
        </w:rPr>
        <w:t>se encuentran</w:t>
      </w:r>
      <w:r w:rsidRPr="00E70602">
        <w:rPr>
          <w:rFonts w:ascii="Arial" w:hAnsi="Arial" w:cs="Arial"/>
          <w:color w:val="000000"/>
        </w:rPr>
        <w:t xml:space="preserve"> en el Sistema de Investigaciones Administrativas – SIAD, los siguientes procesos para el Hospital Universitario de Santander: </w:t>
      </w:r>
    </w:p>
    <w:p w:rsidR="00E70602" w:rsidRPr="00E70602" w:rsidRDefault="00E70602" w:rsidP="00E70602">
      <w:pPr>
        <w:autoSpaceDE w:val="0"/>
        <w:autoSpaceDN w:val="0"/>
        <w:adjustRightInd w:val="0"/>
        <w:spacing w:after="0" w:line="240" w:lineRule="auto"/>
        <w:jc w:val="both"/>
        <w:rPr>
          <w:rFonts w:ascii="Arial" w:hAnsi="Arial" w:cs="Arial"/>
          <w:color w:val="000000"/>
        </w:rPr>
      </w:pPr>
    </w:p>
    <w:tbl>
      <w:tblPr>
        <w:tblW w:w="9513" w:type="dxa"/>
        <w:tblInd w:w="55" w:type="dxa"/>
        <w:tblCellMar>
          <w:left w:w="70" w:type="dxa"/>
          <w:right w:w="70" w:type="dxa"/>
        </w:tblCellMar>
        <w:tblLook w:val="04A0" w:firstRow="1" w:lastRow="0" w:firstColumn="1" w:lastColumn="0" w:noHBand="0" w:noVBand="1"/>
      </w:tblPr>
      <w:tblGrid>
        <w:gridCol w:w="2100"/>
        <w:gridCol w:w="4861"/>
        <w:gridCol w:w="2552"/>
      </w:tblGrid>
      <w:tr w:rsidR="00E70602" w:rsidRPr="00F7170F" w:rsidTr="009F4FDB">
        <w:trPr>
          <w:trHeight w:val="20"/>
        </w:trPr>
        <w:tc>
          <w:tcPr>
            <w:tcW w:w="2100" w:type="dxa"/>
            <w:tcBorders>
              <w:top w:val="single" w:sz="4" w:space="0" w:color="auto"/>
              <w:left w:val="single" w:sz="4" w:space="0" w:color="auto"/>
              <w:bottom w:val="single" w:sz="4" w:space="0" w:color="auto"/>
              <w:right w:val="single" w:sz="4" w:space="0" w:color="auto"/>
            </w:tcBorders>
            <w:shd w:val="clear" w:color="000000" w:fill="D8E4BC"/>
            <w:vAlign w:val="center"/>
            <w:hideMark/>
          </w:tcPr>
          <w:p w:rsidR="00E70602" w:rsidRPr="00F7170F" w:rsidRDefault="00E70602" w:rsidP="009F4FDB">
            <w:pPr>
              <w:spacing w:after="0" w:line="240" w:lineRule="auto"/>
              <w:jc w:val="center"/>
              <w:rPr>
                <w:rFonts w:ascii="Arial" w:eastAsia="Times New Roman" w:hAnsi="Arial" w:cs="Arial"/>
                <w:b/>
                <w:bCs/>
                <w:color w:val="000000"/>
                <w:sz w:val="20"/>
                <w:szCs w:val="20"/>
                <w:lang w:eastAsia="es-CO"/>
              </w:rPr>
            </w:pPr>
            <w:r w:rsidRPr="00F7170F">
              <w:rPr>
                <w:rFonts w:ascii="Arial" w:eastAsia="Times New Roman" w:hAnsi="Arial" w:cs="Arial"/>
                <w:b/>
                <w:bCs/>
                <w:color w:val="000000"/>
                <w:sz w:val="20"/>
                <w:szCs w:val="20"/>
                <w:lang w:eastAsia="es-CO"/>
              </w:rPr>
              <w:t>EXPEDIENTE</w:t>
            </w:r>
          </w:p>
        </w:tc>
        <w:tc>
          <w:tcPr>
            <w:tcW w:w="4861" w:type="dxa"/>
            <w:tcBorders>
              <w:top w:val="single" w:sz="4" w:space="0" w:color="auto"/>
              <w:left w:val="nil"/>
              <w:bottom w:val="single" w:sz="4" w:space="0" w:color="auto"/>
              <w:right w:val="single" w:sz="4" w:space="0" w:color="auto"/>
            </w:tcBorders>
            <w:shd w:val="clear" w:color="000000" w:fill="D8E4BC"/>
            <w:vAlign w:val="center"/>
            <w:hideMark/>
          </w:tcPr>
          <w:p w:rsidR="00E70602" w:rsidRPr="00F7170F" w:rsidRDefault="00E70602" w:rsidP="009F4FDB">
            <w:pPr>
              <w:spacing w:after="0" w:line="240" w:lineRule="auto"/>
              <w:jc w:val="center"/>
              <w:rPr>
                <w:rFonts w:ascii="Arial" w:eastAsia="Times New Roman" w:hAnsi="Arial" w:cs="Arial"/>
                <w:b/>
                <w:bCs/>
                <w:color w:val="000000"/>
                <w:sz w:val="20"/>
                <w:szCs w:val="20"/>
                <w:lang w:eastAsia="es-CO"/>
              </w:rPr>
            </w:pPr>
            <w:r w:rsidRPr="00F7170F">
              <w:rPr>
                <w:rFonts w:ascii="Arial" w:eastAsia="Times New Roman" w:hAnsi="Arial" w:cs="Arial"/>
                <w:b/>
                <w:bCs/>
                <w:color w:val="000000"/>
                <w:sz w:val="20"/>
                <w:szCs w:val="20"/>
                <w:lang w:eastAsia="es-CO"/>
              </w:rPr>
              <w:t>ULTIMA ACTUACIÓN</w:t>
            </w:r>
          </w:p>
        </w:tc>
        <w:tc>
          <w:tcPr>
            <w:tcW w:w="2552" w:type="dxa"/>
            <w:tcBorders>
              <w:top w:val="single" w:sz="4" w:space="0" w:color="auto"/>
              <w:left w:val="nil"/>
              <w:bottom w:val="single" w:sz="4" w:space="0" w:color="auto"/>
              <w:right w:val="single" w:sz="4" w:space="0" w:color="auto"/>
            </w:tcBorders>
            <w:shd w:val="clear" w:color="000000" w:fill="D8E4BC"/>
            <w:vAlign w:val="center"/>
            <w:hideMark/>
          </w:tcPr>
          <w:p w:rsidR="00E70602" w:rsidRPr="00F7170F" w:rsidRDefault="00E70602" w:rsidP="009F4FDB">
            <w:pPr>
              <w:spacing w:after="0" w:line="240" w:lineRule="auto"/>
              <w:jc w:val="center"/>
              <w:rPr>
                <w:rFonts w:ascii="Arial" w:eastAsia="Times New Roman" w:hAnsi="Arial" w:cs="Arial"/>
                <w:b/>
                <w:bCs/>
                <w:color w:val="000000"/>
                <w:sz w:val="20"/>
                <w:szCs w:val="20"/>
                <w:lang w:eastAsia="es-CO"/>
              </w:rPr>
            </w:pPr>
            <w:r w:rsidRPr="00F7170F">
              <w:rPr>
                <w:rFonts w:ascii="Arial" w:eastAsia="Times New Roman" w:hAnsi="Arial" w:cs="Arial"/>
                <w:b/>
                <w:bCs/>
                <w:color w:val="000000"/>
                <w:sz w:val="20"/>
                <w:szCs w:val="20"/>
                <w:lang w:eastAsia="es-CO"/>
              </w:rPr>
              <w:t>FECHA</w:t>
            </w:r>
          </w:p>
        </w:tc>
      </w:tr>
      <w:tr w:rsidR="00E70602" w:rsidRPr="00F7170F" w:rsidTr="009F4FDB">
        <w:trPr>
          <w:trHeight w:val="20"/>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E70602" w:rsidRPr="00F7170F" w:rsidRDefault="00E70602" w:rsidP="009F4FDB">
            <w:pPr>
              <w:spacing w:after="0" w:line="240" w:lineRule="auto"/>
              <w:jc w:val="center"/>
              <w:rPr>
                <w:rFonts w:ascii="Arial" w:eastAsia="Times New Roman" w:hAnsi="Arial" w:cs="Arial"/>
                <w:color w:val="000000"/>
                <w:sz w:val="20"/>
                <w:szCs w:val="20"/>
                <w:lang w:eastAsia="es-CO"/>
              </w:rPr>
            </w:pPr>
            <w:r w:rsidRPr="00F7170F">
              <w:rPr>
                <w:rFonts w:ascii="Arial" w:eastAsia="Times New Roman" w:hAnsi="Arial" w:cs="Arial"/>
                <w:color w:val="000000"/>
                <w:sz w:val="20"/>
                <w:szCs w:val="20"/>
                <w:lang w:eastAsia="es-CO"/>
              </w:rPr>
              <w:t>511201000264</w:t>
            </w:r>
          </w:p>
        </w:tc>
        <w:tc>
          <w:tcPr>
            <w:tcW w:w="4861" w:type="dxa"/>
            <w:tcBorders>
              <w:top w:val="nil"/>
              <w:left w:val="nil"/>
              <w:bottom w:val="single" w:sz="4" w:space="0" w:color="auto"/>
              <w:right w:val="single" w:sz="4" w:space="0" w:color="auto"/>
            </w:tcBorders>
            <w:shd w:val="clear" w:color="auto" w:fill="auto"/>
            <w:vAlign w:val="center"/>
            <w:hideMark/>
          </w:tcPr>
          <w:p w:rsidR="00E70602" w:rsidRPr="00F7170F" w:rsidRDefault="00E70602" w:rsidP="00E617AD">
            <w:pPr>
              <w:spacing w:after="0" w:line="240" w:lineRule="auto"/>
              <w:rPr>
                <w:rFonts w:ascii="Arial" w:eastAsia="Times New Roman" w:hAnsi="Arial" w:cs="Arial"/>
                <w:color w:val="000000"/>
                <w:sz w:val="20"/>
                <w:szCs w:val="20"/>
                <w:lang w:eastAsia="es-CO"/>
              </w:rPr>
            </w:pPr>
            <w:r w:rsidRPr="00F7170F">
              <w:rPr>
                <w:rFonts w:ascii="Arial" w:eastAsia="Times New Roman" w:hAnsi="Arial" w:cs="Arial"/>
                <w:color w:val="000000"/>
                <w:sz w:val="20"/>
                <w:szCs w:val="20"/>
                <w:lang w:eastAsia="es-CO"/>
              </w:rPr>
              <w:t>Resolución 2155</w:t>
            </w:r>
            <w:r>
              <w:rPr>
                <w:rFonts w:ascii="Arial" w:eastAsia="Times New Roman" w:hAnsi="Arial" w:cs="Arial"/>
                <w:color w:val="000000"/>
                <w:sz w:val="20"/>
                <w:szCs w:val="20"/>
                <w:lang w:eastAsia="es-CO"/>
              </w:rPr>
              <w:t>,</w:t>
            </w:r>
            <w:r w:rsidRPr="00F7170F">
              <w:rPr>
                <w:rFonts w:ascii="Arial" w:eastAsia="Times New Roman" w:hAnsi="Arial" w:cs="Arial"/>
                <w:color w:val="000000"/>
                <w:sz w:val="20"/>
                <w:szCs w:val="20"/>
                <w:lang w:eastAsia="es-CO"/>
              </w:rPr>
              <w:t xml:space="preserve"> Cierre </w:t>
            </w:r>
            <w:r>
              <w:rPr>
                <w:rFonts w:ascii="Arial" w:eastAsia="Times New Roman" w:hAnsi="Arial" w:cs="Arial"/>
                <w:color w:val="000000"/>
                <w:sz w:val="20"/>
                <w:szCs w:val="20"/>
                <w:lang w:eastAsia="es-CO"/>
              </w:rPr>
              <w:t>d</w:t>
            </w:r>
            <w:r w:rsidRPr="00F7170F">
              <w:rPr>
                <w:rFonts w:ascii="Arial" w:eastAsia="Times New Roman" w:hAnsi="Arial" w:cs="Arial"/>
                <w:color w:val="000000"/>
                <w:sz w:val="20"/>
                <w:szCs w:val="20"/>
                <w:lang w:eastAsia="es-CO"/>
              </w:rPr>
              <w:t>e Investigación</w:t>
            </w:r>
          </w:p>
        </w:tc>
        <w:tc>
          <w:tcPr>
            <w:tcW w:w="2552" w:type="dxa"/>
            <w:tcBorders>
              <w:top w:val="nil"/>
              <w:left w:val="nil"/>
              <w:bottom w:val="single" w:sz="4" w:space="0" w:color="auto"/>
              <w:right w:val="single" w:sz="4" w:space="0" w:color="auto"/>
            </w:tcBorders>
            <w:shd w:val="clear" w:color="auto" w:fill="auto"/>
            <w:vAlign w:val="center"/>
            <w:hideMark/>
          </w:tcPr>
          <w:p w:rsidR="00E70602" w:rsidRPr="00F7170F" w:rsidRDefault="00E70602" w:rsidP="009F4FDB">
            <w:pPr>
              <w:spacing w:after="0" w:line="240" w:lineRule="auto"/>
              <w:jc w:val="center"/>
              <w:rPr>
                <w:rFonts w:ascii="Arial" w:eastAsia="Times New Roman" w:hAnsi="Arial" w:cs="Arial"/>
                <w:color w:val="000000"/>
                <w:sz w:val="20"/>
                <w:szCs w:val="20"/>
                <w:lang w:eastAsia="es-CO"/>
              </w:rPr>
            </w:pPr>
            <w:r w:rsidRPr="00F7170F">
              <w:rPr>
                <w:rFonts w:ascii="Arial" w:eastAsia="Times New Roman" w:hAnsi="Arial" w:cs="Arial"/>
                <w:color w:val="000000"/>
                <w:sz w:val="20"/>
                <w:szCs w:val="20"/>
                <w:lang w:eastAsia="es-CO"/>
              </w:rPr>
              <w:t>29/08/2011</w:t>
            </w:r>
          </w:p>
        </w:tc>
      </w:tr>
      <w:tr w:rsidR="00E70602" w:rsidRPr="00F7170F" w:rsidTr="009F4FDB">
        <w:trPr>
          <w:trHeight w:val="20"/>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E70602" w:rsidRPr="00F7170F" w:rsidRDefault="00E70602" w:rsidP="009F4FDB">
            <w:pPr>
              <w:spacing w:after="0" w:line="240" w:lineRule="auto"/>
              <w:jc w:val="center"/>
              <w:rPr>
                <w:rFonts w:ascii="Arial" w:eastAsia="Times New Roman" w:hAnsi="Arial" w:cs="Arial"/>
                <w:color w:val="000000"/>
                <w:sz w:val="20"/>
                <w:szCs w:val="20"/>
                <w:lang w:eastAsia="es-CO"/>
              </w:rPr>
            </w:pPr>
            <w:r w:rsidRPr="00F7170F">
              <w:rPr>
                <w:rFonts w:ascii="Arial" w:eastAsia="Times New Roman" w:hAnsi="Arial" w:cs="Arial"/>
                <w:color w:val="000000"/>
                <w:sz w:val="20"/>
                <w:szCs w:val="20"/>
                <w:lang w:eastAsia="es-CO"/>
              </w:rPr>
              <w:t>511201000447</w:t>
            </w:r>
          </w:p>
        </w:tc>
        <w:tc>
          <w:tcPr>
            <w:tcW w:w="4861" w:type="dxa"/>
            <w:tcBorders>
              <w:top w:val="nil"/>
              <w:left w:val="nil"/>
              <w:bottom w:val="single" w:sz="4" w:space="0" w:color="auto"/>
              <w:right w:val="single" w:sz="4" w:space="0" w:color="auto"/>
            </w:tcBorders>
            <w:shd w:val="clear" w:color="auto" w:fill="auto"/>
            <w:vAlign w:val="center"/>
            <w:hideMark/>
          </w:tcPr>
          <w:p w:rsidR="00E70602" w:rsidRPr="00F7170F" w:rsidRDefault="00E70602" w:rsidP="00E617AD">
            <w:pPr>
              <w:spacing w:after="0" w:line="240" w:lineRule="auto"/>
              <w:rPr>
                <w:rFonts w:ascii="Arial" w:eastAsia="Times New Roman" w:hAnsi="Arial" w:cs="Arial"/>
                <w:color w:val="000000"/>
                <w:sz w:val="20"/>
                <w:szCs w:val="20"/>
                <w:lang w:eastAsia="es-CO"/>
              </w:rPr>
            </w:pPr>
            <w:r w:rsidRPr="00F7170F">
              <w:rPr>
                <w:rFonts w:ascii="Arial" w:eastAsia="Times New Roman" w:hAnsi="Arial" w:cs="Arial"/>
                <w:color w:val="000000"/>
                <w:sz w:val="20"/>
                <w:szCs w:val="20"/>
                <w:lang w:eastAsia="es-CO"/>
              </w:rPr>
              <w:t>Resolución 2153</w:t>
            </w:r>
            <w:r>
              <w:rPr>
                <w:rFonts w:ascii="Arial" w:eastAsia="Times New Roman" w:hAnsi="Arial" w:cs="Arial"/>
                <w:color w:val="000000"/>
                <w:sz w:val="20"/>
                <w:szCs w:val="20"/>
                <w:lang w:eastAsia="es-CO"/>
              </w:rPr>
              <w:t>,</w:t>
            </w:r>
            <w:r w:rsidRPr="00F7170F">
              <w:rPr>
                <w:rFonts w:ascii="Arial" w:eastAsia="Times New Roman" w:hAnsi="Arial" w:cs="Arial"/>
                <w:color w:val="000000"/>
                <w:sz w:val="20"/>
                <w:szCs w:val="20"/>
                <w:lang w:eastAsia="es-CO"/>
              </w:rPr>
              <w:t xml:space="preserve"> Sanción</w:t>
            </w:r>
          </w:p>
        </w:tc>
        <w:tc>
          <w:tcPr>
            <w:tcW w:w="2552" w:type="dxa"/>
            <w:tcBorders>
              <w:top w:val="nil"/>
              <w:left w:val="nil"/>
              <w:bottom w:val="single" w:sz="4" w:space="0" w:color="auto"/>
              <w:right w:val="single" w:sz="4" w:space="0" w:color="auto"/>
            </w:tcBorders>
            <w:shd w:val="clear" w:color="auto" w:fill="auto"/>
            <w:vAlign w:val="center"/>
            <w:hideMark/>
          </w:tcPr>
          <w:p w:rsidR="00E70602" w:rsidRPr="00F7170F" w:rsidRDefault="00E70602" w:rsidP="009F4FDB">
            <w:pPr>
              <w:spacing w:after="0" w:line="240" w:lineRule="auto"/>
              <w:jc w:val="center"/>
              <w:rPr>
                <w:rFonts w:ascii="Arial" w:eastAsia="Times New Roman" w:hAnsi="Arial" w:cs="Arial"/>
                <w:color w:val="000000"/>
                <w:sz w:val="20"/>
                <w:szCs w:val="20"/>
                <w:lang w:eastAsia="es-CO"/>
              </w:rPr>
            </w:pPr>
            <w:r w:rsidRPr="00F7170F">
              <w:rPr>
                <w:rFonts w:ascii="Arial" w:eastAsia="Times New Roman" w:hAnsi="Arial" w:cs="Arial"/>
                <w:color w:val="000000"/>
                <w:sz w:val="20"/>
                <w:szCs w:val="20"/>
                <w:lang w:eastAsia="es-CO"/>
              </w:rPr>
              <w:t>29/08/2013</w:t>
            </w:r>
          </w:p>
        </w:tc>
      </w:tr>
    </w:tbl>
    <w:p w:rsidR="001654F3" w:rsidRPr="008F3068" w:rsidRDefault="008F3068" w:rsidP="008F7EA5">
      <w:pPr>
        <w:widowControl w:val="0"/>
        <w:autoSpaceDE w:val="0"/>
        <w:autoSpaceDN w:val="0"/>
        <w:adjustRightInd w:val="0"/>
        <w:spacing w:after="0" w:line="240" w:lineRule="auto"/>
        <w:jc w:val="both"/>
        <w:rPr>
          <w:rFonts w:ascii="Arial" w:hAnsi="Arial" w:cs="Arial"/>
          <w:bCs/>
          <w:color w:val="000000"/>
          <w:sz w:val="16"/>
          <w:szCs w:val="16"/>
        </w:rPr>
      </w:pPr>
      <w:r w:rsidRPr="008F3068">
        <w:rPr>
          <w:rFonts w:ascii="Arial" w:hAnsi="Arial" w:cs="Arial"/>
          <w:bCs/>
          <w:color w:val="000000"/>
          <w:sz w:val="16"/>
          <w:szCs w:val="16"/>
        </w:rPr>
        <w:t>Fuente: SIAD</w:t>
      </w:r>
    </w:p>
    <w:p w:rsidR="008F3068" w:rsidRDefault="008F3068" w:rsidP="008F7EA5">
      <w:pPr>
        <w:widowControl w:val="0"/>
        <w:autoSpaceDE w:val="0"/>
        <w:autoSpaceDN w:val="0"/>
        <w:adjustRightInd w:val="0"/>
        <w:spacing w:after="0" w:line="240" w:lineRule="auto"/>
        <w:jc w:val="both"/>
        <w:rPr>
          <w:rFonts w:ascii="Arial" w:hAnsi="Arial" w:cs="Arial"/>
          <w:b/>
          <w:bCs/>
          <w:color w:val="000000"/>
        </w:rPr>
      </w:pPr>
    </w:p>
    <w:p w:rsidR="002C55BE" w:rsidRPr="002C55BE" w:rsidRDefault="002C55BE" w:rsidP="002C55BE">
      <w:pPr>
        <w:pStyle w:val="Sinespaciado"/>
        <w:jc w:val="both"/>
        <w:rPr>
          <w:rFonts w:ascii="Arial" w:hAnsi="Arial" w:cs="Arial"/>
        </w:rPr>
      </w:pPr>
      <w:r>
        <w:rPr>
          <w:rFonts w:ascii="Arial" w:hAnsi="Arial" w:cs="Arial"/>
        </w:rPr>
        <w:t xml:space="preserve">Adicionalmente </w:t>
      </w:r>
      <w:r w:rsidRPr="002C55BE">
        <w:rPr>
          <w:rFonts w:ascii="Arial" w:hAnsi="Arial" w:cs="Arial"/>
        </w:rPr>
        <w:t>dada la casuística de quejas, dentro de la programación de visitas de auditoría realizadas durante el año 2012, mediante auto número 2140 del 16/11/2012, se realizó visita inspectiva al Hospital, con el fin de verificar aspectos financieros y de prestación de servicios de salud. Como resultado de esta visita se observó que hay deficiencias en la estructura y procesos de la institución, que afectan la prestación del servicio, tales como:</w:t>
      </w:r>
    </w:p>
    <w:p w:rsidR="002C55BE" w:rsidRPr="002C55BE" w:rsidRDefault="002C55BE" w:rsidP="002C55BE">
      <w:pPr>
        <w:pStyle w:val="Sinespaciado"/>
        <w:jc w:val="both"/>
        <w:rPr>
          <w:rFonts w:ascii="Arial" w:hAnsi="Arial" w:cs="Arial"/>
        </w:rPr>
      </w:pPr>
    </w:p>
    <w:p w:rsidR="002C55BE" w:rsidRPr="002C55BE" w:rsidRDefault="002C55BE" w:rsidP="002C55BE">
      <w:pPr>
        <w:pStyle w:val="Sinespaciado"/>
        <w:numPr>
          <w:ilvl w:val="0"/>
          <w:numId w:val="19"/>
        </w:numPr>
        <w:jc w:val="both"/>
        <w:rPr>
          <w:rFonts w:ascii="Arial" w:hAnsi="Arial" w:cs="Arial"/>
        </w:rPr>
      </w:pPr>
      <w:r w:rsidRPr="002C55BE">
        <w:rPr>
          <w:rFonts w:ascii="Arial" w:hAnsi="Arial" w:cs="Arial"/>
        </w:rPr>
        <w:t>Incumplimiento de los estándares de habilitación del servicio de urgencias.</w:t>
      </w:r>
    </w:p>
    <w:p w:rsidR="002C55BE" w:rsidRPr="002C55BE" w:rsidRDefault="002C55BE" w:rsidP="002C55BE">
      <w:pPr>
        <w:pStyle w:val="Sinespaciado"/>
        <w:numPr>
          <w:ilvl w:val="0"/>
          <w:numId w:val="19"/>
        </w:numPr>
        <w:jc w:val="both"/>
        <w:rPr>
          <w:rFonts w:ascii="Arial" w:hAnsi="Arial" w:cs="Arial"/>
        </w:rPr>
      </w:pPr>
      <w:r w:rsidRPr="002C55BE">
        <w:rPr>
          <w:rFonts w:ascii="Arial" w:hAnsi="Arial" w:cs="Arial"/>
        </w:rPr>
        <w:t>Incumplimiento de los procesos de atención al usuario, trámite de quejas y liga de usuarios.</w:t>
      </w:r>
    </w:p>
    <w:p w:rsidR="002C55BE" w:rsidRPr="002C55BE" w:rsidRDefault="002C55BE" w:rsidP="002C55BE">
      <w:pPr>
        <w:pStyle w:val="Sinespaciado"/>
        <w:numPr>
          <w:ilvl w:val="0"/>
          <w:numId w:val="19"/>
        </w:numPr>
        <w:jc w:val="both"/>
        <w:rPr>
          <w:rFonts w:ascii="Arial" w:hAnsi="Arial" w:cs="Arial"/>
        </w:rPr>
      </w:pPr>
      <w:r w:rsidRPr="002C55BE">
        <w:rPr>
          <w:rFonts w:ascii="Arial" w:hAnsi="Arial" w:cs="Arial"/>
        </w:rPr>
        <w:t>Incumplimiento del estándar de dotación y mantenimiento hospitalario.</w:t>
      </w:r>
    </w:p>
    <w:p w:rsidR="002C55BE" w:rsidRPr="002C55BE" w:rsidRDefault="002C55BE" w:rsidP="002C55BE">
      <w:pPr>
        <w:pStyle w:val="Sinespaciado"/>
        <w:numPr>
          <w:ilvl w:val="0"/>
          <w:numId w:val="19"/>
        </w:numPr>
        <w:jc w:val="both"/>
        <w:rPr>
          <w:rFonts w:ascii="Arial" w:hAnsi="Arial" w:cs="Arial"/>
        </w:rPr>
      </w:pPr>
      <w:r w:rsidRPr="002C55BE">
        <w:rPr>
          <w:rFonts w:ascii="Arial" w:hAnsi="Arial" w:cs="Arial"/>
        </w:rPr>
        <w:t>Incumplimiento del estándar de almacenamiento y manejo de dispositivos médicos y medicamentos.</w:t>
      </w:r>
    </w:p>
    <w:p w:rsidR="002C55BE" w:rsidRPr="002C55BE" w:rsidRDefault="002C55BE" w:rsidP="002C55BE">
      <w:pPr>
        <w:pStyle w:val="Sinespaciado"/>
        <w:numPr>
          <w:ilvl w:val="0"/>
          <w:numId w:val="19"/>
        </w:numPr>
        <w:jc w:val="both"/>
        <w:rPr>
          <w:rFonts w:ascii="Arial" w:hAnsi="Arial" w:cs="Arial"/>
        </w:rPr>
      </w:pPr>
      <w:r w:rsidRPr="002C55BE">
        <w:rPr>
          <w:rFonts w:ascii="Arial" w:hAnsi="Arial" w:cs="Arial"/>
        </w:rPr>
        <w:t>Incumplimiento del estándar de procesos prioritarios.</w:t>
      </w:r>
    </w:p>
    <w:p w:rsidR="002C55BE" w:rsidRPr="002C55BE" w:rsidRDefault="002C55BE" w:rsidP="002C55BE">
      <w:pPr>
        <w:pStyle w:val="Sinespaciado"/>
        <w:numPr>
          <w:ilvl w:val="0"/>
          <w:numId w:val="19"/>
        </w:numPr>
        <w:jc w:val="both"/>
        <w:rPr>
          <w:rFonts w:ascii="Arial" w:hAnsi="Arial" w:cs="Arial"/>
        </w:rPr>
      </w:pPr>
      <w:r w:rsidRPr="002C55BE">
        <w:rPr>
          <w:rFonts w:ascii="Arial" w:hAnsi="Arial" w:cs="Arial"/>
        </w:rPr>
        <w:t>Incumplimiento en el almacenamiento y conservación de historias clínicas.</w:t>
      </w:r>
    </w:p>
    <w:p w:rsidR="002C55BE" w:rsidRPr="002C55BE" w:rsidRDefault="002C55BE" w:rsidP="002C55BE">
      <w:pPr>
        <w:pStyle w:val="Sinespaciado"/>
        <w:numPr>
          <w:ilvl w:val="0"/>
          <w:numId w:val="19"/>
        </w:numPr>
        <w:jc w:val="both"/>
        <w:rPr>
          <w:rFonts w:ascii="Arial" w:hAnsi="Arial" w:cs="Arial"/>
        </w:rPr>
      </w:pPr>
      <w:r w:rsidRPr="002C55BE">
        <w:rPr>
          <w:rFonts w:ascii="Arial" w:hAnsi="Arial" w:cs="Arial"/>
        </w:rPr>
        <w:t>Incumplimiento en la gestión de residuos hospitalarios.</w:t>
      </w:r>
    </w:p>
    <w:p w:rsidR="002C55BE" w:rsidRPr="002C55BE" w:rsidRDefault="002C55BE" w:rsidP="002C55BE">
      <w:pPr>
        <w:pStyle w:val="Sinespaciado"/>
        <w:numPr>
          <w:ilvl w:val="0"/>
          <w:numId w:val="19"/>
        </w:numPr>
        <w:jc w:val="both"/>
        <w:rPr>
          <w:rFonts w:ascii="Arial" w:hAnsi="Arial" w:cs="Arial"/>
        </w:rPr>
      </w:pPr>
      <w:r w:rsidRPr="002C55BE">
        <w:rPr>
          <w:rFonts w:ascii="Arial" w:hAnsi="Arial" w:cs="Arial"/>
        </w:rPr>
        <w:t>Debilidades observadas en la gestión del Programa de Auditoría para el Mejoramiento de Calidad.</w:t>
      </w:r>
    </w:p>
    <w:p w:rsidR="002C55BE" w:rsidRPr="002C55BE" w:rsidRDefault="002C55BE" w:rsidP="002C55BE">
      <w:pPr>
        <w:pStyle w:val="Sinespaciado"/>
        <w:numPr>
          <w:ilvl w:val="0"/>
          <w:numId w:val="19"/>
        </w:numPr>
        <w:jc w:val="both"/>
        <w:rPr>
          <w:rFonts w:ascii="Arial" w:hAnsi="Arial" w:cs="Arial"/>
        </w:rPr>
      </w:pPr>
      <w:r w:rsidRPr="002C55BE">
        <w:rPr>
          <w:rFonts w:ascii="Arial" w:hAnsi="Arial" w:cs="Arial"/>
        </w:rPr>
        <w:t>Incumplimiento en la gestión de los comités de obligatorio cumplimiento</w:t>
      </w:r>
    </w:p>
    <w:p w:rsidR="002C55BE" w:rsidRPr="002C55BE" w:rsidRDefault="002C55BE" w:rsidP="002C55BE">
      <w:pPr>
        <w:pStyle w:val="Sinespaciado"/>
        <w:numPr>
          <w:ilvl w:val="0"/>
          <w:numId w:val="19"/>
        </w:numPr>
        <w:jc w:val="both"/>
        <w:rPr>
          <w:rFonts w:ascii="Arial" w:hAnsi="Arial" w:cs="Arial"/>
        </w:rPr>
      </w:pPr>
      <w:r w:rsidRPr="002C55BE">
        <w:rPr>
          <w:rFonts w:ascii="Arial" w:hAnsi="Arial" w:cs="Arial"/>
        </w:rPr>
        <w:t xml:space="preserve">Debilidades en el sistema de información para la calidad </w:t>
      </w:r>
    </w:p>
    <w:p w:rsidR="002C55BE" w:rsidRDefault="002C55BE" w:rsidP="002C55BE">
      <w:pPr>
        <w:pStyle w:val="Sinespaciado"/>
        <w:jc w:val="both"/>
        <w:rPr>
          <w:rFonts w:ascii="Arial" w:hAnsi="Arial" w:cs="Arial"/>
        </w:rPr>
      </w:pPr>
    </w:p>
    <w:p w:rsidR="002C55BE" w:rsidRPr="002C55BE" w:rsidRDefault="002C55BE" w:rsidP="002C55BE">
      <w:pPr>
        <w:pStyle w:val="Sinespaciado"/>
        <w:jc w:val="both"/>
        <w:rPr>
          <w:rFonts w:ascii="Arial" w:hAnsi="Arial" w:cs="Arial"/>
        </w:rPr>
      </w:pPr>
      <w:r w:rsidRPr="002C55BE">
        <w:rPr>
          <w:rFonts w:ascii="Arial" w:hAnsi="Arial" w:cs="Arial"/>
        </w:rPr>
        <w:t xml:space="preserve">A partir de estos hallazgos se encuentra </w:t>
      </w:r>
      <w:r w:rsidR="00F1706D">
        <w:rPr>
          <w:rFonts w:ascii="Arial" w:hAnsi="Arial" w:cs="Arial"/>
        </w:rPr>
        <w:t>en</w:t>
      </w:r>
      <w:r w:rsidRPr="002C55BE">
        <w:rPr>
          <w:rFonts w:ascii="Arial" w:hAnsi="Arial" w:cs="Arial"/>
        </w:rPr>
        <w:t xml:space="preserve"> trámite la investigación administrativa correspondiente.</w:t>
      </w:r>
    </w:p>
    <w:p w:rsidR="002C55BE" w:rsidRPr="002C55BE" w:rsidRDefault="002C55BE" w:rsidP="002C55BE">
      <w:pPr>
        <w:pStyle w:val="Sinespaciado"/>
        <w:jc w:val="both"/>
        <w:rPr>
          <w:rFonts w:ascii="Arial" w:hAnsi="Arial" w:cs="Arial"/>
          <w:b/>
          <w:bCs/>
        </w:rPr>
      </w:pPr>
    </w:p>
    <w:p w:rsidR="0040792F" w:rsidRDefault="0040792F" w:rsidP="0040792F">
      <w:pPr>
        <w:autoSpaceDE w:val="0"/>
        <w:autoSpaceDN w:val="0"/>
        <w:adjustRightInd w:val="0"/>
        <w:spacing w:after="0" w:line="240" w:lineRule="auto"/>
        <w:jc w:val="both"/>
        <w:rPr>
          <w:rFonts w:ascii="Arial" w:hAnsi="Arial" w:cs="Arial"/>
          <w:color w:val="000000"/>
        </w:rPr>
      </w:pPr>
      <w:r>
        <w:rPr>
          <w:rFonts w:ascii="Arial" w:hAnsi="Arial" w:cs="Arial"/>
          <w:color w:val="000000"/>
        </w:rPr>
        <w:t>De otra parte, los prestadores deben reportar indicadores de calidad a través de la Circular Única de la Superintendencia, en desarrollo de lo dispuesto en la Resolución 1446 de 2006. Verificado el reporte de indicadores de calidad del HUS, correspondiente al segundo semestre de 2013 y primer semestre de 2013 se observa:</w:t>
      </w:r>
    </w:p>
    <w:p w:rsidR="0040792F" w:rsidRDefault="0040792F" w:rsidP="008F7EA5">
      <w:pPr>
        <w:widowControl w:val="0"/>
        <w:autoSpaceDE w:val="0"/>
        <w:autoSpaceDN w:val="0"/>
        <w:adjustRightInd w:val="0"/>
        <w:spacing w:after="0" w:line="240" w:lineRule="auto"/>
        <w:jc w:val="both"/>
        <w:rPr>
          <w:rFonts w:ascii="Arial" w:hAnsi="Arial" w:cs="Arial"/>
          <w:b/>
          <w:bCs/>
          <w:color w:val="000000"/>
        </w:rPr>
      </w:pPr>
    </w:p>
    <w:tbl>
      <w:tblPr>
        <w:tblW w:w="9371" w:type="dxa"/>
        <w:tblInd w:w="55" w:type="dxa"/>
        <w:tblCellMar>
          <w:left w:w="70" w:type="dxa"/>
          <w:right w:w="70" w:type="dxa"/>
        </w:tblCellMar>
        <w:tblLook w:val="04A0" w:firstRow="1" w:lastRow="0" w:firstColumn="1" w:lastColumn="0" w:noHBand="0" w:noVBand="1"/>
      </w:tblPr>
      <w:tblGrid>
        <w:gridCol w:w="6961"/>
        <w:gridCol w:w="1276"/>
        <w:gridCol w:w="1134"/>
      </w:tblGrid>
      <w:tr w:rsidR="008F3068" w:rsidRPr="008F3068" w:rsidTr="008F3068">
        <w:trPr>
          <w:trHeight w:val="20"/>
        </w:trPr>
        <w:tc>
          <w:tcPr>
            <w:tcW w:w="6961" w:type="dxa"/>
            <w:tcBorders>
              <w:top w:val="single" w:sz="4" w:space="0" w:color="auto"/>
              <w:left w:val="single" w:sz="4" w:space="0" w:color="auto"/>
              <w:bottom w:val="single" w:sz="4" w:space="0" w:color="auto"/>
              <w:right w:val="single" w:sz="4" w:space="0" w:color="auto"/>
            </w:tcBorders>
            <w:shd w:val="clear" w:color="000000" w:fill="D8E4BC"/>
            <w:vAlign w:val="center"/>
            <w:hideMark/>
          </w:tcPr>
          <w:p w:rsidR="008F3068" w:rsidRPr="008F3068" w:rsidRDefault="008F3068" w:rsidP="008F3068">
            <w:pPr>
              <w:spacing w:after="0" w:line="240" w:lineRule="auto"/>
              <w:jc w:val="center"/>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INDICADOR</w:t>
            </w:r>
          </w:p>
        </w:tc>
        <w:tc>
          <w:tcPr>
            <w:tcW w:w="1276" w:type="dxa"/>
            <w:tcBorders>
              <w:top w:val="single" w:sz="4" w:space="0" w:color="auto"/>
              <w:left w:val="nil"/>
              <w:bottom w:val="single" w:sz="4" w:space="0" w:color="auto"/>
              <w:right w:val="single" w:sz="4" w:space="0" w:color="auto"/>
            </w:tcBorders>
            <w:shd w:val="clear" w:color="000000" w:fill="D8E4BC"/>
            <w:noWrap/>
            <w:vAlign w:val="center"/>
            <w:hideMark/>
          </w:tcPr>
          <w:p w:rsidR="008F3068" w:rsidRPr="008F3068" w:rsidRDefault="008F3068" w:rsidP="008F3068">
            <w:pPr>
              <w:spacing w:after="0" w:line="240" w:lineRule="auto"/>
              <w:jc w:val="center"/>
              <w:rPr>
                <w:rFonts w:ascii="Arial" w:eastAsia="Times New Roman" w:hAnsi="Arial" w:cs="Arial"/>
                <w:b/>
                <w:bCs/>
                <w:color w:val="000000"/>
                <w:sz w:val="20"/>
                <w:szCs w:val="20"/>
                <w:lang w:eastAsia="es-CO"/>
              </w:rPr>
            </w:pPr>
            <w:r w:rsidRPr="008F3068">
              <w:rPr>
                <w:rFonts w:ascii="Arial" w:eastAsia="Times New Roman" w:hAnsi="Arial" w:cs="Arial"/>
                <w:b/>
                <w:bCs/>
                <w:color w:val="000000"/>
                <w:sz w:val="20"/>
                <w:szCs w:val="20"/>
                <w:lang w:eastAsia="es-CO"/>
              </w:rPr>
              <w:t xml:space="preserve"> 2012-II</w:t>
            </w:r>
          </w:p>
        </w:tc>
        <w:tc>
          <w:tcPr>
            <w:tcW w:w="1134" w:type="dxa"/>
            <w:tcBorders>
              <w:top w:val="single" w:sz="4" w:space="0" w:color="auto"/>
              <w:left w:val="nil"/>
              <w:bottom w:val="single" w:sz="4" w:space="0" w:color="auto"/>
              <w:right w:val="single" w:sz="4" w:space="0" w:color="auto"/>
            </w:tcBorders>
            <w:shd w:val="clear" w:color="000000" w:fill="D8E4BC"/>
            <w:noWrap/>
            <w:vAlign w:val="center"/>
            <w:hideMark/>
          </w:tcPr>
          <w:p w:rsidR="008F3068" w:rsidRPr="008F3068" w:rsidRDefault="008F3068" w:rsidP="008F3068">
            <w:pPr>
              <w:spacing w:after="0" w:line="240" w:lineRule="auto"/>
              <w:jc w:val="center"/>
              <w:rPr>
                <w:rFonts w:ascii="Arial" w:eastAsia="Times New Roman" w:hAnsi="Arial" w:cs="Arial"/>
                <w:b/>
                <w:bCs/>
                <w:color w:val="000000"/>
                <w:sz w:val="20"/>
                <w:szCs w:val="20"/>
                <w:lang w:eastAsia="es-CO"/>
              </w:rPr>
            </w:pPr>
            <w:r w:rsidRPr="008F3068">
              <w:rPr>
                <w:rFonts w:ascii="Arial" w:eastAsia="Times New Roman" w:hAnsi="Arial" w:cs="Arial"/>
                <w:b/>
                <w:bCs/>
                <w:color w:val="000000"/>
                <w:sz w:val="20"/>
                <w:szCs w:val="20"/>
                <w:lang w:eastAsia="es-CO"/>
              </w:rPr>
              <w:t xml:space="preserve"> 2013-I </w:t>
            </w:r>
          </w:p>
        </w:tc>
      </w:tr>
      <w:tr w:rsidR="008F3068" w:rsidRPr="008F3068" w:rsidTr="008F3068">
        <w:trPr>
          <w:trHeight w:val="20"/>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F3068" w:rsidRPr="008F3068" w:rsidRDefault="008F3068" w:rsidP="008F3068">
            <w:pPr>
              <w:spacing w:after="0" w:line="240" w:lineRule="auto"/>
              <w:rPr>
                <w:rFonts w:ascii="Arial" w:eastAsia="Times New Roman" w:hAnsi="Arial" w:cs="Arial"/>
                <w:color w:val="000000"/>
                <w:sz w:val="20"/>
                <w:szCs w:val="20"/>
                <w:lang w:eastAsia="es-CO"/>
              </w:rPr>
            </w:pPr>
            <w:r w:rsidRPr="008F3068">
              <w:rPr>
                <w:rFonts w:ascii="Arial" w:eastAsia="Times New Roman" w:hAnsi="Arial" w:cs="Arial"/>
                <w:color w:val="000000"/>
                <w:sz w:val="20"/>
                <w:szCs w:val="20"/>
                <w:lang w:eastAsia="es-CO"/>
              </w:rPr>
              <w:t>Oportunidad de la asignación de citas en la consulta de cirugía general</w:t>
            </w:r>
          </w:p>
        </w:tc>
        <w:tc>
          <w:tcPr>
            <w:tcW w:w="1276" w:type="dxa"/>
            <w:tcBorders>
              <w:top w:val="nil"/>
              <w:left w:val="nil"/>
              <w:bottom w:val="single" w:sz="4" w:space="0" w:color="auto"/>
              <w:right w:val="single" w:sz="4" w:space="0" w:color="auto"/>
            </w:tcBorders>
            <w:shd w:val="clear" w:color="auto" w:fill="auto"/>
            <w:vAlign w:val="center"/>
            <w:hideMark/>
          </w:tcPr>
          <w:p w:rsidR="008F3068" w:rsidRPr="008F3068" w:rsidRDefault="008F3068" w:rsidP="008F3068">
            <w:pPr>
              <w:spacing w:after="0" w:line="240" w:lineRule="auto"/>
              <w:jc w:val="center"/>
              <w:rPr>
                <w:rFonts w:ascii="Arial" w:eastAsia="Times New Roman" w:hAnsi="Arial" w:cs="Arial"/>
                <w:color w:val="000000"/>
                <w:sz w:val="20"/>
                <w:szCs w:val="20"/>
                <w:lang w:eastAsia="es-CO"/>
              </w:rPr>
            </w:pPr>
            <w:r w:rsidRPr="008F3068">
              <w:rPr>
                <w:rFonts w:ascii="Arial" w:eastAsia="Times New Roman" w:hAnsi="Arial" w:cs="Arial"/>
                <w:color w:val="000000"/>
                <w:sz w:val="20"/>
                <w:szCs w:val="20"/>
                <w:lang w:eastAsia="es-CO"/>
              </w:rPr>
              <w:t>9.29</w:t>
            </w:r>
          </w:p>
        </w:tc>
        <w:tc>
          <w:tcPr>
            <w:tcW w:w="1134" w:type="dxa"/>
            <w:tcBorders>
              <w:top w:val="nil"/>
              <w:left w:val="nil"/>
              <w:bottom w:val="single" w:sz="4" w:space="0" w:color="auto"/>
              <w:right w:val="single" w:sz="4" w:space="0" w:color="auto"/>
            </w:tcBorders>
            <w:shd w:val="clear" w:color="auto" w:fill="auto"/>
            <w:vAlign w:val="center"/>
            <w:hideMark/>
          </w:tcPr>
          <w:p w:rsidR="008F3068" w:rsidRPr="008F3068" w:rsidRDefault="008F3068" w:rsidP="008F3068">
            <w:pPr>
              <w:spacing w:after="0" w:line="240" w:lineRule="auto"/>
              <w:jc w:val="center"/>
              <w:rPr>
                <w:rFonts w:ascii="Arial" w:eastAsia="Times New Roman" w:hAnsi="Arial" w:cs="Arial"/>
                <w:color w:val="000000"/>
                <w:sz w:val="20"/>
                <w:szCs w:val="20"/>
                <w:lang w:eastAsia="es-CO"/>
              </w:rPr>
            </w:pPr>
            <w:r w:rsidRPr="008F3068">
              <w:rPr>
                <w:rFonts w:ascii="Arial" w:eastAsia="Times New Roman" w:hAnsi="Arial" w:cs="Arial"/>
                <w:color w:val="000000"/>
                <w:sz w:val="20"/>
                <w:szCs w:val="20"/>
                <w:lang w:eastAsia="es-CO"/>
              </w:rPr>
              <w:t>6.84</w:t>
            </w:r>
          </w:p>
        </w:tc>
      </w:tr>
      <w:tr w:rsidR="008F3068" w:rsidRPr="008F3068" w:rsidTr="008F3068">
        <w:trPr>
          <w:trHeight w:val="20"/>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F3068" w:rsidRPr="008F3068" w:rsidRDefault="008F3068" w:rsidP="008F3068">
            <w:pPr>
              <w:spacing w:after="0" w:line="240" w:lineRule="auto"/>
              <w:rPr>
                <w:rFonts w:ascii="Arial" w:eastAsia="Times New Roman" w:hAnsi="Arial" w:cs="Arial"/>
                <w:color w:val="000000"/>
                <w:sz w:val="20"/>
                <w:szCs w:val="20"/>
                <w:lang w:eastAsia="es-CO"/>
              </w:rPr>
            </w:pPr>
            <w:r w:rsidRPr="008F3068">
              <w:rPr>
                <w:rFonts w:ascii="Arial" w:eastAsia="Times New Roman" w:hAnsi="Arial" w:cs="Arial"/>
                <w:color w:val="000000"/>
                <w:sz w:val="20"/>
                <w:szCs w:val="20"/>
                <w:lang w:eastAsia="es-CO"/>
              </w:rPr>
              <w:t>Oportunidad de la asignación de citas en la consulta de ginecobstetricia</w:t>
            </w:r>
          </w:p>
        </w:tc>
        <w:tc>
          <w:tcPr>
            <w:tcW w:w="1276" w:type="dxa"/>
            <w:tcBorders>
              <w:top w:val="nil"/>
              <w:left w:val="nil"/>
              <w:bottom w:val="single" w:sz="4" w:space="0" w:color="auto"/>
              <w:right w:val="single" w:sz="4" w:space="0" w:color="auto"/>
            </w:tcBorders>
            <w:shd w:val="clear" w:color="auto" w:fill="auto"/>
            <w:vAlign w:val="center"/>
            <w:hideMark/>
          </w:tcPr>
          <w:p w:rsidR="008F3068" w:rsidRPr="008F3068" w:rsidRDefault="008F3068" w:rsidP="008F3068">
            <w:pPr>
              <w:spacing w:after="0" w:line="240" w:lineRule="auto"/>
              <w:jc w:val="center"/>
              <w:rPr>
                <w:rFonts w:ascii="Arial" w:eastAsia="Times New Roman" w:hAnsi="Arial" w:cs="Arial"/>
                <w:color w:val="000000"/>
                <w:sz w:val="20"/>
                <w:szCs w:val="20"/>
                <w:lang w:eastAsia="es-CO"/>
              </w:rPr>
            </w:pPr>
            <w:r w:rsidRPr="008F3068">
              <w:rPr>
                <w:rFonts w:ascii="Arial" w:eastAsia="Times New Roman" w:hAnsi="Arial" w:cs="Arial"/>
                <w:color w:val="000000"/>
                <w:sz w:val="20"/>
                <w:szCs w:val="20"/>
                <w:lang w:eastAsia="es-CO"/>
              </w:rPr>
              <w:t>7.14</w:t>
            </w:r>
          </w:p>
        </w:tc>
        <w:tc>
          <w:tcPr>
            <w:tcW w:w="1134" w:type="dxa"/>
            <w:tcBorders>
              <w:top w:val="nil"/>
              <w:left w:val="nil"/>
              <w:bottom w:val="single" w:sz="4" w:space="0" w:color="auto"/>
              <w:right w:val="single" w:sz="4" w:space="0" w:color="auto"/>
            </w:tcBorders>
            <w:shd w:val="clear" w:color="auto" w:fill="auto"/>
            <w:vAlign w:val="center"/>
            <w:hideMark/>
          </w:tcPr>
          <w:p w:rsidR="008F3068" w:rsidRPr="008F3068" w:rsidRDefault="008F3068" w:rsidP="008F3068">
            <w:pPr>
              <w:spacing w:after="0" w:line="240" w:lineRule="auto"/>
              <w:jc w:val="center"/>
              <w:rPr>
                <w:rFonts w:ascii="Arial" w:eastAsia="Times New Roman" w:hAnsi="Arial" w:cs="Arial"/>
                <w:color w:val="000000"/>
                <w:sz w:val="20"/>
                <w:szCs w:val="20"/>
                <w:lang w:eastAsia="es-CO"/>
              </w:rPr>
            </w:pPr>
            <w:r w:rsidRPr="008F3068">
              <w:rPr>
                <w:rFonts w:ascii="Arial" w:eastAsia="Times New Roman" w:hAnsi="Arial" w:cs="Arial"/>
                <w:color w:val="000000"/>
                <w:sz w:val="20"/>
                <w:szCs w:val="20"/>
                <w:lang w:eastAsia="es-CO"/>
              </w:rPr>
              <w:t>4.92</w:t>
            </w:r>
          </w:p>
        </w:tc>
      </w:tr>
      <w:tr w:rsidR="008F3068" w:rsidRPr="008F3068" w:rsidTr="008F3068">
        <w:trPr>
          <w:trHeight w:val="20"/>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F3068" w:rsidRPr="008F3068" w:rsidRDefault="008F3068" w:rsidP="008F3068">
            <w:pPr>
              <w:spacing w:after="0" w:line="240" w:lineRule="auto"/>
              <w:rPr>
                <w:rFonts w:ascii="Arial" w:eastAsia="Times New Roman" w:hAnsi="Arial" w:cs="Arial"/>
                <w:color w:val="000000"/>
                <w:sz w:val="20"/>
                <w:szCs w:val="20"/>
                <w:lang w:eastAsia="es-CO"/>
              </w:rPr>
            </w:pPr>
            <w:r w:rsidRPr="008F3068">
              <w:rPr>
                <w:rFonts w:ascii="Arial" w:eastAsia="Times New Roman" w:hAnsi="Arial" w:cs="Arial"/>
                <w:color w:val="000000"/>
                <w:sz w:val="20"/>
                <w:szCs w:val="20"/>
                <w:lang w:eastAsia="es-CO"/>
              </w:rPr>
              <w:t>Oportunidad de la asignación de citas en la consulta de medicina interna</w:t>
            </w:r>
          </w:p>
        </w:tc>
        <w:tc>
          <w:tcPr>
            <w:tcW w:w="1276" w:type="dxa"/>
            <w:tcBorders>
              <w:top w:val="nil"/>
              <w:left w:val="nil"/>
              <w:bottom w:val="single" w:sz="4" w:space="0" w:color="auto"/>
              <w:right w:val="single" w:sz="4" w:space="0" w:color="auto"/>
            </w:tcBorders>
            <w:shd w:val="clear" w:color="auto" w:fill="auto"/>
            <w:vAlign w:val="center"/>
            <w:hideMark/>
          </w:tcPr>
          <w:p w:rsidR="008F3068" w:rsidRPr="008F3068" w:rsidRDefault="008F3068" w:rsidP="008F3068">
            <w:pPr>
              <w:spacing w:after="0" w:line="240" w:lineRule="auto"/>
              <w:jc w:val="center"/>
              <w:rPr>
                <w:rFonts w:ascii="Arial" w:eastAsia="Times New Roman" w:hAnsi="Arial" w:cs="Arial"/>
                <w:color w:val="000000"/>
                <w:sz w:val="20"/>
                <w:szCs w:val="20"/>
                <w:lang w:eastAsia="es-CO"/>
              </w:rPr>
            </w:pPr>
            <w:r w:rsidRPr="008F3068">
              <w:rPr>
                <w:rFonts w:ascii="Arial" w:eastAsia="Times New Roman" w:hAnsi="Arial" w:cs="Arial"/>
                <w:color w:val="000000"/>
                <w:sz w:val="20"/>
                <w:szCs w:val="20"/>
                <w:lang w:eastAsia="es-CO"/>
              </w:rPr>
              <w:t>14.22</w:t>
            </w:r>
          </w:p>
        </w:tc>
        <w:tc>
          <w:tcPr>
            <w:tcW w:w="1134" w:type="dxa"/>
            <w:tcBorders>
              <w:top w:val="nil"/>
              <w:left w:val="nil"/>
              <w:bottom w:val="single" w:sz="4" w:space="0" w:color="auto"/>
              <w:right w:val="single" w:sz="4" w:space="0" w:color="auto"/>
            </w:tcBorders>
            <w:shd w:val="clear" w:color="auto" w:fill="auto"/>
            <w:vAlign w:val="center"/>
            <w:hideMark/>
          </w:tcPr>
          <w:p w:rsidR="008F3068" w:rsidRPr="008F3068" w:rsidRDefault="008F3068" w:rsidP="008F3068">
            <w:pPr>
              <w:spacing w:after="0" w:line="240" w:lineRule="auto"/>
              <w:jc w:val="center"/>
              <w:rPr>
                <w:rFonts w:ascii="Arial" w:eastAsia="Times New Roman" w:hAnsi="Arial" w:cs="Arial"/>
                <w:color w:val="000000"/>
                <w:sz w:val="20"/>
                <w:szCs w:val="20"/>
                <w:lang w:eastAsia="es-CO"/>
              </w:rPr>
            </w:pPr>
            <w:r w:rsidRPr="008F3068">
              <w:rPr>
                <w:rFonts w:ascii="Arial" w:eastAsia="Times New Roman" w:hAnsi="Arial" w:cs="Arial"/>
                <w:color w:val="000000"/>
                <w:sz w:val="20"/>
                <w:szCs w:val="20"/>
                <w:lang w:eastAsia="es-CO"/>
              </w:rPr>
              <w:t>4.72</w:t>
            </w:r>
          </w:p>
        </w:tc>
      </w:tr>
      <w:tr w:rsidR="008F3068" w:rsidRPr="008F3068" w:rsidTr="008F3068">
        <w:trPr>
          <w:trHeight w:val="20"/>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F3068" w:rsidRPr="008F3068" w:rsidRDefault="008F3068" w:rsidP="008F3068">
            <w:pPr>
              <w:spacing w:after="0" w:line="240" w:lineRule="auto"/>
              <w:rPr>
                <w:rFonts w:ascii="Arial" w:eastAsia="Times New Roman" w:hAnsi="Arial" w:cs="Arial"/>
                <w:color w:val="000000"/>
                <w:sz w:val="20"/>
                <w:szCs w:val="20"/>
                <w:lang w:eastAsia="es-CO"/>
              </w:rPr>
            </w:pPr>
            <w:r w:rsidRPr="008F3068">
              <w:rPr>
                <w:rFonts w:ascii="Arial" w:eastAsia="Times New Roman" w:hAnsi="Arial" w:cs="Arial"/>
                <w:color w:val="000000"/>
                <w:sz w:val="20"/>
                <w:szCs w:val="20"/>
                <w:lang w:eastAsia="es-CO"/>
              </w:rPr>
              <w:t>Oportunidad de la asignación de citas en la consulta de pediatría</w:t>
            </w:r>
          </w:p>
        </w:tc>
        <w:tc>
          <w:tcPr>
            <w:tcW w:w="1276" w:type="dxa"/>
            <w:tcBorders>
              <w:top w:val="nil"/>
              <w:left w:val="nil"/>
              <w:bottom w:val="single" w:sz="4" w:space="0" w:color="auto"/>
              <w:right w:val="single" w:sz="4" w:space="0" w:color="auto"/>
            </w:tcBorders>
            <w:shd w:val="clear" w:color="auto" w:fill="auto"/>
            <w:vAlign w:val="center"/>
            <w:hideMark/>
          </w:tcPr>
          <w:p w:rsidR="008F3068" w:rsidRPr="008F3068" w:rsidRDefault="008F3068" w:rsidP="008F3068">
            <w:pPr>
              <w:spacing w:after="0" w:line="240" w:lineRule="auto"/>
              <w:jc w:val="center"/>
              <w:rPr>
                <w:rFonts w:ascii="Arial" w:eastAsia="Times New Roman" w:hAnsi="Arial" w:cs="Arial"/>
                <w:color w:val="000000"/>
                <w:sz w:val="20"/>
                <w:szCs w:val="20"/>
                <w:lang w:eastAsia="es-CO"/>
              </w:rPr>
            </w:pPr>
            <w:r w:rsidRPr="008F3068">
              <w:rPr>
                <w:rFonts w:ascii="Arial" w:eastAsia="Times New Roman" w:hAnsi="Arial" w:cs="Arial"/>
                <w:color w:val="000000"/>
                <w:sz w:val="20"/>
                <w:szCs w:val="20"/>
                <w:lang w:eastAsia="es-CO"/>
              </w:rPr>
              <w:t>10.43</w:t>
            </w:r>
          </w:p>
        </w:tc>
        <w:tc>
          <w:tcPr>
            <w:tcW w:w="1134" w:type="dxa"/>
            <w:tcBorders>
              <w:top w:val="nil"/>
              <w:left w:val="nil"/>
              <w:bottom w:val="single" w:sz="4" w:space="0" w:color="auto"/>
              <w:right w:val="single" w:sz="4" w:space="0" w:color="auto"/>
            </w:tcBorders>
            <w:shd w:val="clear" w:color="auto" w:fill="auto"/>
            <w:vAlign w:val="center"/>
            <w:hideMark/>
          </w:tcPr>
          <w:p w:rsidR="008F3068" w:rsidRPr="008F3068" w:rsidRDefault="008F3068" w:rsidP="008F3068">
            <w:pPr>
              <w:spacing w:after="0" w:line="240" w:lineRule="auto"/>
              <w:jc w:val="center"/>
              <w:rPr>
                <w:rFonts w:ascii="Arial" w:eastAsia="Times New Roman" w:hAnsi="Arial" w:cs="Arial"/>
                <w:color w:val="000000"/>
                <w:sz w:val="20"/>
                <w:szCs w:val="20"/>
                <w:lang w:eastAsia="es-CO"/>
              </w:rPr>
            </w:pPr>
            <w:r w:rsidRPr="008F3068">
              <w:rPr>
                <w:rFonts w:ascii="Arial" w:eastAsia="Times New Roman" w:hAnsi="Arial" w:cs="Arial"/>
                <w:color w:val="000000"/>
                <w:sz w:val="20"/>
                <w:szCs w:val="20"/>
                <w:lang w:eastAsia="es-CO"/>
              </w:rPr>
              <w:t>5.39</w:t>
            </w:r>
          </w:p>
        </w:tc>
      </w:tr>
      <w:tr w:rsidR="008F3068" w:rsidRPr="008F3068" w:rsidTr="008F3068">
        <w:trPr>
          <w:trHeight w:val="20"/>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F3068" w:rsidRPr="008F3068" w:rsidRDefault="008F3068" w:rsidP="008F3068">
            <w:pPr>
              <w:spacing w:after="0" w:line="240" w:lineRule="auto"/>
              <w:rPr>
                <w:rFonts w:ascii="Arial" w:eastAsia="Times New Roman" w:hAnsi="Arial" w:cs="Arial"/>
                <w:color w:val="000000"/>
                <w:sz w:val="20"/>
                <w:szCs w:val="20"/>
                <w:lang w:eastAsia="es-CO"/>
              </w:rPr>
            </w:pPr>
            <w:r w:rsidRPr="008F3068">
              <w:rPr>
                <w:rFonts w:ascii="Arial" w:eastAsia="Times New Roman" w:hAnsi="Arial" w:cs="Arial"/>
                <w:color w:val="000000"/>
                <w:sz w:val="20"/>
                <w:szCs w:val="20"/>
                <w:lang w:eastAsia="es-CO"/>
              </w:rPr>
              <w:t>Oportunidad de la asignación de citas en la consulta médica general</w:t>
            </w:r>
          </w:p>
        </w:tc>
        <w:tc>
          <w:tcPr>
            <w:tcW w:w="1276" w:type="dxa"/>
            <w:tcBorders>
              <w:top w:val="nil"/>
              <w:left w:val="nil"/>
              <w:bottom w:val="single" w:sz="4" w:space="0" w:color="auto"/>
              <w:right w:val="single" w:sz="4" w:space="0" w:color="auto"/>
            </w:tcBorders>
            <w:shd w:val="clear" w:color="auto" w:fill="auto"/>
            <w:vAlign w:val="center"/>
            <w:hideMark/>
          </w:tcPr>
          <w:p w:rsidR="008F3068" w:rsidRPr="008F3068" w:rsidRDefault="008F3068" w:rsidP="008F3068">
            <w:pPr>
              <w:spacing w:after="0" w:line="240" w:lineRule="auto"/>
              <w:jc w:val="center"/>
              <w:rPr>
                <w:rFonts w:ascii="Arial" w:eastAsia="Times New Roman" w:hAnsi="Arial" w:cs="Arial"/>
                <w:color w:val="000000"/>
                <w:sz w:val="20"/>
                <w:szCs w:val="20"/>
                <w:lang w:eastAsia="es-CO"/>
              </w:rPr>
            </w:pPr>
            <w:r w:rsidRPr="008F3068">
              <w:rPr>
                <w:rFonts w:ascii="Arial" w:eastAsia="Times New Roman" w:hAnsi="Arial" w:cs="Arial"/>
                <w:color w:val="000000"/>
                <w:sz w:val="20"/>
                <w:szCs w:val="20"/>
                <w:lang w:eastAsia="es-CO"/>
              </w:rPr>
              <w:t>0.00</w:t>
            </w:r>
          </w:p>
        </w:tc>
        <w:tc>
          <w:tcPr>
            <w:tcW w:w="1134" w:type="dxa"/>
            <w:tcBorders>
              <w:top w:val="nil"/>
              <w:left w:val="nil"/>
              <w:bottom w:val="single" w:sz="4" w:space="0" w:color="auto"/>
              <w:right w:val="single" w:sz="4" w:space="0" w:color="auto"/>
            </w:tcBorders>
            <w:shd w:val="clear" w:color="auto" w:fill="auto"/>
            <w:vAlign w:val="center"/>
            <w:hideMark/>
          </w:tcPr>
          <w:p w:rsidR="008F3068" w:rsidRPr="008F3068" w:rsidRDefault="008F3068" w:rsidP="008F3068">
            <w:pPr>
              <w:spacing w:after="0" w:line="240" w:lineRule="auto"/>
              <w:jc w:val="center"/>
              <w:rPr>
                <w:rFonts w:ascii="Arial" w:eastAsia="Times New Roman" w:hAnsi="Arial" w:cs="Arial"/>
                <w:color w:val="000000"/>
                <w:sz w:val="20"/>
                <w:szCs w:val="20"/>
                <w:lang w:eastAsia="es-CO"/>
              </w:rPr>
            </w:pPr>
            <w:r w:rsidRPr="008F3068">
              <w:rPr>
                <w:rFonts w:ascii="Arial" w:eastAsia="Times New Roman" w:hAnsi="Arial" w:cs="Arial"/>
                <w:color w:val="000000"/>
                <w:sz w:val="20"/>
                <w:szCs w:val="20"/>
                <w:lang w:eastAsia="es-CO"/>
              </w:rPr>
              <w:t>NR</w:t>
            </w:r>
          </w:p>
        </w:tc>
      </w:tr>
      <w:tr w:rsidR="008F3068" w:rsidRPr="008F3068" w:rsidTr="008F3068">
        <w:trPr>
          <w:trHeight w:val="20"/>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F3068" w:rsidRPr="008F3068" w:rsidRDefault="008F3068" w:rsidP="008F3068">
            <w:pPr>
              <w:spacing w:after="0" w:line="240" w:lineRule="auto"/>
              <w:rPr>
                <w:rFonts w:ascii="Arial" w:eastAsia="Times New Roman" w:hAnsi="Arial" w:cs="Arial"/>
                <w:color w:val="000000"/>
                <w:sz w:val="20"/>
                <w:szCs w:val="20"/>
                <w:lang w:eastAsia="es-CO"/>
              </w:rPr>
            </w:pPr>
            <w:r w:rsidRPr="008F3068">
              <w:rPr>
                <w:rFonts w:ascii="Arial" w:eastAsia="Times New Roman" w:hAnsi="Arial" w:cs="Arial"/>
                <w:color w:val="000000"/>
                <w:sz w:val="20"/>
                <w:szCs w:val="20"/>
                <w:lang w:eastAsia="es-CO"/>
              </w:rPr>
              <w:t>Oportunidad en la atención en  servicios de imagenología</w:t>
            </w:r>
          </w:p>
        </w:tc>
        <w:tc>
          <w:tcPr>
            <w:tcW w:w="1276" w:type="dxa"/>
            <w:tcBorders>
              <w:top w:val="nil"/>
              <w:left w:val="nil"/>
              <w:bottom w:val="single" w:sz="4" w:space="0" w:color="auto"/>
              <w:right w:val="single" w:sz="4" w:space="0" w:color="auto"/>
            </w:tcBorders>
            <w:shd w:val="clear" w:color="auto" w:fill="auto"/>
            <w:vAlign w:val="center"/>
            <w:hideMark/>
          </w:tcPr>
          <w:p w:rsidR="008F3068" w:rsidRPr="008F3068" w:rsidRDefault="008F3068" w:rsidP="008F3068">
            <w:pPr>
              <w:spacing w:after="0" w:line="240" w:lineRule="auto"/>
              <w:jc w:val="center"/>
              <w:rPr>
                <w:rFonts w:ascii="Arial" w:eastAsia="Times New Roman" w:hAnsi="Arial" w:cs="Arial"/>
                <w:color w:val="000000"/>
                <w:sz w:val="20"/>
                <w:szCs w:val="20"/>
                <w:lang w:eastAsia="es-CO"/>
              </w:rPr>
            </w:pPr>
            <w:r w:rsidRPr="008F3068">
              <w:rPr>
                <w:rFonts w:ascii="Arial" w:eastAsia="Times New Roman" w:hAnsi="Arial" w:cs="Arial"/>
                <w:color w:val="000000"/>
                <w:sz w:val="20"/>
                <w:szCs w:val="20"/>
                <w:lang w:eastAsia="es-CO"/>
              </w:rPr>
              <w:t>0.16</w:t>
            </w:r>
          </w:p>
        </w:tc>
        <w:tc>
          <w:tcPr>
            <w:tcW w:w="1134" w:type="dxa"/>
            <w:tcBorders>
              <w:top w:val="nil"/>
              <w:left w:val="nil"/>
              <w:bottom w:val="single" w:sz="4" w:space="0" w:color="auto"/>
              <w:right w:val="single" w:sz="4" w:space="0" w:color="auto"/>
            </w:tcBorders>
            <w:shd w:val="clear" w:color="auto" w:fill="auto"/>
            <w:vAlign w:val="center"/>
            <w:hideMark/>
          </w:tcPr>
          <w:p w:rsidR="008F3068" w:rsidRPr="008F3068" w:rsidRDefault="008F3068" w:rsidP="008F3068">
            <w:pPr>
              <w:spacing w:after="0" w:line="240" w:lineRule="auto"/>
              <w:jc w:val="center"/>
              <w:rPr>
                <w:rFonts w:ascii="Arial" w:eastAsia="Times New Roman" w:hAnsi="Arial" w:cs="Arial"/>
                <w:color w:val="000000"/>
                <w:sz w:val="20"/>
                <w:szCs w:val="20"/>
                <w:lang w:eastAsia="es-CO"/>
              </w:rPr>
            </w:pPr>
            <w:r w:rsidRPr="008F3068">
              <w:rPr>
                <w:rFonts w:ascii="Arial" w:eastAsia="Times New Roman" w:hAnsi="Arial" w:cs="Arial"/>
                <w:color w:val="000000"/>
                <w:sz w:val="20"/>
                <w:szCs w:val="20"/>
                <w:lang w:eastAsia="es-CO"/>
              </w:rPr>
              <w:t>NR</w:t>
            </w:r>
          </w:p>
        </w:tc>
      </w:tr>
      <w:tr w:rsidR="008F3068" w:rsidRPr="008F3068" w:rsidTr="008F3068">
        <w:trPr>
          <w:trHeight w:val="20"/>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F3068" w:rsidRPr="008F3068" w:rsidRDefault="008F3068" w:rsidP="008F3068">
            <w:pPr>
              <w:spacing w:after="0" w:line="240" w:lineRule="auto"/>
              <w:rPr>
                <w:rFonts w:ascii="Arial" w:eastAsia="Times New Roman" w:hAnsi="Arial" w:cs="Arial"/>
                <w:color w:val="000000"/>
                <w:sz w:val="20"/>
                <w:szCs w:val="20"/>
                <w:lang w:eastAsia="es-CO"/>
              </w:rPr>
            </w:pPr>
            <w:r w:rsidRPr="008F3068">
              <w:rPr>
                <w:rFonts w:ascii="Arial" w:eastAsia="Times New Roman" w:hAnsi="Arial" w:cs="Arial"/>
                <w:color w:val="000000"/>
                <w:sz w:val="20"/>
                <w:szCs w:val="20"/>
                <w:lang w:eastAsia="es-CO"/>
              </w:rPr>
              <w:t>Oportunidad en la atención en consulta de odontología general</w:t>
            </w:r>
          </w:p>
        </w:tc>
        <w:tc>
          <w:tcPr>
            <w:tcW w:w="1276" w:type="dxa"/>
            <w:tcBorders>
              <w:top w:val="nil"/>
              <w:left w:val="nil"/>
              <w:bottom w:val="single" w:sz="4" w:space="0" w:color="auto"/>
              <w:right w:val="single" w:sz="4" w:space="0" w:color="auto"/>
            </w:tcBorders>
            <w:shd w:val="clear" w:color="auto" w:fill="auto"/>
            <w:vAlign w:val="center"/>
            <w:hideMark/>
          </w:tcPr>
          <w:p w:rsidR="008F3068" w:rsidRPr="008F3068" w:rsidRDefault="008F3068" w:rsidP="008F3068">
            <w:pPr>
              <w:spacing w:after="0" w:line="240" w:lineRule="auto"/>
              <w:jc w:val="center"/>
              <w:rPr>
                <w:rFonts w:ascii="Arial" w:eastAsia="Times New Roman" w:hAnsi="Arial" w:cs="Arial"/>
                <w:color w:val="000000"/>
                <w:sz w:val="20"/>
                <w:szCs w:val="20"/>
                <w:lang w:eastAsia="es-CO"/>
              </w:rPr>
            </w:pPr>
            <w:r w:rsidRPr="008F3068">
              <w:rPr>
                <w:rFonts w:ascii="Arial" w:eastAsia="Times New Roman" w:hAnsi="Arial" w:cs="Arial"/>
                <w:color w:val="000000"/>
                <w:sz w:val="20"/>
                <w:szCs w:val="20"/>
                <w:lang w:eastAsia="es-CO"/>
              </w:rPr>
              <w:t>NR</w:t>
            </w:r>
          </w:p>
        </w:tc>
        <w:tc>
          <w:tcPr>
            <w:tcW w:w="1134" w:type="dxa"/>
            <w:tcBorders>
              <w:top w:val="nil"/>
              <w:left w:val="nil"/>
              <w:bottom w:val="single" w:sz="4" w:space="0" w:color="auto"/>
              <w:right w:val="single" w:sz="4" w:space="0" w:color="auto"/>
            </w:tcBorders>
            <w:shd w:val="clear" w:color="auto" w:fill="auto"/>
            <w:vAlign w:val="center"/>
            <w:hideMark/>
          </w:tcPr>
          <w:p w:rsidR="008F3068" w:rsidRPr="008F3068" w:rsidRDefault="008F3068" w:rsidP="008F3068">
            <w:pPr>
              <w:spacing w:after="0" w:line="240" w:lineRule="auto"/>
              <w:jc w:val="center"/>
              <w:rPr>
                <w:rFonts w:ascii="Arial" w:eastAsia="Times New Roman" w:hAnsi="Arial" w:cs="Arial"/>
                <w:color w:val="000000"/>
                <w:sz w:val="20"/>
                <w:szCs w:val="20"/>
                <w:lang w:eastAsia="es-CO"/>
              </w:rPr>
            </w:pPr>
            <w:r w:rsidRPr="008F3068">
              <w:rPr>
                <w:rFonts w:ascii="Arial" w:eastAsia="Times New Roman" w:hAnsi="Arial" w:cs="Arial"/>
                <w:color w:val="000000"/>
                <w:sz w:val="20"/>
                <w:szCs w:val="20"/>
                <w:lang w:eastAsia="es-CO"/>
              </w:rPr>
              <w:t>NR</w:t>
            </w:r>
          </w:p>
        </w:tc>
      </w:tr>
      <w:tr w:rsidR="008F3068" w:rsidRPr="008F3068" w:rsidTr="008F3068">
        <w:trPr>
          <w:trHeight w:val="20"/>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F3068" w:rsidRPr="008F3068" w:rsidRDefault="008F3068" w:rsidP="008F3068">
            <w:pPr>
              <w:spacing w:after="0" w:line="240" w:lineRule="auto"/>
              <w:rPr>
                <w:rFonts w:ascii="Arial" w:eastAsia="Times New Roman" w:hAnsi="Arial" w:cs="Arial"/>
                <w:color w:val="000000"/>
                <w:sz w:val="20"/>
                <w:szCs w:val="20"/>
                <w:lang w:eastAsia="es-CO"/>
              </w:rPr>
            </w:pPr>
            <w:r w:rsidRPr="008F3068">
              <w:rPr>
                <w:rFonts w:ascii="Arial" w:eastAsia="Times New Roman" w:hAnsi="Arial" w:cs="Arial"/>
                <w:color w:val="000000"/>
                <w:sz w:val="20"/>
                <w:szCs w:val="20"/>
                <w:lang w:eastAsia="es-CO"/>
              </w:rPr>
              <w:t>Oportunidad en la realización de cirugía programada</w:t>
            </w:r>
          </w:p>
        </w:tc>
        <w:tc>
          <w:tcPr>
            <w:tcW w:w="1276" w:type="dxa"/>
            <w:tcBorders>
              <w:top w:val="nil"/>
              <w:left w:val="nil"/>
              <w:bottom w:val="single" w:sz="4" w:space="0" w:color="auto"/>
              <w:right w:val="single" w:sz="4" w:space="0" w:color="auto"/>
            </w:tcBorders>
            <w:shd w:val="clear" w:color="auto" w:fill="auto"/>
            <w:vAlign w:val="center"/>
            <w:hideMark/>
          </w:tcPr>
          <w:p w:rsidR="008F3068" w:rsidRPr="008F3068" w:rsidRDefault="008F3068" w:rsidP="008F3068">
            <w:pPr>
              <w:spacing w:after="0" w:line="240" w:lineRule="auto"/>
              <w:jc w:val="center"/>
              <w:rPr>
                <w:rFonts w:ascii="Arial" w:eastAsia="Times New Roman" w:hAnsi="Arial" w:cs="Arial"/>
                <w:color w:val="000000"/>
                <w:sz w:val="20"/>
                <w:szCs w:val="20"/>
                <w:lang w:eastAsia="es-CO"/>
              </w:rPr>
            </w:pPr>
            <w:r w:rsidRPr="008F3068">
              <w:rPr>
                <w:rFonts w:ascii="Arial" w:eastAsia="Times New Roman" w:hAnsi="Arial" w:cs="Arial"/>
                <w:color w:val="000000"/>
                <w:sz w:val="20"/>
                <w:szCs w:val="20"/>
                <w:lang w:eastAsia="es-CO"/>
              </w:rPr>
              <w:t>40.03</w:t>
            </w:r>
          </w:p>
        </w:tc>
        <w:tc>
          <w:tcPr>
            <w:tcW w:w="1134" w:type="dxa"/>
            <w:tcBorders>
              <w:top w:val="nil"/>
              <w:left w:val="nil"/>
              <w:bottom w:val="single" w:sz="4" w:space="0" w:color="auto"/>
              <w:right w:val="single" w:sz="4" w:space="0" w:color="auto"/>
            </w:tcBorders>
            <w:shd w:val="clear" w:color="auto" w:fill="auto"/>
            <w:vAlign w:val="center"/>
            <w:hideMark/>
          </w:tcPr>
          <w:p w:rsidR="008F3068" w:rsidRPr="008F3068" w:rsidRDefault="008F3068" w:rsidP="008F3068">
            <w:pPr>
              <w:spacing w:after="0" w:line="240" w:lineRule="auto"/>
              <w:jc w:val="center"/>
              <w:rPr>
                <w:rFonts w:ascii="Arial" w:eastAsia="Times New Roman" w:hAnsi="Arial" w:cs="Arial"/>
                <w:color w:val="000000"/>
                <w:sz w:val="20"/>
                <w:szCs w:val="20"/>
                <w:lang w:eastAsia="es-CO"/>
              </w:rPr>
            </w:pPr>
            <w:r w:rsidRPr="008F3068">
              <w:rPr>
                <w:rFonts w:ascii="Arial" w:eastAsia="Times New Roman" w:hAnsi="Arial" w:cs="Arial"/>
                <w:color w:val="000000"/>
                <w:sz w:val="20"/>
                <w:szCs w:val="20"/>
                <w:lang w:eastAsia="es-CO"/>
              </w:rPr>
              <w:t>75.02</w:t>
            </w:r>
          </w:p>
        </w:tc>
      </w:tr>
      <w:tr w:rsidR="008F3068" w:rsidRPr="008F3068" w:rsidTr="008F3068">
        <w:trPr>
          <w:trHeight w:val="20"/>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F3068" w:rsidRPr="008F3068" w:rsidRDefault="008F3068" w:rsidP="008F3068">
            <w:pPr>
              <w:spacing w:after="0" w:line="240" w:lineRule="auto"/>
              <w:rPr>
                <w:rFonts w:ascii="Arial" w:eastAsia="Times New Roman" w:hAnsi="Arial" w:cs="Arial"/>
                <w:color w:val="000000"/>
                <w:sz w:val="20"/>
                <w:szCs w:val="20"/>
                <w:lang w:eastAsia="es-CO"/>
              </w:rPr>
            </w:pPr>
            <w:r w:rsidRPr="008F3068">
              <w:rPr>
                <w:rFonts w:ascii="Arial" w:eastAsia="Times New Roman" w:hAnsi="Arial" w:cs="Arial"/>
                <w:color w:val="000000"/>
                <w:sz w:val="20"/>
                <w:szCs w:val="20"/>
                <w:lang w:eastAsia="es-CO"/>
              </w:rPr>
              <w:t>Oportunidad de atención en consulta de urgencias</w:t>
            </w:r>
          </w:p>
        </w:tc>
        <w:tc>
          <w:tcPr>
            <w:tcW w:w="1276" w:type="dxa"/>
            <w:tcBorders>
              <w:top w:val="nil"/>
              <w:left w:val="nil"/>
              <w:bottom w:val="single" w:sz="4" w:space="0" w:color="auto"/>
              <w:right w:val="single" w:sz="4" w:space="0" w:color="auto"/>
            </w:tcBorders>
            <w:shd w:val="clear" w:color="auto" w:fill="auto"/>
            <w:vAlign w:val="center"/>
            <w:hideMark/>
          </w:tcPr>
          <w:p w:rsidR="008F3068" w:rsidRPr="008F3068" w:rsidRDefault="008F3068" w:rsidP="008F3068">
            <w:pPr>
              <w:spacing w:after="0" w:line="240" w:lineRule="auto"/>
              <w:jc w:val="center"/>
              <w:rPr>
                <w:rFonts w:ascii="Arial" w:eastAsia="Times New Roman" w:hAnsi="Arial" w:cs="Arial"/>
                <w:color w:val="000000"/>
                <w:sz w:val="20"/>
                <w:szCs w:val="20"/>
                <w:lang w:eastAsia="es-CO"/>
              </w:rPr>
            </w:pPr>
            <w:r w:rsidRPr="008F3068">
              <w:rPr>
                <w:rFonts w:ascii="Arial" w:eastAsia="Times New Roman" w:hAnsi="Arial" w:cs="Arial"/>
                <w:color w:val="000000"/>
                <w:sz w:val="20"/>
                <w:szCs w:val="20"/>
                <w:lang w:eastAsia="es-CO"/>
              </w:rPr>
              <w:t>27.94</w:t>
            </w:r>
          </w:p>
        </w:tc>
        <w:tc>
          <w:tcPr>
            <w:tcW w:w="1134" w:type="dxa"/>
            <w:tcBorders>
              <w:top w:val="nil"/>
              <w:left w:val="nil"/>
              <w:bottom w:val="single" w:sz="4" w:space="0" w:color="auto"/>
              <w:right w:val="single" w:sz="4" w:space="0" w:color="auto"/>
            </w:tcBorders>
            <w:shd w:val="clear" w:color="auto" w:fill="auto"/>
            <w:vAlign w:val="center"/>
            <w:hideMark/>
          </w:tcPr>
          <w:p w:rsidR="008F3068" w:rsidRPr="008F3068" w:rsidRDefault="008F3068" w:rsidP="008F3068">
            <w:pPr>
              <w:spacing w:after="0" w:line="240" w:lineRule="auto"/>
              <w:jc w:val="center"/>
              <w:rPr>
                <w:rFonts w:ascii="Arial" w:eastAsia="Times New Roman" w:hAnsi="Arial" w:cs="Arial"/>
                <w:color w:val="000000"/>
                <w:sz w:val="20"/>
                <w:szCs w:val="20"/>
                <w:lang w:eastAsia="es-CO"/>
              </w:rPr>
            </w:pPr>
            <w:r w:rsidRPr="008F3068">
              <w:rPr>
                <w:rFonts w:ascii="Arial" w:eastAsia="Times New Roman" w:hAnsi="Arial" w:cs="Arial"/>
                <w:color w:val="000000"/>
                <w:sz w:val="20"/>
                <w:szCs w:val="20"/>
                <w:lang w:eastAsia="es-CO"/>
              </w:rPr>
              <w:t>39.08</w:t>
            </w:r>
          </w:p>
        </w:tc>
      </w:tr>
      <w:tr w:rsidR="008F3068" w:rsidRPr="008F3068" w:rsidTr="008F3068">
        <w:trPr>
          <w:trHeight w:val="20"/>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F3068" w:rsidRPr="008F3068" w:rsidRDefault="008F3068" w:rsidP="008F3068">
            <w:pPr>
              <w:spacing w:after="0" w:line="240" w:lineRule="auto"/>
              <w:rPr>
                <w:rFonts w:ascii="Arial" w:eastAsia="Times New Roman" w:hAnsi="Arial" w:cs="Arial"/>
                <w:color w:val="000000"/>
                <w:sz w:val="20"/>
                <w:szCs w:val="20"/>
                <w:lang w:eastAsia="es-CO"/>
              </w:rPr>
            </w:pPr>
            <w:r w:rsidRPr="008F3068">
              <w:rPr>
                <w:rFonts w:ascii="Arial" w:eastAsia="Times New Roman" w:hAnsi="Arial" w:cs="Arial"/>
                <w:color w:val="000000"/>
                <w:sz w:val="20"/>
                <w:szCs w:val="20"/>
                <w:lang w:eastAsia="es-CO"/>
              </w:rPr>
              <w:t>Proporción de cancelación de cirugía programada</w:t>
            </w:r>
          </w:p>
        </w:tc>
        <w:tc>
          <w:tcPr>
            <w:tcW w:w="1276" w:type="dxa"/>
            <w:tcBorders>
              <w:top w:val="nil"/>
              <w:left w:val="nil"/>
              <w:bottom w:val="single" w:sz="4" w:space="0" w:color="auto"/>
              <w:right w:val="single" w:sz="4" w:space="0" w:color="auto"/>
            </w:tcBorders>
            <w:shd w:val="clear" w:color="auto" w:fill="auto"/>
            <w:vAlign w:val="center"/>
            <w:hideMark/>
          </w:tcPr>
          <w:p w:rsidR="008F3068" w:rsidRPr="008F3068" w:rsidRDefault="008F3068" w:rsidP="008F3068">
            <w:pPr>
              <w:spacing w:after="0" w:line="240" w:lineRule="auto"/>
              <w:jc w:val="center"/>
              <w:rPr>
                <w:rFonts w:ascii="Arial" w:eastAsia="Times New Roman" w:hAnsi="Arial" w:cs="Arial"/>
                <w:color w:val="000000"/>
                <w:sz w:val="20"/>
                <w:szCs w:val="20"/>
                <w:lang w:eastAsia="es-CO"/>
              </w:rPr>
            </w:pPr>
            <w:r w:rsidRPr="008F3068">
              <w:rPr>
                <w:rFonts w:ascii="Arial" w:eastAsia="Times New Roman" w:hAnsi="Arial" w:cs="Arial"/>
                <w:color w:val="000000"/>
                <w:sz w:val="20"/>
                <w:szCs w:val="20"/>
                <w:lang w:eastAsia="es-CO"/>
              </w:rPr>
              <w:t>3.94%</w:t>
            </w:r>
          </w:p>
        </w:tc>
        <w:tc>
          <w:tcPr>
            <w:tcW w:w="1134" w:type="dxa"/>
            <w:tcBorders>
              <w:top w:val="nil"/>
              <w:left w:val="nil"/>
              <w:bottom w:val="single" w:sz="4" w:space="0" w:color="auto"/>
              <w:right w:val="single" w:sz="4" w:space="0" w:color="auto"/>
            </w:tcBorders>
            <w:shd w:val="clear" w:color="auto" w:fill="auto"/>
            <w:vAlign w:val="center"/>
            <w:hideMark/>
          </w:tcPr>
          <w:p w:rsidR="008F3068" w:rsidRPr="008F3068" w:rsidRDefault="008F3068" w:rsidP="008F3068">
            <w:pPr>
              <w:spacing w:after="0" w:line="240" w:lineRule="auto"/>
              <w:jc w:val="center"/>
              <w:rPr>
                <w:rFonts w:ascii="Arial" w:eastAsia="Times New Roman" w:hAnsi="Arial" w:cs="Arial"/>
                <w:color w:val="000000"/>
                <w:sz w:val="20"/>
                <w:szCs w:val="20"/>
                <w:lang w:eastAsia="es-CO"/>
              </w:rPr>
            </w:pPr>
            <w:r w:rsidRPr="008F3068">
              <w:rPr>
                <w:rFonts w:ascii="Arial" w:eastAsia="Times New Roman" w:hAnsi="Arial" w:cs="Arial"/>
                <w:color w:val="000000"/>
                <w:sz w:val="20"/>
                <w:szCs w:val="20"/>
                <w:lang w:eastAsia="es-CO"/>
              </w:rPr>
              <w:t>NR</w:t>
            </w:r>
          </w:p>
        </w:tc>
      </w:tr>
      <w:tr w:rsidR="008F3068" w:rsidRPr="008F3068" w:rsidTr="008F3068">
        <w:trPr>
          <w:trHeight w:val="20"/>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F3068" w:rsidRPr="008F3068" w:rsidRDefault="008F3068" w:rsidP="008F3068">
            <w:pPr>
              <w:spacing w:after="0" w:line="240" w:lineRule="auto"/>
              <w:rPr>
                <w:rFonts w:ascii="Arial" w:eastAsia="Times New Roman" w:hAnsi="Arial" w:cs="Arial"/>
                <w:color w:val="000000"/>
                <w:sz w:val="20"/>
                <w:szCs w:val="20"/>
                <w:lang w:eastAsia="es-CO"/>
              </w:rPr>
            </w:pPr>
            <w:r w:rsidRPr="008F3068">
              <w:rPr>
                <w:rFonts w:ascii="Arial" w:eastAsia="Times New Roman" w:hAnsi="Arial" w:cs="Arial"/>
                <w:color w:val="000000"/>
                <w:sz w:val="20"/>
                <w:szCs w:val="20"/>
                <w:lang w:eastAsia="es-CO"/>
              </w:rPr>
              <w:lastRenderedPageBreak/>
              <w:t>Proporción de pacientes con hipertensión arterial controlada</w:t>
            </w:r>
          </w:p>
        </w:tc>
        <w:tc>
          <w:tcPr>
            <w:tcW w:w="1276" w:type="dxa"/>
            <w:tcBorders>
              <w:top w:val="nil"/>
              <w:left w:val="nil"/>
              <w:bottom w:val="single" w:sz="4" w:space="0" w:color="auto"/>
              <w:right w:val="single" w:sz="4" w:space="0" w:color="auto"/>
            </w:tcBorders>
            <w:shd w:val="clear" w:color="auto" w:fill="auto"/>
            <w:vAlign w:val="center"/>
            <w:hideMark/>
          </w:tcPr>
          <w:p w:rsidR="008F3068" w:rsidRPr="008F3068" w:rsidRDefault="008F3068" w:rsidP="008F3068">
            <w:pPr>
              <w:spacing w:after="0" w:line="240" w:lineRule="auto"/>
              <w:jc w:val="center"/>
              <w:rPr>
                <w:rFonts w:ascii="Arial" w:eastAsia="Times New Roman" w:hAnsi="Arial" w:cs="Arial"/>
                <w:color w:val="000000"/>
                <w:sz w:val="20"/>
                <w:szCs w:val="20"/>
                <w:lang w:eastAsia="es-CO"/>
              </w:rPr>
            </w:pPr>
            <w:r w:rsidRPr="008F3068">
              <w:rPr>
                <w:rFonts w:ascii="Arial" w:eastAsia="Times New Roman" w:hAnsi="Arial" w:cs="Arial"/>
                <w:color w:val="000000"/>
                <w:sz w:val="20"/>
                <w:szCs w:val="20"/>
                <w:lang w:eastAsia="es-CO"/>
              </w:rPr>
              <w:t>NR</w:t>
            </w:r>
          </w:p>
        </w:tc>
        <w:tc>
          <w:tcPr>
            <w:tcW w:w="1134" w:type="dxa"/>
            <w:tcBorders>
              <w:top w:val="nil"/>
              <w:left w:val="nil"/>
              <w:bottom w:val="single" w:sz="4" w:space="0" w:color="auto"/>
              <w:right w:val="single" w:sz="4" w:space="0" w:color="auto"/>
            </w:tcBorders>
            <w:shd w:val="clear" w:color="auto" w:fill="auto"/>
            <w:vAlign w:val="center"/>
            <w:hideMark/>
          </w:tcPr>
          <w:p w:rsidR="008F3068" w:rsidRPr="008F3068" w:rsidRDefault="008F3068" w:rsidP="008F3068">
            <w:pPr>
              <w:spacing w:after="0" w:line="240" w:lineRule="auto"/>
              <w:jc w:val="center"/>
              <w:rPr>
                <w:rFonts w:ascii="Arial" w:eastAsia="Times New Roman" w:hAnsi="Arial" w:cs="Arial"/>
                <w:color w:val="000000"/>
                <w:sz w:val="20"/>
                <w:szCs w:val="20"/>
                <w:lang w:eastAsia="es-CO"/>
              </w:rPr>
            </w:pPr>
            <w:r w:rsidRPr="008F3068">
              <w:rPr>
                <w:rFonts w:ascii="Arial" w:eastAsia="Times New Roman" w:hAnsi="Arial" w:cs="Arial"/>
                <w:color w:val="000000"/>
                <w:sz w:val="20"/>
                <w:szCs w:val="20"/>
                <w:lang w:eastAsia="es-CO"/>
              </w:rPr>
              <w:t>0.00%</w:t>
            </w:r>
          </w:p>
        </w:tc>
      </w:tr>
      <w:tr w:rsidR="008F3068" w:rsidRPr="008F3068" w:rsidTr="008F3068">
        <w:trPr>
          <w:trHeight w:val="20"/>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F3068" w:rsidRPr="008F3068" w:rsidRDefault="008F3068" w:rsidP="008F3068">
            <w:pPr>
              <w:spacing w:after="0" w:line="240" w:lineRule="auto"/>
              <w:rPr>
                <w:rFonts w:ascii="Arial" w:eastAsia="Times New Roman" w:hAnsi="Arial" w:cs="Arial"/>
                <w:color w:val="000000"/>
                <w:sz w:val="20"/>
                <w:szCs w:val="20"/>
                <w:lang w:eastAsia="es-CO"/>
              </w:rPr>
            </w:pPr>
            <w:r w:rsidRPr="008F3068">
              <w:rPr>
                <w:rFonts w:ascii="Arial" w:eastAsia="Times New Roman" w:hAnsi="Arial" w:cs="Arial"/>
                <w:color w:val="000000"/>
                <w:sz w:val="20"/>
                <w:szCs w:val="20"/>
                <w:lang w:eastAsia="es-CO"/>
              </w:rPr>
              <w:t>Proporción de vigilancia de eventos adversos</w:t>
            </w:r>
          </w:p>
        </w:tc>
        <w:tc>
          <w:tcPr>
            <w:tcW w:w="1276" w:type="dxa"/>
            <w:tcBorders>
              <w:top w:val="nil"/>
              <w:left w:val="nil"/>
              <w:bottom w:val="single" w:sz="4" w:space="0" w:color="auto"/>
              <w:right w:val="single" w:sz="4" w:space="0" w:color="auto"/>
            </w:tcBorders>
            <w:shd w:val="clear" w:color="auto" w:fill="auto"/>
            <w:vAlign w:val="center"/>
            <w:hideMark/>
          </w:tcPr>
          <w:p w:rsidR="008F3068" w:rsidRPr="008F3068" w:rsidRDefault="008F3068" w:rsidP="008F3068">
            <w:pPr>
              <w:spacing w:after="0" w:line="240" w:lineRule="auto"/>
              <w:jc w:val="center"/>
              <w:rPr>
                <w:rFonts w:ascii="Arial" w:eastAsia="Times New Roman" w:hAnsi="Arial" w:cs="Arial"/>
                <w:color w:val="000000"/>
                <w:sz w:val="20"/>
                <w:szCs w:val="20"/>
                <w:lang w:eastAsia="es-CO"/>
              </w:rPr>
            </w:pPr>
            <w:r w:rsidRPr="008F3068">
              <w:rPr>
                <w:rFonts w:ascii="Arial" w:eastAsia="Times New Roman" w:hAnsi="Arial" w:cs="Arial"/>
                <w:color w:val="000000"/>
                <w:sz w:val="20"/>
                <w:szCs w:val="20"/>
                <w:lang w:eastAsia="es-CO"/>
              </w:rPr>
              <w:t>0.17%</w:t>
            </w:r>
          </w:p>
        </w:tc>
        <w:tc>
          <w:tcPr>
            <w:tcW w:w="1134" w:type="dxa"/>
            <w:tcBorders>
              <w:top w:val="nil"/>
              <w:left w:val="nil"/>
              <w:bottom w:val="single" w:sz="4" w:space="0" w:color="auto"/>
              <w:right w:val="single" w:sz="4" w:space="0" w:color="auto"/>
            </w:tcBorders>
            <w:shd w:val="clear" w:color="auto" w:fill="auto"/>
            <w:vAlign w:val="center"/>
            <w:hideMark/>
          </w:tcPr>
          <w:p w:rsidR="008F3068" w:rsidRPr="008F3068" w:rsidRDefault="008F3068" w:rsidP="008F3068">
            <w:pPr>
              <w:spacing w:after="0" w:line="240" w:lineRule="auto"/>
              <w:jc w:val="center"/>
              <w:rPr>
                <w:rFonts w:ascii="Arial" w:eastAsia="Times New Roman" w:hAnsi="Arial" w:cs="Arial"/>
                <w:color w:val="000000"/>
                <w:sz w:val="20"/>
                <w:szCs w:val="20"/>
                <w:lang w:eastAsia="es-CO"/>
              </w:rPr>
            </w:pPr>
            <w:r w:rsidRPr="008F3068">
              <w:rPr>
                <w:rFonts w:ascii="Arial" w:eastAsia="Times New Roman" w:hAnsi="Arial" w:cs="Arial"/>
                <w:color w:val="000000"/>
                <w:sz w:val="20"/>
                <w:szCs w:val="20"/>
                <w:lang w:eastAsia="es-CO"/>
              </w:rPr>
              <w:t>100.00%</w:t>
            </w:r>
          </w:p>
        </w:tc>
      </w:tr>
      <w:tr w:rsidR="008F3068" w:rsidRPr="008F3068" w:rsidTr="008F3068">
        <w:trPr>
          <w:trHeight w:val="20"/>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F3068" w:rsidRPr="008F3068" w:rsidRDefault="008F3068" w:rsidP="008F3068">
            <w:pPr>
              <w:spacing w:after="0" w:line="240" w:lineRule="auto"/>
              <w:rPr>
                <w:rFonts w:ascii="Arial" w:eastAsia="Times New Roman" w:hAnsi="Arial" w:cs="Arial"/>
                <w:color w:val="000000"/>
                <w:sz w:val="20"/>
                <w:szCs w:val="20"/>
                <w:lang w:eastAsia="es-CO"/>
              </w:rPr>
            </w:pPr>
            <w:r w:rsidRPr="008F3068">
              <w:rPr>
                <w:rFonts w:ascii="Arial" w:eastAsia="Times New Roman" w:hAnsi="Arial" w:cs="Arial"/>
                <w:color w:val="000000"/>
                <w:sz w:val="20"/>
                <w:szCs w:val="20"/>
                <w:lang w:eastAsia="es-CO"/>
              </w:rPr>
              <w:t>Tasa de infección intrahospitalaria</w:t>
            </w:r>
          </w:p>
        </w:tc>
        <w:tc>
          <w:tcPr>
            <w:tcW w:w="1276" w:type="dxa"/>
            <w:tcBorders>
              <w:top w:val="nil"/>
              <w:left w:val="nil"/>
              <w:bottom w:val="single" w:sz="4" w:space="0" w:color="auto"/>
              <w:right w:val="single" w:sz="4" w:space="0" w:color="auto"/>
            </w:tcBorders>
            <w:shd w:val="clear" w:color="auto" w:fill="auto"/>
            <w:vAlign w:val="center"/>
            <w:hideMark/>
          </w:tcPr>
          <w:p w:rsidR="008F3068" w:rsidRPr="008F3068" w:rsidRDefault="008F3068" w:rsidP="008F3068">
            <w:pPr>
              <w:spacing w:after="0" w:line="240" w:lineRule="auto"/>
              <w:jc w:val="center"/>
              <w:rPr>
                <w:rFonts w:ascii="Arial" w:eastAsia="Times New Roman" w:hAnsi="Arial" w:cs="Arial"/>
                <w:color w:val="000000"/>
                <w:sz w:val="20"/>
                <w:szCs w:val="20"/>
                <w:lang w:eastAsia="es-CO"/>
              </w:rPr>
            </w:pPr>
            <w:r w:rsidRPr="008F3068">
              <w:rPr>
                <w:rFonts w:ascii="Arial" w:eastAsia="Times New Roman" w:hAnsi="Arial" w:cs="Arial"/>
                <w:color w:val="000000"/>
                <w:sz w:val="20"/>
                <w:szCs w:val="20"/>
                <w:lang w:eastAsia="es-CO"/>
              </w:rPr>
              <w:t>2.41%</w:t>
            </w:r>
          </w:p>
        </w:tc>
        <w:tc>
          <w:tcPr>
            <w:tcW w:w="1134" w:type="dxa"/>
            <w:tcBorders>
              <w:top w:val="nil"/>
              <w:left w:val="nil"/>
              <w:bottom w:val="single" w:sz="4" w:space="0" w:color="auto"/>
              <w:right w:val="single" w:sz="4" w:space="0" w:color="auto"/>
            </w:tcBorders>
            <w:shd w:val="clear" w:color="auto" w:fill="auto"/>
            <w:vAlign w:val="center"/>
            <w:hideMark/>
          </w:tcPr>
          <w:p w:rsidR="008F3068" w:rsidRPr="008F3068" w:rsidRDefault="008F3068" w:rsidP="008F3068">
            <w:pPr>
              <w:spacing w:after="0" w:line="240" w:lineRule="auto"/>
              <w:jc w:val="center"/>
              <w:rPr>
                <w:rFonts w:ascii="Arial" w:eastAsia="Times New Roman" w:hAnsi="Arial" w:cs="Arial"/>
                <w:color w:val="000000"/>
                <w:sz w:val="20"/>
                <w:szCs w:val="20"/>
                <w:lang w:eastAsia="es-CO"/>
              </w:rPr>
            </w:pPr>
            <w:r w:rsidRPr="008F3068">
              <w:rPr>
                <w:rFonts w:ascii="Arial" w:eastAsia="Times New Roman" w:hAnsi="Arial" w:cs="Arial"/>
                <w:color w:val="000000"/>
                <w:sz w:val="20"/>
                <w:szCs w:val="20"/>
                <w:lang w:eastAsia="es-CO"/>
              </w:rPr>
              <w:t>2.94%</w:t>
            </w:r>
          </w:p>
        </w:tc>
      </w:tr>
      <w:tr w:rsidR="008F3068" w:rsidRPr="008F3068" w:rsidTr="008F3068">
        <w:trPr>
          <w:trHeight w:val="20"/>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F3068" w:rsidRPr="008F3068" w:rsidRDefault="008F3068" w:rsidP="008F3068">
            <w:pPr>
              <w:spacing w:after="0" w:line="240" w:lineRule="auto"/>
              <w:rPr>
                <w:rFonts w:ascii="Arial" w:eastAsia="Times New Roman" w:hAnsi="Arial" w:cs="Arial"/>
                <w:color w:val="000000"/>
                <w:sz w:val="20"/>
                <w:szCs w:val="20"/>
                <w:lang w:eastAsia="es-CO"/>
              </w:rPr>
            </w:pPr>
            <w:r w:rsidRPr="008F3068">
              <w:rPr>
                <w:rFonts w:ascii="Arial" w:eastAsia="Times New Roman" w:hAnsi="Arial" w:cs="Arial"/>
                <w:color w:val="000000"/>
                <w:sz w:val="20"/>
                <w:szCs w:val="20"/>
                <w:lang w:eastAsia="es-CO"/>
              </w:rPr>
              <w:t>Tasa de reingreso de pacientes hospitalizados</w:t>
            </w:r>
          </w:p>
        </w:tc>
        <w:tc>
          <w:tcPr>
            <w:tcW w:w="1276" w:type="dxa"/>
            <w:tcBorders>
              <w:top w:val="nil"/>
              <w:left w:val="nil"/>
              <w:bottom w:val="single" w:sz="4" w:space="0" w:color="auto"/>
              <w:right w:val="single" w:sz="4" w:space="0" w:color="auto"/>
            </w:tcBorders>
            <w:shd w:val="clear" w:color="auto" w:fill="auto"/>
            <w:vAlign w:val="center"/>
            <w:hideMark/>
          </w:tcPr>
          <w:p w:rsidR="008F3068" w:rsidRPr="008F3068" w:rsidRDefault="008F3068" w:rsidP="008F3068">
            <w:pPr>
              <w:spacing w:after="0" w:line="240" w:lineRule="auto"/>
              <w:jc w:val="center"/>
              <w:rPr>
                <w:rFonts w:ascii="Arial" w:eastAsia="Times New Roman" w:hAnsi="Arial" w:cs="Arial"/>
                <w:color w:val="000000"/>
                <w:sz w:val="20"/>
                <w:szCs w:val="20"/>
                <w:lang w:eastAsia="es-CO"/>
              </w:rPr>
            </w:pPr>
            <w:r w:rsidRPr="008F3068">
              <w:rPr>
                <w:rFonts w:ascii="Arial" w:eastAsia="Times New Roman" w:hAnsi="Arial" w:cs="Arial"/>
                <w:color w:val="000000"/>
                <w:sz w:val="20"/>
                <w:szCs w:val="20"/>
                <w:lang w:eastAsia="es-CO"/>
              </w:rPr>
              <w:t>0.57%</w:t>
            </w:r>
          </w:p>
        </w:tc>
        <w:tc>
          <w:tcPr>
            <w:tcW w:w="1134" w:type="dxa"/>
            <w:tcBorders>
              <w:top w:val="nil"/>
              <w:left w:val="nil"/>
              <w:bottom w:val="single" w:sz="4" w:space="0" w:color="auto"/>
              <w:right w:val="single" w:sz="4" w:space="0" w:color="auto"/>
            </w:tcBorders>
            <w:shd w:val="clear" w:color="auto" w:fill="auto"/>
            <w:vAlign w:val="center"/>
            <w:hideMark/>
          </w:tcPr>
          <w:p w:rsidR="008F3068" w:rsidRPr="008F3068" w:rsidRDefault="008F3068" w:rsidP="008F3068">
            <w:pPr>
              <w:spacing w:after="0" w:line="240" w:lineRule="auto"/>
              <w:jc w:val="center"/>
              <w:rPr>
                <w:rFonts w:ascii="Arial" w:eastAsia="Times New Roman" w:hAnsi="Arial" w:cs="Arial"/>
                <w:color w:val="000000"/>
                <w:sz w:val="20"/>
                <w:szCs w:val="20"/>
                <w:lang w:eastAsia="es-CO"/>
              </w:rPr>
            </w:pPr>
            <w:r w:rsidRPr="008F3068">
              <w:rPr>
                <w:rFonts w:ascii="Arial" w:eastAsia="Times New Roman" w:hAnsi="Arial" w:cs="Arial"/>
                <w:color w:val="000000"/>
                <w:sz w:val="20"/>
                <w:szCs w:val="20"/>
                <w:lang w:eastAsia="es-CO"/>
              </w:rPr>
              <w:t>0.36%</w:t>
            </w:r>
          </w:p>
        </w:tc>
      </w:tr>
      <w:tr w:rsidR="008F3068" w:rsidRPr="008F3068" w:rsidTr="008F3068">
        <w:trPr>
          <w:trHeight w:val="20"/>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F3068" w:rsidRPr="008F3068" w:rsidRDefault="008F3068" w:rsidP="008F3068">
            <w:pPr>
              <w:spacing w:after="0" w:line="240" w:lineRule="auto"/>
              <w:rPr>
                <w:rFonts w:ascii="Arial" w:eastAsia="Times New Roman" w:hAnsi="Arial" w:cs="Arial"/>
                <w:color w:val="000000"/>
                <w:sz w:val="20"/>
                <w:szCs w:val="20"/>
                <w:lang w:eastAsia="es-CO"/>
              </w:rPr>
            </w:pPr>
            <w:r w:rsidRPr="008F3068">
              <w:rPr>
                <w:rFonts w:ascii="Arial" w:eastAsia="Times New Roman" w:hAnsi="Arial" w:cs="Arial"/>
                <w:color w:val="000000"/>
                <w:sz w:val="20"/>
                <w:szCs w:val="20"/>
                <w:lang w:eastAsia="es-CO"/>
              </w:rPr>
              <w:t>Tasa de satisfacción global</w:t>
            </w:r>
          </w:p>
        </w:tc>
        <w:tc>
          <w:tcPr>
            <w:tcW w:w="1276" w:type="dxa"/>
            <w:tcBorders>
              <w:top w:val="nil"/>
              <w:left w:val="nil"/>
              <w:bottom w:val="single" w:sz="4" w:space="0" w:color="auto"/>
              <w:right w:val="single" w:sz="4" w:space="0" w:color="auto"/>
            </w:tcBorders>
            <w:shd w:val="clear" w:color="auto" w:fill="auto"/>
            <w:vAlign w:val="center"/>
            <w:hideMark/>
          </w:tcPr>
          <w:p w:rsidR="008F3068" w:rsidRPr="008F3068" w:rsidRDefault="008F3068" w:rsidP="008F3068">
            <w:pPr>
              <w:spacing w:after="0" w:line="240" w:lineRule="auto"/>
              <w:jc w:val="center"/>
              <w:rPr>
                <w:rFonts w:ascii="Arial" w:eastAsia="Times New Roman" w:hAnsi="Arial" w:cs="Arial"/>
                <w:color w:val="000000"/>
                <w:sz w:val="20"/>
                <w:szCs w:val="20"/>
                <w:lang w:eastAsia="es-CO"/>
              </w:rPr>
            </w:pPr>
            <w:r w:rsidRPr="008F3068">
              <w:rPr>
                <w:rFonts w:ascii="Arial" w:eastAsia="Times New Roman" w:hAnsi="Arial" w:cs="Arial"/>
                <w:color w:val="000000"/>
                <w:sz w:val="20"/>
                <w:szCs w:val="20"/>
                <w:lang w:eastAsia="es-CO"/>
              </w:rPr>
              <w:t>72.25%</w:t>
            </w:r>
          </w:p>
        </w:tc>
        <w:tc>
          <w:tcPr>
            <w:tcW w:w="1134" w:type="dxa"/>
            <w:tcBorders>
              <w:top w:val="nil"/>
              <w:left w:val="nil"/>
              <w:bottom w:val="single" w:sz="4" w:space="0" w:color="auto"/>
              <w:right w:val="single" w:sz="4" w:space="0" w:color="auto"/>
            </w:tcBorders>
            <w:shd w:val="clear" w:color="auto" w:fill="auto"/>
            <w:vAlign w:val="center"/>
            <w:hideMark/>
          </w:tcPr>
          <w:p w:rsidR="008F3068" w:rsidRPr="008F3068" w:rsidRDefault="008F3068" w:rsidP="008F3068">
            <w:pPr>
              <w:spacing w:after="0" w:line="240" w:lineRule="auto"/>
              <w:jc w:val="center"/>
              <w:rPr>
                <w:rFonts w:ascii="Arial" w:eastAsia="Times New Roman" w:hAnsi="Arial" w:cs="Arial"/>
                <w:color w:val="000000"/>
                <w:sz w:val="20"/>
                <w:szCs w:val="20"/>
                <w:lang w:eastAsia="es-CO"/>
              </w:rPr>
            </w:pPr>
            <w:r w:rsidRPr="008F3068">
              <w:rPr>
                <w:rFonts w:ascii="Arial" w:eastAsia="Times New Roman" w:hAnsi="Arial" w:cs="Arial"/>
                <w:color w:val="000000"/>
                <w:sz w:val="20"/>
                <w:szCs w:val="20"/>
                <w:lang w:eastAsia="es-CO"/>
              </w:rPr>
              <w:t>86.50%</w:t>
            </w:r>
          </w:p>
        </w:tc>
      </w:tr>
      <w:tr w:rsidR="008F3068" w:rsidRPr="008F3068" w:rsidTr="008F3068">
        <w:trPr>
          <w:trHeight w:val="20"/>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8F3068" w:rsidRPr="008F3068" w:rsidRDefault="008F3068" w:rsidP="008F3068">
            <w:pPr>
              <w:spacing w:after="0" w:line="240" w:lineRule="auto"/>
              <w:rPr>
                <w:rFonts w:ascii="Arial" w:eastAsia="Times New Roman" w:hAnsi="Arial" w:cs="Arial"/>
                <w:color w:val="000000"/>
                <w:sz w:val="20"/>
                <w:szCs w:val="20"/>
                <w:lang w:eastAsia="es-CO"/>
              </w:rPr>
            </w:pPr>
            <w:r w:rsidRPr="008F3068">
              <w:rPr>
                <w:rFonts w:ascii="Arial" w:eastAsia="Times New Roman" w:hAnsi="Arial" w:cs="Arial"/>
                <w:color w:val="000000"/>
                <w:sz w:val="20"/>
                <w:szCs w:val="20"/>
                <w:lang w:eastAsia="es-CO"/>
              </w:rPr>
              <w:t>Tasa de mortalidad intrahospitalaria después de 48 horas</w:t>
            </w:r>
          </w:p>
        </w:tc>
        <w:tc>
          <w:tcPr>
            <w:tcW w:w="1276" w:type="dxa"/>
            <w:tcBorders>
              <w:top w:val="nil"/>
              <w:left w:val="nil"/>
              <w:bottom w:val="single" w:sz="4" w:space="0" w:color="auto"/>
              <w:right w:val="single" w:sz="4" w:space="0" w:color="auto"/>
            </w:tcBorders>
            <w:shd w:val="clear" w:color="auto" w:fill="auto"/>
            <w:vAlign w:val="center"/>
            <w:hideMark/>
          </w:tcPr>
          <w:p w:rsidR="008F3068" w:rsidRPr="008F3068" w:rsidRDefault="008F3068" w:rsidP="008F3068">
            <w:pPr>
              <w:spacing w:after="0" w:line="240" w:lineRule="auto"/>
              <w:jc w:val="center"/>
              <w:rPr>
                <w:rFonts w:ascii="Arial" w:eastAsia="Times New Roman" w:hAnsi="Arial" w:cs="Arial"/>
                <w:color w:val="000000"/>
                <w:sz w:val="20"/>
                <w:szCs w:val="20"/>
                <w:lang w:eastAsia="es-CO"/>
              </w:rPr>
            </w:pPr>
            <w:r w:rsidRPr="008F3068">
              <w:rPr>
                <w:rFonts w:ascii="Arial" w:eastAsia="Times New Roman" w:hAnsi="Arial" w:cs="Arial"/>
                <w:color w:val="000000"/>
                <w:sz w:val="20"/>
                <w:szCs w:val="20"/>
                <w:lang w:eastAsia="es-CO"/>
              </w:rPr>
              <w:t>3.78%</w:t>
            </w:r>
          </w:p>
        </w:tc>
        <w:tc>
          <w:tcPr>
            <w:tcW w:w="1134" w:type="dxa"/>
            <w:tcBorders>
              <w:top w:val="nil"/>
              <w:left w:val="nil"/>
              <w:bottom w:val="single" w:sz="4" w:space="0" w:color="auto"/>
              <w:right w:val="single" w:sz="4" w:space="0" w:color="auto"/>
            </w:tcBorders>
            <w:shd w:val="clear" w:color="auto" w:fill="auto"/>
            <w:vAlign w:val="center"/>
            <w:hideMark/>
          </w:tcPr>
          <w:p w:rsidR="008F3068" w:rsidRPr="008F3068" w:rsidRDefault="008F3068" w:rsidP="008F3068">
            <w:pPr>
              <w:spacing w:after="0" w:line="240" w:lineRule="auto"/>
              <w:jc w:val="center"/>
              <w:rPr>
                <w:rFonts w:ascii="Arial" w:eastAsia="Times New Roman" w:hAnsi="Arial" w:cs="Arial"/>
                <w:color w:val="000000"/>
                <w:sz w:val="20"/>
                <w:szCs w:val="20"/>
                <w:lang w:eastAsia="es-CO"/>
              </w:rPr>
            </w:pPr>
            <w:r w:rsidRPr="008F3068">
              <w:rPr>
                <w:rFonts w:ascii="Arial" w:eastAsia="Times New Roman" w:hAnsi="Arial" w:cs="Arial"/>
                <w:color w:val="000000"/>
                <w:sz w:val="20"/>
                <w:szCs w:val="20"/>
                <w:lang w:eastAsia="es-CO"/>
              </w:rPr>
              <w:t>3.34%</w:t>
            </w:r>
          </w:p>
        </w:tc>
      </w:tr>
    </w:tbl>
    <w:p w:rsidR="0040792F" w:rsidRPr="008F3068" w:rsidRDefault="008F3068" w:rsidP="008F7EA5">
      <w:pPr>
        <w:widowControl w:val="0"/>
        <w:autoSpaceDE w:val="0"/>
        <w:autoSpaceDN w:val="0"/>
        <w:adjustRightInd w:val="0"/>
        <w:spacing w:after="0" w:line="240" w:lineRule="auto"/>
        <w:jc w:val="both"/>
        <w:rPr>
          <w:rFonts w:ascii="Arial" w:hAnsi="Arial" w:cs="Arial"/>
          <w:bCs/>
          <w:color w:val="000000"/>
          <w:sz w:val="16"/>
          <w:szCs w:val="16"/>
        </w:rPr>
      </w:pPr>
      <w:r w:rsidRPr="008F3068">
        <w:rPr>
          <w:rFonts w:ascii="Arial" w:hAnsi="Arial" w:cs="Arial"/>
          <w:bCs/>
          <w:color w:val="000000"/>
          <w:sz w:val="16"/>
          <w:szCs w:val="16"/>
        </w:rPr>
        <w:t xml:space="preserve">Fuente: Circular Única </w:t>
      </w:r>
    </w:p>
    <w:p w:rsidR="008F3068" w:rsidRDefault="008F3068" w:rsidP="008F7EA5">
      <w:pPr>
        <w:widowControl w:val="0"/>
        <w:autoSpaceDE w:val="0"/>
        <w:autoSpaceDN w:val="0"/>
        <w:adjustRightInd w:val="0"/>
        <w:spacing w:after="0" w:line="240" w:lineRule="auto"/>
        <w:jc w:val="both"/>
        <w:rPr>
          <w:rFonts w:ascii="Arial" w:hAnsi="Arial" w:cs="Arial"/>
          <w:b/>
          <w:bCs/>
          <w:color w:val="000000"/>
        </w:rPr>
      </w:pPr>
    </w:p>
    <w:p w:rsidR="008F3068" w:rsidRDefault="001A5760" w:rsidP="001A5760">
      <w:pPr>
        <w:pStyle w:val="Sinespaciado"/>
        <w:jc w:val="both"/>
        <w:rPr>
          <w:rFonts w:ascii="Arial" w:hAnsi="Arial" w:cs="Arial"/>
        </w:rPr>
      </w:pPr>
      <w:r w:rsidRPr="001A5760">
        <w:rPr>
          <w:rFonts w:ascii="Arial" w:hAnsi="Arial" w:cs="Arial"/>
        </w:rPr>
        <w:t xml:space="preserve">Si bien </w:t>
      </w:r>
      <w:r w:rsidR="008F3068" w:rsidRPr="001A5760">
        <w:rPr>
          <w:rFonts w:ascii="Arial" w:hAnsi="Arial" w:cs="Arial"/>
        </w:rPr>
        <w:t xml:space="preserve">se evidencia una </w:t>
      </w:r>
      <w:r w:rsidR="00F1706D">
        <w:rPr>
          <w:rFonts w:ascii="Arial" w:hAnsi="Arial" w:cs="Arial"/>
        </w:rPr>
        <w:t xml:space="preserve">mejora en la </w:t>
      </w:r>
      <w:r w:rsidR="008F3068" w:rsidRPr="001A5760">
        <w:rPr>
          <w:rFonts w:ascii="Arial" w:hAnsi="Arial" w:cs="Arial"/>
        </w:rPr>
        <w:t>oportunidad para la asignación de citas con especialidades, encontrándose este dato dentro del promedio nacional reportado por las entidades Públicas (cirugía general 8.32, ginecología 6.98, y medicina interna 11.47)</w:t>
      </w:r>
      <w:r>
        <w:rPr>
          <w:rFonts w:ascii="Arial" w:hAnsi="Arial" w:cs="Arial"/>
        </w:rPr>
        <w:t xml:space="preserve"> y </w:t>
      </w:r>
      <w:r w:rsidR="008F3068" w:rsidRPr="001A5760">
        <w:rPr>
          <w:rFonts w:ascii="Arial" w:hAnsi="Arial" w:cs="Arial"/>
        </w:rPr>
        <w:t>se ha registrado una mejora altamente significativa en la vigilancia a los eventos adversos y mejora leve en las tasas de infección intrahospitalaria, de reingreso y de mortalidad</w:t>
      </w:r>
      <w:r>
        <w:rPr>
          <w:rFonts w:ascii="Arial" w:hAnsi="Arial" w:cs="Arial"/>
        </w:rPr>
        <w:t>, se encuentra en estudio la apertura de investigación administrativa por la ausencia de repo</w:t>
      </w:r>
      <w:r w:rsidRPr="001A5760">
        <w:rPr>
          <w:rFonts w:ascii="Arial" w:hAnsi="Arial" w:cs="Arial"/>
        </w:rPr>
        <w:t>rte de la o</w:t>
      </w:r>
      <w:r w:rsidRPr="008F3068">
        <w:rPr>
          <w:rFonts w:ascii="Arial" w:eastAsia="Times New Roman" w:hAnsi="Arial" w:cs="Arial"/>
          <w:color w:val="000000"/>
          <w:lang w:eastAsia="es-CO"/>
        </w:rPr>
        <w:t>portunidad de la asignación de citas en la consulta médica general</w:t>
      </w:r>
      <w:r w:rsidRPr="001A5760">
        <w:rPr>
          <w:rFonts w:ascii="Arial" w:eastAsia="Times New Roman" w:hAnsi="Arial" w:cs="Arial"/>
          <w:color w:val="000000"/>
          <w:lang w:eastAsia="es-CO"/>
        </w:rPr>
        <w:t xml:space="preserve"> y </w:t>
      </w:r>
      <w:r w:rsidR="00F1706D" w:rsidRPr="001A5760">
        <w:rPr>
          <w:rFonts w:ascii="Arial" w:eastAsia="Times New Roman" w:hAnsi="Arial" w:cs="Arial"/>
          <w:color w:val="000000"/>
          <w:lang w:eastAsia="es-CO"/>
        </w:rPr>
        <w:t>odontológi</w:t>
      </w:r>
      <w:r w:rsidR="00F1706D">
        <w:rPr>
          <w:rFonts w:ascii="Arial" w:eastAsia="Times New Roman" w:hAnsi="Arial" w:cs="Arial"/>
          <w:color w:val="000000"/>
          <w:lang w:eastAsia="es-CO"/>
        </w:rPr>
        <w:t>c</w:t>
      </w:r>
      <w:r w:rsidR="00F1706D" w:rsidRPr="001A5760">
        <w:rPr>
          <w:rFonts w:ascii="Arial" w:eastAsia="Times New Roman" w:hAnsi="Arial" w:cs="Arial"/>
          <w:color w:val="000000"/>
          <w:lang w:eastAsia="es-CO"/>
        </w:rPr>
        <w:t>a</w:t>
      </w:r>
      <w:r w:rsidRPr="001A5760">
        <w:rPr>
          <w:rFonts w:ascii="Arial" w:eastAsia="Times New Roman" w:hAnsi="Arial" w:cs="Arial"/>
          <w:color w:val="000000"/>
          <w:lang w:eastAsia="es-CO"/>
        </w:rPr>
        <w:t xml:space="preserve"> general, la oportunidad en imagenología y la proporción de cancelación de cirugía programada</w:t>
      </w:r>
      <w:r w:rsidR="008F3068" w:rsidRPr="001A5760">
        <w:rPr>
          <w:rFonts w:ascii="Arial" w:hAnsi="Arial" w:cs="Arial"/>
        </w:rPr>
        <w:t>.</w:t>
      </w:r>
    </w:p>
    <w:p w:rsidR="001A5760" w:rsidRPr="001A5760" w:rsidRDefault="001A5760" w:rsidP="001A5760">
      <w:pPr>
        <w:pStyle w:val="Sinespaciado"/>
        <w:jc w:val="both"/>
        <w:rPr>
          <w:rFonts w:ascii="Arial" w:hAnsi="Arial" w:cs="Arial"/>
        </w:rPr>
      </w:pPr>
    </w:p>
    <w:p w:rsidR="008F3068" w:rsidRPr="001A5760" w:rsidRDefault="008F3068" w:rsidP="001A5760">
      <w:pPr>
        <w:pStyle w:val="Sinespaciado"/>
        <w:jc w:val="both"/>
        <w:rPr>
          <w:rFonts w:ascii="Arial" w:hAnsi="Arial" w:cs="Arial"/>
        </w:rPr>
      </w:pPr>
      <w:r w:rsidRPr="001A5760">
        <w:rPr>
          <w:rFonts w:ascii="Arial" w:hAnsi="Arial" w:cs="Arial"/>
        </w:rPr>
        <w:t>De otra parte, mediante auto número 002157 del 20/11/2012, se realizó visita inspectiva al Hospital Universitario de Santander, con el fin de verificar la gestión del Programa de VIH SIDA desarrollado en esta institución. Como resultado, la institución debe adelantar un plan de mejoramiento.</w:t>
      </w:r>
    </w:p>
    <w:p w:rsidR="0040792F" w:rsidRDefault="0040792F" w:rsidP="001A5760">
      <w:pPr>
        <w:pStyle w:val="Sinespaciado"/>
        <w:jc w:val="both"/>
        <w:rPr>
          <w:rFonts w:ascii="Arial" w:hAnsi="Arial" w:cs="Arial"/>
          <w:b/>
          <w:bCs/>
        </w:rPr>
      </w:pPr>
    </w:p>
    <w:p w:rsidR="002C55BE" w:rsidRPr="004758CA" w:rsidRDefault="002C55BE" w:rsidP="00905B00">
      <w:pPr>
        <w:widowControl w:val="0"/>
        <w:autoSpaceDE w:val="0"/>
        <w:autoSpaceDN w:val="0"/>
        <w:adjustRightInd w:val="0"/>
        <w:spacing w:after="0" w:line="240" w:lineRule="auto"/>
        <w:ind w:left="992" w:hanging="284"/>
        <w:jc w:val="both"/>
        <w:rPr>
          <w:rFonts w:ascii="Arial" w:hAnsi="Arial" w:cs="Arial"/>
          <w:b/>
          <w:i/>
          <w:color w:val="000000"/>
        </w:rPr>
      </w:pPr>
      <w:r>
        <w:rPr>
          <w:rFonts w:ascii="Arial" w:hAnsi="Arial" w:cs="Arial"/>
          <w:b/>
          <w:i/>
          <w:color w:val="000000"/>
        </w:rPr>
        <w:t>“</w:t>
      </w:r>
      <w:r w:rsidRPr="004758CA">
        <w:rPr>
          <w:rFonts w:ascii="Arial" w:hAnsi="Arial" w:cs="Arial"/>
          <w:b/>
          <w:i/>
          <w:color w:val="000000"/>
        </w:rPr>
        <w:t>3. Con fundamento en las funciones de la Supersalud, por favor indicarnos:</w:t>
      </w:r>
    </w:p>
    <w:p w:rsidR="002C55BE" w:rsidRPr="002C55BE" w:rsidRDefault="002C55BE" w:rsidP="00905B00">
      <w:pPr>
        <w:widowControl w:val="0"/>
        <w:autoSpaceDE w:val="0"/>
        <w:autoSpaceDN w:val="0"/>
        <w:adjustRightInd w:val="0"/>
        <w:spacing w:after="0" w:line="240" w:lineRule="auto"/>
        <w:ind w:left="708"/>
        <w:jc w:val="both"/>
        <w:rPr>
          <w:rFonts w:ascii="Arial" w:hAnsi="Arial" w:cs="Arial"/>
          <w:b/>
          <w:i/>
          <w:color w:val="000000"/>
        </w:rPr>
      </w:pPr>
      <w:r>
        <w:rPr>
          <w:rFonts w:ascii="Arial" w:hAnsi="Arial" w:cs="Arial"/>
          <w:b/>
          <w:i/>
          <w:color w:val="000000"/>
        </w:rPr>
        <w:t>-</w:t>
      </w:r>
      <w:r w:rsidRPr="002C55BE">
        <w:rPr>
          <w:rFonts w:ascii="Arial" w:hAnsi="Arial" w:cs="Arial"/>
          <w:b/>
          <w:i/>
          <w:color w:val="000000"/>
        </w:rPr>
        <w:t>Si existe deuda de las EPS al HUS, y de ser así a cuánto asciende la misma con corte a agosto de 2013, indicando las EPS deudoras y el monto de la deuda.</w:t>
      </w:r>
    </w:p>
    <w:p w:rsidR="002C55BE" w:rsidRDefault="002C55BE" w:rsidP="00905B00">
      <w:pPr>
        <w:widowControl w:val="0"/>
        <w:autoSpaceDE w:val="0"/>
        <w:autoSpaceDN w:val="0"/>
        <w:adjustRightInd w:val="0"/>
        <w:spacing w:after="0" w:line="240" w:lineRule="auto"/>
        <w:ind w:left="708"/>
        <w:jc w:val="both"/>
        <w:rPr>
          <w:rFonts w:ascii="Arial" w:hAnsi="Arial" w:cs="Arial"/>
          <w:b/>
          <w:i/>
          <w:color w:val="000000"/>
        </w:rPr>
      </w:pPr>
      <w:r>
        <w:rPr>
          <w:rFonts w:ascii="Arial" w:hAnsi="Arial" w:cs="Arial"/>
          <w:b/>
          <w:i/>
          <w:color w:val="000000"/>
        </w:rPr>
        <w:t>-</w:t>
      </w:r>
      <w:r w:rsidRPr="002C55BE">
        <w:rPr>
          <w:rFonts w:ascii="Arial" w:hAnsi="Arial" w:cs="Arial"/>
          <w:b/>
          <w:i/>
          <w:color w:val="000000"/>
        </w:rPr>
        <w:t>Conforme a la pregunta anterior, de la deuda cuanta es superior a 60 días o más, y  porcentaje de la misma distinguiendo entre el régimen subsidiado, población no afiliada y contributivo, así como excedentes de facturación.</w:t>
      </w:r>
    </w:p>
    <w:p w:rsidR="002C55BE" w:rsidRPr="002C55BE" w:rsidRDefault="002C55BE" w:rsidP="00905B00">
      <w:pPr>
        <w:widowControl w:val="0"/>
        <w:autoSpaceDE w:val="0"/>
        <w:autoSpaceDN w:val="0"/>
        <w:adjustRightInd w:val="0"/>
        <w:spacing w:after="0" w:line="240" w:lineRule="auto"/>
        <w:ind w:left="708"/>
        <w:jc w:val="both"/>
        <w:rPr>
          <w:rFonts w:ascii="Arial" w:hAnsi="Arial" w:cs="Arial"/>
          <w:b/>
          <w:i/>
          <w:color w:val="000000"/>
        </w:rPr>
      </w:pPr>
      <w:r>
        <w:rPr>
          <w:rFonts w:ascii="Arial" w:hAnsi="Arial" w:cs="Arial"/>
          <w:b/>
          <w:i/>
          <w:color w:val="000000"/>
        </w:rPr>
        <w:t>-</w:t>
      </w:r>
      <w:r w:rsidRPr="002C55BE">
        <w:rPr>
          <w:rFonts w:ascii="Arial" w:hAnsi="Arial" w:cs="Arial"/>
          <w:b/>
          <w:i/>
          <w:color w:val="000000"/>
        </w:rPr>
        <w:t>Qué acciones ha ejecutado la Superintendencia al respecto</w:t>
      </w:r>
      <w:proofErr w:type="gramStart"/>
      <w:r w:rsidRPr="002C55BE">
        <w:rPr>
          <w:rFonts w:ascii="Arial" w:hAnsi="Arial" w:cs="Arial"/>
          <w:b/>
          <w:i/>
          <w:color w:val="000000"/>
        </w:rPr>
        <w:t>?</w:t>
      </w:r>
      <w:proofErr w:type="gramEnd"/>
      <w:r w:rsidRPr="002C55BE">
        <w:rPr>
          <w:rFonts w:ascii="Arial" w:hAnsi="Arial" w:cs="Arial"/>
          <w:b/>
          <w:i/>
          <w:color w:val="000000"/>
        </w:rPr>
        <w:t xml:space="preserve"> ¿Se han impuesto multas a las EPS por no pago de sus deudas con el HUS? ¿De ser así por favor indicar a cuales entidades y el valor de las mismas?”</w:t>
      </w:r>
    </w:p>
    <w:p w:rsidR="002C55BE" w:rsidRPr="004758CA" w:rsidRDefault="002C55BE" w:rsidP="002C55BE">
      <w:pPr>
        <w:widowControl w:val="0"/>
        <w:autoSpaceDE w:val="0"/>
        <w:autoSpaceDN w:val="0"/>
        <w:adjustRightInd w:val="0"/>
        <w:spacing w:after="0" w:line="240" w:lineRule="auto"/>
        <w:jc w:val="both"/>
        <w:rPr>
          <w:rFonts w:ascii="Arial" w:hAnsi="Arial" w:cs="Arial"/>
          <w:color w:val="000000"/>
        </w:rPr>
      </w:pPr>
    </w:p>
    <w:p w:rsidR="002C55BE" w:rsidRPr="004758CA" w:rsidRDefault="002C55BE" w:rsidP="002C55BE">
      <w:pPr>
        <w:autoSpaceDE w:val="0"/>
        <w:autoSpaceDN w:val="0"/>
        <w:adjustRightInd w:val="0"/>
        <w:spacing w:after="0" w:line="240" w:lineRule="auto"/>
        <w:jc w:val="both"/>
        <w:rPr>
          <w:rFonts w:ascii="Arial" w:hAnsi="Arial" w:cs="Arial"/>
          <w:color w:val="000000"/>
        </w:rPr>
      </w:pPr>
      <w:r w:rsidRPr="004758CA">
        <w:rPr>
          <w:rFonts w:ascii="Arial" w:hAnsi="Arial" w:cs="Arial"/>
        </w:rPr>
        <w:t xml:space="preserve">El Ministerio de Salud y Protección Social, mediante Decreto 2193 de 2004, estableció el Sistema de Información Hospitalaria – SIHO – y el reporte de la misma a través de este sistema. El reporte contiene información administrativa, financiera y de calidad, </w:t>
      </w:r>
      <w:r w:rsidRPr="004758CA">
        <w:rPr>
          <w:rFonts w:ascii="Arial" w:hAnsi="Arial" w:cs="Arial"/>
          <w:color w:val="000000"/>
        </w:rPr>
        <w:t>el cual es presentado trimestralmente. Por lo anterior se presenta la información de la deuda de las EPS con el Hospital Universitario de Santander con corte a 30 de Junio de 2013.</w:t>
      </w:r>
    </w:p>
    <w:p w:rsidR="002C55BE" w:rsidRPr="004758CA" w:rsidRDefault="002C55BE" w:rsidP="002C55BE">
      <w:pPr>
        <w:widowControl w:val="0"/>
        <w:autoSpaceDE w:val="0"/>
        <w:autoSpaceDN w:val="0"/>
        <w:adjustRightInd w:val="0"/>
        <w:spacing w:after="0" w:line="240" w:lineRule="auto"/>
        <w:jc w:val="both"/>
        <w:rPr>
          <w:rFonts w:ascii="Arial" w:hAnsi="Arial" w:cs="Arial"/>
          <w:color w:val="000000"/>
        </w:rPr>
      </w:pPr>
    </w:p>
    <w:p w:rsidR="002C55BE" w:rsidRPr="004758CA" w:rsidRDefault="002C55BE" w:rsidP="002C55BE">
      <w:pPr>
        <w:autoSpaceDE w:val="0"/>
        <w:autoSpaceDN w:val="0"/>
        <w:adjustRightInd w:val="0"/>
        <w:spacing w:after="0" w:line="240" w:lineRule="auto"/>
        <w:jc w:val="both"/>
        <w:rPr>
          <w:rFonts w:ascii="Arial" w:hAnsi="Arial" w:cs="Arial"/>
          <w:color w:val="000000"/>
        </w:rPr>
      </w:pPr>
      <w:r w:rsidRPr="004758CA">
        <w:rPr>
          <w:rFonts w:ascii="Arial" w:hAnsi="Arial" w:cs="Arial"/>
          <w:color w:val="000000"/>
        </w:rPr>
        <w:t xml:space="preserve">De acuerdo con el reporte de información le adeudan al Hospital Universitario de Santander $90.777.983 miles de pesos, el principal deudor corresponde a las EPS del régimen subsidiado (62.7%), seguido de Otros deudores (11.6%), las EPS del régimen Contributivo (8.2%), Entidades territoriales (7.5%), FOSYGA (7.4%) y Aseguradoras (2.7%). A su vez las deudas no vencidas corresponden al  17% frente al 83% en mora. </w:t>
      </w:r>
    </w:p>
    <w:p w:rsidR="002C55BE" w:rsidRDefault="002C55BE" w:rsidP="002C55BE">
      <w:pPr>
        <w:autoSpaceDE w:val="0"/>
        <w:autoSpaceDN w:val="0"/>
        <w:adjustRightInd w:val="0"/>
        <w:spacing w:after="0" w:line="240" w:lineRule="auto"/>
        <w:jc w:val="both"/>
        <w:rPr>
          <w:rFonts w:ascii="Arial" w:hAnsi="Arial" w:cs="Arial"/>
          <w:color w:val="000000"/>
        </w:rPr>
      </w:pPr>
    </w:p>
    <w:p w:rsidR="00DE719C" w:rsidRDefault="00DE719C" w:rsidP="002C55BE">
      <w:pPr>
        <w:autoSpaceDE w:val="0"/>
        <w:autoSpaceDN w:val="0"/>
        <w:adjustRightInd w:val="0"/>
        <w:spacing w:after="0" w:line="240" w:lineRule="auto"/>
        <w:jc w:val="both"/>
        <w:rPr>
          <w:rFonts w:ascii="Arial" w:hAnsi="Arial" w:cs="Arial"/>
          <w:color w:val="000000"/>
        </w:rPr>
      </w:pPr>
    </w:p>
    <w:p w:rsidR="00DE719C" w:rsidRDefault="00DE719C" w:rsidP="002C55BE">
      <w:pPr>
        <w:autoSpaceDE w:val="0"/>
        <w:autoSpaceDN w:val="0"/>
        <w:adjustRightInd w:val="0"/>
        <w:spacing w:after="0" w:line="240" w:lineRule="auto"/>
        <w:jc w:val="both"/>
        <w:rPr>
          <w:rFonts w:ascii="Arial" w:hAnsi="Arial" w:cs="Arial"/>
          <w:color w:val="000000"/>
        </w:rPr>
      </w:pPr>
    </w:p>
    <w:p w:rsidR="00DE719C" w:rsidRPr="004758CA" w:rsidRDefault="00DE719C" w:rsidP="002C55BE">
      <w:pPr>
        <w:autoSpaceDE w:val="0"/>
        <w:autoSpaceDN w:val="0"/>
        <w:adjustRightInd w:val="0"/>
        <w:spacing w:after="0" w:line="240" w:lineRule="auto"/>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2132"/>
        <w:gridCol w:w="1170"/>
        <w:gridCol w:w="1153"/>
        <w:gridCol w:w="1109"/>
        <w:gridCol w:w="1033"/>
        <w:gridCol w:w="1032"/>
        <w:gridCol w:w="1074"/>
        <w:gridCol w:w="841"/>
      </w:tblGrid>
      <w:tr w:rsidR="002C55BE" w:rsidRPr="004758CA" w:rsidTr="009F4FDB">
        <w:trPr>
          <w:trHeight w:val="80"/>
        </w:trPr>
        <w:tc>
          <w:tcPr>
            <w:tcW w:w="5000" w:type="pct"/>
            <w:gridSpan w:val="8"/>
            <w:tcBorders>
              <w:top w:val="nil"/>
              <w:left w:val="nil"/>
              <w:bottom w:val="nil"/>
              <w:right w:val="nil"/>
            </w:tcBorders>
            <w:shd w:val="clear" w:color="auto" w:fill="auto"/>
            <w:noWrap/>
            <w:vAlign w:val="bottom"/>
            <w:hideMark/>
          </w:tcPr>
          <w:p w:rsidR="002C55BE" w:rsidRPr="004758CA" w:rsidRDefault="002C55BE"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Cifras en miles de $</w:t>
            </w:r>
          </w:p>
        </w:tc>
      </w:tr>
      <w:tr w:rsidR="002C55BE" w:rsidRPr="004758CA" w:rsidTr="009F4FDB">
        <w:trPr>
          <w:trHeight w:val="255"/>
        </w:trPr>
        <w:tc>
          <w:tcPr>
            <w:tcW w:w="1059" w:type="pct"/>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2C55BE" w:rsidRPr="004758CA" w:rsidRDefault="002C55BE" w:rsidP="009F4FDB">
            <w:pPr>
              <w:spacing w:after="0" w:line="240" w:lineRule="auto"/>
              <w:jc w:val="center"/>
              <w:rPr>
                <w:rFonts w:ascii="Arial" w:eastAsia="Times New Roman" w:hAnsi="Arial" w:cs="Arial"/>
                <w:b/>
                <w:bCs/>
                <w:color w:val="000000"/>
                <w:sz w:val="14"/>
                <w:szCs w:val="14"/>
                <w:lang w:eastAsia="es-CO"/>
              </w:rPr>
            </w:pPr>
            <w:r w:rsidRPr="004758CA">
              <w:rPr>
                <w:rFonts w:ascii="Arial" w:eastAsia="Times New Roman" w:hAnsi="Arial" w:cs="Arial"/>
                <w:b/>
                <w:bCs/>
                <w:color w:val="000000"/>
                <w:sz w:val="14"/>
                <w:szCs w:val="14"/>
                <w:lang w:eastAsia="es-CO"/>
              </w:rPr>
              <w:lastRenderedPageBreak/>
              <w:t>CONCEPTO</w:t>
            </w:r>
          </w:p>
        </w:tc>
        <w:tc>
          <w:tcPr>
            <w:tcW w:w="635" w:type="pct"/>
            <w:tcBorders>
              <w:top w:val="single" w:sz="4" w:space="0" w:color="auto"/>
              <w:left w:val="nil"/>
              <w:bottom w:val="single" w:sz="4" w:space="0" w:color="auto"/>
              <w:right w:val="single" w:sz="4" w:space="0" w:color="auto"/>
            </w:tcBorders>
            <w:shd w:val="clear" w:color="000000" w:fill="D8E4BC"/>
            <w:vAlign w:val="center"/>
            <w:hideMark/>
          </w:tcPr>
          <w:p w:rsidR="002C55BE" w:rsidRPr="004758CA" w:rsidRDefault="002C55BE" w:rsidP="009F4FDB">
            <w:pPr>
              <w:spacing w:after="0" w:line="240" w:lineRule="auto"/>
              <w:jc w:val="center"/>
              <w:rPr>
                <w:rFonts w:ascii="Arial" w:eastAsia="Times New Roman" w:hAnsi="Arial" w:cs="Arial"/>
                <w:b/>
                <w:bCs/>
                <w:color w:val="000000"/>
                <w:sz w:val="14"/>
                <w:szCs w:val="14"/>
                <w:lang w:eastAsia="es-CO"/>
              </w:rPr>
            </w:pPr>
            <w:r w:rsidRPr="004758CA">
              <w:rPr>
                <w:rFonts w:ascii="Arial" w:eastAsia="Times New Roman" w:hAnsi="Arial" w:cs="Arial"/>
                <w:b/>
                <w:bCs/>
                <w:color w:val="000000"/>
                <w:sz w:val="14"/>
                <w:szCs w:val="14"/>
                <w:lang w:eastAsia="es-CO"/>
              </w:rPr>
              <w:t xml:space="preserve"> Hasta 60 </w:t>
            </w:r>
          </w:p>
        </w:tc>
        <w:tc>
          <w:tcPr>
            <w:tcW w:w="626" w:type="pct"/>
            <w:tcBorders>
              <w:top w:val="single" w:sz="4" w:space="0" w:color="auto"/>
              <w:left w:val="nil"/>
              <w:bottom w:val="single" w:sz="4" w:space="0" w:color="auto"/>
              <w:right w:val="single" w:sz="4" w:space="0" w:color="auto"/>
            </w:tcBorders>
            <w:shd w:val="clear" w:color="000000" w:fill="D8E4BC"/>
            <w:vAlign w:val="center"/>
            <w:hideMark/>
          </w:tcPr>
          <w:p w:rsidR="002C55BE" w:rsidRPr="004758CA" w:rsidRDefault="002C55BE" w:rsidP="009F4FDB">
            <w:pPr>
              <w:spacing w:after="0" w:line="240" w:lineRule="auto"/>
              <w:jc w:val="center"/>
              <w:rPr>
                <w:rFonts w:ascii="Arial" w:eastAsia="Times New Roman" w:hAnsi="Arial" w:cs="Arial"/>
                <w:b/>
                <w:bCs/>
                <w:color w:val="000000"/>
                <w:sz w:val="14"/>
                <w:szCs w:val="14"/>
                <w:lang w:eastAsia="es-CO"/>
              </w:rPr>
            </w:pPr>
            <w:r w:rsidRPr="004758CA">
              <w:rPr>
                <w:rFonts w:ascii="Arial" w:eastAsia="Times New Roman" w:hAnsi="Arial" w:cs="Arial"/>
                <w:b/>
                <w:bCs/>
                <w:color w:val="000000"/>
                <w:sz w:val="14"/>
                <w:szCs w:val="14"/>
                <w:lang w:eastAsia="es-CO"/>
              </w:rPr>
              <w:t xml:space="preserve"> De 61 a 90 días </w:t>
            </w:r>
          </w:p>
        </w:tc>
        <w:tc>
          <w:tcPr>
            <w:tcW w:w="603" w:type="pct"/>
            <w:tcBorders>
              <w:top w:val="single" w:sz="4" w:space="0" w:color="auto"/>
              <w:left w:val="nil"/>
              <w:bottom w:val="single" w:sz="4" w:space="0" w:color="auto"/>
              <w:right w:val="single" w:sz="4" w:space="0" w:color="auto"/>
            </w:tcBorders>
            <w:shd w:val="clear" w:color="000000" w:fill="D8E4BC"/>
            <w:vAlign w:val="center"/>
            <w:hideMark/>
          </w:tcPr>
          <w:p w:rsidR="002C55BE" w:rsidRPr="004758CA" w:rsidRDefault="002C55BE" w:rsidP="009F4FDB">
            <w:pPr>
              <w:spacing w:after="0" w:line="240" w:lineRule="auto"/>
              <w:jc w:val="center"/>
              <w:rPr>
                <w:rFonts w:ascii="Arial" w:eastAsia="Times New Roman" w:hAnsi="Arial" w:cs="Arial"/>
                <w:b/>
                <w:bCs/>
                <w:color w:val="000000"/>
                <w:sz w:val="14"/>
                <w:szCs w:val="14"/>
                <w:lang w:eastAsia="es-CO"/>
              </w:rPr>
            </w:pPr>
            <w:r w:rsidRPr="004758CA">
              <w:rPr>
                <w:rFonts w:ascii="Arial" w:eastAsia="Times New Roman" w:hAnsi="Arial" w:cs="Arial"/>
                <w:b/>
                <w:bCs/>
                <w:color w:val="000000"/>
                <w:sz w:val="14"/>
                <w:szCs w:val="14"/>
                <w:lang w:eastAsia="es-CO"/>
              </w:rPr>
              <w:t xml:space="preserve"> De 91 a 180 días </w:t>
            </w:r>
          </w:p>
        </w:tc>
        <w:tc>
          <w:tcPr>
            <w:tcW w:w="563" w:type="pct"/>
            <w:tcBorders>
              <w:top w:val="single" w:sz="4" w:space="0" w:color="auto"/>
              <w:left w:val="nil"/>
              <w:bottom w:val="single" w:sz="4" w:space="0" w:color="auto"/>
              <w:right w:val="single" w:sz="4" w:space="0" w:color="auto"/>
            </w:tcBorders>
            <w:shd w:val="clear" w:color="000000" w:fill="D8E4BC"/>
            <w:vAlign w:val="center"/>
            <w:hideMark/>
          </w:tcPr>
          <w:p w:rsidR="002C55BE" w:rsidRPr="004758CA" w:rsidRDefault="002C55BE" w:rsidP="009F4FDB">
            <w:pPr>
              <w:spacing w:after="0" w:line="240" w:lineRule="auto"/>
              <w:jc w:val="center"/>
              <w:rPr>
                <w:rFonts w:ascii="Arial" w:eastAsia="Times New Roman" w:hAnsi="Arial" w:cs="Arial"/>
                <w:b/>
                <w:bCs/>
                <w:color w:val="000000"/>
                <w:sz w:val="14"/>
                <w:szCs w:val="14"/>
                <w:lang w:eastAsia="es-CO"/>
              </w:rPr>
            </w:pPr>
            <w:r w:rsidRPr="004758CA">
              <w:rPr>
                <w:rFonts w:ascii="Arial" w:eastAsia="Times New Roman" w:hAnsi="Arial" w:cs="Arial"/>
                <w:b/>
                <w:bCs/>
                <w:color w:val="000000"/>
                <w:sz w:val="14"/>
                <w:szCs w:val="14"/>
                <w:lang w:eastAsia="es-CO"/>
              </w:rPr>
              <w:t xml:space="preserve"> De 181 a 360 días </w:t>
            </w:r>
          </w:p>
        </w:tc>
        <w:tc>
          <w:tcPr>
            <w:tcW w:w="562" w:type="pct"/>
            <w:tcBorders>
              <w:top w:val="single" w:sz="4" w:space="0" w:color="auto"/>
              <w:left w:val="nil"/>
              <w:bottom w:val="single" w:sz="4" w:space="0" w:color="auto"/>
              <w:right w:val="single" w:sz="4" w:space="0" w:color="auto"/>
            </w:tcBorders>
            <w:shd w:val="clear" w:color="000000" w:fill="D8E4BC"/>
            <w:vAlign w:val="center"/>
            <w:hideMark/>
          </w:tcPr>
          <w:p w:rsidR="002C55BE" w:rsidRPr="004758CA" w:rsidRDefault="002C55BE" w:rsidP="009F4FDB">
            <w:pPr>
              <w:spacing w:after="0" w:line="240" w:lineRule="auto"/>
              <w:jc w:val="center"/>
              <w:rPr>
                <w:rFonts w:ascii="Arial" w:eastAsia="Times New Roman" w:hAnsi="Arial" w:cs="Arial"/>
                <w:b/>
                <w:bCs/>
                <w:color w:val="000000"/>
                <w:sz w:val="14"/>
                <w:szCs w:val="14"/>
                <w:lang w:eastAsia="es-CO"/>
              </w:rPr>
            </w:pPr>
            <w:r w:rsidRPr="004758CA">
              <w:rPr>
                <w:rFonts w:ascii="Arial" w:eastAsia="Times New Roman" w:hAnsi="Arial" w:cs="Arial"/>
                <w:b/>
                <w:bCs/>
                <w:color w:val="000000"/>
                <w:sz w:val="14"/>
                <w:szCs w:val="14"/>
                <w:lang w:eastAsia="es-CO"/>
              </w:rPr>
              <w:t xml:space="preserve"> Mayor a 360 </w:t>
            </w:r>
          </w:p>
        </w:tc>
        <w:tc>
          <w:tcPr>
            <w:tcW w:w="534" w:type="pct"/>
            <w:tcBorders>
              <w:top w:val="single" w:sz="4" w:space="0" w:color="auto"/>
              <w:left w:val="nil"/>
              <w:bottom w:val="single" w:sz="4" w:space="0" w:color="auto"/>
              <w:right w:val="single" w:sz="4" w:space="0" w:color="auto"/>
            </w:tcBorders>
            <w:shd w:val="clear" w:color="000000" w:fill="D8E4BC"/>
            <w:vAlign w:val="center"/>
            <w:hideMark/>
          </w:tcPr>
          <w:p w:rsidR="002C55BE" w:rsidRPr="004758CA" w:rsidRDefault="002C55BE" w:rsidP="009F4FDB">
            <w:pPr>
              <w:spacing w:after="0" w:line="240" w:lineRule="auto"/>
              <w:jc w:val="center"/>
              <w:rPr>
                <w:rFonts w:ascii="Arial" w:eastAsia="Times New Roman" w:hAnsi="Arial" w:cs="Arial"/>
                <w:b/>
                <w:bCs/>
                <w:color w:val="000000"/>
                <w:sz w:val="14"/>
                <w:szCs w:val="14"/>
                <w:lang w:eastAsia="es-CO"/>
              </w:rPr>
            </w:pPr>
            <w:r w:rsidRPr="004758CA">
              <w:rPr>
                <w:rFonts w:ascii="Arial" w:eastAsia="Times New Roman" w:hAnsi="Arial" w:cs="Arial"/>
                <w:b/>
                <w:bCs/>
                <w:color w:val="000000"/>
                <w:sz w:val="14"/>
                <w:szCs w:val="14"/>
                <w:lang w:eastAsia="es-CO"/>
              </w:rPr>
              <w:t xml:space="preserve"> Total </w:t>
            </w:r>
          </w:p>
        </w:tc>
        <w:tc>
          <w:tcPr>
            <w:tcW w:w="418" w:type="pct"/>
            <w:tcBorders>
              <w:top w:val="single" w:sz="4" w:space="0" w:color="auto"/>
              <w:left w:val="nil"/>
              <w:bottom w:val="single" w:sz="4" w:space="0" w:color="auto"/>
              <w:right w:val="single" w:sz="4" w:space="0" w:color="auto"/>
            </w:tcBorders>
            <w:shd w:val="clear" w:color="000000" w:fill="D8E4BC"/>
            <w:vAlign w:val="center"/>
            <w:hideMark/>
          </w:tcPr>
          <w:p w:rsidR="002C55BE" w:rsidRPr="004758CA" w:rsidRDefault="002C55BE" w:rsidP="009F4FDB">
            <w:pPr>
              <w:spacing w:after="0" w:line="240" w:lineRule="auto"/>
              <w:jc w:val="center"/>
              <w:rPr>
                <w:rFonts w:ascii="Arial" w:eastAsia="Times New Roman" w:hAnsi="Arial" w:cs="Arial"/>
                <w:b/>
                <w:bCs/>
                <w:color w:val="000000"/>
                <w:sz w:val="14"/>
                <w:szCs w:val="14"/>
                <w:lang w:eastAsia="es-CO"/>
              </w:rPr>
            </w:pPr>
            <w:r w:rsidRPr="004758CA">
              <w:rPr>
                <w:rFonts w:ascii="Arial" w:eastAsia="Times New Roman" w:hAnsi="Arial" w:cs="Arial"/>
                <w:b/>
                <w:bCs/>
                <w:color w:val="000000"/>
                <w:sz w:val="14"/>
                <w:szCs w:val="14"/>
                <w:lang w:eastAsia="es-CO"/>
              </w:rPr>
              <w:t xml:space="preserve"> % </w:t>
            </w:r>
          </w:p>
        </w:tc>
      </w:tr>
      <w:tr w:rsidR="002C55BE" w:rsidRPr="004758CA" w:rsidTr="009F4FDB">
        <w:trPr>
          <w:trHeight w:val="255"/>
        </w:trPr>
        <w:tc>
          <w:tcPr>
            <w:tcW w:w="1059" w:type="pct"/>
            <w:tcBorders>
              <w:top w:val="nil"/>
              <w:left w:val="single" w:sz="4" w:space="0" w:color="auto"/>
              <w:bottom w:val="single" w:sz="4" w:space="0" w:color="auto"/>
              <w:right w:val="single" w:sz="4" w:space="0" w:color="auto"/>
            </w:tcBorders>
            <w:shd w:val="clear" w:color="auto" w:fill="auto"/>
            <w:noWrap/>
            <w:vAlign w:val="bottom"/>
            <w:hideMark/>
          </w:tcPr>
          <w:p w:rsidR="002C55BE" w:rsidRPr="004758CA" w:rsidRDefault="002C55BE" w:rsidP="009F4FDB">
            <w:pPr>
              <w:spacing w:after="0" w:line="240" w:lineRule="auto"/>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 SUBSIDIADO </w:t>
            </w:r>
          </w:p>
        </w:tc>
        <w:tc>
          <w:tcPr>
            <w:tcW w:w="635" w:type="pct"/>
            <w:tcBorders>
              <w:top w:val="nil"/>
              <w:left w:val="nil"/>
              <w:bottom w:val="single" w:sz="4" w:space="0" w:color="auto"/>
              <w:right w:val="single" w:sz="4" w:space="0" w:color="auto"/>
            </w:tcBorders>
            <w:shd w:val="clear" w:color="auto" w:fill="auto"/>
            <w:noWrap/>
            <w:vAlign w:val="bottom"/>
            <w:hideMark/>
          </w:tcPr>
          <w:p w:rsidR="002C55BE" w:rsidRPr="004758CA" w:rsidRDefault="002C55BE"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13.293.029 </w:t>
            </w:r>
          </w:p>
        </w:tc>
        <w:tc>
          <w:tcPr>
            <w:tcW w:w="626" w:type="pct"/>
            <w:tcBorders>
              <w:top w:val="nil"/>
              <w:left w:val="nil"/>
              <w:bottom w:val="single" w:sz="4" w:space="0" w:color="auto"/>
              <w:right w:val="single" w:sz="4" w:space="0" w:color="auto"/>
            </w:tcBorders>
            <w:shd w:val="clear" w:color="auto" w:fill="auto"/>
            <w:noWrap/>
            <w:vAlign w:val="bottom"/>
            <w:hideMark/>
          </w:tcPr>
          <w:p w:rsidR="002C55BE" w:rsidRPr="004758CA" w:rsidRDefault="002C55BE"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4.499.672 </w:t>
            </w:r>
          </w:p>
        </w:tc>
        <w:tc>
          <w:tcPr>
            <w:tcW w:w="603" w:type="pct"/>
            <w:tcBorders>
              <w:top w:val="nil"/>
              <w:left w:val="nil"/>
              <w:bottom w:val="single" w:sz="4" w:space="0" w:color="auto"/>
              <w:right w:val="single" w:sz="4" w:space="0" w:color="auto"/>
            </w:tcBorders>
            <w:shd w:val="clear" w:color="auto" w:fill="auto"/>
            <w:noWrap/>
            <w:vAlign w:val="bottom"/>
            <w:hideMark/>
          </w:tcPr>
          <w:p w:rsidR="002C55BE" w:rsidRPr="004758CA" w:rsidRDefault="002C55BE"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10.459.093 </w:t>
            </w:r>
          </w:p>
        </w:tc>
        <w:tc>
          <w:tcPr>
            <w:tcW w:w="563" w:type="pct"/>
            <w:tcBorders>
              <w:top w:val="nil"/>
              <w:left w:val="nil"/>
              <w:bottom w:val="single" w:sz="4" w:space="0" w:color="auto"/>
              <w:right w:val="single" w:sz="4" w:space="0" w:color="auto"/>
            </w:tcBorders>
            <w:shd w:val="clear" w:color="auto" w:fill="auto"/>
            <w:noWrap/>
            <w:vAlign w:val="bottom"/>
            <w:hideMark/>
          </w:tcPr>
          <w:p w:rsidR="002C55BE" w:rsidRPr="004758CA" w:rsidRDefault="002C55BE"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  11.585.189 </w:t>
            </w:r>
          </w:p>
        </w:tc>
        <w:tc>
          <w:tcPr>
            <w:tcW w:w="562" w:type="pct"/>
            <w:tcBorders>
              <w:top w:val="nil"/>
              <w:left w:val="nil"/>
              <w:bottom w:val="single" w:sz="4" w:space="0" w:color="auto"/>
              <w:right w:val="single" w:sz="4" w:space="0" w:color="auto"/>
            </w:tcBorders>
            <w:shd w:val="clear" w:color="auto" w:fill="auto"/>
            <w:noWrap/>
            <w:vAlign w:val="bottom"/>
            <w:hideMark/>
          </w:tcPr>
          <w:p w:rsidR="002C55BE" w:rsidRPr="004758CA" w:rsidRDefault="002C55BE"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  17.046.693 </w:t>
            </w:r>
          </w:p>
        </w:tc>
        <w:tc>
          <w:tcPr>
            <w:tcW w:w="534" w:type="pct"/>
            <w:tcBorders>
              <w:top w:val="nil"/>
              <w:left w:val="nil"/>
              <w:bottom w:val="single" w:sz="4" w:space="0" w:color="auto"/>
              <w:right w:val="single" w:sz="4" w:space="0" w:color="auto"/>
            </w:tcBorders>
            <w:shd w:val="clear" w:color="auto" w:fill="auto"/>
            <w:noWrap/>
            <w:vAlign w:val="bottom"/>
            <w:hideMark/>
          </w:tcPr>
          <w:p w:rsidR="002C55BE" w:rsidRPr="004758CA" w:rsidRDefault="002C55BE"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56.883.676 </w:t>
            </w:r>
          </w:p>
        </w:tc>
        <w:tc>
          <w:tcPr>
            <w:tcW w:w="418" w:type="pct"/>
            <w:tcBorders>
              <w:top w:val="nil"/>
              <w:left w:val="nil"/>
              <w:bottom w:val="single" w:sz="4" w:space="0" w:color="auto"/>
              <w:right w:val="single" w:sz="4" w:space="0" w:color="auto"/>
            </w:tcBorders>
            <w:shd w:val="clear" w:color="auto" w:fill="auto"/>
            <w:noWrap/>
            <w:vAlign w:val="bottom"/>
            <w:hideMark/>
          </w:tcPr>
          <w:p w:rsidR="002C55BE" w:rsidRPr="004758CA" w:rsidRDefault="002C55BE"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           62,7 </w:t>
            </w:r>
          </w:p>
        </w:tc>
      </w:tr>
      <w:tr w:rsidR="002C55BE" w:rsidRPr="004758CA" w:rsidTr="009F4FDB">
        <w:trPr>
          <w:trHeight w:val="255"/>
        </w:trPr>
        <w:tc>
          <w:tcPr>
            <w:tcW w:w="1059" w:type="pct"/>
            <w:tcBorders>
              <w:top w:val="nil"/>
              <w:left w:val="single" w:sz="4" w:space="0" w:color="auto"/>
              <w:bottom w:val="single" w:sz="4" w:space="0" w:color="auto"/>
              <w:right w:val="single" w:sz="4" w:space="0" w:color="auto"/>
            </w:tcBorders>
            <w:shd w:val="clear" w:color="auto" w:fill="auto"/>
            <w:noWrap/>
            <w:vAlign w:val="bottom"/>
            <w:hideMark/>
          </w:tcPr>
          <w:p w:rsidR="002C55BE" w:rsidRPr="004758CA" w:rsidRDefault="002C55BE" w:rsidP="009F4FDB">
            <w:pPr>
              <w:spacing w:after="0" w:line="240" w:lineRule="auto"/>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 OTROS DEUDORES </w:t>
            </w:r>
          </w:p>
        </w:tc>
        <w:tc>
          <w:tcPr>
            <w:tcW w:w="635" w:type="pct"/>
            <w:tcBorders>
              <w:top w:val="nil"/>
              <w:left w:val="nil"/>
              <w:bottom w:val="single" w:sz="4" w:space="0" w:color="auto"/>
              <w:right w:val="single" w:sz="4" w:space="0" w:color="auto"/>
            </w:tcBorders>
            <w:shd w:val="clear" w:color="auto" w:fill="auto"/>
            <w:noWrap/>
            <w:vAlign w:val="bottom"/>
            <w:hideMark/>
          </w:tcPr>
          <w:p w:rsidR="002C55BE" w:rsidRPr="004758CA" w:rsidRDefault="002C55BE"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726.994 </w:t>
            </w:r>
          </w:p>
        </w:tc>
        <w:tc>
          <w:tcPr>
            <w:tcW w:w="626" w:type="pct"/>
            <w:tcBorders>
              <w:top w:val="nil"/>
              <w:left w:val="nil"/>
              <w:bottom w:val="single" w:sz="4" w:space="0" w:color="auto"/>
              <w:right w:val="single" w:sz="4" w:space="0" w:color="auto"/>
            </w:tcBorders>
            <w:shd w:val="clear" w:color="auto" w:fill="auto"/>
            <w:noWrap/>
            <w:vAlign w:val="bottom"/>
            <w:hideMark/>
          </w:tcPr>
          <w:p w:rsidR="002C55BE" w:rsidRPr="004758CA" w:rsidRDefault="002C55BE"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  330.882 </w:t>
            </w:r>
          </w:p>
        </w:tc>
        <w:tc>
          <w:tcPr>
            <w:tcW w:w="603" w:type="pct"/>
            <w:tcBorders>
              <w:top w:val="nil"/>
              <w:left w:val="nil"/>
              <w:bottom w:val="single" w:sz="4" w:space="0" w:color="auto"/>
              <w:right w:val="single" w:sz="4" w:space="0" w:color="auto"/>
            </w:tcBorders>
            <w:shd w:val="clear" w:color="auto" w:fill="auto"/>
            <w:noWrap/>
            <w:vAlign w:val="bottom"/>
            <w:hideMark/>
          </w:tcPr>
          <w:p w:rsidR="002C55BE" w:rsidRPr="004758CA" w:rsidRDefault="002C55BE"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455.414 </w:t>
            </w:r>
          </w:p>
        </w:tc>
        <w:tc>
          <w:tcPr>
            <w:tcW w:w="563" w:type="pct"/>
            <w:tcBorders>
              <w:top w:val="nil"/>
              <w:left w:val="nil"/>
              <w:bottom w:val="single" w:sz="4" w:space="0" w:color="auto"/>
              <w:right w:val="single" w:sz="4" w:space="0" w:color="auto"/>
            </w:tcBorders>
            <w:shd w:val="clear" w:color="auto" w:fill="auto"/>
            <w:noWrap/>
            <w:vAlign w:val="bottom"/>
            <w:hideMark/>
          </w:tcPr>
          <w:p w:rsidR="002C55BE" w:rsidRPr="004758CA" w:rsidRDefault="002C55BE"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1.129.714 </w:t>
            </w:r>
          </w:p>
        </w:tc>
        <w:tc>
          <w:tcPr>
            <w:tcW w:w="562" w:type="pct"/>
            <w:tcBorders>
              <w:top w:val="nil"/>
              <w:left w:val="nil"/>
              <w:bottom w:val="single" w:sz="4" w:space="0" w:color="auto"/>
              <w:right w:val="single" w:sz="4" w:space="0" w:color="auto"/>
            </w:tcBorders>
            <w:shd w:val="clear" w:color="auto" w:fill="auto"/>
            <w:noWrap/>
            <w:vAlign w:val="bottom"/>
            <w:hideMark/>
          </w:tcPr>
          <w:p w:rsidR="002C55BE" w:rsidRPr="004758CA" w:rsidRDefault="002C55BE"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  7.884.160 </w:t>
            </w:r>
          </w:p>
        </w:tc>
        <w:tc>
          <w:tcPr>
            <w:tcW w:w="534" w:type="pct"/>
            <w:tcBorders>
              <w:top w:val="nil"/>
              <w:left w:val="nil"/>
              <w:bottom w:val="single" w:sz="4" w:space="0" w:color="auto"/>
              <w:right w:val="single" w:sz="4" w:space="0" w:color="auto"/>
            </w:tcBorders>
            <w:shd w:val="clear" w:color="auto" w:fill="auto"/>
            <w:noWrap/>
            <w:vAlign w:val="bottom"/>
            <w:hideMark/>
          </w:tcPr>
          <w:p w:rsidR="002C55BE" w:rsidRPr="004758CA" w:rsidRDefault="002C55BE"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10.527.164 </w:t>
            </w:r>
          </w:p>
        </w:tc>
        <w:tc>
          <w:tcPr>
            <w:tcW w:w="418" w:type="pct"/>
            <w:tcBorders>
              <w:top w:val="nil"/>
              <w:left w:val="nil"/>
              <w:bottom w:val="single" w:sz="4" w:space="0" w:color="auto"/>
              <w:right w:val="single" w:sz="4" w:space="0" w:color="auto"/>
            </w:tcBorders>
            <w:shd w:val="clear" w:color="auto" w:fill="auto"/>
            <w:noWrap/>
            <w:vAlign w:val="bottom"/>
            <w:hideMark/>
          </w:tcPr>
          <w:p w:rsidR="002C55BE" w:rsidRPr="004758CA" w:rsidRDefault="002C55BE"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           11,6 </w:t>
            </w:r>
          </w:p>
        </w:tc>
      </w:tr>
      <w:tr w:rsidR="002C55BE" w:rsidRPr="004758CA" w:rsidTr="009F4FDB">
        <w:trPr>
          <w:trHeight w:val="255"/>
        </w:trPr>
        <w:tc>
          <w:tcPr>
            <w:tcW w:w="1059" w:type="pct"/>
            <w:tcBorders>
              <w:top w:val="nil"/>
              <w:left w:val="single" w:sz="4" w:space="0" w:color="auto"/>
              <w:bottom w:val="single" w:sz="4" w:space="0" w:color="auto"/>
              <w:right w:val="single" w:sz="4" w:space="0" w:color="auto"/>
            </w:tcBorders>
            <w:shd w:val="clear" w:color="auto" w:fill="auto"/>
            <w:noWrap/>
            <w:vAlign w:val="bottom"/>
            <w:hideMark/>
          </w:tcPr>
          <w:p w:rsidR="002C55BE" w:rsidRPr="004758CA" w:rsidRDefault="002C55BE" w:rsidP="009F4FDB">
            <w:pPr>
              <w:spacing w:after="0" w:line="240" w:lineRule="auto"/>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 CONTRIBUTIVO </w:t>
            </w:r>
          </w:p>
        </w:tc>
        <w:tc>
          <w:tcPr>
            <w:tcW w:w="635" w:type="pct"/>
            <w:tcBorders>
              <w:top w:val="nil"/>
              <w:left w:val="nil"/>
              <w:bottom w:val="single" w:sz="4" w:space="0" w:color="auto"/>
              <w:right w:val="single" w:sz="4" w:space="0" w:color="auto"/>
            </w:tcBorders>
            <w:shd w:val="clear" w:color="auto" w:fill="auto"/>
            <w:noWrap/>
            <w:vAlign w:val="bottom"/>
            <w:hideMark/>
          </w:tcPr>
          <w:p w:rsidR="002C55BE" w:rsidRPr="004758CA" w:rsidRDefault="002C55BE"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709.768 </w:t>
            </w:r>
          </w:p>
        </w:tc>
        <w:tc>
          <w:tcPr>
            <w:tcW w:w="626" w:type="pct"/>
            <w:tcBorders>
              <w:top w:val="nil"/>
              <w:left w:val="nil"/>
              <w:bottom w:val="single" w:sz="4" w:space="0" w:color="auto"/>
              <w:right w:val="single" w:sz="4" w:space="0" w:color="auto"/>
            </w:tcBorders>
            <w:shd w:val="clear" w:color="auto" w:fill="auto"/>
            <w:noWrap/>
            <w:vAlign w:val="bottom"/>
            <w:hideMark/>
          </w:tcPr>
          <w:p w:rsidR="002C55BE" w:rsidRPr="004758CA" w:rsidRDefault="002C55BE"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 754.717 </w:t>
            </w:r>
          </w:p>
        </w:tc>
        <w:tc>
          <w:tcPr>
            <w:tcW w:w="603" w:type="pct"/>
            <w:tcBorders>
              <w:top w:val="nil"/>
              <w:left w:val="nil"/>
              <w:bottom w:val="single" w:sz="4" w:space="0" w:color="auto"/>
              <w:right w:val="single" w:sz="4" w:space="0" w:color="auto"/>
            </w:tcBorders>
            <w:shd w:val="clear" w:color="auto" w:fill="auto"/>
            <w:noWrap/>
            <w:vAlign w:val="bottom"/>
            <w:hideMark/>
          </w:tcPr>
          <w:p w:rsidR="002C55BE" w:rsidRPr="004758CA" w:rsidRDefault="002C55BE"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1.175.037 </w:t>
            </w:r>
          </w:p>
        </w:tc>
        <w:tc>
          <w:tcPr>
            <w:tcW w:w="563" w:type="pct"/>
            <w:tcBorders>
              <w:top w:val="nil"/>
              <w:left w:val="nil"/>
              <w:bottom w:val="single" w:sz="4" w:space="0" w:color="auto"/>
              <w:right w:val="single" w:sz="4" w:space="0" w:color="auto"/>
            </w:tcBorders>
            <w:shd w:val="clear" w:color="auto" w:fill="auto"/>
            <w:noWrap/>
            <w:vAlign w:val="bottom"/>
            <w:hideMark/>
          </w:tcPr>
          <w:p w:rsidR="002C55BE" w:rsidRPr="004758CA" w:rsidRDefault="002C55BE"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  1.872.947 </w:t>
            </w:r>
          </w:p>
        </w:tc>
        <w:tc>
          <w:tcPr>
            <w:tcW w:w="562" w:type="pct"/>
            <w:tcBorders>
              <w:top w:val="nil"/>
              <w:left w:val="nil"/>
              <w:bottom w:val="single" w:sz="4" w:space="0" w:color="auto"/>
              <w:right w:val="single" w:sz="4" w:space="0" w:color="auto"/>
            </w:tcBorders>
            <w:shd w:val="clear" w:color="auto" w:fill="auto"/>
            <w:noWrap/>
            <w:vAlign w:val="bottom"/>
            <w:hideMark/>
          </w:tcPr>
          <w:p w:rsidR="002C55BE" w:rsidRPr="004758CA" w:rsidRDefault="002C55BE"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  2.940.994 </w:t>
            </w:r>
          </w:p>
        </w:tc>
        <w:tc>
          <w:tcPr>
            <w:tcW w:w="534" w:type="pct"/>
            <w:tcBorders>
              <w:top w:val="nil"/>
              <w:left w:val="nil"/>
              <w:bottom w:val="single" w:sz="4" w:space="0" w:color="auto"/>
              <w:right w:val="single" w:sz="4" w:space="0" w:color="auto"/>
            </w:tcBorders>
            <w:shd w:val="clear" w:color="auto" w:fill="auto"/>
            <w:noWrap/>
            <w:vAlign w:val="bottom"/>
            <w:hideMark/>
          </w:tcPr>
          <w:p w:rsidR="002C55BE" w:rsidRPr="004758CA" w:rsidRDefault="002C55BE"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 7.453.464 </w:t>
            </w:r>
          </w:p>
        </w:tc>
        <w:tc>
          <w:tcPr>
            <w:tcW w:w="418" w:type="pct"/>
            <w:tcBorders>
              <w:top w:val="nil"/>
              <w:left w:val="nil"/>
              <w:bottom w:val="single" w:sz="4" w:space="0" w:color="auto"/>
              <w:right w:val="single" w:sz="4" w:space="0" w:color="auto"/>
            </w:tcBorders>
            <w:shd w:val="clear" w:color="auto" w:fill="auto"/>
            <w:noWrap/>
            <w:vAlign w:val="bottom"/>
            <w:hideMark/>
          </w:tcPr>
          <w:p w:rsidR="002C55BE" w:rsidRPr="004758CA" w:rsidRDefault="002C55BE"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             8,2 </w:t>
            </w:r>
          </w:p>
        </w:tc>
      </w:tr>
      <w:tr w:rsidR="002C55BE" w:rsidRPr="004758CA" w:rsidTr="009F4FDB">
        <w:trPr>
          <w:trHeight w:val="255"/>
        </w:trPr>
        <w:tc>
          <w:tcPr>
            <w:tcW w:w="1059" w:type="pct"/>
            <w:tcBorders>
              <w:top w:val="nil"/>
              <w:left w:val="single" w:sz="4" w:space="0" w:color="auto"/>
              <w:bottom w:val="single" w:sz="4" w:space="0" w:color="auto"/>
              <w:right w:val="single" w:sz="4" w:space="0" w:color="auto"/>
            </w:tcBorders>
            <w:shd w:val="clear" w:color="auto" w:fill="auto"/>
            <w:noWrap/>
            <w:vAlign w:val="bottom"/>
            <w:hideMark/>
          </w:tcPr>
          <w:p w:rsidR="002C55BE" w:rsidRPr="004758CA" w:rsidRDefault="002C55BE" w:rsidP="009F4FDB">
            <w:pPr>
              <w:spacing w:after="0" w:line="240" w:lineRule="auto"/>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 ENTIDADES TERRITORIALES </w:t>
            </w:r>
          </w:p>
        </w:tc>
        <w:tc>
          <w:tcPr>
            <w:tcW w:w="635" w:type="pct"/>
            <w:tcBorders>
              <w:top w:val="nil"/>
              <w:left w:val="nil"/>
              <w:bottom w:val="single" w:sz="4" w:space="0" w:color="auto"/>
              <w:right w:val="single" w:sz="4" w:space="0" w:color="auto"/>
            </w:tcBorders>
            <w:shd w:val="clear" w:color="auto" w:fill="auto"/>
            <w:noWrap/>
            <w:vAlign w:val="bottom"/>
            <w:hideMark/>
          </w:tcPr>
          <w:p w:rsidR="002C55BE" w:rsidRPr="004758CA" w:rsidRDefault="002C55BE"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 327.486 </w:t>
            </w:r>
          </w:p>
        </w:tc>
        <w:tc>
          <w:tcPr>
            <w:tcW w:w="626" w:type="pct"/>
            <w:tcBorders>
              <w:top w:val="nil"/>
              <w:left w:val="nil"/>
              <w:bottom w:val="single" w:sz="4" w:space="0" w:color="auto"/>
              <w:right w:val="single" w:sz="4" w:space="0" w:color="auto"/>
            </w:tcBorders>
            <w:shd w:val="clear" w:color="auto" w:fill="auto"/>
            <w:noWrap/>
            <w:vAlign w:val="bottom"/>
            <w:hideMark/>
          </w:tcPr>
          <w:p w:rsidR="002C55BE" w:rsidRPr="004758CA" w:rsidRDefault="002C55BE"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 496.222 </w:t>
            </w:r>
          </w:p>
        </w:tc>
        <w:tc>
          <w:tcPr>
            <w:tcW w:w="603" w:type="pct"/>
            <w:tcBorders>
              <w:top w:val="nil"/>
              <w:left w:val="nil"/>
              <w:bottom w:val="single" w:sz="4" w:space="0" w:color="auto"/>
              <w:right w:val="single" w:sz="4" w:space="0" w:color="auto"/>
            </w:tcBorders>
            <w:shd w:val="clear" w:color="auto" w:fill="auto"/>
            <w:noWrap/>
            <w:vAlign w:val="bottom"/>
            <w:hideMark/>
          </w:tcPr>
          <w:p w:rsidR="002C55BE" w:rsidRPr="004758CA" w:rsidRDefault="002C55BE"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  461.689 </w:t>
            </w:r>
          </w:p>
        </w:tc>
        <w:tc>
          <w:tcPr>
            <w:tcW w:w="563" w:type="pct"/>
            <w:tcBorders>
              <w:top w:val="nil"/>
              <w:left w:val="nil"/>
              <w:bottom w:val="single" w:sz="4" w:space="0" w:color="auto"/>
              <w:right w:val="single" w:sz="4" w:space="0" w:color="auto"/>
            </w:tcBorders>
            <w:shd w:val="clear" w:color="auto" w:fill="auto"/>
            <w:noWrap/>
            <w:vAlign w:val="bottom"/>
            <w:hideMark/>
          </w:tcPr>
          <w:p w:rsidR="002C55BE" w:rsidRPr="004758CA" w:rsidRDefault="002C55BE"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  1.141.061 </w:t>
            </w:r>
          </w:p>
        </w:tc>
        <w:tc>
          <w:tcPr>
            <w:tcW w:w="562" w:type="pct"/>
            <w:tcBorders>
              <w:top w:val="nil"/>
              <w:left w:val="nil"/>
              <w:bottom w:val="single" w:sz="4" w:space="0" w:color="auto"/>
              <w:right w:val="single" w:sz="4" w:space="0" w:color="auto"/>
            </w:tcBorders>
            <w:shd w:val="clear" w:color="auto" w:fill="auto"/>
            <w:noWrap/>
            <w:vAlign w:val="bottom"/>
            <w:hideMark/>
          </w:tcPr>
          <w:p w:rsidR="002C55BE" w:rsidRPr="004758CA" w:rsidRDefault="002C55BE"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  4.358.972 </w:t>
            </w:r>
          </w:p>
        </w:tc>
        <w:tc>
          <w:tcPr>
            <w:tcW w:w="534" w:type="pct"/>
            <w:tcBorders>
              <w:top w:val="nil"/>
              <w:left w:val="nil"/>
              <w:bottom w:val="single" w:sz="4" w:space="0" w:color="auto"/>
              <w:right w:val="single" w:sz="4" w:space="0" w:color="auto"/>
            </w:tcBorders>
            <w:shd w:val="clear" w:color="auto" w:fill="auto"/>
            <w:noWrap/>
            <w:vAlign w:val="bottom"/>
            <w:hideMark/>
          </w:tcPr>
          <w:p w:rsidR="002C55BE" w:rsidRPr="004758CA" w:rsidRDefault="002C55BE"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6.785.430 </w:t>
            </w:r>
          </w:p>
        </w:tc>
        <w:tc>
          <w:tcPr>
            <w:tcW w:w="418" w:type="pct"/>
            <w:tcBorders>
              <w:top w:val="nil"/>
              <w:left w:val="nil"/>
              <w:bottom w:val="single" w:sz="4" w:space="0" w:color="auto"/>
              <w:right w:val="single" w:sz="4" w:space="0" w:color="auto"/>
            </w:tcBorders>
            <w:shd w:val="clear" w:color="auto" w:fill="auto"/>
            <w:noWrap/>
            <w:vAlign w:val="bottom"/>
            <w:hideMark/>
          </w:tcPr>
          <w:p w:rsidR="002C55BE" w:rsidRPr="004758CA" w:rsidRDefault="002C55BE"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             7,5 </w:t>
            </w:r>
          </w:p>
        </w:tc>
      </w:tr>
      <w:tr w:rsidR="002C55BE" w:rsidRPr="004758CA" w:rsidTr="009F4FDB">
        <w:trPr>
          <w:trHeight w:val="255"/>
        </w:trPr>
        <w:tc>
          <w:tcPr>
            <w:tcW w:w="1059" w:type="pct"/>
            <w:tcBorders>
              <w:top w:val="nil"/>
              <w:left w:val="single" w:sz="4" w:space="0" w:color="auto"/>
              <w:bottom w:val="single" w:sz="4" w:space="0" w:color="auto"/>
              <w:right w:val="single" w:sz="4" w:space="0" w:color="auto"/>
            </w:tcBorders>
            <w:shd w:val="clear" w:color="auto" w:fill="auto"/>
            <w:noWrap/>
            <w:vAlign w:val="bottom"/>
            <w:hideMark/>
          </w:tcPr>
          <w:p w:rsidR="002C55BE" w:rsidRPr="004758CA" w:rsidRDefault="002C55BE" w:rsidP="009F4FDB">
            <w:pPr>
              <w:spacing w:after="0" w:line="240" w:lineRule="auto"/>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 FOSYGA </w:t>
            </w:r>
          </w:p>
        </w:tc>
        <w:tc>
          <w:tcPr>
            <w:tcW w:w="635" w:type="pct"/>
            <w:tcBorders>
              <w:top w:val="nil"/>
              <w:left w:val="nil"/>
              <w:bottom w:val="single" w:sz="4" w:space="0" w:color="auto"/>
              <w:right w:val="single" w:sz="4" w:space="0" w:color="auto"/>
            </w:tcBorders>
            <w:shd w:val="clear" w:color="auto" w:fill="auto"/>
            <w:noWrap/>
            <w:vAlign w:val="bottom"/>
            <w:hideMark/>
          </w:tcPr>
          <w:p w:rsidR="002C55BE" w:rsidRPr="004758CA" w:rsidRDefault="002C55BE"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221.215 </w:t>
            </w:r>
          </w:p>
        </w:tc>
        <w:tc>
          <w:tcPr>
            <w:tcW w:w="626" w:type="pct"/>
            <w:tcBorders>
              <w:top w:val="nil"/>
              <w:left w:val="nil"/>
              <w:bottom w:val="single" w:sz="4" w:space="0" w:color="auto"/>
              <w:right w:val="single" w:sz="4" w:space="0" w:color="auto"/>
            </w:tcBorders>
            <w:shd w:val="clear" w:color="auto" w:fill="auto"/>
            <w:noWrap/>
            <w:vAlign w:val="bottom"/>
            <w:hideMark/>
          </w:tcPr>
          <w:p w:rsidR="002C55BE" w:rsidRPr="004758CA" w:rsidRDefault="002C55BE"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    -   </w:t>
            </w:r>
          </w:p>
        </w:tc>
        <w:tc>
          <w:tcPr>
            <w:tcW w:w="603" w:type="pct"/>
            <w:tcBorders>
              <w:top w:val="nil"/>
              <w:left w:val="nil"/>
              <w:bottom w:val="single" w:sz="4" w:space="0" w:color="auto"/>
              <w:right w:val="single" w:sz="4" w:space="0" w:color="auto"/>
            </w:tcBorders>
            <w:shd w:val="clear" w:color="auto" w:fill="auto"/>
            <w:noWrap/>
            <w:vAlign w:val="bottom"/>
            <w:hideMark/>
          </w:tcPr>
          <w:p w:rsidR="002C55BE" w:rsidRPr="004758CA" w:rsidRDefault="002C55BE"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312.203 </w:t>
            </w:r>
          </w:p>
        </w:tc>
        <w:tc>
          <w:tcPr>
            <w:tcW w:w="563" w:type="pct"/>
            <w:tcBorders>
              <w:top w:val="nil"/>
              <w:left w:val="nil"/>
              <w:bottom w:val="single" w:sz="4" w:space="0" w:color="auto"/>
              <w:right w:val="single" w:sz="4" w:space="0" w:color="auto"/>
            </w:tcBorders>
            <w:shd w:val="clear" w:color="auto" w:fill="auto"/>
            <w:noWrap/>
            <w:vAlign w:val="bottom"/>
            <w:hideMark/>
          </w:tcPr>
          <w:p w:rsidR="002C55BE" w:rsidRPr="004758CA" w:rsidRDefault="002C55BE"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  469.091 </w:t>
            </w:r>
          </w:p>
        </w:tc>
        <w:tc>
          <w:tcPr>
            <w:tcW w:w="562" w:type="pct"/>
            <w:tcBorders>
              <w:top w:val="nil"/>
              <w:left w:val="nil"/>
              <w:bottom w:val="single" w:sz="4" w:space="0" w:color="auto"/>
              <w:right w:val="single" w:sz="4" w:space="0" w:color="auto"/>
            </w:tcBorders>
            <w:shd w:val="clear" w:color="auto" w:fill="auto"/>
            <w:noWrap/>
            <w:vAlign w:val="bottom"/>
            <w:hideMark/>
          </w:tcPr>
          <w:p w:rsidR="002C55BE" w:rsidRPr="004758CA" w:rsidRDefault="002C55BE"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5.700.954 </w:t>
            </w:r>
          </w:p>
        </w:tc>
        <w:tc>
          <w:tcPr>
            <w:tcW w:w="534" w:type="pct"/>
            <w:tcBorders>
              <w:top w:val="nil"/>
              <w:left w:val="nil"/>
              <w:bottom w:val="single" w:sz="4" w:space="0" w:color="auto"/>
              <w:right w:val="single" w:sz="4" w:space="0" w:color="auto"/>
            </w:tcBorders>
            <w:shd w:val="clear" w:color="auto" w:fill="auto"/>
            <w:noWrap/>
            <w:vAlign w:val="bottom"/>
            <w:hideMark/>
          </w:tcPr>
          <w:p w:rsidR="002C55BE" w:rsidRPr="004758CA" w:rsidRDefault="002C55BE"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  6.703.464 </w:t>
            </w:r>
          </w:p>
        </w:tc>
        <w:tc>
          <w:tcPr>
            <w:tcW w:w="418" w:type="pct"/>
            <w:tcBorders>
              <w:top w:val="nil"/>
              <w:left w:val="nil"/>
              <w:bottom w:val="single" w:sz="4" w:space="0" w:color="auto"/>
              <w:right w:val="single" w:sz="4" w:space="0" w:color="auto"/>
            </w:tcBorders>
            <w:shd w:val="clear" w:color="auto" w:fill="auto"/>
            <w:noWrap/>
            <w:vAlign w:val="bottom"/>
            <w:hideMark/>
          </w:tcPr>
          <w:p w:rsidR="002C55BE" w:rsidRPr="004758CA" w:rsidRDefault="002C55BE"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             7,4 </w:t>
            </w:r>
          </w:p>
        </w:tc>
      </w:tr>
      <w:tr w:rsidR="002C55BE" w:rsidRPr="004758CA" w:rsidTr="009F4FDB">
        <w:trPr>
          <w:trHeight w:val="255"/>
        </w:trPr>
        <w:tc>
          <w:tcPr>
            <w:tcW w:w="1059" w:type="pct"/>
            <w:tcBorders>
              <w:top w:val="nil"/>
              <w:left w:val="single" w:sz="4" w:space="0" w:color="auto"/>
              <w:bottom w:val="single" w:sz="4" w:space="0" w:color="auto"/>
              <w:right w:val="single" w:sz="4" w:space="0" w:color="auto"/>
            </w:tcBorders>
            <w:shd w:val="clear" w:color="auto" w:fill="auto"/>
            <w:noWrap/>
            <w:vAlign w:val="bottom"/>
            <w:hideMark/>
          </w:tcPr>
          <w:p w:rsidR="002C55BE" w:rsidRPr="004758CA" w:rsidRDefault="002C55BE" w:rsidP="009F4FDB">
            <w:pPr>
              <w:spacing w:after="0" w:line="240" w:lineRule="auto"/>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 ASEGURADORAS </w:t>
            </w:r>
          </w:p>
        </w:tc>
        <w:tc>
          <w:tcPr>
            <w:tcW w:w="635" w:type="pct"/>
            <w:tcBorders>
              <w:top w:val="nil"/>
              <w:left w:val="nil"/>
              <w:bottom w:val="single" w:sz="4" w:space="0" w:color="auto"/>
              <w:right w:val="single" w:sz="4" w:space="0" w:color="auto"/>
            </w:tcBorders>
            <w:shd w:val="clear" w:color="auto" w:fill="auto"/>
            <w:noWrap/>
            <w:vAlign w:val="bottom"/>
            <w:hideMark/>
          </w:tcPr>
          <w:p w:rsidR="002C55BE" w:rsidRPr="004758CA" w:rsidRDefault="002C55BE"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 512.324 </w:t>
            </w:r>
          </w:p>
        </w:tc>
        <w:tc>
          <w:tcPr>
            <w:tcW w:w="626" w:type="pct"/>
            <w:tcBorders>
              <w:top w:val="nil"/>
              <w:left w:val="nil"/>
              <w:bottom w:val="single" w:sz="4" w:space="0" w:color="auto"/>
              <w:right w:val="single" w:sz="4" w:space="0" w:color="auto"/>
            </w:tcBorders>
            <w:shd w:val="clear" w:color="auto" w:fill="auto"/>
            <w:noWrap/>
            <w:vAlign w:val="bottom"/>
            <w:hideMark/>
          </w:tcPr>
          <w:p w:rsidR="002C55BE" w:rsidRPr="004758CA" w:rsidRDefault="002C55BE"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296.223 </w:t>
            </w:r>
          </w:p>
        </w:tc>
        <w:tc>
          <w:tcPr>
            <w:tcW w:w="603" w:type="pct"/>
            <w:tcBorders>
              <w:top w:val="nil"/>
              <w:left w:val="nil"/>
              <w:bottom w:val="single" w:sz="4" w:space="0" w:color="auto"/>
              <w:right w:val="single" w:sz="4" w:space="0" w:color="auto"/>
            </w:tcBorders>
            <w:shd w:val="clear" w:color="auto" w:fill="auto"/>
            <w:noWrap/>
            <w:vAlign w:val="bottom"/>
            <w:hideMark/>
          </w:tcPr>
          <w:p w:rsidR="002C55BE" w:rsidRPr="004758CA" w:rsidRDefault="002C55BE"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 498.530 </w:t>
            </w:r>
          </w:p>
        </w:tc>
        <w:tc>
          <w:tcPr>
            <w:tcW w:w="563" w:type="pct"/>
            <w:tcBorders>
              <w:top w:val="nil"/>
              <w:left w:val="nil"/>
              <w:bottom w:val="single" w:sz="4" w:space="0" w:color="auto"/>
              <w:right w:val="single" w:sz="4" w:space="0" w:color="auto"/>
            </w:tcBorders>
            <w:shd w:val="clear" w:color="auto" w:fill="auto"/>
            <w:noWrap/>
            <w:vAlign w:val="bottom"/>
            <w:hideMark/>
          </w:tcPr>
          <w:p w:rsidR="002C55BE" w:rsidRPr="004758CA" w:rsidRDefault="002C55BE"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460.387 </w:t>
            </w:r>
          </w:p>
        </w:tc>
        <w:tc>
          <w:tcPr>
            <w:tcW w:w="562" w:type="pct"/>
            <w:tcBorders>
              <w:top w:val="nil"/>
              <w:left w:val="nil"/>
              <w:bottom w:val="single" w:sz="4" w:space="0" w:color="auto"/>
              <w:right w:val="single" w:sz="4" w:space="0" w:color="auto"/>
            </w:tcBorders>
            <w:shd w:val="clear" w:color="auto" w:fill="auto"/>
            <w:noWrap/>
            <w:vAlign w:val="bottom"/>
            <w:hideMark/>
          </w:tcPr>
          <w:p w:rsidR="002C55BE" w:rsidRPr="004758CA" w:rsidRDefault="002C55BE"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  657.322 </w:t>
            </w:r>
          </w:p>
        </w:tc>
        <w:tc>
          <w:tcPr>
            <w:tcW w:w="534" w:type="pct"/>
            <w:tcBorders>
              <w:top w:val="nil"/>
              <w:left w:val="nil"/>
              <w:bottom w:val="single" w:sz="4" w:space="0" w:color="auto"/>
              <w:right w:val="single" w:sz="4" w:space="0" w:color="auto"/>
            </w:tcBorders>
            <w:shd w:val="clear" w:color="auto" w:fill="auto"/>
            <w:noWrap/>
            <w:vAlign w:val="bottom"/>
            <w:hideMark/>
          </w:tcPr>
          <w:p w:rsidR="002C55BE" w:rsidRPr="004758CA" w:rsidRDefault="002C55BE"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  2.424.786 </w:t>
            </w:r>
          </w:p>
        </w:tc>
        <w:tc>
          <w:tcPr>
            <w:tcW w:w="418" w:type="pct"/>
            <w:tcBorders>
              <w:top w:val="nil"/>
              <w:left w:val="nil"/>
              <w:bottom w:val="single" w:sz="4" w:space="0" w:color="auto"/>
              <w:right w:val="single" w:sz="4" w:space="0" w:color="auto"/>
            </w:tcBorders>
            <w:shd w:val="clear" w:color="auto" w:fill="auto"/>
            <w:noWrap/>
            <w:vAlign w:val="bottom"/>
            <w:hideMark/>
          </w:tcPr>
          <w:p w:rsidR="002C55BE" w:rsidRPr="004758CA" w:rsidRDefault="002C55BE"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             2,7 </w:t>
            </w:r>
          </w:p>
        </w:tc>
      </w:tr>
      <w:tr w:rsidR="002C55BE" w:rsidRPr="004758CA" w:rsidTr="009F4FDB">
        <w:trPr>
          <w:trHeight w:val="255"/>
        </w:trPr>
        <w:tc>
          <w:tcPr>
            <w:tcW w:w="1059" w:type="pct"/>
            <w:tcBorders>
              <w:top w:val="nil"/>
              <w:left w:val="single" w:sz="4" w:space="0" w:color="auto"/>
              <w:bottom w:val="single" w:sz="4" w:space="0" w:color="auto"/>
              <w:right w:val="single" w:sz="4" w:space="0" w:color="auto"/>
            </w:tcBorders>
            <w:shd w:val="clear" w:color="000000" w:fill="D8E4BC"/>
            <w:noWrap/>
            <w:vAlign w:val="bottom"/>
            <w:hideMark/>
          </w:tcPr>
          <w:p w:rsidR="002C55BE" w:rsidRPr="004758CA" w:rsidRDefault="002C55BE" w:rsidP="009F4FDB">
            <w:pPr>
              <w:spacing w:after="0" w:line="240" w:lineRule="auto"/>
              <w:rPr>
                <w:rFonts w:ascii="Arial" w:eastAsia="Times New Roman" w:hAnsi="Arial" w:cs="Arial"/>
                <w:b/>
                <w:bCs/>
                <w:color w:val="000000"/>
                <w:sz w:val="14"/>
                <w:szCs w:val="14"/>
                <w:lang w:eastAsia="es-CO"/>
              </w:rPr>
            </w:pPr>
            <w:r w:rsidRPr="004758CA">
              <w:rPr>
                <w:rFonts w:ascii="Arial" w:eastAsia="Times New Roman" w:hAnsi="Arial" w:cs="Arial"/>
                <w:b/>
                <w:bCs/>
                <w:color w:val="000000"/>
                <w:sz w:val="14"/>
                <w:szCs w:val="14"/>
                <w:lang w:eastAsia="es-CO"/>
              </w:rPr>
              <w:t>TOTAL</w:t>
            </w:r>
          </w:p>
        </w:tc>
        <w:tc>
          <w:tcPr>
            <w:tcW w:w="635" w:type="pct"/>
            <w:tcBorders>
              <w:top w:val="nil"/>
              <w:left w:val="nil"/>
              <w:bottom w:val="single" w:sz="4" w:space="0" w:color="auto"/>
              <w:right w:val="single" w:sz="4" w:space="0" w:color="auto"/>
            </w:tcBorders>
            <w:shd w:val="clear" w:color="000000" w:fill="D8E4BC"/>
            <w:noWrap/>
            <w:vAlign w:val="bottom"/>
            <w:hideMark/>
          </w:tcPr>
          <w:p w:rsidR="002C55BE" w:rsidRPr="004758CA" w:rsidRDefault="002C55BE" w:rsidP="009F4FDB">
            <w:pPr>
              <w:spacing w:after="0" w:line="240" w:lineRule="auto"/>
              <w:jc w:val="right"/>
              <w:rPr>
                <w:rFonts w:ascii="Arial" w:eastAsia="Times New Roman" w:hAnsi="Arial" w:cs="Arial"/>
                <w:b/>
                <w:bCs/>
                <w:color w:val="000000"/>
                <w:sz w:val="14"/>
                <w:szCs w:val="14"/>
                <w:lang w:eastAsia="es-CO"/>
              </w:rPr>
            </w:pPr>
            <w:r w:rsidRPr="004758CA">
              <w:rPr>
                <w:rFonts w:ascii="Arial" w:eastAsia="Times New Roman" w:hAnsi="Arial" w:cs="Arial"/>
                <w:b/>
                <w:bCs/>
                <w:color w:val="000000"/>
                <w:sz w:val="14"/>
                <w:szCs w:val="14"/>
                <w:lang w:eastAsia="es-CO"/>
              </w:rPr>
              <w:t xml:space="preserve">15.790.817 </w:t>
            </w:r>
          </w:p>
        </w:tc>
        <w:tc>
          <w:tcPr>
            <w:tcW w:w="626" w:type="pct"/>
            <w:tcBorders>
              <w:top w:val="nil"/>
              <w:left w:val="nil"/>
              <w:bottom w:val="single" w:sz="4" w:space="0" w:color="auto"/>
              <w:right w:val="single" w:sz="4" w:space="0" w:color="auto"/>
            </w:tcBorders>
            <w:shd w:val="clear" w:color="000000" w:fill="D8E4BC"/>
            <w:noWrap/>
            <w:vAlign w:val="bottom"/>
            <w:hideMark/>
          </w:tcPr>
          <w:p w:rsidR="002C55BE" w:rsidRPr="004758CA" w:rsidRDefault="002C55BE" w:rsidP="009F4FDB">
            <w:pPr>
              <w:spacing w:after="0" w:line="240" w:lineRule="auto"/>
              <w:jc w:val="right"/>
              <w:rPr>
                <w:rFonts w:ascii="Arial" w:eastAsia="Times New Roman" w:hAnsi="Arial" w:cs="Arial"/>
                <w:b/>
                <w:bCs/>
                <w:color w:val="000000"/>
                <w:sz w:val="14"/>
                <w:szCs w:val="14"/>
                <w:lang w:eastAsia="es-CO"/>
              </w:rPr>
            </w:pPr>
            <w:r w:rsidRPr="004758CA">
              <w:rPr>
                <w:rFonts w:ascii="Arial" w:eastAsia="Times New Roman" w:hAnsi="Arial" w:cs="Arial"/>
                <w:b/>
                <w:bCs/>
                <w:color w:val="000000"/>
                <w:sz w:val="14"/>
                <w:szCs w:val="14"/>
                <w:lang w:eastAsia="es-CO"/>
              </w:rPr>
              <w:t xml:space="preserve"> 6.377.715 </w:t>
            </w:r>
          </w:p>
        </w:tc>
        <w:tc>
          <w:tcPr>
            <w:tcW w:w="603" w:type="pct"/>
            <w:tcBorders>
              <w:top w:val="nil"/>
              <w:left w:val="nil"/>
              <w:bottom w:val="single" w:sz="4" w:space="0" w:color="auto"/>
              <w:right w:val="single" w:sz="4" w:space="0" w:color="auto"/>
            </w:tcBorders>
            <w:shd w:val="clear" w:color="000000" w:fill="D8E4BC"/>
            <w:noWrap/>
            <w:vAlign w:val="bottom"/>
            <w:hideMark/>
          </w:tcPr>
          <w:p w:rsidR="002C55BE" w:rsidRPr="004758CA" w:rsidRDefault="002C55BE" w:rsidP="009F4FDB">
            <w:pPr>
              <w:spacing w:after="0" w:line="240" w:lineRule="auto"/>
              <w:jc w:val="right"/>
              <w:rPr>
                <w:rFonts w:ascii="Arial" w:eastAsia="Times New Roman" w:hAnsi="Arial" w:cs="Arial"/>
                <w:b/>
                <w:bCs/>
                <w:color w:val="000000"/>
                <w:sz w:val="14"/>
                <w:szCs w:val="14"/>
                <w:lang w:eastAsia="es-CO"/>
              </w:rPr>
            </w:pPr>
            <w:r w:rsidRPr="004758CA">
              <w:rPr>
                <w:rFonts w:ascii="Arial" w:eastAsia="Times New Roman" w:hAnsi="Arial" w:cs="Arial"/>
                <w:b/>
                <w:bCs/>
                <w:color w:val="000000"/>
                <w:sz w:val="14"/>
                <w:szCs w:val="14"/>
                <w:lang w:eastAsia="es-CO"/>
              </w:rPr>
              <w:t xml:space="preserve">  13.361.966 </w:t>
            </w:r>
          </w:p>
        </w:tc>
        <w:tc>
          <w:tcPr>
            <w:tcW w:w="563" w:type="pct"/>
            <w:tcBorders>
              <w:top w:val="nil"/>
              <w:left w:val="nil"/>
              <w:bottom w:val="single" w:sz="4" w:space="0" w:color="auto"/>
              <w:right w:val="single" w:sz="4" w:space="0" w:color="auto"/>
            </w:tcBorders>
            <w:shd w:val="clear" w:color="000000" w:fill="D8E4BC"/>
            <w:noWrap/>
            <w:vAlign w:val="bottom"/>
            <w:hideMark/>
          </w:tcPr>
          <w:p w:rsidR="002C55BE" w:rsidRPr="004758CA" w:rsidRDefault="002C55BE" w:rsidP="009F4FDB">
            <w:pPr>
              <w:spacing w:after="0" w:line="240" w:lineRule="auto"/>
              <w:jc w:val="right"/>
              <w:rPr>
                <w:rFonts w:ascii="Arial" w:eastAsia="Times New Roman" w:hAnsi="Arial" w:cs="Arial"/>
                <w:b/>
                <w:bCs/>
                <w:color w:val="000000"/>
                <w:sz w:val="14"/>
                <w:szCs w:val="14"/>
                <w:lang w:eastAsia="es-CO"/>
              </w:rPr>
            </w:pPr>
            <w:r w:rsidRPr="004758CA">
              <w:rPr>
                <w:rFonts w:ascii="Arial" w:eastAsia="Times New Roman" w:hAnsi="Arial" w:cs="Arial"/>
                <w:b/>
                <w:bCs/>
                <w:color w:val="000000"/>
                <w:sz w:val="14"/>
                <w:szCs w:val="14"/>
                <w:lang w:eastAsia="es-CO"/>
              </w:rPr>
              <w:t xml:space="preserve">16.658.389 </w:t>
            </w:r>
          </w:p>
        </w:tc>
        <w:tc>
          <w:tcPr>
            <w:tcW w:w="562" w:type="pct"/>
            <w:tcBorders>
              <w:top w:val="nil"/>
              <w:left w:val="nil"/>
              <w:bottom w:val="single" w:sz="4" w:space="0" w:color="auto"/>
              <w:right w:val="single" w:sz="4" w:space="0" w:color="auto"/>
            </w:tcBorders>
            <w:shd w:val="clear" w:color="000000" w:fill="D8E4BC"/>
            <w:noWrap/>
            <w:vAlign w:val="bottom"/>
            <w:hideMark/>
          </w:tcPr>
          <w:p w:rsidR="002C55BE" w:rsidRPr="004758CA" w:rsidRDefault="002C55BE" w:rsidP="009F4FDB">
            <w:pPr>
              <w:spacing w:after="0" w:line="240" w:lineRule="auto"/>
              <w:jc w:val="right"/>
              <w:rPr>
                <w:rFonts w:ascii="Arial" w:eastAsia="Times New Roman" w:hAnsi="Arial" w:cs="Arial"/>
                <w:b/>
                <w:bCs/>
                <w:color w:val="000000"/>
                <w:sz w:val="14"/>
                <w:szCs w:val="14"/>
                <w:lang w:eastAsia="es-CO"/>
              </w:rPr>
            </w:pPr>
            <w:r w:rsidRPr="004758CA">
              <w:rPr>
                <w:rFonts w:ascii="Arial" w:eastAsia="Times New Roman" w:hAnsi="Arial" w:cs="Arial"/>
                <w:b/>
                <w:bCs/>
                <w:color w:val="000000"/>
                <w:sz w:val="14"/>
                <w:szCs w:val="14"/>
                <w:lang w:eastAsia="es-CO"/>
              </w:rPr>
              <w:t xml:space="preserve">38.589.096 </w:t>
            </w:r>
          </w:p>
        </w:tc>
        <w:tc>
          <w:tcPr>
            <w:tcW w:w="534" w:type="pct"/>
            <w:tcBorders>
              <w:top w:val="nil"/>
              <w:left w:val="nil"/>
              <w:bottom w:val="single" w:sz="4" w:space="0" w:color="auto"/>
              <w:right w:val="single" w:sz="4" w:space="0" w:color="auto"/>
            </w:tcBorders>
            <w:shd w:val="clear" w:color="000000" w:fill="D8E4BC"/>
            <w:noWrap/>
            <w:vAlign w:val="bottom"/>
            <w:hideMark/>
          </w:tcPr>
          <w:p w:rsidR="002C55BE" w:rsidRPr="004758CA" w:rsidRDefault="002C55BE" w:rsidP="009F4FDB">
            <w:pPr>
              <w:spacing w:after="0" w:line="240" w:lineRule="auto"/>
              <w:jc w:val="right"/>
              <w:rPr>
                <w:rFonts w:ascii="Arial" w:eastAsia="Times New Roman" w:hAnsi="Arial" w:cs="Arial"/>
                <w:b/>
                <w:bCs/>
                <w:color w:val="000000"/>
                <w:sz w:val="14"/>
                <w:szCs w:val="14"/>
                <w:lang w:eastAsia="es-CO"/>
              </w:rPr>
            </w:pPr>
            <w:r w:rsidRPr="004758CA">
              <w:rPr>
                <w:rFonts w:ascii="Arial" w:eastAsia="Times New Roman" w:hAnsi="Arial" w:cs="Arial"/>
                <w:b/>
                <w:bCs/>
                <w:color w:val="000000"/>
                <w:sz w:val="14"/>
                <w:szCs w:val="14"/>
                <w:lang w:eastAsia="es-CO"/>
              </w:rPr>
              <w:t xml:space="preserve">  90.777.983 </w:t>
            </w:r>
          </w:p>
        </w:tc>
        <w:tc>
          <w:tcPr>
            <w:tcW w:w="418" w:type="pct"/>
            <w:tcBorders>
              <w:top w:val="nil"/>
              <w:left w:val="nil"/>
              <w:bottom w:val="single" w:sz="4" w:space="0" w:color="auto"/>
              <w:right w:val="single" w:sz="4" w:space="0" w:color="auto"/>
            </w:tcBorders>
            <w:shd w:val="clear" w:color="000000" w:fill="D8E4BC"/>
            <w:noWrap/>
            <w:vAlign w:val="bottom"/>
            <w:hideMark/>
          </w:tcPr>
          <w:p w:rsidR="002C55BE" w:rsidRPr="004758CA" w:rsidRDefault="002C55BE" w:rsidP="009F4FDB">
            <w:pPr>
              <w:spacing w:after="0" w:line="240" w:lineRule="auto"/>
              <w:jc w:val="right"/>
              <w:rPr>
                <w:rFonts w:ascii="Arial" w:eastAsia="Times New Roman" w:hAnsi="Arial" w:cs="Arial"/>
                <w:b/>
                <w:bCs/>
                <w:color w:val="000000"/>
                <w:sz w:val="14"/>
                <w:szCs w:val="14"/>
                <w:lang w:eastAsia="es-CO"/>
              </w:rPr>
            </w:pPr>
            <w:r w:rsidRPr="004758CA">
              <w:rPr>
                <w:rFonts w:ascii="Arial" w:eastAsia="Times New Roman" w:hAnsi="Arial" w:cs="Arial"/>
                <w:b/>
                <w:bCs/>
                <w:color w:val="000000"/>
                <w:sz w:val="14"/>
                <w:szCs w:val="14"/>
                <w:lang w:eastAsia="es-CO"/>
              </w:rPr>
              <w:t xml:space="preserve">         100,0 </w:t>
            </w:r>
          </w:p>
        </w:tc>
      </w:tr>
      <w:tr w:rsidR="002C55BE" w:rsidRPr="004758CA" w:rsidTr="009F4FDB">
        <w:trPr>
          <w:trHeight w:val="255"/>
        </w:trPr>
        <w:tc>
          <w:tcPr>
            <w:tcW w:w="1059" w:type="pct"/>
            <w:tcBorders>
              <w:top w:val="nil"/>
              <w:left w:val="single" w:sz="4" w:space="0" w:color="auto"/>
              <w:bottom w:val="single" w:sz="4" w:space="0" w:color="auto"/>
              <w:right w:val="single" w:sz="4" w:space="0" w:color="auto"/>
            </w:tcBorders>
            <w:shd w:val="clear" w:color="000000" w:fill="D8E4BC"/>
            <w:noWrap/>
            <w:vAlign w:val="bottom"/>
            <w:hideMark/>
          </w:tcPr>
          <w:p w:rsidR="002C55BE" w:rsidRPr="004758CA" w:rsidRDefault="002C55BE" w:rsidP="009F4FDB">
            <w:pPr>
              <w:spacing w:after="0" w:line="240" w:lineRule="auto"/>
              <w:rPr>
                <w:rFonts w:ascii="Arial" w:eastAsia="Times New Roman" w:hAnsi="Arial" w:cs="Arial"/>
                <w:b/>
                <w:bCs/>
                <w:color w:val="000000"/>
                <w:sz w:val="14"/>
                <w:szCs w:val="14"/>
                <w:lang w:eastAsia="es-CO"/>
              </w:rPr>
            </w:pPr>
            <w:r w:rsidRPr="004758CA">
              <w:rPr>
                <w:rFonts w:ascii="Arial" w:eastAsia="Times New Roman" w:hAnsi="Arial" w:cs="Arial"/>
                <w:b/>
                <w:bCs/>
                <w:color w:val="000000"/>
                <w:sz w:val="14"/>
                <w:szCs w:val="14"/>
                <w:lang w:eastAsia="es-CO"/>
              </w:rPr>
              <w:t>PARTICIPACIÓN %</w:t>
            </w:r>
          </w:p>
        </w:tc>
        <w:tc>
          <w:tcPr>
            <w:tcW w:w="635" w:type="pct"/>
            <w:tcBorders>
              <w:top w:val="nil"/>
              <w:left w:val="nil"/>
              <w:bottom w:val="single" w:sz="4" w:space="0" w:color="auto"/>
              <w:right w:val="single" w:sz="4" w:space="0" w:color="auto"/>
            </w:tcBorders>
            <w:shd w:val="clear" w:color="000000" w:fill="D8E4BC"/>
            <w:noWrap/>
            <w:vAlign w:val="bottom"/>
            <w:hideMark/>
          </w:tcPr>
          <w:p w:rsidR="002C55BE" w:rsidRPr="004758CA" w:rsidRDefault="002C55BE" w:rsidP="009F4FDB">
            <w:pPr>
              <w:spacing w:after="0" w:line="240" w:lineRule="auto"/>
              <w:jc w:val="right"/>
              <w:rPr>
                <w:rFonts w:ascii="Arial" w:eastAsia="Times New Roman" w:hAnsi="Arial" w:cs="Arial"/>
                <w:b/>
                <w:bCs/>
                <w:color w:val="000000"/>
                <w:sz w:val="14"/>
                <w:szCs w:val="14"/>
                <w:lang w:eastAsia="es-CO"/>
              </w:rPr>
            </w:pPr>
            <w:r w:rsidRPr="004758CA">
              <w:rPr>
                <w:rFonts w:ascii="Arial" w:eastAsia="Times New Roman" w:hAnsi="Arial" w:cs="Arial"/>
                <w:b/>
                <w:bCs/>
                <w:color w:val="000000"/>
                <w:sz w:val="14"/>
                <w:szCs w:val="14"/>
                <w:lang w:eastAsia="es-CO"/>
              </w:rPr>
              <w:t xml:space="preserve"> 17 </w:t>
            </w:r>
          </w:p>
        </w:tc>
        <w:tc>
          <w:tcPr>
            <w:tcW w:w="626" w:type="pct"/>
            <w:tcBorders>
              <w:top w:val="nil"/>
              <w:left w:val="nil"/>
              <w:bottom w:val="single" w:sz="4" w:space="0" w:color="auto"/>
              <w:right w:val="single" w:sz="4" w:space="0" w:color="auto"/>
            </w:tcBorders>
            <w:shd w:val="clear" w:color="000000" w:fill="D8E4BC"/>
            <w:noWrap/>
            <w:vAlign w:val="bottom"/>
            <w:hideMark/>
          </w:tcPr>
          <w:p w:rsidR="002C55BE" w:rsidRPr="004758CA" w:rsidRDefault="002C55BE" w:rsidP="009F4FDB">
            <w:pPr>
              <w:spacing w:after="0" w:line="240" w:lineRule="auto"/>
              <w:jc w:val="right"/>
              <w:rPr>
                <w:rFonts w:ascii="Arial" w:eastAsia="Times New Roman" w:hAnsi="Arial" w:cs="Arial"/>
                <w:b/>
                <w:bCs/>
                <w:color w:val="000000"/>
                <w:sz w:val="14"/>
                <w:szCs w:val="14"/>
                <w:lang w:eastAsia="es-CO"/>
              </w:rPr>
            </w:pPr>
            <w:r w:rsidRPr="004758CA">
              <w:rPr>
                <w:rFonts w:ascii="Arial" w:eastAsia="Times New Roman" w:hAnsi="Arial" w:cs="Arial"/>
                <w:b/>
                <w:bCs/>
                <w:color w:val="000000"/>
                <w:sz w:val="14"/>
                <w:szCs w:val="14"/>
                <w:lang w:eastAsia="es-CO"/>
              </w:rPr>
              <w:t xml:space="preserve">  7 </w:t>
            </w:r>
          </w:p>
        </w:tc>
        <w:tc>
          <w:tcPr>
            <w:tcW w:w="603" w:type="pct"/>
            <w:tcBorders>
              <w:top w:val="nil"/>
              <w:left w:val="nil"/>
              <w:bottom w:val="single" w:sz="4" w:space="0" w:color="auto"/>
              <w:right w:val="single" w:sz="4" w:space="0" w:color="auto"/>
            </w:tcBorders>
            <w:shd w:val="clear" w:color="000000" w:fill="D8E4BC"/>
            <w:noWrap/>
            <w:vAlign w:val="bottom"/>
            <w:hideMark/>
          </w:tcPr>
          <w:p w:rsidR="002C55BE" w:rsidRPr="004758CA" w:rsidRDefault="002C55BE" w:rsidP="009F4FDB">
            <w:pPr>
              <w:spacing w:after="0" w:line="240" w:lineRule="auto"/>
              <w:jc w:val="right"/>
              <w:rPr>
                <w:rFonts w:ascii="Arial" w:eastAsia="Times New Roman" w:hAnsi="Arial" w:cs="Arial"/>
                <w:b/>
                <w:bCs/>
                <w:color w:val="000000"/>
                <w:sz w:val="14"/>
                <w:szCs w:val="14"/>
                <w:lang w:eastAsia="es-CO"/>
              </w:rPr>
            </w:pPr>
            <w:r w:rsidRPr="004758CA">
              <w:rPr>
                <w:rFonts w:ascii="Arial" w:eastAsia="Times New Roman" w:hAnsi="Arial" w:cs="Arial"/>
                <w:b/>
                <w:bCs/>
                <w:color w:val="000000"/>
                <w:sz w:val="14"/>
                <w:szCs w:val="14"/>
                <w:lang w:eastAsia="es-CO"/>
              </w:rPr>
              <w:t xml:space="preserve">    15 </w:t>
            </w:r>
          </w:p>
        </w:tc>
        <w:tc>
          <w:tcPr>
            <w:tcW w:w="563" w:type="pct"/>
            <w:tcBorders>
              <w:top w:val="nil"/>
              <w:left w:val="nil"/>
              <w:bottom w:val="single" w:sz="4" w:space="0" w:color="auto"/>
              <w:right w:val="single" w:sz="4" w:space="0" w:color="auto"/>
            </w:tcBorders>
            <w:shd w:val="clear" w:color="000000" w:fill="D8E4BC"/>
            <w:noWrap/>
            <w:vAlign w:val="bottom"/>
            <w:hideMark/>
          </w:tcPr>
          <w:p w:rsidR="002C55BE" w:rsidRPr="004758CA" w:rsidRDefault="002C55BE" w:rsidP="009F4FDB">
            <w:pPr>
              <w:spacing w:after="0" w:line="240" w:lineRule="auto"/>
              <w:jc w:val="right"/>
              <w:rPr>
                <w:rFonts w:ascii="Arial" w:eastAsia="Times New Roman" w:hAnsi="Arial" w:cs="Arial"/>
                <w:b/>
                <w:bCs/>
                <w:color w:val="000000"/>
                <w:sz w:val="14"/>
                <w:szCs w:val="14"/>
                <w:lang w:eastAsia="es-CO"/>
              </w:rPr>
            </w:pPr>
            <w:r w:rsidRPr="004758CA">
              <w:rPr>
                <w:rFonts w:ascii="Arial" w:eastAsia="Times New Roman" w:hAnsi="Arial" w:cs="Arial"/>
                <w:b/>
                <w:bCs/>
                <w:color w:val="000000"/>
                <w:sz w:val="14"/>
                <w:szCs w:val="14"/>
                <w:lang w:eastAsia="es-CO"/>
              </w:rPr>
              <w:t xml:space="preserve">   18 </w:t>
            </w:r>
          </w:p>
        </w:tc>
        <w:tc>
          <w:tcPr>
            <w:tcW w:w="562" w:type="pct"/>
            <w:tcBorders>
              <w:top w:val="nil"/>
              <w:left w:val="nil"/>
              <w:bottom w:val="single" w:sz="4" w:space="0" w:color="auto"/>
              <w:right w:val="single" w:sz="4" w:space="0" w:color="auto"/>
            </w:tcBorders>
            <w:shd w:val="clear" w:color="000000" w:fill="D8E4BC"/>
            <w:noWrap/>
            <w:vAlign w:val="bottom"/>
            <w:hideMark/>
          </w:tcPr>
          <w:p w:rsidR="002C55BE" w:rsidRPr="004758CA" w:rsidRDefault="002C55BE" w:rsidP="009F4FDB">
            <w:pPr>
              <w:spacing w:after="0" w:line="240" w:lineRule="auto"/>
              <w:jc w:val="right"/>
              <w:rPr>
                <w:rFonts w:ascii="Arial" w:eastAsia="Times New Roman" w:hAnsi="Arial" w:cs="Arial"/>
                <w:b/>
                <w:bCs/>
                <w:color w:val="000000"/>
                <w:sz w:val="14"/>
                <w:szCs w:val="14"/>
                <w:lang w:eastAsia="es-CO"/>
              </w:rPr>
            </w:pPr>
            <w:r w:rsidRPr="004758CA">
              <w:rPr>
                <w:rFonts w:ascii="Arial" w:eastAsia="Times New Roman" w:hAnsi="Arial" w:cs="Arial"/>
                <w:b/>
                <w:bCs/>
                <w:color w:val="000000"/>
                <w:sz w:val="14"/>
                <w:szCs w:val="14"/>
                <w:lang w:eastAsia="es-CO"/>
              </w:rPr>
              <w:t xml:space="preserve">       43 </w:t>
            </w:r>
          </w:p>
        </w:tc>
        <w:tc>
          <w:tcPr>
            <w:tcW w:w="534" w:type="pct"/>
            <w:tcBorders>
              <w:top w:val="nil"/>
              <w:left w:val="nil"/>
              <w:bottom w:val="single" w:sz="4" w:space="0" w:color="auto"/>
              <w:right w:val="single" w:sz="4" w:space="0" w:color="auto"/>
            </w:tcBorders>
            <w:shd w:val="clear" w:color="000000" w:fill="D8E4BC"/>
            <w:noWrap/>
            <w:vAlign w:val="bottom"/>
            <w:hideMark/>
          </w:tcPr>
          <w:p w:rsidR="002C55BE" w:rsidRPr="004758CA" w:rsidRDefault="002C55BE" w:rsidP="009F4FDB">
            <w:pPr>
              <w:spacing w:after="0" w:line="240" w:lineRule="auto"/>
              <w:jc w:val="right"/>
              <w:rPr>
                <w:rFonts w:ascii="Arial" w:eastAsia="Times New Roman" w:hAnsi="Arial" w:cs="Arial"/>
                <w:b/>
                <w:bCs/>
                <w:color w:val="000000"/>
                <w:sz w:val="14"/>
                <w:szCs w:val="14"/>
                <w:lang w:eastAsia="es-CO"/>
              </w:rPr>
            </w:pPr>
            <w:r w:rsidRPr="004758CA">
              <w:rPr>
                <w:rFonts w:ascii="Arial" w:eastAsia="Times New Roman" w:hAnsi="Arial" w:cs="Arial"/>
                <w:b/>
                <w:bCs/>
                <w:color w:val="000000"/>
                <w:sz w:val="14"/>
                <w:szCs w:val="14"/>
                <w:lang w:eastAsia="es-CO"/>
              </w:rPr>
              <w:t xml:space="preserve">                  100 </w:t>
            </w:r>
          </w:p>
        </w:tc>
        <w:tc>
          <w:tcPr>
            <w:tcW w:w="418" w:type="pct"/>
            <w:tcBorders>
              <w:top w:val="nil"/>
              <w:left w:val="nil"/>
              <w:bottom w:val="nil"/>
              <w:right w:val="nil"/>
            </w:tcBorders>
            <w:shd w:val="clear" w:color="auto" w:fill="auto"/>
            <w:noWrap/>
            <w:vAlign w:val="bottom"/>
            <w:hideMark/>
          </w:tcPr>
          <w:p w:rsidR="002C55BE" w:rsidRPr="004758CA" w:rsidRDefault="002C55BE" w:rsidP="009F4FDB">
            <w:pPr>
              <w:spacing w:after="0" w:line="240" w:lineRule="auto"/>
              <w:jc w:val="right"/>
              <w:rPr>
                <w:rFonts w:ascii="Arial" w:eastAsia="Times New Roman" w:hAnsi="Arial" w:cs="Arial"/>
                <w:color w:val="000000"/>
                <w:sz w:val="14"/>
                <w:szCs w:val="14"/>
                <w:lang w:eastAsia="es-CO"/>
              </w:rPr>
            </w:pPr>
          </w:p>
        </w:tc>
      </w:tr>
      <w:tr w:rsidR="002C55BE" w:rsidRPr="004758CA" w:rsidTr="009F4FDB">
        <w:trPr>
          <w:trHeight w:val="70"/>
        </w:trPr>
        <w:tc>
          <w:tcPr>
            <w:tcW w:w="4582" w:type="pct"/>
            <w:gridSpan w:val="7"/>
            <w:tcBorders>
              <w:top w:val="single" w:sz="4" w:space="0" w:color="auto"/>
              <w:left w:val="nil"/>
              <w:bottom w:val="nil"/>
              <w:right w:val="nil"/>
            </w:tcBorders>
            <w:shd w:val="clear" w:color="auto" w:fill="auto"/>
            <w:noWrap/>
            <w:vAlign w:val="bottom"/>
            <w:hideMark/>
          </w:tcPr>
          <w:p w:rsidR="002C55BE" w:rsidRPr="004758CA" w:rsidRDefault="002C55BE" w:rsidP="009F4FDB">
            <w:pPr>
              <w:spacing w:after="0" w:line="240" w:lineRule="auto"/>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Fuente: SIHO - Ministerio de Salud y Protección Social</w:t>
            </w:r>
          </w:p>
        </w:tc>
        <w:tc>
          <w:tcPr>
            <w:tcW w:w="418" w:type="pct"/>
            <w:tcBorders>
              <w:top w:val="nil"/>
              <w:left w:val="nil"/>
              <w:bottom w:val="nil"/>
              <w:right w:val="nil"/>
            </w:tcBorders>
            <w:shd w:val="clear" w:color="auto" w:fill="auto"/>
            <w:noWrap/>
            <w:vAlign w:val="bottom"/>
            <w:hideMark/>
          </w:tcPr>
          <w:p w:rsidR="002C55BE" w:rsidRPr="004758CA" w:rsidRDefault="002C55BE" w:rsidP="009F4FDB">
            <w:pPr>
              <w:spacing w:after="0" w:line="240" w:lineRule="auto"/>
              <w:rPr>
                <w:rFonts w:ascii="Arial" w:eastAsia="Times New Roman" w:hAnsi="Arial" w:cs="Arial"/>
                <w:color w:val="000000"/>
                <w:sz w:val="14"/>
                <w:szCs w:val="14"/>
                <w:lang w:eastAsia="es-CO"/>
              </w:rPr>
            </w:pPr>
          </w:p>
        </w:tc>
      </w:tr>
      <w:tr w:rsidR="002C55BE" w:rsidRPr="004758CA" w:rsidTr="009F4FDB">
        <w:trPr>
          <w:trHeight w:val="80"/>
        </w:trPr>
        <w:tc>
          <w:tcPr>
            <w:tcW w:w="4582" w:type="pct"/>
            <w:gridSpan w:val="7"/>
            <w:tcBorders>
              <w:top w:val="nil"/>
              <w:left w:val="nil"/>
              <w:bottom w:val="nil"/>
              <w:right w:val="nil"/>
            </w:tcBorders>
            <w:shd w:val="clear" w:color="auto" w:fill="auto"/>
            <w:noWrap/>
            <w:vAlign w:val="bottom"/>
            <w:hideMark/>
          </w:tcPr>
          <w:p w:rsidR="002C55BE" w:rsidRPr="004758CA" w:rsidRDefault="002C55BE" w:rsidP="009F4FDB">
            <w:pPr>
              <w:spacing w:after="0" w:line="240" w:lineRule="auto"/>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Corte a 30 de Junio de 2013</w:t>
            </w:r>
          </w:p>
        </w:tc>
        <w:tc>
          <w:tcPr>
            <w:tcW w:w="418" w:type="pct"/>
            <w:tcBorders>
              <w:top w:val="nil"/>
              <w:left w:val="nil"/>
              <w:bottom w:val="nil"/>
              <w:right w:val="nil"/>
            </w:tcBorders>
            <w:shd w:val="clear" w:color="auto" w:fill="auto"/>
            <w:noWrap/>
            <w:vAlign w:val="bottom"/>
            <w:hideMark/>
          </w:tcPr>
          <w:p w:rsidR="002C55BE" w:rsidRPr="004758CA" w:rsidRDefault="002C55BE" w:rsidP="009F4FDB">
            <w:pPr>
              <w:spacing w:after="0" w:line="240" w:lineRule="auto"/>
              <w:rPr>
                <w:rFonts w:ascii="Arial" w:eastAsia="Times New Roman" w:hAnsi="Arial" w:cs="Arial"/>
                <w:color w:val="000000"/>
                <w:sz w:val="14"/>
                <w:szCs w:val="14"/>
                <w:lang w:eastAsia="es-CO"/>
              </w:rPr>
            </w:pPr>
          </w:p>
        </w:tc>
      </w:tr>
    </w:tbl>
    <w:p w:rsidR="002C55BE" w:rsidRPr="004758CA" w:rsidRDefault="002C55BE" w:rsidP="002C55BE">
      <w:pPr>
        <w:widowControl w:val="0"/>
        <w:autoSpaceDE w:val="0"/>
        <w:autoSpaceDN w:val="0"/>
        <w:adjustRightInd w:val="0"/>
        <w:spacing w:after="0" w:line="240" w:lineRule="auto"/>
        <w:jc w:val="both"/>
        <w:rPr>
          <w:rFonts w:ascii="Arial" w:hAnsi="Arial" w:cs="Arial"/>
          <w:color w:val="000000"/>
        </w:rPr>
      </w:pPr>
    </w:p>
    <w:p w:rsidR="002C55BE" w:rsidRDefault="002C55BE" w:rsidP="002C55BE">
      <w:pPr>
        <w:widowControl w:val="0"/>
        <w:autoSpaceDE w:val="0"/>
        <w:autoSpaceDN w:val="0"/>
        <w:adjustRightInd w:val="0"/>
        <w:spacing w:after="0" w:line="240" w:lineRule="auto"/>
        <w:jc w:val="both"/>
        <w:rPr>
          <w:rFonts w:ascii="Arial" w:hAnsi="Arial" w:cs="Arial"/>
          <w:color w:val="000000"/>
          <w:lang w:val="es-ES_tradnl"/>
        </w:rPr>
      </w:pPr>
      <w:r w:rsidRPr="005B3C08">
        <w:rPr>
          <w:rFonts w:ascii="Arial" w:hAnsi="Arial" w:cs="Arial"/>
          <w:color w:val="000000"/>
          <w:lang w:val="es-ES_tradnl"/>
        </w:rPr>
        <w:t>Respecto del incumplimiento en los pagos por parte de las EPS a las IPS, es importante tener en cuenta el contexto de las normas y procedimientos del Sistema General de Seguridad Social en Salud que regulan las relaciones entre aseguradores, el FOSYGA, las Entidades Territoriales y los prestadores de servicios de salud, así como la tipología y las características propias de cada una de las fuentes y ciclos específicos en el flujo y recuperación</w:t>
      </w:r>
      <w:r>
        <w:rPr>
          <w:rFonts w:ascii="Arial" w:hAnsi="Arial" w:cs="Arial"/>
          <w:color w:val="000000"/>
          <w:lang w:val="es-ES_tradnl"/>
        </w:rPr>
        <w:t>, a</w:t>
      </w:r>
      <w:r w:rsidRPr="005B3C08">
        <w:rPr>
          <w:rFonts w:ascii="Arial" w:hAnsi="Arial" w:cs="Arial"/>
          <w:color w:val="000000"/>
          <w:lang w:val="es-ES_tradnl"/>
        </w:rPr>
        <w:t>sí como la aplicación de los mismos.</w:t>
      </w:r>
    </w:p>
    <w:p w:rsidR="002C55BE" w:rsidRDefault="002C55BE" w:rsidP="002C55BE">
      <w:pPr>
        <w:widowControl w:val="0"/>
        <w:autoSpaceDE w:val="0"/>
        <w:autoSpaceDN w:val="0"/>
        <w:adjustRightInd w:val="0"/>
        <w:spacing w:after="0" w:line="240" w:lineRule="auto"/>
        <w:jc w:val="both"/>
        <w:rPr>
          <w:rFonts w:ascii="Arial" w:hAnsi="Arial" w:cs="Arial"/>
          <w:color w:val="000000"/>
          <w:lang w:val="es-ES_tradnl"/>
        </w:rPr>
      </w:pPr>
    </w:p>
    <w:p w:rsidR="002C55BE" w:rsidRPr="00367621" w:rsidRDefault="002C55BE" w:rsidP="002C55BE">
      <w:pPr>
        <w:widowControl w:val="0"/>
        <w:spacing w:after="0" w:line="240" w:lineRule="atLeast"/>
        <w:jc w:val="both"/>
        <w:rPr>
          <w:rFonts w:ascii="Arial" w:hAnsi="Arial" w:cs="Arial"/>
          <w:color w:val="000000"/>
          <w:lang w:val="es-ES"/>
        </w:rPr>
      </w:pPr>
      <w:r w:rsidRPr="00367621">
        <w:rPr>
          <w:rFonts w:ascii="Arial" w:hAnsi="Arial" w:cs="Arial"/>
          <w:color w:val="000000"/>
          <w:lang w:val="es-ES"/>
        </w:rPr>
        <w:t xml:space="preserve">El Gobierno Nacional a través de diferentes normas ha establecido mecanismos para agilizar el flujo de recursos y garantizar el pago de las deudas tanto por concepto de recobros, como por la financiación del Régimen Subsidiado, a través de la liquidación de afiliados y </w:t>
      </w:r>
      <w:r>
        <w:rPr>
          <w:rFonts w:ascii="Arial" w:hAnsi="Arial" w:cs="Arial"/>
          <w:color w:val="000000"/>
          <w:lang w:val="es-ES"/>
        </w:rPr>
        <w:t>de  la liquidación de contratos.</w:t>
      </w:r>
    </w:p>
    <w:p w:rsidR="002C55BE" w:rsidRPr="00FE76F7" w:rsidRDefault="002C55BE" w:rsidP="002C55BE">
      <w:pPr>
        <w:widowControl w:val="0"/>
        <w:autoSpaceDE w:val="0"/>
        <w:autoSpaceDN w:val="0"/>
        <w:adjustRightInd w:val="0"/>
        <w:spacing w:after="0" w:line="240" w:lineRule="auto"/>
        <w:jc w:val="both"/>
        <w:rPr>
          <w:rFonts w:ascii="Arial" w:hAnsi="Arial" w:cs="Arial"/>
          <w:color w:val="000000"/>
          <w:lang w:val="es-ES"/>
        </w:rPr>
      </w:pPr>
    </w:p>
    <w:p w:rsidR="002C55BE" w:rsidRDefault="002C55BE" w:rsidP="002C55BE">
      <w:pPr>
        <w:widowControl w:val="0"/>
        <w:autoSpaceDE w:val="0"/>
        <w:autoSpaceDN w:val="0"/>
        <w:adjustRightInd w:val="0"/>
        <w:spacing w:after="0" w:line="240" w:lineRule="auto"/>
        <w:jc w:val="both"/>
        <w:rPr>
          <w:rFonts w:ascii="Arial" w:hAnsi="Arial" w:cs="Arial"/>
          <w:color w:val="000000"/>
          <w:lang w:val="es-ES_tradnl"/>
        </w:rPr>
      </w:pPr>
      <w:r w:rsidRPr="005B3C08">
        <w:rPr>
          <w:rFonts w:ascii="Arial" w:hAnsi="Arial" w:cs="Arial"/>
          <w:color w:val="000000"/>
          <w:lang w:val="es-ES_tradnl"/>
        </w:rPr>
        <w:t>Al respecto, el artículo 13 de la Ley 1122 de 2007 estableció el procedimiento para el flujo y protección de los recursos que financian el Sistema General de Seguridad Social en Salud en los regímenes contributivo y subsidiado, reglamentado mediante el Decreto 4747 de 2007, por medio del cual se regulan algunos aspectos de las relaciones entre los prestadores de servicios de salud y las entidades responsables del pago de los servicios de salud de la población a su cargo.</w:t>
      </w:r>
    </w:p>
    <w:p w:rsidR="002C55BE" w:rsidRDefault="002C55BE" w:rsidP="002C55BE">
      <w:pPr>
        <w:widowControl w:val="0"/>
        <w:autoSpaceDE w:val="0"/>
        <w:autoSpaceDN w:val="0"/>
        <w:adjustRightInd w:val="0"/>
        <w:spacing w:after="0" w:line="240" w:lineRule="auto"/>
        <w:jc w:val="both"/>
        <w:rPr>
          <w:rFonts w:ascii="Arial" w:hAnsi="Arial" w:cs="Arial"/>
          <w:color w:val="000000"/>
          <w:lang w:val="es-ES_tradnl"/>
        </w:rPr>
      </w:pPr>
    </w:p>
    <w:p w:rsidR="002C55BE" w:rsidRDefault="002C55BE" w:rsidP="002C55BE">
      <w:pPr>
        <w:widowControl w:val="0"/>
        <w:autoSpaceDE w:val="0"/>
        <w:autoSpaceDN w:val="0"/>
        <w:adjustRightInd w:val="0"/>
        <w:spacing w:after="0" w:line="240" w:lineRule="auto"/>
        <w:jc w:val="both"/>
        <w:rPr>
          <w:rFonts w:ascii="Arial" w:hAnsi="Arial" w:cs="Arial"/>
          <w:color w:val="000000"/>
          <w:lang w:val="es-ES_tradnl"/>
        </w:rPr>
      </w:pPr>
      <w:r w:rsidRPr="005B3C08">
        <w:rPr>
          <w:rFonts w:ascii="Arial" w:hAnsi="Arial" w:cs="Arial"/>
          <w:color w:val="000000"/>
          <w:lang w:val="es-ES_tradnl"/>
        </w:rPr>
        <w:t>La Ley 1438 de 2011 en el artículo 29, estableció que el hoy Ministerio de Salud y Protección Social gira directamente, a nombre de las Entidades Territoriales, la Unidad de Pago por Capitación a las Entidades Promotoras de Salud, y que puede realizar pagos directos a las Instituciones Prestadoras de Salud.</w:t>
      </w:r>
    </w:p>
    <w:p w:rsidR="002C55BE" w:rsidRPr="00367621" w:rsidRDefault="002C55BE" w:rsidP="002C55BE">
      <w:pPr>
        <w:widowControl w:val="0"/>
        <w:spacing w:after="0" w:line="240" w:lineRule="atLeast"/>
        <w:jc w:val="both"/>
        <w:rPr>
          <w:rFonts w:ascii="Arial" w:hAnsi="Arial" w:cs="Arial"/>
          <w:color w:val="000000"/>
          <w:lang w:val="es-ES"/>
        </w:rPr>
      </w:pPr>
    </w:p>
    <w:p w:rsidR="002C55BE" w:rsidRDefault="002C55BE" w:rsidP="002C55BE">
      <w:pPr>
        <w:widowControl w:val="0"/>
        <w:spacing w:after="0" w:line="240" w:lineRule="atLeast"/>
        <w:jc w:val="both"/>
        <w:rPr>
          <w:rFonts w:ascii="Arial" w:hAnsi="Arial" w:cs="Arial"/>
          <w:color w:val="000000"/>
          <w:lang w:val="es-ES_tradnl"/>
        </w:rPr>
      </w:pPr>
      <w:r w:rsidRPr="00367621">
        <w:rPr>
          <w:rFonts w:ascii="Arial" w:hAnsi="Arial" w:cs="Arial"/>
          <w:color w:val="000000"/>
          <w:lang w:val="es-ES"/>
        </w:rPr>
        <w:t>Con el Decreto 971</w:t>
      </w:r>
      <w:r>
        <w:rPr>
          <w:rStyle w:val="Refdenotaalpie"/>
          <w:rFonts w:ascii="Arial" w:hAnsi="Arial" w:cs="Arial"/>
          <w:color w:val="000000"/>
          <w:lang w:val="es-ES"/>
        </w:rPr>
        <w:footnoteReference w:id="1"/>
      </w:r>
      <w:r w:rsidRPr="00367621">
        <w:rPr>
          <w:rFonts w:ascii="Arial" w:hAnsi="Arial" w:cs="Arial"/>
          <w:color w:val="000000"/>
          <w:lang w:val="es-ES"/>
        </w:rPr>
        <w:t xml:space="preserve"> de 2011 se reglamentó el giro directo a las EPS y a las IPS, eliminando el paso del flujo de efectivo </w:t>
      </w:r>
      <w:r>
        <w:rPr>
          <w:rFonts w:ascii="Arial" w:hAnsi="Arial" w:cs="Arial"/>
          <w:color w:val="000000"/>
          <w:lang w:val="es-ES"/>
        </w:rPr>
        <w:t xml:space="preserve">de los recursos del Régimen Subsidiado </w:t>
      </w:r>
      <w:r w:rsidRPr="00367621">
        <w:rPr>
          <w:rFonts w:ascii="Arial" w:hAnsi="Arial" w:cs="Arial"/>
          <w:color w:val="000000"/>
          <w:lang w:val="es-ES"/>
        </w:rPr>
        <w:t xml:space="preserve">por la Entidad Territorial. </w:t>
      </w:r>
      <w:r w:rsidRPr="005B3C08">
        <w:rPr>
          <w:rFonts w:ascii="Arial" w:hAnsi="Arial" w:cs="Arial"/>
          <w:color w:val="000000"/>
          <w:lang w:val="es-ES_tradnl"/>
        </w:rPr>
        <w:t xml:space="preserve">Los municipios deben ejecutar sin situación de fondos, con la información que publica el Ministerio de Salud y Protección Social sobre la liquidación y giro mensual de los recursos del Régimen Subsidiado del nivel Nacional. Las EPS autorizan el pago directo a las IPS indicando al Ministerio la identificación del prestador, la cuantía y la cuenta bancaria donde se depositan los recursos. </w:t>
      </w:r>
    </w:p>
    <w:p w:rsidR="002C55BE" w:rsidRDefault="002C55BE" w:rsidP="002C55BE">
      <w:pPr>
        <w:widowControl w:val="0"/>
        <w:spacing w:after="0" w:line="240" w:lineRule="atLeast"/>
        <w:jc w:val="both"/>
        <w:rPr>
          <w:rFonts w:ascii="Arial" w:hAnsi="Arial" w:cs="Arial"/>
          <w:color w:val="000000"/>
          <w:lang w:val="es-ES_tradnl"/>
        </w:rPr>
      </w:pPr>
    </w:p>
    <w:p w:rsidR="002C55BE" w:rsidRPr="00367621" w:rsidRDefault="002C55BE" w:rsidP="002C55BE">
      <w:pPr>
        <w:widowControl w:val="0"/>
        <w:spacing w:after="0" w:line="240" w:lineRule="atLeast"/>
        <w:jc w:val="both"/>
        <w:rPr>
          <w:rFonts w:ascii="Arial" w:hAnsi="Arial" w:cs="Arial"/>
          <w:color w:val="000000"/>
          <w:lang w:val="es-ES"/>
        </w:rPr>
      </w:pPr>
      <w:r w:rsidRPr="00367621">
        <w:rPr>
          <w:rFonts w:ascii="Arial" w:hAnsi="Arial" w:cs="Arial"/>
          <w:color w:val="000000"/>
          <w:lang w:val="es-ES"/>
        </w:rPr>
        <w:t xml:space="preserve">Con el giro directo, se dinamiza el flujo de caja corriente con el pago de las deudas de las EPS </w:t>
      </w:r>
      <w:r w:rsidRPr="00367621">
        <w:rPr>
          <w:rFonts w:ascii="Arial" w:hAnsi="Arial" w:cs="Arial"/>
          <w:color w:val="000000"/>
          <w:lang w:val="es-ES"/>
        </w:rPr>
        <w:lastRenderedPageBreak/>
        <w:t xml:space="preserve">con las Instituciones Prestadoras de Servicios de Salud, es responsabilidad de las EPS,  según lo establecido en la Resolución 4182 de 2011 del MSPS, informar </w:t>
      </w:r>
      <w:r>
        <w:rPr>
          <w:rFonts w:ascii="Arial" w:hAnsi="Arial" w:cs="Arial"/>
          <w:color w:val="000000"/>
          <w:lang w:val="es-ES"/>
        </w:rPr>
        <w:t xml:space="preserve">a la </w:t>
      </w:r>
      <w:r w:rsidRPr="00367621">
        <w:rPr>
          <w:rFonts w:ascii="Arial" w:hAnsi="Arial" w:cs="Arial"/>
          <w:color w:val="000000"/>
          <w:lang w:val="es-ES"/>
        </w:rPr>
        <w:t xml:space="preserve">institución prestadora de servicios de salud a qué facturas corresponde los giros directos para que así disminuya el pasivo en la entidad pagadora y no constituir e incrementar anticipos. Igualmente es obligación de los prestadores de servicios, aplicar los pagos a la cartera correspondiente, o en su defecto cuando la EPS no ha cumplido con lo establecido en la Resolución 4182 de 2011, contabilizar como un menor de la cartera el valor del giro directo en la cuenta establecida. </w:t>
      </w:r>
    </w:p>
    <w:p w:rsidR="002C55BE" w:rsidRDefault="002C55BE" w:rsidP="002C55BE">
      <w:pPr>
        <w:widowControl w:val="0"/>
        <w:autoSpaceDE w:val="0"/>
        <w:autoSpaceDN w:val="0"/>
        <w:adjustRightInd w:val="0"/>
        <w:spacing w:after="0" w:line="240" w:lineRule="auto"/>
        <w:jc w:val="both"/>
        <w:rPr>
          <w:rFonts w:ascii="Arial" w:hAnsi="Arial" w:cs="Arial"/>
          <w:color w:val="000000"/>
          <w:lang w:val="es-ES"/>
        </w:rPr>
      </w:pPr>
    </w:p>
    <w:p w:rsidR="002C55BE" w:rsidRDefault="002C55BE" w:rsidP="002C55BE">
      <w:pPr>
        <w:widowControl w:val="0"/>
        <w:autoSpaceDE w:val="0"/>
        <w:autoSpaceDN w:val="0"/>
        <w:adjustRightInd w:val="0"/>
        <w:spacing w:after="0" w:line="240" w:lineRule="auto"/>
        <w:jc w:val="both"/>
        <w:rPr>
          <w:rFonts w:ascii="Arial" w:hAnsi="Arial" w:cs="Arial"/>
          <w:color w:val="000000"/>
          <w:lang w:val="es-ES_tradnl"/>
        </w:rPr>
      </w:pPr>
      <w:r w:rsidRPr="005B3C08">
        <w:rPr>
          <w:rFonts w:ascii="Arial" w:hAnsi="Arial" w:cs="Arial"/>
          <w:color w:val="000000"/>
          <w:lang w:val="es-ES_tradnl"/>
        </w:rPr>
        <w:t xml:space="preserve">Se precisa que la celeridad en el pago al aplicar el giro directo de los recursos del Régimen subsidiado presenta dificultades estructurales que se evidencian en las diferencias en los registros contables de las EPS e IPS. Al respecto es importante tener en cuenta que el procedimiento para el registro de las cuentas por cobrar en las Prestadoras de Servicios de Salud es diferente en el momento del registro para la </w:t>
      </w:r>
      <w:proofErr w:type="spellStart"/>
      <w:r w:rsidRPr="005B3C08">
        <w:rPr>
          <w:rFonts w:ascii="Arial" w:hAnsi="Arial" w:cs="Arial"/>
          <w:color w:val="000000"/>
          <w:lang w:val="es-ES_tradnl"/>
        </w:rPr>
        <w:t>causación</w:t>
      </w:r>
      <w:proofErr w:type="spellEnd"/>
      <w:r w:rsidRPr="005B3C08">
        <w:rPr>
          <w:rFonts w:ascii="Arial" w:hAnsi="Arial" w:cs="Arial"/>
          <w:color w:val="000000"/>
          <w:lang w:val="es-ES_tradnl"/>
        </w:rPr>
        <w:t xml:space="preserve"> de las obligaciones por parte de las entidades responsables del pago. </w:t>
      </w:r>
    </w:p>
    <w:p w:rsidR="002C55BE" w:rsidRDefault="002C55BE" w:rsidP="002C55BE">
      <w:pPr>
        <w:widowControl w:val="0"/>
        <w:autoSpaceDE w:val="0"/>
        <w:autoSpaceDN w:val="0"/>
        <w:adjustRightInd w:val="0"/>
        <w:spacing w:after="0" w:line="240" w:lineRule="auto"/>
        <w:jc w:val="both"/>
        <w:rPr>
          <w:rFonts w:ascii="Arial" w:hAnsi="Arial" w:cs="Arial"/>
          <w:color w:val="000000"/>
          <w:lang w:val="es-ES_tradnl"/>
        </w:rPr>
      </w:pPr>
    </w:p>
    <w:p w:rsidR="002C55BE" w:rsidRDefault="002C55BE" w:rsidP="002C55BE">
      <w:pPr>
        <w:widowControl w:val="0"/>
        <w:autoSpaceDE w:val="0"/>
        <w:autoSpaceDN w:val="0"/>
        <w:adjustRightInd w:val="0"/>
        <w:spacing w:after="0" w:line="240" w:lineRule="auto"/>
        <w:jc w:val="both"/>
        <w:rPr>
          <w:rFonts w:ascii="Arial" w:hAnsi="Arial" w:cs="Arial"/>
          <w:color w:val="000000"/>
          <w:lang w:val="es-ES_tradnl"/>
        </w:rPr>
      </w:pPr>
      <w:r w:rsidRPr="005B3C08">
        <w:rPr>
          <w:rFonts w:ascii="Arial" w:hAnsi="Arial" w:cs="Arial"/>
          <w:color w:val="000000"/>
          <w:lang w:val="es-ES_tradnl"/>
        </w:rPr>
        <w:t>Respecto de las EPS el ciclo y registro de las cuentas está determinado desde la autorización del servicio, la auditoría integral de las cuentas y la aprobación de las mismas, la EPS registra las facturas aprobadas. A este tema se suma la problemática de las cuentas devueltas y las glosas</w:t>
      </w:r>
      <w:r>
        <w:rPr>
          <w:rFonts w:ascii="Arial" w:hAnsi="Arial" w:cs="Arial"/>
          <w:color w:val="000000"/>
          <w:lang w:val="es-ES_tradnl"/>
        </w:rPr>
        <w:t>.</w:t>
      </w:r>
    </w:p>
    <w:p w:rsidR="002C55BE" w:rsidRPr="005B3C08" w:rsidRDefault="002C55BE" w:rsidP="002C55BE">
      <w:pPr>
        <w:widowControl w:val="0"/>
        <w:autoSpaceDE w:val="0"/>
        <w:autoSpaceDN w:val="0"/>
        <w:adjustRightInd w:val="0"/>
        <w:spacing w:after="0" w:line="240" w:lineRule="auto"/>
        <w:jc w:val="both"/>
        <w:rPr>
          <w:rFonts w:ascii="Arial" w:hAnsi="Arial" w:cs="Arial"/>
          <w:color w:val="000000"/>
          <w:lang w:val="es-ES_tradnl"/>
        </w:rPr>
      </w:pPr>
    </w:p>
    <w:p w:rsidR="002C55BE" w:rsidRDefault="002C55BE" w:rsidP="002C55BE">
      <w:pPr>
        <w:widowControl w:val="0"/>
        <w:autoSpaceDE w:val="0"/>
        <w:autoSpaceDN w:val="0"/>
        <w:adjustRightInd w:val="0"/>
        <w:spacing w:after="0" w:line="240" w:lineRule="auto"/>
        <w:jc w:val="both"/>
        <w:rPr>
          <w:rFonts w:ascii="Arial" w:hAnsi="Arial" w:cs="Arial"/>
          <w:color w:val="000000"/>
          <w:lang w:val="es-ES_tradnl"/>
        </w:rPr>
      </w:pPr>
      <w:r>
        <w:rPr>
          <w:rFonts w:ascii="Arial" w:hAnsi="Arial" w:cs="Arial"/>
          <w:color w:val="000000"/>
          <w:lang w:val="es-ES_tradnl"/>
        </w:rPr>
        <w:t>Por su parte, l</w:t>
      </w:r>
      <w:r w:rsidRPr="003E179C">
        <w:rPr>
          <w:rFonts w:ascii="Arial" w:hAnsi="Arial" w:cs="Arial"/>
          <w:color w:val="000000"/>
          <w:lang w:val="es-ES_tradnl"/>
        </w:rPr>
        <w:t>as IPS causan la cuenta por cobrar con base en la facturación generada, la cual es radicada ante el responsable del pago, previa organización con los soportes requeridos para sustentar la prestación de los servicios facturados.</w:t>
      </w:r>
    </w:p>
    <w:p w:rsidR="002C55BE" w:rsidRDefault="002C55BE" w:rsidP="002C55BE">
      <w:pPr>
        <w:widowControl w:val="0"/>
        <w:autoSpaceDE w:val="0"/>
        <w:autoSpaceDN w:val="0"/>
        <w:adjustRightInd w:val="0"/>
        <w:spacing w:after="0" w:line="240" w:lineRule="auto"/>
        <w:jc w:val="both"/>
        <w:rPr>
          <w:rFonts w:ascii="Arial" w:hAnsi="Arial" w:cs="Arial"/>
          <w:color w:val="000000"/>
          <w:lang w:val="es-ES_tradnl"/>
        </w:rPr>
      </w:pPr>
    </w:p>
    <w:p w:rsidR="002C55BE" w:rsidRDefault="002C55BE" w:rsidP="002C55BE">
      <w:pPr>
        <w:widowControl w:val="0"/>
        <w:autoSpaceDE w:val="0"/>
        <w:autoSpaceDN w:val="0"/>
        <w:adjustRightInd w:val="0"/>
        <w:spacing w:after="0" w:line="240" w:lineRule="auto"/>
        <w:jc w:val="both"/>
        <w:rPr>
          <w:rFonts w:ascii="Arial" w:hAnsi="Arial" w:cs="Arial"/>
          <w:color w:val="000000"/>
          <w:lang w:val="es-ES_tradnl"/>
        </w:rPr>
      </w:pPr>
      <w:r w:rsidRPr="003E179C">
        <w:rPr>
          <w:rFonts w:ascii="Arial" w:hAnsi="Arial" w:cs="Arial"/>
          <w:color w:val="000000"/>
          <w:lang w:val="es-ES_tradnl"/>
        </w:rPr>
        <w:t>Entre la generación de la factura en la entidad prestadora y la radicación de la misma ante la entidad pagadora, transcurre un lapso de tiempo para que ésta la reciba, la radique y la cause en la contabilidad como una obligación por pagar.</w:t>
      </w:r>
    </w:p>
    <w:p w:rsidR="002C55BE" w:rsidRPr="005B3C08" w:rsidRDefault="002C55BE" w:rsidP="002C55BE">
      <w:pPr>
        <w:widowControl w:val="0"/>
        <w:autoSpaceDE w:val="0"/>
        <w:autoSpaceDN w:val="0"/>
        <w:adjustRightInd w:val="0"/>
        <w:spacing w:after="0" w:line="240" w:lineRule="auto"/>
        <w:jc w:val="both"/>
        <w:rPr>
          <w:rFonts w:ascii="Arial" w:hAnsi="Arial" w:cs="Arial"/>
          <w:color w:val="000000"/>
          <w:lang w:val="es-ES_tradnl"/>
        </w:rPr>
      </w:pPr>
    </w:p>
    <w:p w:rsidR="002C55BE" w:rsidRDefault="002C55BE" w:rsidP="002C55BE">
      <w:pPr>
        <w:widowControl w:val="0"/>
        <w:autoSpaceDE w:val="0"/>
        <w:autoSpaceDN w:val="0"/>
        <w:adjustRightInd w:val="0"/>
        <w:spacing w:after="0" w:line="240" w:lineRule="auto"/>
        <w:jc w:val="both"/>
        <w:rPr>
          <w:rFonts w:ascii="Arial" w:hAnsi="Arial" w:cs="Arial"/>
          <w:color w:val="000000"/>
          <w:lang w:val="es-ES_tradnl"/>
        </w:rPr>
      </w:pPr>
      <w:r w:rsidRPr="005B3C08">
        <w:rPr>
          <w:rFonts w:ascii="Arial" w:hAnsi="Arial" w:cs="Arial"/>
          <w:color w:val="000000"/>
          <w:lang w:val="es-ES_tradnl"/>
        </w:rPr>
        <w:t xml:space="preserve">Adicionalmente, por parte de las EPS no se informa </w:t>
      </w:r>
      <w:r>
        <w:rPr>
          <w:rFonts w:ascii="Arial" w:hAnsi="Arial" w:cs="Arial"/>
          <w:color w:val="000000"/>
          <w:lang w:val="es-ES_tradnl"/>
        </w:rPr>
        <w:t xml:space="preserve">oportunamente </w:t>
      </w:r>
      <w:r w:rsidRPr="005B3C08">
        <w:rPr>
          <w:rFonts w:ascii="Arial" w:hAnsi="Arial" w:cs="Arial"/>
          <w:color w:val="000000"/>
          <w:lang w:val="es-ES_tradnl"/>
        </w:rPr>
        <w:t>a los prestadores de servicios de salud la relación de las facturas canceladas, para que las IPS procedan a descargarlas del estado de cuenta.</w:t>
      </w:r>
    </w:p>
    <w:p w:rsidR="002C55BE" w:rsidRDefault="002C55BE" w:rsidP="002C55BE">
      <w:pPr>
        <w:widowControl w:val="0"/>
        <w:autoSpaceDE w:val="0"/>
        <w:autoSpaceDN w:val="0"/>
        <w:adjustRightInd w:val="0"/>
        <w:spacing w:after="0" w:line="240" w:lineRule="auto"/>
        <w:jc w:val="both"/>
        <w:rPr>
          <w:rFonts w:ascii="Arial" w:hAnsi="Arial" w:cs="Arial"/>
          <w:color w:val="000000"/>
          <w:lang w:val="es-ES_tradnl"/>
        </w:rPr>
      </w:pPr>
    </w:p>
    <w:p w:rsidR="002C55BE" w:rsidRDefault="002C55BE" w:rsidP="002C55BE">
      <w:pPr>
        <w:widowControl w:val="0"/>
        <w:autoSpaceDE w:val="0"/>
        <w:autoSpaceDN w:val="0"/>
        <w:adjustRightInd w:val="0"/>
        <w:spacing w:after="0" w:line="240" w:lineRule="auto"/>
        <w:jc w:val="both"/>
        <w:rPr>
          <w:rFonts w:ascii="Arial" w:hAnsi="Arial" w:cs="Arial"/>
          <w:color w:val="000000"/>
          <w:lang w:val="es-ES_tradnl"/>
        </w:rPr>
      </w:pPr>
      <w:r w:rsidRPr="005B3C08">
        <w:rPr>
          <w:rFonts w:ascii="Arial" w:hAnsi="Arial" w:cs="Arial"/>
          <w:color w:val="000000"/>
          <w:lang w:val="es-ES_tradnl"/>
        </w:rPr>
        <w:t>Por</w:t>
      </w:r>
      <w:r>
        <w:rPr>
          <w:rFonts w:ascii="Arial" w:hAnsi="Arial" w:cs="Arial"/>
          <w:color w:val="000000"/>
          <w:lang w:val="es-ES_tradnl"/>
        </w:rPr>
        <w:t xml:space="preserve"> otra</w:t>
      </w:r>
      <w:r w:rsidRPr="005B3C08">
        <w:rPr>
          <w:rFonts w:ascii="Arial" w:hAnsi="Arial" w:cs="Arial"/>
          <w:color w:val="000000"/>
          <w:lang w:val="es-ES_tradnl"/>
        </w:rPr>
        <w:t xml:space="preserve"> parte, las IPS una vez recibido el pago no descarga</w:t>
      </w:r>
      <w:r>
        <w:rPr>
          <w:rFonts w:ascii="Arial" w:hAnsi="Arial" w:cs="Arial"/>
          <w:color w:val="000000"/>
          <w:lang w:val="es-ES_tradnl"/>
        </w:rPr>
        <w:t>n</w:t>
      </w:r>
      <w:r w:rsidRPr="005B3C08">
        <w:rPr>
          <w:rFonts w:ascii="Arial" w:hAnsi="Arial" w:cs="Arial"/>
          <w:color w:val="000000"/>
          <w:lang w:val="es-ES_tradnl"/>
        </w:rPr>
        <w:t xml:space="preserve"> las facturas canceladas, ni realiza</w:t>
      </w:r>
      <w:r>
        <w:rPr>
          <w:rFonts w:ascii="Arial" w:hAnsi="Arial" w:cs="Arial"/>
          <w:color w:val="000000"/>
          <w:lang w:val="es-ES_tradnl"/>
        </w:rPr>
        <w:t>n</w:t>
      </w:r>
      <w:r w:rsidRPr="005B3C08">
        <w:rPr>
          <w:rFonts w:ascii="Arial" w:hAnsi="Arial" w:cs="Arial"/>
          <w:color w:val="000000"/>
          <w:lang w:val="es-ES_tradnl"/>
        </w:rPr>
        <w:t xml:space="preserve"> las conciliaciones con el pagador; situación que origina la diferencia entre los valores reportados por  la EPS en las cuentas por pagar y en las IPS en las cuentas por cobrar.</w:t>
      </w:r>
    </w:p>
    <w:p w:rsidR="002C55BE" w:rsidRPr="005B3C08" w:rsidRDefault="002C55BE" w:rsidP="002C55BE">
      <w:pPr>
        <w:widowControl w:val="0"/>
        <w:autoSpaceDE w:val="0"/>
        <w:autoSpaceDN w:val="0"/>
        <w:adjustRightInd w:val="0"/>
        <w:spacing w:after="0" w:line="240" w:lineRule="auto"/>
        <w:jc w:val="both"/>
        <w:rPr>
          <w:rFonts w:ascii="Arial" w:hAnsi="Arial" w:cs="Arial"/>
          <w:color w:val="000000"/>
          <w:lang w:val="es-ES_tradnl"/>
        </w:rPr>
      </w:pPr>
    </w:p>
    <w:p w:rsidR="002C55BE" w:rsidRPr="00367621" w:rsidRDefault="002C55BE" w:rsidP="002C55BE">
      <w:pPr>
        <w:widowControl w:val="0"/>
        <w:spacing w:after="0" w:line="240" w:lineRule="atLeast"/>
        <w:jc w:val="both"/>
        <w:rPr>
          <w:rFonts w:ascii="Arial" w:hAnsi="Arial" w:cs="Arial"/>
          <w:color w:val="000000"/>
          <w:lang w:val="es-ES"/>
        </w:rPr>
      </w:pPr>
      <w:r w:rsidRPr="00367621">
        <w:rPr>
          <w:rFonts w:ascii="Arial" w:hAnsi="Arial" w:cs="Arial"/>
          <w:color w:val="000000"/>
          <w:lang w:val="es-ES"/>
        </w:rPr>
        <w:t xml:space="preserve">Respecto a la Cartera por recobros al FOSYGA, en el </w:t>
      </w:r>
      <w:r>
        <w:rPr>
          <w:rFonts w:ascii="Arial" w:hAnsi="Arial" w:cs="Arial"/>
          <w:color w:val="000000"/>
          <w:lang w:val="es-ES"/>
        </w:rPr>
        <w:t>a</w:t>
      </w:r>
      <w:r w:rsidRPr="00367621">
        <w:rPr>
          <w:rFonts w:ascii="Arial" w:hAnsi="Arial" w:cs="Arial"/>
          <w:color w:val="000000"/>
          <w:lang w:val="es-ES"/>
        </w:rPr>
        <w:t>rtículo 122</w:t>
      </w:r>
      <w:r>
        <w:rPr>
          <w:rFonts w:ascii="Arial" w:hAnsi="Arial" w:cs="Arial"/>
          <w:color w:val="000000"/>
          <w:lang w:val="es-ES"/>
        </w:rPr>
        <w:t xml:space="preserve"> del </w:t>
      </w:r>
      <w:r w:rsidRPr="00367621">
        <w:rPr>
          <w:rFonts w:ascii="Arial" w:hAnsi="Arial" w:cs="Arial"/>
          <w:color w:val="000000"/>
          <w:lang w:val="es-ES"/>
        </w:rPr>
        <w:t>Decreto Ley 019 de 2012, el Gobierno Nacional estableció el procedimiento para el saneamiento de cuentas por recobros. El Ministerio de Salud y Protección Social adelanta con las EPS el proceso de clarificar las causales de glosa para que las entidades establezcan el valor real de las deudas por recobros y las glosas definitivas con lo cual deben establecer los montos reales a cobrar y en consecuencia depurar esta cartera.</w:t>
      </w:r>
    </w:p>
    <w:p w:rsidR="002C55BE" w:rsidRPr="00367621" w:rsidRDefault="002C55BE" w:rsidP="002C55BE">
      <w:pPr>
        <w:widowControl w:val="0"/>
        <w:spacing w:after="0" w:line="240" w:lineRule="atLeast"/>
        <w:jc w:val="both"/>
        <w:rPr>
          <w:rFonts w:ascii="Arial" w:hAnsi="Arial" w:cs="Arial"/>
          <w:color w:val="000000"/>
          <w:lang w:val="es-ES"/>
        </w:rPr>
      </w:pPr>
    </w:p>
    <w:p w:rsidR="002C55BE" w:rsidRPr="00367621" w:rsidRDefault="002C55BE" w:rsidP="002C55BE">
      <w:pPr>
        <w:widowControl w:val="0"/>
        <w:spacing w:after="0" w:line="240" w:lineRule="atLeast"/>
        <w:jc w:val="both"/>
        <w:rPr>
          <w:rFonts w:ascii="Arial" w:hAnsi="Arial" w:cs="Arial"/>
          <w:color w:val="000000"/>
          <w:lang w:val="es-ES"/>
        </w:rPr>
      </w:pPr>
      <w:r w:rsidRPr="00367621">
        <w:rPr>
          <w:rFonts w:ascii="Arial" w:hAnsi="Arial" w:cs="Arial"/>
          <w:color w:val="000000"/>
          <w:lang w:val="es-ES"/>
        </w:rPr>
        <w:t>Igualmente, el parágrafo 1</w:t>
      </w:r>
      <w:r>
        <w:rPr>
          <w:rFonts w:ascii="Arial" w:hAnsi="Arial" w:cs="Arial"/>
          <w:color w:val="000000"/>
          <w:lang w:val="es-ES"/>
        </w:rPr>
        <w:t>°</w:t>
      </w:r>
      <w:r w:rsidRPr="00367621">
        <w:rPr>
          <w:rFonts w:ascii="Arial" w:hAnsi="Arial" w:cs="Arial"/>
          <w:color w:val="000000"/>
          <w:lang w:val="es-ES"/>
        </w:rPr>
        <w:t xml:space="preserve"> del </w:t>
      </w:r>
      <w:r>
        <w:rPr>
          <w:rFonts w:ascii="Arial" w:hAnsi="Arial" w:cs="Arial"/>
          <w:color w:val="000000"/>
          <w:lang w:val="es-ES"/>
        </w:rPr>
        <w:t>a</w:t>
      </w:r>
      <w:r w:rsidRPr="00367621">
        <w:rPr>
          <w:rFonts w:ascii="Arial" w:hAnsi="Arial" w:cs="Arial"/>
          <w:color w:val="000000"/>
          <w:lang w:val="es-ES"/>
        </w:rPr>
        <w:t xml:space="preserve">rtículo 111 del Decreto Ley 019 de 2012, señala: </w:t>
      </w:r>
      <w:r w:rsidRPr="00367621">
        <w:rPr>
          <w:rFonts w:ascii="Arial" w:hAnsi="Arial" w:cs="Arial"/>
          <w:i/>
          <w:color w:val="000000"/>
          <w:sz w:val="20"/>
          <w:lang w:val="es-ES"/>
        </w:rPr>
        <w:t>“Por una única vez el FOSYGA reconocerá y pagará todos aquellos recobros y/o reclamaciones cuya glosa aplicada en el proceso de auditoria haya sido únicamente la de extemporaneidad y respecto de la cual el resultado se haya notificado a la entidad reclamante y/o recobrante antes de la entrada en vigencia de la presente disposición…”</w:t>
      </w:r>
      <w:r w:rsidRPr="00367621">
        <w:rPr>
          <w:rFonts w:ascii="Arial" w:hAnsi="Arial" w:cs="Arial"/>
          <w:color w:val="000000"/>
          <w:sz w:val="20"/>
          <w:lang w:val="es-ES"/>
        </w:rPr>
        <w:t xml:space="preserve"> </w:t>
      </w:r>
    </w:p>
    <w:p w:rsidR="002C55BE" w:rsidRPr="00367621" w:rsidRDefault="002C55BE" w:rsidP="002C55BE">
      <w:pPr>
        <w:widowControl w:val="0"/>
        <w:spacing w:after="0" w:line="240" w:lineRule="atLeast"/>
        <w:jc w:val="both"/>
        <w:rPr>
          <w:rFonts w:ascii="Arial" w:hAnsi="Arial" w:cs="Arial"/>
          <w:color w:val="000000"/>
          <w:lang w:val="es-ES"/>
        </w:rPr>
      </w:pPr>
    </w:p>
    <w:p w:rsidR="002C55BE" w:rsidRPr="00367621" w:rsidRDefault="002C55BE" w:rsidP="002C55BE">
      <w:pPr>
        <w:widowControl w:val="0"/>
        <w:spacing w:after="0" w:line="240" w:lineRule="atLeast"/>
        <w:jc w:val="both"/>
        <w:rPr>
          <w:rFonts w:ascii="Arial" w:hAnsi="Arial" w:cs="Arial"/>
          <w:color w:val="000000"/>
          <w:lang w:val="es-ES"/>
        </w:rPr>
      </w:pPr>
      <w:r w:rsidRPr="00367621">
        <w:rPr>
          <w:rFonts w:ascii="Arial" w:hAnsi="Arial" w:cs="Arial"/>
          <w:color w:val="000000"/>
          <w:lang w:val="es-ES"/>
        </w:rPr>
        <w:t>De otra parte</w:t>
      </w:r>
      <w:r>
        <w:rPr>
          <w:rFonts w:ascii="Arial" w:hAnsi="Arial" w:cs="Arial"/>
          <w:color w:val="000000"/>
          <w:lang w:val="es-ES"/>
        </w:rPr>
        <w:t>,</w:t>
      </w:r>
      <w:r w:rsidRPr="00367621">
        <w:rPr>
          <w:rFonts w:ascii="Arial" w:hAnsi="Arial" w:cs="Arial"/>
          <w:color w:val="000000"/>
          <w:lang w:val="es-ES"/>
        </w:rPr>
        <w:t xml:space="preserve"> en las Leyes 1450 y 1485 de 2011 el Gobierno Nacional estableció mecanismos para garantizar el pago de las deudas del régimen subsidiado, las cuales reglamentó con el Decreto 1080 de 2012, con el cual señala el procedimiento y los  plazos  para el pago de las deudas del Régimen Subsidiado correspondientes a la liquidación de contratos,  que están en proceso de  depuración con el FOSYGA, las EPS y las E</w:t>
      </w:r>
      <w:r>
        <w:rPr>
          <w:rFonts w:ascii="Arial" w:hAnsi="Arial" w:cs="Arial"/>
          <w:color w:val="000000"/>
          <w:lang w:val="es-ES"/>
        </w:rPr>
        <w:t xml:space="preserve">ntidades </w:t>
      </w:r>
      <w:r w:rsidRPr="00367621">
        <w:rPr>
          <w:rFonts w:ascii="Arial" w:hAnsi="Arial" w:cs="Arial"/>
          <w:color w:val="000000"/>
          <w:lang w:val="es-ES"/>
        </w:rPr>
        <w:t>T</w:t>
      </w:r>
      <w:r>
        <w:rPr>
          <w:rFonts w:ascii="Arial" w:hAnsi="Arial" w:cs="Arial"/>
          <w:color w:val="000000"/>
          <w:lang w:val="es-ES"/>
        </w:rPr>
        <w:t>erritoriales</w:t>
      </w:r>
      <w:r w:rsidRPr="00367621">
        <w:rPr>
          <w:rFonts w:ascii="Arial" w:hAnsi="Arial" w:cs="Arial"/>
          <w:color w:val="000000"/>
          <w:lang w:val="es-ES"/>
        </w:rPr>
        <w:t>.</w:t>
      </w:r>
    </w:p>
    <w:p w:rsidR="002C55BE" w:rsidRDefault="002C55BE" w:rsidP="002C55BE">
      <w:pPr>
        <w:widowControl w:val="0"/>
        <w:spacing w:after="0" w:line="240" w:lineRule="atLeast"/>
        <w:jc w:val="both"/>
        <w:rPr>
          <w:rFonts w:ascii="Arial" w:hAnsi="Arial" w:cs="Arial"/>
          <w:color w:val="000000"/>
          <w:lang w:val="es-ES"/>
        </w:rPr>
      </w:pPr>
    </w:p>
    <w:p w:rsidR="002C55BE" w:rsidRPr="00367621" w:rsidRDefault="002C55BE" w:rsidP="002C55BE">
      <w:pPr>
        <w:widowControl w:val="0"/>
        <w:autoSpaceDE w:val="0"/>
        <w:autoSpaceDN w:val="0"/>
        <w:adjustRightInd w:val="0"/>
        <w:spacing w:after="0" w:line="240" w:lineRule="auto"/>
        <w:jc w:val="both"/>
        <w:rPr>
          <w:rFonts w:ascii="Arial" w:hAnsi="Arial" w:cs="Arial"/>
          <w:color w:val="000000"/>
          <w:lang w:val="es-ES"/>
        </w:rPr>
      </w:pPr>
      <w:r w:rsidRPr="00367621">
        <w:rPr>
          <w:rFonts w:ascii="Arial" w:hAnsi="Arial" w:cs="Arial"/>
          <w:color w:val="000000"/>
          <w:lang w:val="es-ES"/>
        </w:rPr>
        <w:t>La</w:t>
      </w:r>
      <w:r>
        <w:rPr>
          <w:rFonts w:ascii="Arial" w:hAnsi="Arial" w:cs="Arial"/>
          <w:color w:val="000000"/>
          <w:lang w:val="es-ES"/>
        </w:rPr>
        <w:t xml:space="preserve"> </w:t>
      </w:r>
      <w:r w:rsidRPr="00367621">
        <w:rPr>
          <w:rFonts w:ascii="Arial" w:hAnsi="Arial" w:cs="Arial"/>
          <w:color w:val="000000"/>
          <w:lang w:val="es-ES"/>
        </w:rPr>
        <w:t>Superintendencia Nacional de Salud</w:t>
      </w:r>
      <w:r>
        <w:rPr>
          <w:rFonts w:ascii="Arial" w:hAnsi="Arial" w:cs="Arial"/>
          <w:color w:val="000000"/>
          <w:lang w:val="es-ES"/>
        </w:rPr>
        <w:t>, t</w:t>
      </w:r>
      <w:r w:rsidRPr="00367621">
        <w:rPr>
          <w:rFonts w:ascii="Arial" w:hAnsi="Arial" w:cs="Arial"/>
          <w:color w:val="000000"/>
          <w:lang w:val="es-ES"/>
        </w:rPr>
        <w:t>eniendo en cuenta la anterior situación</w:t>
      </w:r>
      <w:r>
        <w:rPr>
          <w:rFonts w:ascii="Arial" w:hAnsi="Arial" w:cs="Arial"/>
          <w:color w:val="000000"/>
          <w:lang w:val="es-ES"/>
        </w:rPr>
        <w:t>,</w:t>
      </w:r>
      <w:r w:rsidRPr="00367621">
        <w:rPr>
          <w:rFonts w:ascii="Arial" w:hAnsi="Arial" w:cs="Arial"/>
          <w:color w:val="000000"/>
          <w:lang w:val="es-ES"/>
        </w:rPr>
        <w:t xml:space="preserve"> para ajustar y adecuar la estructura del PUC y con el propósito que se reflejen las características propias y la realidad operacional de las entidades, así como facilitar el análisis, seguimiento y control de los resultados e indicadores financieros en el cumplimiento de la normatividad expidió la Resolución 2093 de 2010, incluyendo las cuentas para el registro separado, entre otros conceptos, de los medicamentos No Pos y fallos de tutela.</w:t>
      </w:r>
    </w:p>
    <w:p w:rsidR="002C55BE" w:rsidRPr="00367621" w:rsidRDefault="002C55BE" w:rsidP="002C55BE">
      <w:pPr>
        <w:widowControl w:val="0"/>
        <w:autoSpaceDE w:val="0"/>
        <w:autoSpaceDN w:val="0"/>
        <w:adjustRightInd w:val="0"/>
        <w:spacing w:after="0" w:line="240" w:lineRule="auto"/>
        <w:jc w:val="both"/>
        <w:rPr>
          <w:rFonts w:ascii="Arial" w:hAnsi="Arial" w:cs="Arial"/>
          <w:lang w:val="es-ES"/>
        </w:rPr>
      </w:pPr>
    </w:p>
    <w:p w:rsidR="002C55BE" w:rsidRPr="00367621" w:rsidRDefault="002C55BE" w:rsidP="002C55BE">
      <w:pPr>
        <w:widowControl w:val="0"/>
        <w:autoSpaceDE w:val="0"/>
        <w:autoSpaceDN w:val="0"/>
        <w:adjustRightInd w:val="0"/>
        <w:spacing w:after="0" w:line="240" w:lineRule="auto"/>
        <w:jc w:val="both"/>
        <w:rPr>
          <w:rFonts w:ascii="Arial" w:hAnsi="Arial" w:cs="Arial"/>
          <w:lang w:val="es-ES"/>
        </w:rPr>
      </w:pPr>
      <w:r>
        <w:rPr>
          <w:rFonts w:ascii="Arial" w:hAnsi="Arial" w:cs="Arial"/>
          <w:lang w:val="es-ES"/>
        </w:rPr>
        <w:t>E</w:t>
      </w:r>
      <w:r w:rsidRPr="00367621">
        <w:rPr>
          <w:rFonts w:ascii="Arial" w:hAnsi="Arial" w:cs="Arial"/>
          <w:lang w:val="es-ES"/>
        </w:rPr>
        <w:t>n noviembre de 2011 expidió la Carta Circular No. 004 mediante la cual impartió instrucciones a las entidades responsables del pago de los servicios de salud, con el fin de agilizar el flujo de los recursos que deben llegar a los prestadores de servicios de salud para beneficio de los afiliados al Sistema General de Seguridad Social en Salud.</w:t>
      </w:r>
    </w:p>
    <w:p w:rsidR="002C55BE" w:rsidRPr="00367621" w:rsidRDefault="002C55BE" w:rsidP="002C55BE">
      <w:pPr>
        <w:widowControl w:val="0"/>
        <w:autoSpaceDE w:val="0"/>
        <w:autoSpaceDN w:val="0"/>
        <w:adjustRightInd w:val="0"/>
        <w:spacing w:after="0" w:line="240" w:lineRule="auto"/>
        <w:jc w:val="both"/>
        <w:rPr>
          <w:rFonts w:ascii="Arial" w:hAnsi="Arial" w:cs="Arial"/>
          <w:lang w:val="es-ES"/>
        </w:rPr>
      </w:pPr>
    </w:p>
    <w:p w:rsidR="002C55BE" w:rsidRPr="00367621" w:rsidRDefault="002C55BE" w:rsidP="002C55BE">
      <w:pPr>
        <w:widowControl w:val="0"/>
        <w:autoSpaceDE w:val="0"/>
        <w:autoSpaceDN w:val="0"/>
        <w:adjustRightInd w:val="0"/>
        <w:spacing w:after="0" w:line="240" w:lineRule="auto"/>
        <w:jc w:val="both"/>
        <w:rPr>
          <w:rFonts w:ascii="Arial" w:hAnsi="Arial" w:cs="Arial"/>
          <w:lang w:val="es-ES"/>
        </w:rPr>
      </w:pPr>
      <w:r w:rsidRPr="00367621">
        <w:rPr>
          <w:rFonts w:ascii="Arial" w:hAnsi="Arial" w:cs="Arial"/>
          <w:lang w:val="es-ES"/>
        </w:rPr>
        <w:t>Adicionalmente</w:t>
      </w:r>
      <w:r>
        <w:rPr>
          <w:rFonts w:ascii="Arial" w:hAnsi="Arial" w:cs="Arial"/>
          <w:lang w:val="es-ES"/>
        </w:rPr>
        <w:t xml:space="preserve">, </w:t>
      </w:r>
      <w:r w:rsidRPr="00367621">
        <w:rPr>
          <w:rFonts w:ascii="Arial" w:hAnsi="Arial" w:cs="Arial"/>
          <w:lang w:val="es-ES"/>
        </w:rPr>
        <w:t>ajust</w:t>
      </w:r>
      <w:r>
        <w:rPr>
          <w:rFonts w:ascii="Arial" w:hAnsi="Arial" w:cs="Arial"/>
          <w:lang w:val="es-ES"/>
        </w:rPr>
        <w:t xml:space="preserve">ó </w:t>
      </w:r>
      <w:r w:rsidRPr="00367621">
        <w:rPr>
          <w:rFonts w:ascii="Arial" w:hAnsi="Arial" w:cs="Arial"/>
          <w:lang w:val="es-ES"/>
        </w:rPr>
        <w:t>y adecu</w:t>
      </w:r>
      <w:r>
        <w:rPr>
          <w:rFonts w:ascii="Arial" w:hAnsi="Arial" w:cs="Arial"/>
          <w:lang w:val="es-ES"/>
        </w:rPr>
        <w:t xml:space="preserve">ó </w:t>
      </w:r>
      <w:r w:rsidRPr="00367621">
        <w:rPr>
          <w:rFonts w:ascii="Arial" w:hAnsi="Arial" w:cs="Arial"/>
          <w:lang w:val="es-ES"/>
        </w:rPr>
        <w:t xml:space="preserve">la estructura del Plan Único de Cuentas para reflejar las características propias y la realidad operacional de las Entidades Promotoras de Salud, así como facilitar el análisis, seguimiento y control de los resultados e indicadores financieros en el cumplimiento de las normas y el análisis, seguimiento y control del flujo de recursos, </w:t>
      </w:r>
      <w:r>
        <w:rPr>
          <w:rFonts w:ascii="Arial" w:hAnsi="Arial" w:cs="Arial"/>
          <w:lang w:val="es-ES"/>
        </w:rPr>
        <w:t xml:space="preserve">mediante </w:t>
      </w:r>
      <w:r w:rsidRPr="00367621">
        <w:rPr>
          <w:rFonts w:ascii="Arial" w:hAnsi="Arial" w:cs="Arial"/>
          <w:lang w:val="es-ES"/>
        </w:rPr>
        <w:t xml:space="preserve">las Resoluciones 4361 y 4362 de 2011, </w:t>
      </w:r>
      <w:r>
        <w:rPr>
          <w:rFonts w:ascii="Arial" w:hAnsi="Arial" w:cs="Arial"/>
          <w:lang w:val="es-ES"/>
        </w:rPr>
        <w:t xml:space="preserve">por las cuales </w:t>
      </w:r>
      <w:r w:rsidRPr="00367621">
        <w:rPr>
          <w:rFonts w:ascii="Arial" w:hAnsi="Arial" w:cs="Arial"/>
          <w:lang w:val="es-ES"/>
        </w:rPr>
        <w:t>se modificó el Plan Único de Cuentas para las EPS, las Entidades que Administran Planes Voluntarios de Salud y Servicios de Ambulancia por Demanda y las IPS privadas, por su parte y como resultado del trabajo conjunto con la Superintendencia, la Contaduría General de la Nación expidió la Resolución 421 de 2011.</w:t>
      </w:r>
    </w:p>
    <w:p w:rsidR="002C55BE" w:rsidRPr="00367621" w:rsidRDefault="002C55BE" w:rsidP="002C55BE">
      <w:pPr>
        <w:widowControl w:val="0"/>
        <w:autoSpaceDE w:val="0"/>
        <w:autoSpaceDN w:val="0"/>
        <w:adjustRightInd w:val="0"/>
        <w:spacing w:after="0" w:line="240" w:lineRule="auto"/>
        <w:jc w:val="both"/>
        <w:rPr>
          <w:rFonts w:ascii="Arial" w:hAnsi="Arial" w:cs="Arial"/>
          <w:lang w:val="es-ES"/>
        </w:rPr>
      </w:pPr>
    </w:p>
    <w:p w:rsidR="002C55BE" w:rsidRPr="00367621" w:rsidRDefault="002C55BE" w:rsidP="002C55BE">
      <w:pPr>
        <w:widowControl w:val="0"/>
        <w:autoSpaceDE w:val="0"/>
        <w:autoSpaceDN w:val="0"/>
        <w:adjustRightInd w:val="0"/>
        <w:spacing w:after="0" w:line="240" w:lineRule="auto"/>
        <w:jc w:val="both"/>
        <w:rPr>
          <w:rFonts w:ascii="Arial" w:hAnsi="Arial" w:cs="Arial"/>
          <w:lang w:val="es-ES"/>
        </w:rPr>
      </w:pPr>
      <w:r w:rsidRPr="00367621">
        <w:rPr>
          <w:rFonts w:ascii="Arial" w:hAnsi="Arial" w:cs="Arial"/>
          <w:lang w:val="es-ES"/>
        </w:rPr>
        <w:t xml:space="preserve">Las mencionadas resoluciones incluyeron cuentas especiales para que a partir de diciembre 31 de 2011 las entidades reclasificaran la cartera pendiente de radicar, la cartera efectivamente presentada y radicada para cobro ante la entidad responsable del pago, el giro previo del FOSYGA a las EPS sobre recobros y se estableció la conciliación contable de la cartera, como instrumento fundamental para el seguimiento y control a la relación entre cobradores y pagadores. De esta forma se dispone de la información sobre la realidad de la cartera a cargo de las entidades responsables del pago y la eficiencia en la gestión de cobro por parte de las entidades prestadoras. </w:t>
      </w:r>
    </w:p>
    <w:p w:rsidR="002C55BE" w:rsidRPr="00367621" w:rsidRDefault="002C55BE" w:rsidP="002C55BE">
      <w:pPr>
        <w:widowControl w:val="0"/>
        <w:autoSpaceDE w:val="0"/>
        <w:autoSpaceDN w:val="0"/>
        <w:adjustRightInd w:val="0"/>
        <w:spacing w:after="0" w:line="240" w:lineRule="auto"/>
        <w:jc w:val="both"/>
        <w:rPr>
          <w:rFonts w:ascii="Arial" w:hAnsi="Arial" w:cs="Arial"/>
          <w:lang w:val="es-ES"/>
        </w:rPr>
      </w:pPr>
    </w:p>
    <w:p w:rsidR="002C55BE" w:rsidRPr="00367621" w:rsidRDefault="002C55BE" w:rsidP="002C55BE">
      <w:pPr>
        <w:widowControl w:val="0"/>
        <w:spacing w:after="0" w:line="240" w:lineRule="auto"/>
        <w:jc w:val="both"/>
        <w:rPr>
          <w:rFonts w:ascii="Arial" w:hAnsi="Arial" w:cs="Arial"/>
          <w:lang w:val="es-ES"/>
        </w:rPr>
      </w:pPr>
      <w:r w:rsidRPr="00367621">
        <w:rPr>
          <w:rFonts w:ascii="Arial" w:hAnsi="Arial" w:cs="Arial"/>
          <w:lang w:val="es-ES"/>
        </w:rPr>
        <w:t>Además, como mecanismo para garantizar la transparencia en el manejo de los recursos se ordenó implementar para el pago de las obligaciones y demás egresos, mecanismos de giro o pago electrónico, para lo cual se estableció en un plazo máximo de seis (6) meses contados a partir de la entrada en vigencia de la Resolución 4361 de 2011.</w:t>
      </w:r>
    </w:p>
    <w:p w:rsidR="002C55BE" w:rsidRPr="00367621" w:rsidRDefault="002C55BE" w:rsidP="002C55BE">
      <w:pPr>
        <w:widowControl w:val="0"/>
        <w:spacing w:after="0" w:line="240" w:lineRule="auto"/>
        <w:rPr>
          <w:rFonts w:ascii="Arial" w:hAnsi="Arial" w:cs="Arial"/>
          <w:szCs w:val="24"/>
          <w:lang w:val="es-ES"/>
        </w:rPr>
      </w:pPr>
    </w:p>
    <w:p w:rsidR="002C55BE" w:rsidRPr="00367621" w:rsidRDefault="002C55BE" w:rsidP="002C55BE">
      <w:pPr>
        <w:widowControl w:val="0"/>
        <w:spacing w:after="0" w:line="240" w:lineRule="auto"/>
        <w:jc w:val="both"/>
        <w:rPr>
          <w:rFonts w:ascii="Arial" w:hAnsi="Arial" w:cs="Arial"/>
          <w:lang w:val="es-ES"/>
        </w:rPr>
      </w:pPr>
      <w:r w:rsidRPr="00367621">
        <w:rPr>
          <w:rFonts w:ascii="Arial" w:hAnsi="Arial" w:cs="Arial"/>
          <w:szCs w:val="24"/>
          <w:lang w:val="es-ES"/>
        </w:rPr>
        <w:t>En este sentido, l</w:t>
      </w:r>
      <w:r w:rsidRPr="00367621">
        <w:rPr>
          <w:rFonts w:ascii="Arial" w:hAnsi="Arial" w:cs="Arial"/>
          <w:lang w:val="es-ES"/>
        </w:rPr>
        <w:t xml:space="preserve">a depuración de la cartera que debe realizar cada una de las entidades, fundamentada principalmente en la conciliación con las responsables de pago. Esta práctica contable está contenida en el </w:t>
      </w:r>
      <w:r>
        <w:rPr>
          <w:rFonts w:ascii="Arial" w:hAnsi="Arial" w:cs="Arial"/>
          <w:lang w:val="es-ES"/>
        </w:rPr>
        <w:t>a</w:t>
      </w:r>
      <w:r w:rsidRPr="00367621">
        <w:rPr>
          <w:rFonts w:ascii="Arial" w:hAnsi="Arial" w:cs="Arial"/>
          <w:lang w:val="es-ES"/>
        </w:rPr>
        <w:t xml:space="preserve">rtículo 6 de Resolución No. 4361 de 2011 </w:t>
      </w:r>
      <w:r>
        <w:rPr>
          <w:rFonts w:ascii="Arial" w:hAnsi="Arial" w:cs="Arial"/>
          <w:lang w:val="es-ES"/>
        </w:rPr>
        <w:t xml:space="preserve">de </w:t>
      </w:r>
      <w:r w:rsidRPr="00367621">
        <w:rPr>
          <w:rFonts w:ascii="Arial" w:hAnsi="Arial" w:cs="Arial"/>
          <w:lang w:val="es-ES"/>
        </w:rPr>
        <w:t xml:space="preserve">la Superintendencia Nacional de Salud, en la cual se establece adelantar periódicamente la </w:t>
      </w:r>
      <w:r w:rsidRPr="00367621">
        <w:rPr>
          <w:rFonts w:ascii="Arial" w:hAnsi="Arial" w:cs="Arial"/>
          <w:lang w:val="es-ES"/>
        </w:rPr>
        <w:lastRenderedPageBreak/>
        <w:t>conciliación, la depuración y el registro de los ajustes correspondientes, garantizando así información real y confiable en los estados financieros.</w:t>
      </w:r>
    </w:p>
    <w:p w:rsidR="002C55BE" w:rsidRDefault="002C55BE" w:rsidP="002C55BE">
      <w:pPr>
        <w:widowControl w:val="0"/>
        <w:spacing w:after="0" w:line="240" w:lineRule="atLeast"/>
        <w:jc w:val="both"/>
        <w:rPr>
          <w:rFonts w:ascii="Arial" w:hAnsi="Arial" w:cs="Arial"/>
          <w:color w:val="000000"/>
          <w:lang w:val="es-ES"/>
        </w:rPr>
      </w:pPr>
    </w:p>
    <w:p w:rsidR="002C55BE" w:rsidRPr="00367621" w:rsidRDefault="002C55BE" w:rsidP="002C55BE">
      <w:pPr>
        <w:widowControl w:val="0"/>
        <w:spacing w:after="0" w:line="240" w:lineRule="atLeast"/>
        <w:jc w:val="both"/>
        <w:rPr>
          <w:rFonts w:ascii="Arial" w:hAnsi="Arial" w:cs="Arial"/>
          <w:color w:val="000000"/>
          <w:lang w:val="es-ES"/>
        </w:rPr>
      </w:pPr>
      <w:r w:rsidRPr="00367621">
        <w:rPr>
          <w:rFonts w:ascii="Arial" w:hAnsi="Arial" w:cs="Arial"/>
          <w:color w:val="000000"/>
          <w:lang w:val="es-ES"/>
        </w:rPr>
        <w:t>Las anteriores estrategias están en proceso entre el FOSYGA, las EPS y las Entidades Territoriales. La Superintendencia Nacional de Salud en el marco de su competencia adelanta el seguimiento a los resultados</w:t>
      </w:r>
      <w:r>
        <w:rPr>
          <w:rFonts w:ascii="Arial" w:hAnsi="Arial" w:cs="Arial"/>
          <w:color w:val="000000"/>
          <w:lang w:val="es-ES"/>
        </w:rPr>
        <w:t>, s</w:t>
      </w:r>
      <w:r w:rsidRPr="00367621">
        <w:rPr>
          <w:rFonts w:ascii="Arial" w:hAnsi="Arial" w:cs="Arial"/>
          <w:color w:val="000000"/>
          <w:lang w:val="es-ES"/>
        </w:rPr>
        <w:t>ituación que debe evidenciarse con avance</w:t>
      </w:r>
      <w:r>
        <w:rPr>
          <w:rFonts w:ascii="Arial" w:hAnsi="Arial" w:cs="Arial"/>
          <w:color w:val="000000"/>
          <w:lang w:val="es-ES"/>
        </w:rPr>
        <w:t>s</w:t>
      </w:r>
      <w:r w:rsidRPr="00367621">
        <w:rPr>
          <w:rFonts w:ascii="Arial" w:hAnsi="Arial" w:cs="Arial"/>
          <w:color w:val="000000"/>
          <w:lang w:val="es-ES"/>
        </w:rPr>
        <w:t xml:space="preserve"> en la depuración de las cuentas y en la</w:t>
      </w:r>
      <w:r w:rsidRPr="00414B08">
        <w:rPr>
          <w:rFonts w:ascii="Arial" w:hAnsi="Arial" w:cs="Arial"/>
          <w:color w:val="000000"/>
          <w:lang w:val="es-ES"/>
        </w:rPr>
        <w:t xml:space="preserve"> </w:t>
      </w:r>
      <w:r w:rsidRPr="00367621">
        <w:rPr>
          <w:rFonts w:ascii="Arial" w:hAnsi="Arial" w:cs="Arial"/>
          <w:color w:val="000000"/>
          <w:lang w:val="es-ES"/>
        </w:rPr>
        <w:t>recuperación de cuentas por cobrar, para determinar la realidad financiera</w:t>
      </w:r>
      <w:r>
        <w:rPr>
          <w:rFonts w:ascii="Arial" w:hAnsi="Arial" w:cs="Arial"/>
          <w:color w:val="000000"/>
          <w:lang w:val="es-ES"/>
        </w:rPr>
        <w:t xml:space="preserve"> de las entidades</w:t>
      </w:r>
      <w:r w:rsidRPr="00367621">
        <w:rPr>
          <w:rFonts w:ascii="Arial" w:hAnsi="Arial" w:cs="Arial"/>
          <w:color w:val="000000"/>
          <w:lang w:val="es-ES"/>
        </w:rPr>
        <w:t>.</w:t>
      </w:r>
    </w:p>
    <w:p w:rsidR="002C55BE" w:rsidRDefault="002C55BE" w:rsidP="002C55BE">
      <w:pPr>
        <w:widowControl w:val="0"/>
        <w:autoSpaceDE w:val="0"/>
        <w:autoSpaceDN w:val="0"/>
        <w:adjustRightInd w:val="0"/>
        <w:spacing w:after="0" w:line="240" w:lineRule="auto"/>
        <w:jc w:val="both"/>
        <w:rPr>
          <w:rFonts w:ascii="Arial" w:hAnsi="Arial" w:cs="Arial"/>
          <w:color w:val="000000"/>
          <w:lang w:val="es-ES_tradnl"/>
        </w:rPr>
      </w:pPr>
    </w:p>
    <w:p w:rsidR="002C55BE" w:rsidRDefault="002C55BE" w:rsidP="002C55BE">
      <w:pPr>
        <w:widowControl w:val="0"/>
        <w:autoSpaceDE w:val="0"/>
        <w:autoSpaceDN w:val="0"/>
        <w:adjustRightInd w:val="0"/>
        <w:spacing w:after="0" w:line="240" w:lineRule="auto"/>
        <w:jc w:val="both"/>
        <w:rPr>
          <w:rFonts w:ascii="Arial" w:hAnsi="Arial" w:cs="Arial"/>
          <w:color w:val="000000"/>
          <w:lang w:val="es-ES_tradnl"/>
        </w:rPr>
      </w:pPr>
      <w:r w:rsidRPr="005B3C08">
        <w:rPr>
          <w:rFonts w:ascii="Arial" w:hAnsi="Arial" w:cs="Arial"/>
          <w:color w:val="000000"/>
          <w:lang w:val="es-ES_tradnl"/>
        </w:rPr>
        <w:t>Por lo descrito, la problemática en el manejo de la cartera es estructural y el Gobierno Nacional desde el 2007 ha expedido normas y decretos para el fortalecimiento del flujo de recursos, mejorar la liquidez en el sector, adelantar y depurar las cuentas.</w:t>
      </w:r>
    </w:p>
    <w:p w:rsidR="002C55BE" w:rsidRDefault="002C55BE" w:rsidP="002C55BE">
      <w:pPr>
        <w:widowControl w:val="0"/>
        <w:autoSpaceDE w:val="0"/>
        <w:autoSpaceDN w:val="0"/>
        <w:adjustRightInd w:val="0"/>
        <w:spacing w:after="0" w:line="240" w:lineRule="auto"/>
        <w:jc w:val="both"/>
        <w:rPr>
          <w:rFonts w:ascii="Arial" w:hAnsi="Arial" w:cs="Arial"/>
          <w:color w:val="000000"/>
          <w:lang w:val="es-ES_tradnl"/>
        </w:rPr>
      </w:pPr>
    </w:p>
    <w:p w:rsidR="002C55BE" w:rsidRDefault="002C55BE" w:rsidP="002C55BE">
      <w:pPr>
        <w:widowControl w:val="0"/>
        <w:autoSpaceDE w:val="0"/>
        <w:autoSpaceDN w:val="0"/>
        <w:adjustRightInd w:val="0"/>
        <w:spacing w:after="0" w:line="240" w:lineRule="auto"/>
        <w:jc w:val="both"/>
        <w:rPr>
          <w:rFonts w:ascii="Arial" w:hAnsi="Arial" w:cs="Arial"/>
        </w:rPr>
      </w:pPr>
      <w:r>
        <w:rPr>
          <w:rFonts w:ascii="Arial" w:hAnsi="Arial" w:cs="Arial"/>
          <w:color w:val="000000"/>
          <w:lang w:val="es-ES_tradnl"/>
        </w:rPr>
        <w:t>En este contexto, l</w:t>
      </w:r>
      <w:r w:rsidRPr="005B3C08">
        <w:rPr>
          <w:rFonts w:ascii="Arial" w:hAnsi="Arial" w:cs="Arial"/>
          <w:color w:val="000000"/>
          <w:lang w:val="es-ES_tradnl"/>
        </w:rPr>
        <w:t xml:space="preserve">a Superintendencia Nacional de Salud, en ejercicio de las funciones de Inspección, Vigilancia y Control, con base en la información reportada trimestralmente por las EPS en cumplimiento  de la Circular Única, la cual es confrontada con la reportada por las IPS en forma semestral, evalúa los estándares de capacidad financiera de las EPS, </w:t>
      </w:r>
      <w:r>
        <w:rPr>
          <w:rFonts w:ascii="Arial" w:hAnsi="Arial" w:cs="Arial"/>
          <w:color w:val="000000"/>
          <w:lang w:val="es-ES_tradnl"/>
        </w:rPr>
        <w:t>como son los indicadores de permanencia y los financieros</w:t>
      </w:r>
      <w:r w:rsidRPr="005B3C08">
        <w:rPr>
          <w:rFonts w:ascii="Arial" w:hAnsi="Arial" w:cs="Arial"/>
          <w:color w:val="000000"/>
          <w:lang w:val="es-ES_tradnl"/>
        </w:rPr>
        <w:t>, a través de</w:t>
      </w:r>
      <w:r>
        <w:rPr>
          <w:rFonts w:ascii="Arial" w:hAnsi="Arial" w:cs="Arial"/>
          <w:color w:val="000000"/>
          <w:lang w:val="es-ES_tradnl"/>
        </w:rPr>
        <w:t xml:space="preserve"> </w:t>
      </w:r>
      <w:r w:rsidRPr="005B3C08">
        <w:rPr>
          <w:rFonts w:ascii="Arial" w:hAnsi="Arial" w:cs="Arial"/>
          <w:color w:val="000000"/>
          <w:lang w:val="es-ES_tradnl"/>
        </w:rPr>
        <w:t>l</w:t>
      </w:r>
      <w:r>
        <w:rPr>
          <w:rFonts w:ascii="Arial" w:hAnsi="Arial" w:cs="Arial"/>
          <w:color w:val="000000"/>
          <w:lang w:val="es-ES_tradnl"/>
        </w:rPr>
        <w:t>os</w:t>
      </w:r>
      <w:r w:rsidRPr="005B3C08">
        <w:rPr>
          <w:rFonts w:ascii="Arial" w:hAnsi="Arial" w:cs="Arial"/>
          <w:color w:val="000000"/>
          <w:lang w:val="es-ES_tradnl"/>
        </w:rPr>
        <w:t xml:space="preserve"> cual</w:t>
      </w:r>
      <w:r>
        <w:rPr>
          <w:rFonts w:ascii="Arial" w:hAnsi="Arial" w:cs="Arial"/>
          <w:color w:val="000000"/>
          <w:lang w:val="es-ES_tradnl"/>
        </w:rPr>
        <w:t>es</w:t>
      </w:r>
      <w:r w:rsidRPr="005B3C08">
        <w:rPr>
          <w:rFonts w:ascii="Arial" w:hAnsi="Arial" w:cs="Arial"/>
          <w:color w:val="000000"/>
          <w:lang w:val="es-ES_tradnl"/>
        </w:rPr>
        <w:t xml:space="preserve"> se verifica la liquidez y la capacidad de pago que tienen las EPS para garantizar el cumplimiento en el flujo de recursos dentro de los plazos establecidos por la norma.</w:t>
      </w:r>
      <w:r>
        <w:rPr>
          <w:rFonts w:ascii="Arial" w:hAnsi="Arial" w:cs="Arial"/>
        </w:rPr>
        <w:t xml:space="preserve">  </w:t>
      </w:r>
    </w:p>
    <w:p w:rsidR="002C55BE" w:rsidRDefault="002C55BE" w:rsidP="002C55BE">
      <w:pPr>
        <w:widowControl w:val="0"/>
        <w:autoSpaceDE w:val="0"/>
        <w:autoSpaceDN w:val="0"/>
        <w:adjustRightInd w:val="0"/>
        <w:spacing w:after="0" w:line="240" w:lineRule="auto"/>
        <w:jc w:val="both"/>
        <w:rPr>
          <w:rFonts w:ascii="Arial" w:hAnsi="Arial" w:cs="Arial"/>
        </w:rPr>
      </w:pPr>
    </w:p>
    <w:p w:rsidR="002C55BE" w:rsidRDefault="002C55BE" w:rsidP="002C55BE">
      <w:pPr>
        <w:widowControl w:val="0"/>
        <w:autoSpaceDE w:val="0"/>
        <w:autoSpaceDN w:val="0"/>
        <w:adjustRightInd w:val="0"/>
        <w:spacing w:after="0" w:line="240" w:lineRule="auto"/>
        <w:jc w:val="both"/>
        <w:rPr>
          <w:rFonts w:ascii="Arial" w:hAnsi="Arial" w:cs="Arial"/>
          <w:color w:val="000000"/>
          <w:lang w:val="es-ES_tradnl"/>
        </w:rPr>
      </w:pPr>
      <w:r w:rsidRPr="00F4338A">
        <w:rPr>
          <w:rFonts w:ascii="Arial" w:hAnsi="Arial" w:cs="Arial"/>
          <w:color w:val="000000"/>
          <w:lang w:val="es-ES_tradnl"/>
        </w:rPr>
        <w:t xml:space="preserve">Los resultados del análisis de </w:t>
      </w:r>
      <w:r>
        <w:rPr>
          <w:rFonts w:ascii="Arial" w:hAnsi="Arial" w:cs="Arial"/>
          <w:color w:val="000000"/>
          <w:lang w:val="es-ES_tradnl"/>
        </w:rPr>
        <w:t>l</w:t>
      </w:r>
      <w:r w:rsidRPr="00F4338A">
        <w:rPr>
          <w:rFonts w:ascii="Arial" w:hAnsi="Arial" w:cs="Arial"/>
          <w:color w:val="000000"/>
          <w:lang w:val="es-ES_tradnl"/>
        </w:rPr>
        <w:t>a información son la base fundamental para las actuaciones administrativas que realiza la Superintendencia Nacional de Salud, situación que ha originado</w:t>
      </w:r>
      <w:r>
        <w:rPr>
          <w:rFonts w:ascii="Arial" w:hAnsi="Arial" w:cs="Arial"/>
          <w:color w:val="000000"/>
          <w:lang w:val="es-ES_tradnl"/>
        </w:rPr>
        <w:t xml:space="preserve">, entre otras, </w:t>
      </w:r>
      <w:r w:rsidRPr="00F4338A">
        <w:rPr>
          <w:rFonts w:ascii="Arial" w:hAnsi="Arial" w:cs="Arial"/>
          <w:color w:val="000000"/>
          <w:lang w:val="es-ES_tradnl"/>
        </w:rPr>
        <w:t>las siguientes actuaciones:</w:t>
      </w:r>
    </w:p>
    <w:p w:rsidR="002C55BE" w:rsidRDefault="002C55BE" w:rsidP="002C55BE">
      <w:pPr>
        <w:widowControl w:val="0"/>
        <w:autoSpaceDE w:val="0"/>
        <w:autoSpaceDN w:val="0"/>
        <w:adjustRightInd w:val="0"/>
        <w:spacing w:after="0" w:line="240" w:lineRule="auto"/>
        <w:jc w:val="both"/>
        <w:rPr>
          <w:rFonts w:ascii="Arial" w:hAnsi="Arial" w:cs="Arial"/>
          <w:color w:val="000000"/>
          <w:lang w:val="es-ES_tradnl"/>
        </w:rPr>
      </w:pPr>
    </w:p>
    <w:tbl>
      <w:tblPr>
        <w:tblW w:w="9371" w:type="dxa"/>
        <w:tblInd w:w="55" w:type="dxa"/>
        <w:tblCellMar>
          <w:left w:w="70" w:type="dxa"/>
          <w:right w:w="70" w:type="dxa"/>
        </w:tblCellMar>
        <w:tblLook w:val="04A0" w:firstRow="1" w:lastRow="0" w:firstColumn="1" w:lastColumn="0" w:noHBand="0" w:noVBand="1"/>
      </w:tblPr>
      <w:tblGrid>
        <w:gridCol w:w="5402"/>
        <w:gridCol w:w="1984"/>
        <w:gridCol w:w="1985"/>
      </w:tblGrid>
      <w:tr w:rsidR="00905B00" w:rsidRPr="002C55BE" w:rsidTr="00905B00">
        <w:trPr>
          <w:trHeight w:val="20"/>
        </w:trPr>
        <w:tc>
          <w:tcPr>
            <w:tcW w:w="5402" w:type="dxa"/>
            <w:tcBorders>
              <w:top w:val="single" w:sz="4" w:space="0" w:color="auto"/>
              <w:left w:val="single" w:sz="4" w:space="0" w:color="auto"/>
              <w:bottom w:val="single" w:sz="4" w:space="0" w:color="auto"/>
              <w:right w:val="single" w:sz="4" w:space="0" w:color="auto"/>
            </w:tcBorders>
            <w:shd w:val="clear" w:color="000000" w:fill="D8E4BC"/>
            <w:vAlign w:val="center"/>
            <w:hideMark/>
          </w:tcPr>
          <w:p w:rsidR="002C55BE" w:rsidRPr="002C55BE" w:rsidRDefault="002C55BE" w:rsidP="002C55BE">
            <w:pPr>
              <w:spacing w:after="0" w:line="240" w:lineRule="auto"/>
              <w:jc w:val="center"/>
              <w:rPr>
                <w:rFonts w:ascii="Arial" w:eastAsia="Times New Roman" w:hAnsi="Arial" w:cs="Arial"/>
                <w:b/>
                <w:bCs/>
                <w:color w:val="000000"/>
                <w:sz w:val="20"/>
                <w:szCs w:val="20"/>
                <w:lang w:eastAsia="es-CO"/>
              </w:rPr>
            </w:pPr>
            <w:r w:rsidRPr="002C55BE">
              <w:rPr>
                <w:rFonts w:ascii="Arial" w:eastAsia="Times New Roman" w:hAnsi="Arial" w:cs="Arial"/>
                <w:b/>
                <w:bCs/>
                <w:color w:val="000000"/>
                <w:sz w:val="20"/>
                <w:szCs w:val="20"/>
                <w:lang w:val="es-ES" w:eastAsia="es-CO"/>
              </w:rPr>
              <w:t>Tipo Actuación</w:t>
            </w:r>
          </w:p>
        </w:tc>
        <w:tc>
          <w:tcPr>
            <w:tcW w:w="1984" w:type="dxa"/>
            <w:tcBorders>
              <w:top w:val="single" w:sz="4" w:space="0" w:color="auto"/>
              <w:left w:val="nil"/>
              <w:bottom w:val="single" w:sz="4" w:space="0" w:color="auto"/>
              <w:right w:val="single" w:sz="4" w:space="0" w:color="auto"/>
            </w:tcBorders>
            <w:shd w:val="clear" w:color="000000" w:fill="D8E4BC"/>
            <w:noWrap/>
            <w:vAlign w:val="center"/>
            <w:hideMark/>
          </w:tcPr>
          <w:p w:rsidR="002C55BE" w:rsidRPr="002C55BE" w:rsidRDefault="002C55BE" w:rsidP="002C55BE">
            <w:pPr>
              <w:spacing w:after="0" w:line="240" w:lineRule="auto"/>
              <w:jc w:val="center"/>
              <w:rPr>
                <w:rFonts w:ascii="Arial" w:eastAsia="Times New Roman" w:hAnsi="Arial" w:cs="Arial"/>
                <w:b/>
                <w:bCs/>
                <w:color w:val="000000"/>
                <w:sz w:val="20"/>
                <w:szCs w:val="20"/>
                <w:lang w:eastAsia="es-CO"/>
              </w:rPr>
            </w:pPr>
            <w:r w:rsidRPr="002C55BE">
              <w:rPr>
                <w:rFonts w:ascii="Arial" w:eastAsia="Times New Roman" w:hAnsi="Arial" w:cs="Arial"/>
                <w:b/>
                <w:bCs/>
                <w:color w:val="000000"/>
                <w:sz w:val="20"/>
                <w:szCs w:val="20"/>
                <w:lang w:val="es-ES" w:eastAsia="es-CO"/>
              </w:rPr>
              <w:t>EPS Contributivo</w:t>
            </w:r>
          </w:p>
        </w:tc>
        <w:tc>
          <w:tcPr>
            <w:tcW w:w="1985" w:type="dxa"/>
            <w:tcBorders>
              <w:top w:val="single" w:sz="4" w:space="0" w:color="auto"/>
              <w:left w:val="nil"/>
              <w:bottom w:val="single" w:sz="4" w:space="0" w:color="auto"/>
              <w:right w:val="single" w:sz="4" w:space="0" w:color="auto"/>
            </w:tcBorders>
            <w:shd w:val="clear" w:color="000000" w:fill="D8E4BC"/>
            <w:noWrap/>
            <w:vAlign w:val="center"/>
            <w:hideMark/>
          </w:tcPr>
          <w:p w:rsidR="002C55BE" w:rsidRPr="002C55BE" w:rsidRDefault="002C55BE" w:rsidP="002C55BE">
            <w:pPr>
              <w:spacing w:after="0" w:line="240" w:lineRule="auto"/>
              <w:jc w:val="center"/>
              <w:rPr>
                <w:rFonts w:ascii="Arial" w:eastAsia="Times New Roman" w:hAnsi="Arial" w:cs="Arial"/>
                <w:b/>
                <w:bCs/>
                <w:color w:val="000000"/>
                <w:sz w:val="20"/>
                <w:szCs w:val="20"/>
                <w:lang w:eastAsia="es-CO"/>
              </w:rPr>
            </w:pPr>
            <w:r w:rsidRPr="002C55BE">
              <w:rPr>
                <w:rFonts w:ascii="Arial" w:eastAsia="Times New Roman" w:hAnsi="Arial" w:cs="Arial"/>
                <w:b/>
                <w:bCs/>
                <w:color w:val="000000"/>
                <w:sz w:val="20"/>
                <w:szCs w:val="20"/>
                <w:lang w:val="es-ES" w:eastAsia="es-CO"/>
              </w:rPr>
              <w:t>EPS Subsidiado</w:t>
            </w:r>
          </w:p>
        </w:tc>
      </w:tr>
      <w:tr w:rsidR="00905B00" w:rsidRPr="002C55BE" w:rsidTr="00905B00">
        <w:trPr>
          <w:trHeight w:val="20"/>
        </w:trPr>
        <w:tc>
          <w:tcPr>
            <w:tcW w:w="5402" w:type="dxa"/>
            <w:tcBorders>
              <w:top w:val="nil"/>
              <w:left w:val="single" w:sz="4" w:space="0" w:color="auto"/>
              <w:bottom w:val="single" w:sz="4" w:space="0" w:color="auto"/>
              <w:right w:val="single" w:sz="4" w:space="0" w:color="auto"/>
            </w:tcBorders>
            <w:shd w:val="clear" w:color="000000" w:fill="FFFFFF"/>
            <w:vAlign w:val="center"/>
            <w:hideMark/>
          </w:tcPr>
          <w:p w:rsidR="002C55BE" w:rsidRPr="002C55BE" w:rsidRDefault="002C55BE" w:rsidP="002C55BE">
            <w:pPr>
              <w:spacing w:after="0" w:line="240" w:lineRule="auto"/>
              <w:rPr>
                <w:rFonts w:ascii="Arial" w:eastAsia="Times New Roman" w:hAnsi="Arial" w:cs="Arial"/>
                <w:color w:val="000000"/>
                <w:sz w:val="20"/>
                <w:szCs w:val="20"/>
                <w:lang w:eastAsia="es-CO"/>
              </w:rPr>
            </w:pPr>
            <w:r w:rsidRPr="002C55BE">
              <w:rPr>
                <w:rFonts w:ascii="Arial" w:eastAsia="Times New Roman" w:hAnsi="Arial" w:cs="Arial"/>
                <w:color w:val="000000"/>
                <w:sz w:val="20"/>
                <w:szCs w:val="20"/>
                <w:lang w:val="es-ES" w:eastAsia="es-CO"/>
              </w:rPr>
              <w:t>Medida de Vigilancia Especial</w:t>
            </w:r>
          </w:p>
        </w:tc>
        <w:tc>
          <w:tcPr>
            <w:tcW w:w="1984" w:type="dxa"/>
            <w:tcBorders>
              <w:top w:val="nil"/>
              <w:left w:val="nil"/>
              <w:bottom w:val="single" w:sz="4" w:space="0" w:color="auto"/>
              <w:right w:val="single" w:sz="4" w:space="0" w:color="auto"/>
            </w:tcBorders>
            <w:shd w:val="clear" w:color="000000" w:fill="FFFFFF"/>
            <w:noWrap/>
            <w:vAlign w:val="center"/>
            <w:hideMark/>
          </w:tcPr>
          <w:p w:rsidR="002C55BE" w:rsidRPr="002C55BE" w:rsidRDefault="002C55BE" w:rsidP="002C55BE">
            <w:pPr>
              <w:spacing w:after="0" w:line="240" w:lineRule="auto"/>
              <w:jc w:val="center"/>
              <w:rPr>
                <w:rFonts w:ascii="Arial" w:eastAsia="Times New Roman" w:hAnsi="Arial" w:cs="Arial"/>
                <w:color w:val="000000"/>
                <w:sz w:val="20"/>
                <w:szCs w:val="20"/>
                <w:lang w:eastAsia="es-CO"/>
              </w:rPr>
            </w:pPr>
            <w:r w:rsidRPr="002C55BE">
              <w:rPr>
                <w:rFonts w:ascii="Arial" w:eastAsia="Times New Roman" w:hAnsi="Arial" w:cs="Arial"/>
                <w:color w:val="000000"/>
                <w:sz w:val="20"/>
                <w:szCs w:val="20"/>
                <w:lang w:val="es-ES" w:eastAsia="es-CO"/>
              </w:rPr>
              <w:t>4</w:t>
            </w:r>
          </w:p>
        </w:tc>
        <w:tc>
          <w:tcPr>
            <w:tcW w:w="1985" w:type="dxa"/>
            <w:tcBorders>
              <w:top w:val="nil"/>
              <w:left w:val="nil"/>
              <w:bottom w:val="single" w:sz="4" w:space="0" w:color="auto"/>
              <w:right w:val="single" w:sz="4" w:space="0" w:color="auto"/>
            </w:tcBorders>
            <w:shd w:val="clear" w:color="000000" w:fill="FFFFFF"/>
            <w:noWrap/>
            <w:vAlign w:val="center"/>
            <w:hideMark/>
          </w:tcPr>
          <w:p w:rsidR="002C55BE" w:rsidRPr="002C55BE" w:rsidRDefault="002C55BE" w:rsidP="002C55BE">
            <w:pPr>
              <w:spacing w:after="0" w:line="240" w:lineRule="auto"/>
              <w:jc w:val="center"/>
              <w:rPr>
                <w:rFonts w:ascii="Arial" w:eastAsia="Times New Roman" w:hAnsi="Arial" w:cs="Arial"/>
                <w:color w:val="000000"/>
                <w:sz w:val="20"/>
                <w:szCs w:val="20"/>
                <w:lang w:eastAsia="es-CO"/>
              </w:rPr>
            </w:pPr>
            <w:r w:rsidRPr="002C55BE">
              <w:rPr>
                <w:rFonts w:ascii="Arial" w:eastAsia="Times New Roman" w:hAnsi="Arial" w:cs="Arial"/>
                <w:color w:val="000000"/>
                <w:sz w:val="20"/>
                <w:szCs w:val="20"/>
                <w:lang w:val="es-ES" w:eastAsia="es-CO"/>
              </w:rPr>
              <w:t>4</w:t>
            </w:r>
          </w:p>
        </w:tc>
      </w:tr>
      <w:tr w:rsidR="00905B00" w:rsidRPr="002C55BE" w:rsidTr="00905B00">
        <w:trPr>
          <w:trHeight w:val="20"/>
        </w:trPr>
        <w:tc>
          <w:tcPr>
            <w:tcW w:w="5402" w:type="dxa"/>
            <w:tcBorders>
              <w:top w:val="nil"/>
              <w:left w:val="single" w:sz="4" w:space="0" w:color="auto"/>
              <w:bottom w:val="single" w:sz="4" w:space="0" w:color="auto"/>
              <w:right w:val="single" w:sz="4" w:space="0" w:color="auto"/>
            </w:tcBorders>
            <w:shd w:val="clear" w:color="000000" w:fill="FFFFFF"/>
            <w:vAlign w:val="center"/>
            <w:hideMark/>
          </w:tcPr>
          <w:p w:rsidR="002C55BE" w:rsidRPr="002C55BE" w:rsidRDefault="002C55BE" w:rsidP="002C55BE">
            <w:pPr>
              <w:spacing w:after="0" w:line="240" w:lineRule="auto"/>
              <w:rPr>
                <w:rFonts w:ascii="Arial" w:eastAsia="Times New Roman" w:hAnsi="Arial" w:cs="Arial"/>
                <w:color w:val="000000"/>
                <w:sz w:val="20"/>
                <w:szCs w:val="20"/>
                <w:lang w:eastAsia="es-CO"/>
              </w:rPr>
            </w:pPr>
            <w:r w:rsidRPr="002C55BE">
              <w:rPr>
                <w:rFonts w:ascii="Arial" w:eastAsia="Times New Roman" w:hAnsi="Arial" w:cs="Arial"/>
                <w:color w:val="000000"/>
                <w:sz w:val="20"/>
                <w:szCs w:val="20"/>
                <w:lang w:val="es-ES" w:eastAsia="es-CO"/>
              </w:rPr>
              <w:t>Plan de Recuperación</w:t>
            </w:r>
          </w:p>
        </w:tc>
        <w:tc>
          <w:tcPr>
            <w:tcW w:w="1984" w:type="dxa"/>
            <w:tcBorders>
              <w:top w:val="nil"/>
              <w:left w:val="nil"/>
              <w:bottom w:val="single" w:sz="4" w:space="0" w:color="auto"/>
              <w:right w:val="single" w:sz="4" w:space="0" w:color="auto"/>
            </w:tcBorders>
            <w:shd w:val="clear" w:color="000000" w:fill="FFFFFF"/>
            <w:noWrap/>
            <w:vAlign w:val="center"/>
            <w:hideMark/>
          </w:tcPr>
          <w:p w:rsidR="002C55BE" w:rsidRPr="002C55BE" w:rsidRDefault="002C55BE" w:rsidP="002C55BE">
            <w:pPr>
              <w:spacing w:after="0" w:line="240" w:lineRule="auto"/>
              <w:rPr>
                <w:rFonts w:ascii="Calibri" w:eastAsia="Times New Roman" w:hAnsi="Calibri" w:cs="Calibri"/>
                <w:color w:val="000000"/>
                <w:lang w:eastAsia="es-CO"/>
              </w:rPr>
            </w:pPr>
            <w:r w:rsidRPr="002C55BE">
              <w:rPr>
                <w:rFonts w:ascii="Calibri" w:eastAsia="Times New Roman" w:hAnsi="Calibri" w:cs="Calibri"/>
                <w:color w:val="000000"/>
                <w:lang w:eastAsia="es-CO"/>
              </w:rPr>
              <w:t> </w:t>
            </w:r>
          </w:p>
        </w:tc>
        <w:tc>
          <w:tcPr>
            <w:tcW w:w="1985" w:type="dxa"/>
            <w:tcBorders>
              <w:top w:val="nil"/>
              <w:left w:val="nil"/>
              <w:bottom w:val="single" w:sz="4" w:space="0" w:color="auto"/>
              <w:right w:val="single" w:sz="4" w:space="0" w:color="auto"/>
            </w:tcBorders>
            <w:shd w:val="clear" w:color="000000" w:fill="FFFFFF"/>
            <w:noWrap/>
            <w:vAlign w:val="center"/>
            <w:hideMark/>
          </w:tcPr>
          <w:p w:rsidR="002C55BE" w:rsidRPr="002C55BE" w:rsidRDefault="002C55BE" w:rsidP="002C55BE">
            <w:pPr>
              <w:spacing w:after="0" w:line="240" w:lineRule="auto"/>
              <w:jc w:val="center"/>
              <w:rPr>
                <w:rFonts w:ascii="Arial" w:eastAsia="Times New Roman" w:hAnsi="Arial" w:cs="Arial"/>
                <w:color w:val="000000"/>
                <w:sz w:val="20"/>
                <w:szCs w:val="20"/>
                <w:lang w:eastAsia="es-CO"/>
              </w:rPr>
            </w:pPr>
            <w:r w:rsidRPr="002C55BE">
              <w:rPr>
                <w:rFonts w:ascii="Arial" w:eastAsia="Times New Roman" w:hAnsi="Arial" w:cs="Arial"/>
                <w:color w:val="000000"/>
                <w:sz w:val="20"/>
                <w:szCs w:val="20"/>
                <w:lang w:val="es-ES" w:eastAsia="es-CO"/>
              </w:rPr>
              <w:t>1</w:t>
            </w:r>
          </w:p>
        </w:tc>
      </w:tr>
      <w:tr w:rsidR="00905B00" w:rsidRPr="002C55BE" w:rsidTr="00905B00">
        <w:trPr>
          <w:trHeight w:val="20"/>
        </w:trPr>
        <w:tc>
          <w:tcPr>
            <w:tcW w:w="5402" w:type="dxa"/>
            <w:tcBorders>
              <w:top w:val="nil"/>
              <w:left w:val="single" w:sz="4" w:space="0" w:color="auto"/>
              <w:bottom w:val="single" w:sz="4" w:space="0" w:color="auto"/>
              <w:right w:val="single" w:sz="4" w:space="0" w:color="auto"/>
            </w:tcBorders>
            <w:shd w:val="clear" w:color="000000" w:fill="FFFFFF"/>
            <w:vAlign w:val="center"/>
            <w:hideMark/>
          </w:tcPr>
          <w:p w:rsidR="002C55BE" w:rsidRPr="002C55BE" w:rsidRDefault="002C55BE" w:rsidP="002C55BE">
            <w:pPr>
              <w:spacing w:after="0" w:line="240" w:lineRule="auto"/>
              <w:rPr>
                <w:rFonts w:ascii="Arial" w:eastAsia="Times New Roman" w:hAnsi="Arial" w:cs="Arial"/>
                <w:color w:val="000000"/>
                <w:sz w:val="20"/>
                <w:szCs w:val="20"/>
                <w:lang w:eastAsia="es-CO"/>
              </w:rPr>
            </w:pPr>
            <w:r w:rsidRPr="002C55BE">
              <w:rPr>
                <w:rFonts w:ascii="Arial" w:eastAsia="Times New Roman" w:hAnsi="Arial" w:cs="Arial"/>
                <w:color w:val="000000"/>
                <w:sz w:val="20"/>
                <w:szCs w:val="20"/>
                <w:lang w:val="es-ES" w:eastAsia="es-CO"/>
              </w:rPr>
              <w:t>En Trámite de Actuación Administrativa</w:t>
            </w:r>
          </w:p>
        </w:tc>
        <w:tc>
          <w:tcPr>
            <w:tcW w:w="1984" w:type="dxa"/>
            <w:tcBorders>
              <w:top w:val="nil"/>
              <w:left w:val="nil"/>
              <w:bottom w:val="single" w:sz="4" w:space="0" w:color="auto"/>
              <w:right w:val="single" w:sz="4" w:space="0" w:color="auto"/>
            </w:tcBorders>
            <w:shd w:val="clear" w:color="000000" w:fill="FFFFFF"/>
            <w:noWrap/>
            <w:vAlign w:val="center"/>
            <w:hideMark/>
          </w:tcPr>
          <w:p w:rsidR="002C55BE" w:rsidRPr="002C55BE" w:rsidRDefault="002C55BE" w:rsidP="002C55BE">
            <w:pPr>
              <w:spacing w:after="0" w:line="240" w:lineRule="auto"/>
              <w:jc w:val="center"/>
              <w:rPr>
                <w:rFonts w:ascii="Arial" w:eastAsia="Times New Roman" w:hAnsi="Arial" w:cs="Arial"/>
                <w:color w:val="000000"/>
                <w:sz w:val="20"/>
                <w:szCs w:val="20"/>
                <w:lang w:eastAsia="es-CO"/>
              </w:rPr>
            </w:pPr>
            <w:r w:rsidRPr="002C55BE">
              <w:rPr>
                <w:rFonts w:ascii="Arial" w:eastAsia="Times New Roman" w:hAnsi="Arial" w:cs="Arial"/>
                <w:color w:val="000000"/>
                <w:sz w:val="20"/>
                <w:szCs w:val="20"/>
                <w:lang w:val="es-ES" w:eastAsia="es-CO"/>
              </w:rPr>
              <w:t>1</w:t>
            </w:r>
          </w:p>
        </w:tc>
        <w:tc>
          <w:tcPr>
            <w:tcW w:w="1985" w:type="dxa"/>
            <w:tcBorders>
              <w:top w:val="nil"/>
              <w:left w:val="nil"/>
              <w:bottom w:val="single" w:sz="4" w:space="0" w:color="auto"/>
              <w:right w:val="single" w:sz="4" w:space="0" w:color="auto"/>
            </w:tcBorders>
            <w:shd w:val="clear" w:color="000000" w:fill="FFFFFF"/>
            <w:noWrap/>
            <w:vAlign w:val="center"/>
            <w:hideMark/>
          </w:tcPr>
          <w:p w:rsidR="002C55BE" w:rsidRPr="002C55BE" w:rsidRDefault="002C55BE" w:rsidP="002C55BE">
            <w:pPr>
              <w:spacing w:after="0" w:line="240" w:lineRule="auto"/>
              <w:jc w:val="center"/>
              <w:rPr>
                <w:rFonts w:ascii="Arial" w:eastAsia="Times New Roman" w:hAnsi="Arial" w:cs="Arial"/>
                <w:color w:val="000000"/>
                <w:sz w:val="20"/>
                <w:szCs w:val="20"/>
                <w:lang w:eastAsia="es-CO"/>
              </w:rPr>
            </w:pPr>
            <w:r w:rsidRPr="002C55BE">
              <w:rPr>
                <w:rFonts w:ascii="Arial" w:eastAsia="Times New Roman" w:hAnsi="Arial" w:cs="Arial"/>
                <w:color w:val="000000"/>
                <w:sz w:val="20"/>
                <w:szCs w:val="20"/>
                <w:lang w:val="es-ES" w:eastAsia="es-CO"/>
              </w:rPr>
              <w:t>9</w:t>
            </w:r>
          </w:p>
        </w:tc>
      </w:tr>
      <w:tr w:rsidR="002C55BE" w:rsidRPr="002C55BE" w:rsidTr="00905B00">
        <w:trPr>
          <w:trHeight w:val="20"/>
        </w:trPr>
        <w:tc>
          <w:tcPr>
            <w:tcW w:w="5402" w:type="dxa"/>
            <w:tcBorders>
              <w:top w:val="nil"/>
              <w:left w:val="single" w:sz="4" w:space="0" w:color="auto"/>
              <w:bottom w:val="single" w:sz="4" w:space="0" w:color="auto"/>
              <w:right w:val="single" w:sz="4" w:space="0" w:color="auto"/>
            </w:tcBorders>
            <w:shd w:val="clear" w:color="000000" w:fill="FFFFFF"/>
            <w:vAlign w:val="center"/>
            <w:hideMark/>
          </w:tcPr>
          <w:p w:rsidR="002C55BE" w:rsidRPr="002C55BE" w:rsidRDefault="002C55BE" w:rsidP="002C55BE">
            <w:pPr>
              <w:spacing w:after="0" w:line="240" w:lineRule="auto"/>
              <w:rPr>
                <w:rFonts w:ascii="Arial" w:eastAsia="Times New Roman" w:hAnsi="Arial" w:cs="Arial"/>
                <w:color w:val="000000"/>
                <w:sz w:val="20"/>
                <w:szCs w:val="20"/>
                <w:lang w:eastAsia="es-CO"/>
              </w:rPr>
            </w:pPr>
            <w:r w:rsidRPr="002C55BE">
              <w:rPr>
                <w:rFonts w:ascii="Arial" w:eastAsia="Times New Roman" w:hAnsi="Arial" w:cs="Arial"/>
                <w:color w:val="000000"/>
                <w:sz w:val="20"/>
                <w:szCs w:val="20"/>
                <w:lang w:val="es-ES" w:eastAsia="es-CO"/>
              </w:rPr>
              <w:t>Entidades Intervenidas</w:t>
            </w:r>
          </w:p>
        </w:tc>
        <w:tc>
          <w:tcPr>
            <w:tcW w:w="1984" w:type="dxa"/>
            <w:tcBorders>
              <w:top w:val="nil"/>
              <w:left w:val="nil"/>
              <w:bottom w:val="single" w:sz="4" w:space="0" w:color="auto"/>
              <w:right w:val="single" w:sz="4" w:space="0" w:color="auto"/>
            </w:tcBorders>
            <w:shd w:val="clear" w:color="auto" w:fill="auto"/>
            <w:noWrap/>
            <w:vAlign w:val="center"/>
            <w:hideMark/>
          </w:tcPr>
          <w:p w:rsidR="002C55BE" w:rsidRPr="002C55BE" w:rsidRDefault="002C55BE" w:rsidP="002C55BE">
            <w:pPr>
              <w:spacing w:after="0" w:line="240" w:lineRule="auto"/>
              <w:jc w:val="center"/>
              <w:rPr>
                <w:rFonts w:ascii="Arial" w:eastAsia="Times New Roman" w:hAnsi="Arial" w:cs="Arial"/>
                <w:color w:val="000000"/>
                <w:sz w:val="20"/>
                <w:szCs w:val="20"/>
                <w:lang w:eastAsia="es-CO"/>
              </w:rPr>
            </w:pPr>
            <w:r w:rsidRPr="002C55BE">
              <w:rPr>
                <w:rFonts w:ascii="Arial" w:eastAsia="Times New Roman" w:hAnsi="Arial" w:cs="Arial"/>
                <w:color w:val="000000"/>
                <w:sz w:val="20"/>
                <w:szCs w:val="20"/>
                <w:lang w:eastAsia="es-CO"/>
              </w:rPr>
              <w:t>6</w:t>
            </w:r>
          </w:p>
        </w:tc>
        <w:tc>
          <w:tcPr>
            <w:tcW w:w="1985" w:type="dxa"/>
            <w:tcBorders>
              <w:top w:val="nil"/>
              <w:left w:val="nil"/>
              <w:bottom w:val="single" w:sz="4" w:space="0" w:color="auto"/>
              <w:right w:val="single" w:sz="4" w:space="0" w:color="auto"/>
            </w:tcBorders>
            <w:shd w:val="clear" w:color="auto" w:fill="auto"/>
            <w:noWrap/>
            <w:vAlign w:val="center"/>
            <w:hideMark/>
          </w:tcPr>
          <w:p w:rsidR="002C55BE" w:rsidRPr="002C55BE" w:rsidRDefault="002C55BE" w:rsidP="002C55BE">
            <w:pPr>
              <w:spacing w:after="0" w:line="240" w:lineRule="auto"/>
              <w:jc w:val="center"/>
              <w:rPr>
                <w:rFonts w:ascii="Arial" w:eastAsia="Times New Roman" w:hAnsi="Arial" w:cs="Arial"/>
                <w:color w:val="000000"/>
                <w:sz w:val="20"/>
                <w:szCs w:val="20"/>
                <w:lang w:eastAsia="es-CO"/>
              </w:rPr>
            </w:pPr>
            <w:r w:rsidRPr="002C55BE">
              <w:rPr>
                <w:rFonts w:ascii="Arial" w:eastAsia="Times New Roman" w:hAnsi="Arial" w:cs="Arial"/>
                <w:color w:val="000000"/>
                <w:sz w:val="20"/>
                <w:szCs w:val="20"/>
                <w:lang w:eastAsia="es-CO"/>
              </w:rPr>
              <w:t>14</w:t>
            </w:r>
          </w:p>
        </w:tc>
      </w:tr>
      <w:tr w:rsidR="00905B00" w:rsidRPr="002C55BE" w:rsidTr="00905B00">
        <w:trPr>
          <w:trHeight w:val="20"/>
        </w:trPr>
        <w:tc>
          <w:tcPr>
            <w:tcW w:w="5402" w:type="dxa"/>
            <w:tcBorders>
              <w:top w:val="nil"/>
              <w:left w:val="single" w:sz="4" w:space="0" w:color="auto"/>
              <w:bottom w:val="single" w:sz="4" w:space="0" w:color="auto"/>
              <w:right w:val="single" w:sz="4" w:space="0" w:color="auto"/>
            </w:tcBorders>
            <w:shd w:val="clear" w:color="000000" w:fill="FFFFFF"/>
            <w:noWrap/>
            <w:vAlign w:val="center"/>
            <w:hideMark/>
          </w:tcPr>
          <w:p w:rsidR="002C55BE" w:rsidRPr="002C55BE" w:rsidRDefault="002C55BE" w:rsidP="002C55BE">
            <w:pPr>
              <w:spacing w:after="0" w:line="240" w:lineRule="auto"/>
              <w:rPr>
                <w:rFonts w:ascii="Arial" w:eastAsia="Times New Roman" w:hAnsi="Arial" w:cs="Arial"/>
                <w:color w:val="000000"/>
                <w:sz w:val="20"/>
                <w:szCs w:val="20"/>
                <w:lang w:eastAsia="es-CO"/>
              </w:rPr>
            </w:pPr>
            <w:r w:rsidRPr="002C55BE">
              <w:rPr>
                <w:rFonts w:ascii="Arial" w:eastAsia="Times New Roman" w:hAnsi="Arial" w:cs="Arial"/>
                <w:color w:val="000000"/>
                <w:sz w:val="20"/>
                <w:szCs w:val="20"/>
                <w:lang w:val="es-ES" w:eastAsia="es-CO"/>
              </w:rPr>
              <w:t xml:space="preserve">  Para Administrar</w:t>
            </w:r>
          </w:p>
        </w:tc>
        <w:tc>
          <w:tcPr>
            <w:tcW w:w="1984" w:type="dxa"/>
            <w:tcBorders>
              <w:top w:val="nil"/>
              <w:left w:val="nil"/>
              <w:bottom w:val="single" w:sz="4" w:space="0" w:color="auto"/>
              <w:right w:val="single" w:sz="4" w:space="0" w:color="auto"/>
            </w:tcBorders>
            <w:shd w:val="clear" w:color="000000" w:fill="FFFFFF"/>
            <w:noWrap/>
            <w:vAlign w:val="center"/>
            <w:hideMark/>
          </w:tcPr>
          <w:p w:rsidR="002C55BE" w:rsidRPr="002C55BE" w:rsidRDefault="002C55BE" w:rsidP="002C55BE">
            <w:pPr>
              <w:spacing w:after="0" w:line="240" w:lineRule="auto"/>
              <w:jc w:val="center"/>
              <w:rPr>
                <w:rFonts w:ascii="Arial" w:eastAsia="Times New Roman" w:hAnsi="Arial" w:cs="Arial"/>
                <w:color w:val="000000"/>
                <w:sz w:val="20"/>
                <w:szCs w:val="20"/>
                <w:lang w:eastAsia="es-CO"/>
              </w:rPr>
            </w:pPr>
            <w:r w:rsidRPr="002C55BE">
              <w:rPr>
                <w:rFonts w:ascii="Arial" w:eastAsia="Times New Roman" w:hAnsi="Arial" w:cs="Arial"/>
                <w:color w:val="000000"/>
                <w:sz w:val="20"/>
                <w:szCs w:val="20"/>
                <w:lang w:val="es-ES" w:eastAsia="es-CO"/>
              </w:rPr>
              <w:t>1</w:t>
            </w:r>
          </w:p>
        </w:tc>
        <w:tc>
          <w:tcPr>
            <w:tcW w:w="1985" w:type="dxa"/>
            <w:tcBorders>
              <w:top w:val="nil"/>
              <w:left w:val="nil"/>
              <w:bottom w:val="single" w:sz="4" w:space="0" w:color="auto"/>
              <w:right w:val="single" w:sz="4" w:space="0" w:color="auto"/>
            </w:tcBorders>
            <w:shd w:val="clear" w:color="000000" w:fill="FFFFFF"/>
            <w:noWrap/>
            <w:vAlign w:val="center"/>
            <w:hideMark/>
          </w:tcPr>
          <w:p w:rsidR="002C55BE" w:rsidRPr="002C55BE" w:rsidRDefault="002C55BE" w:rsidP="002C55BE">
            <w:pPr>
              <w:spacing w:after="0" w:line="240" w:lineRule="auto"/>
              <w:jc w:val="center"/>
              <w:rPr>
                <w:rFonts w:ascii="Arial" w:eastAsia="Times New Roman" w:hAnsi="Arial" w:cs="Arial"/>
                <w:color w:val="000000"/>
                <w:sz w:val="20"/>
                <w:szCs w:val="20"/>
                <w:lang w:eastAsia="es-CO"/>
              </w:rPr>
            </w:pPr>
            <w:r w:rsidRPr="002C55BE">
              <w:rPr>
                <w:rFonts w:ascii="Arial" w:eastAsia="Times New Roman" w:hAnsi="Arial" w:cs="Arial"/>
                <w:color w:val="000000"/>
                <w:sz w:val="20"/>
                <w:szCs w:val="20"/>
                <w:lang w:val="es-ES" w:eastAsia="es-CO"/>
              </w:rPr>
              <w:t>1</w:t>
            </w:r>
          </w:p>
        </w:tc>
      </w:tr>
      <w:tr w:rsidR="00905B00" w:rsidRPr="002C55BE" w:rsidTr="00905B00">
        <w:trPr>
          <w:trHeight w:val="20"/>
        </w:trPr>
        <w:tc>
          <w:tcPr>
            <w:tcW w:w="5402" w:type="dxa"/>
            <w:tcBorders>
              <w:top w:val="nil"/>
              <w:left w:val="single" w:sz="4" w:space="0" w:color="auto"/>
              <w:bottom w:val="single" w:sz="4" w:space="0" w:color="auto"/>
              <w:right w:val="single" w:sz="4" w:space="0" w:color="auto"/>
            </w:tcBorders>
            <w:shd w:val="clear" w:color="000000" w:fill="FFFFFF"/>
            <w:noWrap/>
            <w:vAlign w:val="center"/>
            <w:hideMark/>
          </w:tcPr>
          <w:p w:rsidR="002C55BE" w:rsidRPr="002C55BE" w:rsidRDefault="002C55BE" w:rsidP="002C55BE">
            <w:pPr>
              <w:spacing w:after="0" w:line="240" w:lineRule="auto"/>
              <w:rPr>
                <w:rFonts w:ascii="Arial" w:eastAsia="Times New Roman" w:hAnsi="Arial" w:cs="Arial"/>
                <w:color w:val="000000"/>
                <w:sz w:val="20"/>
                <w:szCs w:val="20"/>
                <w:lang w:eastAsia="es-CO"/>
              </w:rPr>
            </w:pPr>
            <w:r w:rsidRPr="002C55BE">
              <w:rPr>
                <w:rFonts w:ascii="Arial" w:eastAsia="Times New Roman" w:hAnsi="Arial" w:cs="Arial"/>
                <w:color w:val="000000"/>
                <w:sz w:val="20"/>
                <w:szCs w:val="20"/>
                <w:lang w:val="es-ES" w:eastAsia="es-CO"/>
              </w:rPr>
              <w:t xml:space="preserve">  Para  Liquidar</w:t>
            </w:r>
          </w:p>
        </w:tc>
        <w:tc>
          <w:tcPr>
            <w:tcW w:w="1984" w:type="dxa"/>
            <w:tcBorders>
              <w:top w:val="nil"/>
              <w:left w:val="nil"/>
              <w:bottom w:val="single" w:sz="4" w:space="0" w:color="auto"/>
              <w:right w:val="single" w:sz="4" w:space="0" w:color="auto"/>
            </w:tcBorders>
            <w:shd w:val="clear" w:color="000000" w:fill="FFFFFF"/>
            <w:noWrap/>
            <w:vAlign w:val="center"/>
            <w:hideMark/>
          </w:tcPr>
          <w:p w:rsidR="002C55BE" w:rsidRPr="002C55BE" w:rsidRDefault="002C55BE" w:rsidP="002C55BE">
            <w:pPr>
              <w:spacing w:after="0" w:line="240" w:lineRule="auto"/>
              <w:jc w:val="center"/>
              <w:rPr>
                <w:rFonts w:ascii="Arial" w:eastAsia="Times New Roman" w:hAnsi="Arial" w:cs="Arial"/>
                <w:color w:val="000000"/>
                <w:sz w:val="20"/>
                <w:szCs w:val="20"/>
                <w:lang w:eastAsia="es-CO"/>
              </w:rPr>
            </w:pPr>
            <w:r w:rsidRPr="002C55BE">
              <w:rPr>
                <w:rFonts w:ascii="Arial" w:eastAsia="Times New Roman" w:hAnsi="Arial" w:cs="Arial"/>
                <w:color w:val="000000"/>
                <w:sz w:val="20"/>
                <w:szCs w:val="20"/>
                <w:lang w:val="es-ES" w:eastAsia="es-CO"/>
              </w:rPr>
              <w:t>5</w:t>
            </w:r>
          </w:p>
        </w:tc>
        <w:tc>
          <w:tcPr>
            <w:tcW w:w="1985" w:type="dxa"/>
            <w:tcBorders>
              <w:top w:val="nil"/>
              <w:left w:val="nil"/>
              <w:bottom w:val="single" w:sz="4" w:space="0" w:color="auto"/>
              <w:right w:val="single" w:sz="4" w:space="0" w:color="auto"/>
            </w:tcBorders>
            <w:shd w:val="clear" w:color="000000" w:fill="FFFFFF"/>
            <w:noWrap/>
            <w:vAlign w:val="center"/>
            <w:hideMark/>
          </w:tcPr>
          <w:p w:rsidR="002C55BE" w:rsidRPr="002C55BE" w:rsidRDefault="002C55BE" w:rsidP="002C55BE">
            <w:pPr>
              <w:spacing w:after="0" w:line="240" w:lineRule="auto"/>
              <w:jc w:val="center"/>
              <w:rPr>
                <w:rFonts w:ascii="Arial" w:eastAsia="Times New Roman" w:hAnsi="Arial" w:cs="Arial"/>
                <w:color w:val="000000"/>
                <w:sz w:val="20"/>
                <w:szCs w:val="20"/>
                <w:lang w:eastAsia="es-CO"/>
              </w:rPr>
            </w:pPr>
            <w:r w:rsidRPr="002C55BE">
              <w:rPr>
                <w:rFonts w:ascii="Arial" w:eastAsia="Times New Roman" w:hAnsi="Arial" w:cs="Arial"/>
                <w:color w:val="000000"/>
                <w:sz w:val="20"/>
                <w:szCs w:val="20"/>
                <w:lang w:val="es-ES" w:eastAsia="es-CO"/>
              </w:rPr>
              <w:t>13</w:t>
            </w:r>
          </w:p>
        </w:tc>
      </w:tr>
    </w:tbl>
    <w:p w:rsidR="002C55BE" w:rsidRPr="00905B00" w:rsidRDefault="00905B00" w:rsidP="002C55BE">
      <w:pPr>
        <w:widowControl w:val="0"/>
        <w:autoSpaceDE w:val="0"/>
        <w:autoSpaceDN w:val="0"/>
        <w:adjustRightInd w:val="0"/>
        <w:spacing w:after="0" w:line="240" w:lineRule="auto"/>
        <w:jc w:val="both"/>
        <w:rPr>
          <w:rFonts w:ascii="Arial" w:hAnsi="Arial" w:cs="Arial"/>
          <w:color w:val="000000"/>
          <w:sz w:val="16"/>
          <w:szCs w:val="16"/>
          <w:lang w:val="es-ES_tradnl"/>
        </w:rPr>
      </w:pPr>
      <w:r w:rsidRPr="00905B00">
        <w:rPr>
          <w:rFonts w:ascii="Arial" w:hAnsi="Arial" w:cs="Arial"/>
          <w:color w:val="000000"/>
          <w:sz w:val="16"/>
          <w:szCs w:val="16"/>
          <w:lang w:val="es-ES_tradnl"/>
        </w:rPr>
        <w:t>Fuente: Construcci</w:t>
      </w:r>
      <w:r>
        <w:rPr>
          <w:rFonts w:ascii="Arial" w:hAnsi="Arial" w:cs="Arial"/>
          <w:color w:val="000000"/>
          <w:sz w:val="16"/>
          <w:szCs w:val="16"/>
          <w:lang w:val="es-ES_tradnl"/>
        </w:rPr>
        <w:t>ón D</w:t>
      </w:r>
      <w:r w:rsidRPr="00905B00">
        <w:rPr>
          <w:rFonts w:ascii="Arial" w:hAnsi="Arial" w:cs="Arial"/>
          <w:color w:val="000000"/>
          <w:sz w:val="16"/>
          <w:szCs w:val="16"/>
          <w:lang w:val="es-ES_tradnl"/>
        </w:rPr>
        <w:t>elegada de Generación y Gestión de Recursos</w:t>
      </w:r>
    </w:p>
    <w:p w:rsidR="002C55BE" w:rsidRDefault="002C55BE" w:rsidP="002C55BE">
      <w:pPr>
        <w:widowControl w:val="0"/>
        <w:autoSpaceDE w:val="0"/>
        <w:autoSpaceDN w:val="0"/>
        <w:adjustRightInd w:val="0"/>
        <w:spacing w:after="0" w:line="240" w:lineRule="auto"/>
        <w:jc w:val="both"/>
        <w:rPr>
          <w:rFonts w:ascii="Arial" w:hAnsi="Arial" w:cs="Arial"/>
          <w:color w:val="000000"/>
          <w:lang w:val="es-ES_tradnl"/>
        </w:rPr>
      </w:pPr>
    </w:p>
    <w:p w:rsidR="002C55BE" w:rsidRDefault="002C55BE" w:rsidP="002C55BE">
      <w:pPr>
        <w:pStyle w:val="Sinespaciado"/>
        <w:jc w:val="both"/>
        <w:rPr>
          <w:rFonts w:ascii="Arial" w:hAnsi="Arial" w:cs="Arial"/>
        </w:rPr>
      </w:pPr>
      <w:r w:rsidRPr="00B0661B">
        <w:rPr>
          <w:rFonts w:ascii="Arial" w:hAnsi="Arial" w:cs="Arial"/>
        </w:rPr>
        <w:t>Adicional a lo anterior, la Superintendencia ha iniciado procesos administrativos sancionatorios por incumplimiento en el flujo de recursos.</w:t>
      </w:r>
    </w:p>
    <w:p w:rsidR="00905B00" w:rsidRDefault="00905B00" w:rsidP="002C55BE">
      <w:pPr>
        <w:pStyle w:val="Sinespaciado"/>
        <w:jc w:val="both"/>
        <w:rPr>
          <w:rFonts w:ascii="Arial" w:hAnsi="Arial" w:cs="Arial"/>
        </w:rPr>
      </w:pPr>
    </w:p>
    <w:p w:rsidR="00905B00" w:rsidRPr="004758CA" w:rsidRDefault="00905B00" w:rsidP="00905B00">
      <w:pPr>
        <w:pStyle w:val="Sinespaciado"/>
        <w:ind w:left="708"/>
        <w:jc w:val="both"/>
        <w:rPr>
          <w:rFonts w:ascii="Arial" w:hAnsi="Arial" w:cs="Arial"/>
          <w:b/>
          <w:i/>
          <w:color w:val="000000"/>
        </w:rPr>
      </w:pPr>
      <w:r>
        <w:rPr>
          <w:rFonts w:ascii="Arial" w:hAnsi="Arial" w:cs="Arial"/>
          <w:b/>
          <w:i/>
          <w:color w:val="000000"/>
        </w:rPr>
        <w:t xml:space="preserve">“4. </w:t>
      </w:r>
      <w:r w:rsidRPr="004758CA">
        <w:rPr>
          <w:rFonts w:ascii="Arial" w:hAnsi="Arial" w:cs="Arial"/>
          <w:b/>
          <w:i/>
          <w:color w:val="000000"/>
        </w:rPr>
        <w:t xml:space="preserve">Parte de las deudas que existen con el HUS, corresponde a EPS liquidadas (por ejemplo </w:t>
      </w:r>
      <w:r>
        <w:rPr>
          <w:rFonts w:ascii="Arial" w:hAnsi="Arial" w:cs="Arial"/>
          <w:b/>
          <w:i/>
          <w:color w:val="000000"/>
        </w:rPr>
        <w:t>S</w:t>
      </w:r>
      <w:r w:rsidRPr="004758CA">
        <w:rPr>
          <w:rFonts w:ascii="Arial" w:hAnsi="Arial" w:cs="Arial"/>
          <w:b/>
          <w:i/>
          <w:color w:val="000000"/>
        </w:rPr>
        <w:t>olsalud-Caprecom). Que actuaciones previas adelantó la Superintendencia de Salud al proceso de intervención que buscara evitar el no pago de la cartera por parte de estas EPS?”</w:t>
      </w:r>
    </w:p>
    <w:p w:rsidR="00905B00" w:rsidRPr="004758CA" w:rsidRDefault="00905B00" w:rsidP="00905B00">
      <w:pPr>
        <w:widowControl w:val="0"/>
        <w:autoSpaceDE w:val="0"/>
        <w:autoSpaceDN w:val="0"/>
        <w:adjustRightInd w:val="0"/>
        <w:spacing w:after="0" w:line="240" w:lineRule="auto"/>
        <w:jc w:val="both"/>
        <w:rPr>
          <w:rFonts w:ascii="Arial" w:hAnsi="Arial" w:cs="Arial"/>
          <w:color w:val="000000"/>
        </w:rPr>
      </w:pPr>
    </w:p>
    <w:p w:rsidR="00905B00" w:rsidRDefault="00905B00" w:rsidP="00905B00">
      <w:pPr>
        <w:spacing w:after="0" w:line="240" w:lineRule="auto"/>
        <w:jc w:val="both"/>
        <w:rPr>
          <w:rFonts w:ascii="Arial" w:hAnsi="Arial" w:cs="Arial"/>
        </w:rPr>
      </w:pPr>
      <w:r>
        <w:rPr>
          <w:rFonts w:ascii="Arial" w:hAnsi="Arial" w:cs="Arial"/>
        </w:rPr>
        <w:t>Al respecto es importante señalar que Solsalud y Caprecom no se encuentran liquidadas, frente a la primera la Superintendencia en marzo de 2012 ordenó la intervención para administrar y en mayo de 2013 se ordenó la intervención para liquidar, toda vez que los resultados no mostraron recuperación.</w:t>
      </w:r>
    </w:p>
    <w:p w:rsidR="00905B00" w:rsidRDefault="00905B00" w:rsidP="00905B00">
      <w:pPr>
        <w:widowControl w:val="0"/>
        <w:autoSpaceDE w:val="0"/>
        <w:autoSpaceDN w:val="0"/>
        <w:adjustRightInd w:val="0"/>
        <w:spacing w:after="0" w:line="240" w:lineRule="auto"/>
        <w:jc w:val="both"/>
        <w:rPr>
          <w:rFonts w:ascii="Arial" w:hAnsi="Arial" w:cs="Arial"/>
        </w:rPr>
      </w:pPr>
    </w:p>
    <w:p w:rsidR="00905B00" w:rsidRPr="00E20630" w:rsidRDefault="00905B00" w:rsidP="00905B00">
      <w:pPr>
        <w:widowControl w:val="0"/>
        <w:autoSpaceDE w:val="0"/>
        <w:autoSpaceDN w:val="0"/>
        <w:adjustRightInd w:val="0"/>
        <w:spacing w:after="0" w:line="240" w:lineRule="auto"/>
        <w:jc w:val="both"/>
        <w:rPr>
          <w:rFonts w:ascii="Arial" w:hAnsi="Arial" w:cs="Arial"/>
        </w:rPr>
      </w:pPr>
      <w:r>
        <w:rPr>
          <w:rFonts w:ascii="Arial" w:hAnsi="Arial" w:cs="Arial"/>
        </w:rPr>
        <w:t>En lo relacionado con Caprecom l</w:t>
      </w:r>
      <w:r w:rsidRPr="00E20630">
        <w:rPr>
          <w:rFonts w:ascii="Arial" w:hAnsi="Arial" w:cs="Arial"/>
        </w:rPr>
        <w:t xml:space="preserve">a Superintendencia Nacional Salud en cumplimiento de las </w:t>
      </w:r>
      <w:r w:rsidRPr="00E20630">
        <w:rPr>
          <w:rFonts w:ascii="Arial" w:hAnsi="Arial" w:cs="Arial"/>
        </w:rPr>
        <w:lastRenderedPageBreak/>
        <w:t xml:space="preserve">funciones de Inspección, Vigilancia y Control del Sistema General de Seguridad Social en Salud, </w:t>
      </w:r>
      <w:r>
        <w:rPr>
          <w:rFonts w:ascii="Arial" w:hAnsi="Arial" w:cs="Arial"/>
        </w:rPr>
        <w:t xml:space="preserve">en </w:t>
      </w:r>
      <w:r w:rsidRPr="00E20630">
        <w:rPr>
          <w:rFonts w:ascii="Arial" w:hAnsi="Arial" w:cs="Arial"/>
        </w:rPr>
        <w:t xml:space="preserve">adoptó la medida cautelar de vigilancia especial con el propósito de garantizar la credibilidad de los usuarios del Sistema, cautelar la confianza pública y sanear la situación que </w:t>
      </w:r>
      <w:r>
        <w:rPr>
          <w:rFonts w:ascii="Arial" w:hAnsi="Arial" w:cs="Arial"/>
        </w:rPr>
        <w:t xml:space="preserve">dio </w:t>
      </w:r>
      <w:r w:rsidRPr="00E20630">
        <w:rPr>
          <w:rFonts w:ascii="Arial" w:hAnsi="Arial" w:cs="Arial"/>
        </w:rPr>
        <w:t xml:space="preserve">origen a que </w:t>
      </w:r>
      <w:r>
        <w:rPr>
          <w:rFonts w:ascii="Arial" w:hAnsi="Arial" w:cs="Arial"/>
        </w:rPr>
        <w:t>Caprecom</w:t>
      </w:r>
      <w:r w:rsidRPr="00E20630">
        <w:rPr>
          <w:rFonts w:ascii="Arial" w:hAnsi="Arial" w:cs="Arial"/>
        </w:rPr>
        <w:t xml:space="preserve"> se encontrar</w:t>
      </w:r>
      <w:r>
        <w:rPr>
          <w:rFonts w:ascii="Arial" w:hAnsi="Arial" w:cs="Arial"/>
        </w:rPr>
        <w:t>á</w:t>
      </w:r>
      <w:r w:rsidRPr="00E20630">
        <w:rPr>
          <w:rFonts w:ascii="Arial" w:hAnsi="Arial" w:cs="Arial"/>
        </w:rPr>
        <w:t xml:space="preserve"> en causal de revocatoria de la licencia de funcionamiento o de habilitación por el incumplimiento de los requisitos de permanencia para operar en el Sistema General de Seguridad Social en Salud. La recuperación financiera de la entidad, deb</w:t>
      </w:r>
      <w:r>
        <w:rPr>
          <w:rFonts w:ascii="Arial" w:hAnsi="Arial" w:cs="Arial"/>
        </w:rPr>
        <w:t xml:space="preserve">ía </w:t>
      </w:r>
      <w:r w:rsidRPr="00E20630">
        <w:rPr>
          <w:rFonts w:ascii="Arial" w:hAnsi="Arial" w:cs="Arial"/>
        </w:rPr>
        <w:t xml:space="preserve">dar en un tiempo determinado, con unas condiciones y situaciones excepcionales bajo los parámetros establecidos por la Superintendencia. </w:t>
      </w:r>
    </w:p>
    <w:p w:rsidR="00905B00" w:rsidRDefault="00905B00" w:rsidP="00905B00">
      <w:pPr>
        <w:widowControl w:val="0"/>
        <w:autoSpaceDE w:val="0"/>
        <w:autoSpaceDN w:val="0"/>
        <w:adjustRightInd w:val="0"/>
        <w:spacing w:after="0" w:line="240" w:lineRule="auto"/>
        <w:jc w:val="both"/>
        <w:rPr>
          <w:rFonts w:ascii="Arial" w:hAnsi="Arial" w:cs="Arial"/>
        </w:rPr>
      </w:pPr>
    </w:p>
    <w:p w:rsidR="00905B00" w:rsidRPr="00F44281" w:rsidRDefault="00905B00" w:rsidP="00905B00">
      <w:pPr>
        <w:widowControl w:val="0"/>
        <w:autoSpaceDE w:val="0"/>
        <w:autoSpaceDN w:val="0"/>
        <w:adjustRightInd w:val="0"/>
        <w:spacing w:after="0" w:line="240" w:lineRule="auto"/>
        <w:jc w:val="both"/>
        <w:rPr>
          <w:rFonts w:ascii="Arial" w:hAnsi="Arial" w:cs="Arial"/>
          <w:color w:val="000000"/>
        </w:rPr>
      </w:pPr>
      <w:r w:rsidRPr="00E20630">
        <w:rPr>
          <w:rFonts w:ascii="Arial" w:hAnsi="Arial" w:cs="Arial"/>
        </w:rPr>
        <w:t>Adicionalmente, dada la permanencia del incumplimiento relacionado en los requisitos de operación</w:t>
      </w:r>
      <w:r>
        <w:rPr>
          <w:rFonts w:ascii="Arial" w:hAnsi="Arial" w:cs="Arial"/>
          <w:color w:val="000000"/>
          <w:lang w:val="es-ES"/>
        </w:rPr>
        <w:t xml:space="preserve"> por parte de </w:t>
      </w:r>
      <w:r>
        <w:rPr>
          <w:rFonts w:ascii="Arial" w:hAnsi="Arial" w:cs="Arial"/>
        </w:rPr>
        <w:t>Caprecom</w:t>
      </w:r>
      <w:r>
        <w:rPr>
          <w:rFonts w:ascii="Arial" w:hAnsi="Arial" w:cs="Arial"/>
          <w:color w:val="000000"/>
          <w:lang w:val="es-ES"/>
        </w:rPr>
        <w:t>, se están adelantando las acciones administrativas correspondientes.</w:t>
      </w:r>
    </w:p>
    <w:p w:rsidR="00905B00" w:rsidRDefault="00905B00" w:rsidP="00905B00">
      <w:pPr>
        <w:spacing w:after="0" w:line="240" w:lineRule="auto"/>
        <w:jc w:val="both"/>
        <w:rPr>
          <w:rFonts w:ascii="Arial" w:hAnsi="Arial" w:cs="Arial"/>
        </w:rPr>
      </w:pPr>
    </w:p>
    <w:p w:rsidR="00905B00" w:rsidRDefault="00905B00" w:rsidP="00905B00">
      <w:pPr>
        <w:spacing w:after="0" w:line="240" w:lineRule="auto"/>
        <w:jc w:val="both"/>
        <w:rPr>
          <w:rFonts w:ascii="Arial" w:eastAsia="Calibri" w:hAnsi="Arial" w:cs="Arial"/>
          <w:color w:val="000000"/>
          <w:lang w:eastAsia="es-CO"/>
        </w:rPr>
      </w:pPr>
      <w:r>
        <w:rPr>
          <w:rFonts w:ascii="Arial" w:hAnsi="Arial" w:cs="Arial"/>
        </w:rPr>
        <w:t>De otra parte, como se mencionó en el anterior numeral, l</w:t>
      </w:r>
      <w:r w:rsidRPr="004758CA">
        <w:rPr>
          <w:rFonts w:ascii="Arial" w:hAnsi="Arial" w:cs="Arial"/>
        </w:rPr>
        <w:t xml:space="preserve">a Superintendencia Nacional de Salud, en  ejercicio de las funciones de Inspección, Vigilancia y Control, con base en la información reportada trimestralmente por las EPS en cumplimiento de la Circular Única, la cual es confrontada con la reportada por las IPS en forma semestral, evalúa los estándares de capacidad financiera de las EPS, especialmente el margen de solvencia, a través del cual se verifica la liquidez y la capacidad de pago que tienen las EPS para garantizar el cumplimiento en el flujo de recursos </w:t>
      </w:r>
      <w:r w:rsidRPr="004758CA">
        <w:rPr>
          <w:rFonts w:ascii="Arial" w:eastAsia="Calibri" w:hAnsi="Arial" w:cs="Arial"/>
          <w:color w:val="000000"/>
          <w:lang w:eastAsia="es-CO"/>
        </w:rPr>
        <w:t>dentro de los plazos establecidos por la norma</w:t>
      </w:r>
      <w:r>
        <w:rPr>
          <w:rFonts w:ascii="Arial" w:eastAsia="Calibri" w:hAnsi="Arial" w:cs="Arial"/>
          <w:color w:val="000000"/>
          <w:lang w:eastAsia="es-CO"/>
        </w:rPr>
        <w:t>, con los resultados que se indicaron.</w:t>
      </w:r>
    </w:p>
    <w:p w:rsidR="00905B00" w:rsidRDefault="00905B00" w:rsidP="00905B00">
      <w:pPr>
        <w:spacing w:after="0" w:line="240" w:lineRule="auto"/>
        <w:jc w:val="both"/>
        <w:rPr>
          <w:rFonts w:ascii="Arial" w:eastAsia="Calibri" w:hAnsi="Arial" w:cs="Arial"/>
          <w:color w:val="000000"/>
          <w:lang w:eastAsia="es-CO"/>
        </w:rPr>
      </w:pPr>
    </w:p>
    <w:p w:rsidR="009F4FDB" w:rsidRPr="004758CA" w:rsidRDefault="009F4FDB" w:rsidP="009F4FDB">
      <w:pPr>
        <w:pStyle w:val="Sinespaciado"/>
        <w:ind w:left="708"/>
        <w:jc w:val="both"/>
        <w:rPr>
          <w:rFonts w:ascii="Arial" w:hAnsi="Arial" w:cs="Arial"/>
          <w:b/>
          <w:i/>
          <w:color w:val="000000"/>
        </w:rPr>
      </w:pPr>
      <w:r w:rsidRPr="004758CA">
        <w:rPr>
          <w:rFonts w:ascii="Arial" w:hAnsi="Arial" w:cs="Arial"/>
          <w:b/>
          <w:i/>
          <w:color w:val="000000"/>
        </w:rPr>
        <w:t>“5. La Superintendencia Nacional de Salud tiene conocimiento de la crisis que afronta actualmente el Hospital Universitario de Santander</w:t>
      </w:r>
      <w:proofErr w:type="gramStart"/>
      <w:r w:rsidRPr="004758CA">
        <w:rPr>
          <w:rFonts w:ascii="Arial" w:hAnsi="Arial" w:cs="Arial"/>
          <w:b/>
          <w:i/>
          <w:color w:val="000000"/>
        </w:rPr>
        <w:t>?</w:t>
      </w:r>
      <w:proofErr w:type="gramEnd"/>
      <w:r w:rsidRPr="004758CA">
        <w:rPr>
          <w:rFonts w:ascii="Arial" w:hAnsi="Arial" w:cs="Arial"/>
          <w:b/>
          <w:i/>
          <w:color w:val="000000"/>
        </w:rPr>
        <w:t>”</w:t>
      </w:r>
    </w:p>
    <w:p w:rsidR="009F4FDB" w:rsidRPr="004758CA" w:rsidRDefault="009F4FDB" w:rsidP="009F4FDB">
      <w:pPr>
        <w:widowControl w:val="0"/>
        <w:autoSpaceDE w:val="0"/>
        <w:autoSpaceDN w:val="0"/>
        <w:adjustRightInd w:val="0"/>
        <w:spacing w:after="0" w:line="240" w:lineRule="auto"/>
        <w:ind w:left="284" w:hanging="284"/>
        <w:jc w:val="both"/>
        <w:rPr>
          <w:rFonts w:ascii="Arial" w:hAnsi="Arial" w:cs="Arial"/>
          <w:b/>
          <w:i/>
          <w:color w:val="000000"/>
        </w:rPr>
      </w:pPr>
    </w:p>
    <w:p w:rsidR="009F4FDB" w:rsidRPr="004758CA" w:rsidRDefault="009F4FDB" w:rsidP="009F4FDB">
      <w:pPr>
        <w:spacing w:after="0" w:line="240" w:lineRule="auto"/>
        <w:jc w:val="both"/>
        <w:rPr>
          <w:rFonts w:ascii="Arial" w:hAnsi="Arial" w:cs="Arial"/>
        </w:rPr>
      </w:pPr>
      <w:r w:rsidRPr="004758CA">
        <w:rPr>
          <w:rFonts w:ascii="Arial" w:hAnsi="Arial" w:cs="Arial"/>
        </w:rPr>
        <w:t>El Ministerio de Salud y Protección Social mediante la Resolución 2509 de 2012 definió la metodología para la categorización del riesgo de las Empresas Sociales del Estado (ESE) del nivel territorial y efectuó la categorización del riesgo para la vigencia 2012, dado lo previsto en la Ley 1438 de 2011.</w:t>
      </w:r>
    </w:p>
    <w:p w:rsidR="009F4FDB" w:rsidRPr="004758CA" w:rsidRDefault="009F4FDB" w:rsidP="009F4FDB">
      <w:pPr>
        <w:spacing w:after="0" w:line="240" w:lineRule="auto"/>
        <w:jc w:val="both"/>
        <w:rPr>
          <w:rFonts w:ascii="Arial" w:hAnsi="Arial" w:cs="Arial"/>
        </w:rPr>
      </w:pPr>
    </w:p>
    <w:p w:rsidR="009F4FDB" w:rsidRPr="004758CA" w:rsidRDefault="009F4FDB" w:rsidP="009F4FDB">
      <w:pPr>
        <w:spacing w:after="0" w:line="240" w:lineRule="auto"/>
        <w:jc w:val="both"/>
        <w:rPr>
          <w:rFonts w:ascii="Arial" w:hAnsi="Arial" w:cs="Arial"/>
        </w:rPr>
      </w:pPr>
      <w:r w:rsidRPr="004758CA">
        <w:rPr>
          <w:rFonts w:ascii="Arial" w:hAnsi="Arial" w:cs="Arial"/>
        </w:rPr>
        <w:t>Esta clasificación del riesgo se basa en las condiciones de mercado, de equilibrio y viabilidad financiera, a partir de los indicadores financieros de cada ESE obtenidos de la información presupuestal y financiera que cada entidad reporta en cumplimiento del Decreto 2193 de 2004, previa consolidación y validación por las Direcciones Territoriales de Salud.</w:t>
      </w:r>
    </w:p>
    <w:p w:rsidR="009F4FDB" w:rsidRPr="004758CA" w:rsidRDefault="009F4FDB" w:rsidP="009F4FDB">
      <w:pPr>
        <w:spacing w:after="0" w:line="240" w:lineRule="auto"/>
        <w:jc w:val="both"/>
        <w:rPr>
          <w:rFonts w:ascii="Arial" w:hAnsi="Arial" w:cs="Arial"/>
        </w:rPr>
      </w:pPr>
    </w:p>
    <w:p w:rsidR="009F4FDB" w:rsidRPr="004758CA" w:rsidRDefault="009F4FDB" w:rsidP="009F4FDB">
      <w:pPr>
        <w:spacing w:after="0" w:line="240" w:lineRule="auto"/>
        <w:jc w:val="both"/>
        <w:rPr>
          <w:rFonts w:ascii="Arial" w:hAnsi="Arial" w:cs="Arial"/>
        </w:rPr>
      </w:pPr>
      <w:r w:rsidRPr="004758CA">
        <w:rPr>
          <w:rFonts w:ascii="Arial" w:hAnsi="Arial" w:cs="Arial"/>
        </w:rPr>
        <w:t>Resultado del análisis de la información financiera y presupuestal</w:t>
      </w:r>
      <w:r w:rsidRPr="004758CA">
        <w:rPr>
          <w:rStyle w:val="Refdenotaalpie"/>
          <w:rFonts w:ascii="Arial" w:hAnsi="Arial" w:cs="Arial"/>
        </w:rPr>
        <w:footnoteReference w:id="2"/>
      </w:r>
      <w:r w:rsidRPr="004758CA">
        <w:rPr>
          <w:rFonts w:ascii="Arial" w:hAnsi="Arial" w:cs="Arial"/>
        </w:rPr>
        <w:t xml:space="preserve">, el Hospital Universitario de Santander quedó categorizado </w:t>
      </w:r>
      <w:r w:rsidRPr="004758CA">
        <w:rPr>
          <w:rFonts w:ascii="Arial" w:hAnsi="Arial" w:cs="Arial"/>
          <w:b/>
        </w:rPr>
        <w:t>SIN RIESGO</w:t>
      </w:r>
      <w:r w:rsidRPr="004758CA">
        <w:rPr>
          <w:rFonts w:ascii="Arial" w:hAnsi="Arial" w:cs="Arial"/>
        </w:rPr>
        <w:t xml:space="preserve"> dada su capacidad de financiar obligaciones operacionales corrientes y no corrientes, frente a los ingresos corrientes; en el 2013 y </w:t>
      </w:r>
      <w:proofErr w:type="gramStart"/>
      <w:r w:rsidRPr="004758CA">
        <w:rPr>
          <w:rFonts w:ascii="Arial" w:hAnsi="Arial" w:cs="Arial"/>
        </w:rPr>
        <w:t>continuo</w:t>
      </w:r>
      <w:proofErr w:type="gramEnd"/>
      <w:r w:rsidRPr="004758CA">
        <w:rPr>
          <w:rFonts w:ascii="Arial" w:hAnsi="Arial" w:cs="Arial"/>
        </w:rPr>
        <w:t xml:space="preserve"> en esta clasificación.</w:t>
      </w:r>
    </w:p>
    <w:p w:rsidR="009F4FDB" w:rsidRPr="004758CA" w:rsidRDefault="009F4FDB" w:rsidP="009F4FDB">
      <w:pPr>
        <w:spacing w:after="0" w:line="240" w:lineRule="auto"/>
        <w:jc w:val="both"/>
        <w:rPr>
          <w:rFonts w:ascii="Arial" w:hAnsi="Arial" w:cs="Arial"/>
        </w:rPr>
      </w:pPr>
    </w:p>
    <w:p w:rsidR="00FF1F7B" w:rsidRDefault="00FF1F7B" w:rsidP="009F4FDB">
      <w:pPr>
        <w:tabs>
          <w:tab w:val="left" w:pos="9072"/>
        </w:tabs>
        <w:autoSpaceDE w:val="0"/>
        <w:autoSpaceDN w:val="0"/>
        <w:adjustRightInd w:val="0"/>
        <w:spacing w:after="0" w:line="240" w:lineRule="auto"/>
        <w:jc w:val="both"/>
        <w:rPr>
          <w:rFonts w:ascii="Arial" w:hAnsi="Arial" w:cs="Arial"/>
          <w:b/>
        </w:rPr>
      </w:pPr>
    </w:p>
    <w:p w:rsidR="00FF1F7B" w:rsidRDefault="00FF1F7B" w:rsidP="009F4FDB">
      <w:pPr>
        <w:tabs>
          <w:tab w:val="left" w:pos="9072"/>
        </w:tabs>
        <w:autoSpaceDE w:val="0"/>
        <w:autoSpaceDN w:val="0"/>
        <w:adjustRightInd w:val="0"/>
        <w:spacing w:after="0" w:line="240" w:lineRule="auto"/>
        <w:jc w:val="both"/>
        <w:rPr>
          <w:rFonts w:ascii="Arial" w:hAnsi="Arial" w:cs="Arial"/>
          <w:b/>
        </w:rPr>
      </w:pPr>
    </w:p>
    <w:p w:rsidR="009F4FDB" w:rsidRPr="004758CA" w:rsidRDefault="009F4FDB" w:rsidP="009F4FDB">
      <w:pPr>
        <w:tabs>
          <w:tab w:val="left" w:pos="9072"/>
        </w:tabs>
        <w:autoSpaceDE w:val="0"/>
        <w:autoSpaceDN w:val="0"/>
        <w:adjustRightInd w:val="0"/>
        <w:spacing w:after="0" w:line="240" w:lineRule="auto"/>
        <w:jc w:val="both"/>
        <w:rPr>
          <w:rFonts w:ascii="Arial" w:hAnsi="Arial" w:cs="Arial"/>
          <w:b/>
        </w:rPr>
      </w:pPr>
      <w:r w:rsidRPr="004758CA">
        <w:rPr>
          <w:rFonts w:ascii="Arial" w:hAnsi="Arial" w:cs="Arial"/>
          <w:b/>
        </w:rPr>
        <w:t xml:space="preserve">Presupuesto de Ingresos 2011-2012 </w:t>
      </w:r>
    </w:p>
    <w:p w:rsidR="009F4FDB" w:rsidRPr="004758CA" w:rsidRDefault="009F4FDB" w:rsidP="009F4FDB">
      <w:pPr>
        <w:tabs>
          <w:tab w:val="left" w:pos="9072"/>
        </w:tabs>
        <w:autoSpaceDE w:val="0"/>
        <w:autoSpaceDN w:val="0"/>
        <w:adjustRightInd w:val="0"/>
        <w:spacing w:after="0" w:line="240" w:lineRule="auto"/>
        <w:jc w:val="both"/>
        <w:rPr>
          <w:rFonts w:ascii="Arial" w:hAnsi="Arial" w:cs="Arial"/>
          <w:b/>
        </w:rPr>
      </w:pPr>
    </w:p>
    <w:p w:rsidR="009F4FDB" w:rsidRPr="004758CA" w:rsidRDefault="009F4FDB" w:rsidP="009F4FDB">
      <w:pPr>
        <w:tabs>
          <w:tab w:val="left" w:pos="9072"/>
        </w:tabs>
        <w:autoSpaceDE w:val="0"/>
        <w:autoSpaceDN w:val="0"/>
        <w:adjustRightInd w:val="0"/>
        <w:spacing w:after="0" w:line="240" w:lineRule="auto"/>
        <w:jc w:val="both"/>
        <w:rPr>
          <w:rFonts w:ascii="Arial" w:hAnsi="Arial" w:cs="Arial"/>
        </w:rPr>
      </w:pPr>
      <w:r w:rsidRPr="004758CA">
        <w:rPr>
          <w:rFonts w:ascii="Arial" w:hAnsi="Arial" w:cs="Arial"/>
        </w:rPr>
        <w:lastRenderedPageBreak/>
        <w:t>A continuación se presenta el Presupuesto de Ingresos consolidado del Hospital Universitario de Santander, para los años 2011 y 2012, así:</w:t>
      </w:r>
    </w:p>
    <w:p w:rsidR="009F4FDB" w:rsidRPr="004758CA" w:rsidRDefault="009F4FDB" w:rsidP="009F4FDB">
      <w:pPr>
        <w:tabs>
          <w:tab w:val="left" w:pos="9072"/>
        </w:tabs>
        <w:autoSpaceDE w:val="0"/>
        <w:autoSpaceDN w:val="0"/>
        <w:adjustRightInd w:val="0"/>
        <w:spacing w:after="0" w:line="240" w:lineRule="auto"/>
        <w:jc w:val="both"/>
        <w:rPr>
          <w:rFonts w:ascii="Arial" w:hAnsi="Arial" w:cs="Arial"/>
        </w:rPr>
      </w:pPr>
    </w:p>
    <w:p w:rsidR="009F4FDB" w:rsidRPr="004758CA" w:rsidRDefault="009F4FDB" w:rsidP="009F4FDB">
      <w:pPr>
        <w:tabs>
          <w:tab w:val="left" w:pos="9072"/>
        </w:tabs>
        <w:autoSpaceDE w:val="0"/>
        <w:autoSpaceDN w:val="0"/>
        <w:adjustRightInd w:val="0"/>
        <w:spacing w:after="0" w:line="240" w:lineRule="auto"/>
        <w:jc w:val="center"/>
        <w:rPr>
          <w:rFonts w:ascii="Arial" w:hAnsi="Arial" w:cs="Arial"/>
          <w:b/>
        </w:rPr>
      </w:pPr>
      <w:r w:rsidRPr="004758CA">
        <w:rPr>
          <w:rFonts w:ascii="Arial" w:hAnsi="Arial" w:cs="Arial"/>
          <w:b/>
        </w:rPr>
        <w:t>PRESUPUESTO DE INGRESOS 2011-2012</w:t>
      </w:r>
    </w:p>
    <w:p w:rsidR="009F4FDB" w:rsidRPr="004758CA" w:rsidRDefault="009F4FDB" w:rsidP="009F4FDB">
      <w:pPr>
        <w:tabs>
          <w:tab w:val="left" w:pos="9072"/>
        </w:tabs>
        <w:autoSpaceDE w:val="0"/>
        <w:autoSpaceDN w:val="0"/>
        <w:adjustRightInd w:val="0"/>
        <w:spacing w:after="0" w:line="240" w:lineRule="auto"/>
        <w:jc w:val="center"/>
        <w:rPr>
          <w:rFonts w:ascii="Arial" w:hAnsi="Arial" w:cs="Arial"/>
        </w:rPr>
      </w:pPr>
      <w:r w:rsidRPr="004758CA">
        <w:rPr>
          <w:noProof/>
          <w:lang w:eastAsia="es-CO"/>
        </w:rPr>
        <w:drawing>
          <wp:inline distT="0" distB="0" distL="0" distR="0" wp14:anchorId="4CB0BA2A" wp14:editId="32E2B42D">
            <wp:extent cx="4133850" cy="2371725"/>
            <wp:effectExtent l="0" t="0" r="0"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F4FDB" w:rsidRPr="004758CA" w:rsidRDefault="009F4FDB" w:rsidP="009F4FDB">
      <w:pPr>
        <w:tabs>
          <w:tab w:val="left" w:pos="9072"/>
        </w:tabs>
        <w:autoSpaceDE w:val="0"/>
        <w:autoSpaceDN w:val="0"/>
        <w:adjustRightInd w:val="0"/>
        <w:spacing w:after="0" w:line="240" w:lineRule="auto"/>
        <w:jc w:val="center"/>
        <w:rPr>
          <w:rFonts w:ascii="Arial" w:hAnsi="Arial" w:cs="Arial"/>
        </w:rPr>
      </w:pPr>
    </w:p>
    <w:tbl>
      <w:tblPr>
        <w:tblW w:w="5000" w:type="pct"/>
        <w:tblCellMar>
          <w:left w:w="70" w:type="dxa"/>
          <w:right w:w="70" w:type="dxa"/>
        </w:tblCellMar>
        <w:tblLook w:val="04A0" w:firstRow="1" w:lastRow="0" w:firstColumn="1" w:lastColumn="0" w:noHBand="0" w:noVBand="1"/>
      </w:tblPr>
      <w:tblGrid>
        <w:gridCol w:w="1688"/>
        <w:gridCol w:w="987"/>
        <w:gridCol w:w="987"/>
        <w:gridCol w:w="462"/>
        <w:gridCol w:w="987"/>
        <w:gridCol w:w="987"/>
        <w:gridCol w:w="462"/>
        <w:gridCol w:w="1233"/>
        <w:gridCol w:w="1261"/>
        <w:gridCol w:w="490"/>
      </w:tblGrid>
      <w:tr w:rsidR="009F4FDB" w:rsidRPr="004758CA" w:rsidTr="009F4FDB">
        <w:trPr>
          <w:trHeight w:val="80"/>
        </w:trPr>
        <w:tc>
          <w:tcPr>
            <w:tcW w:w="5000" w:type="pct"/>
            <w:gridSpan w:val="10"/>
            <w:tcBorders>
              <w:top w:val="nil"/>
              <w:left w:val="nil"/>
              <w:bottom w:val="single" w:sz="4" w:space="0" w:color="auto"/>
              <w:right w:val="nil"/>
            </w:tcBorders>
            <w:shd w:val="clear" w:color="auto" w:fill="auto"/>
            <w:noWrap/>
            <w:vAlign w:val="bottom"/>
            <w:hideMark/>
          </w:tcPr>
          <w:p w:rsidR="00FF1F7B" w:rsidRDefault="00FF1F7B" w:rsidP="009F4FDB">
            <w:pPr>
              <w:spacing w:after="0" w:line="240" w:lineRule="auto"/>
              <w:jc w:val="right"/>
              <w:rPr>
                <w:rFonts w:ascii="Arial" w:eastAsia="Times New Roman" w:hAnsi="Arial" w:cs="Arial"/>
                <w:color w:val="000000"/>
                <w:sz w:val="14"/>
                <w:szCs w:val="18"/>
                <w:lang w:eastAsia="es-CO"/>
              </w:rPr>
            </w:pPr>
          </w:p>
          <w:p w:rsidR="00FF1F7B" w:rsidRDefault="00FF1F7B" w:rsidP="009F4FDB">
            <w:pPr>
              <w:spacing w:after="0" w:line="240" w:lineRule="auto"/>
              <w:jc w:val="right"/>
              <w:rPr>
                <w:rFonts w:ascii="Arial" w:eastAsia="Times New Roman" w:hAnsi="Arial" w:cs="Arial"/>
                <w:color w:val="000000"/>
                <w:sz w:val="14"/>
                <w:szCs w:val="18"/>
                <w:lang w:eastAsia="es-CO"/>
              </w:rPr>
            </w:pPr>
          </w:p>
          <w:p w:rsidR="00FF1F7B" w:rsidRDefault="00FF1F7B" w:rsidP="009F4FDB">
            <w:pPr>
              <w:spacing w:after="0" w:line="240" w:lineRule="auto"/>
              <w:jc w:val="right"/>
              <w:rPr>
                <w:rFonts w:ascii="Arial" w:eastAsia="Times New Roman" w:hAnsi="Arial" w:cs="Arial"/>
                <w:color w:val="000000"/>
                <w:sz w:val="14"/>
                <w:szCs w:val="18"/>
                <w:lang w:eastAsia="es-CO"/>
              </w:rPr>
            </w:pPr>
          </w:p>
          <w:p w:rsidR="00FF1F7B" w:rsidRDefault="00FF1F7B" w:rsidP="009F4FDB">
            <w:pPr>
              <w:spacing w:after="0" w:line="240" w:lineRule="auto"/>
              <w:jc w:val="right"/>
              <w:rPr>
                <w:rFonts w:ascii="Arial" w:eastAsia="Times New Roman" w:hAnsi="Arial" w:cs="Arial"/>
                <w:color w:val="000000"/>
                <w:sz w:val="14"/>
                <w:szCs w:val="18"/>
                <w:lang w:eastAsia="es-CO"/>
              </w:rPr>
            </w:pPr>
          </w:p>
          <w:p w:rsidR="009F4FDB" w:rsidRPr="004758CA" w:rsidRDefault="009F4FDB" w:rsidP="009F4FDB">
            <w:pPr>
              <w:spacing w:after="0" w:line="240" w:lineRule="auto"/>
              <w:jc w:val="right"/>
              <w:rPr>
                <w:rFonts w:ascii="Arial" w:eastAsia="Times New Roman" w:hAnsi="Arial" w:cs="Arial"/>
                <w:color w:val="000000"/>
                <w:sz w:val="14"/>
                <w:szCs w:val="18"/>
                <w:lang w:eastAsia="es-CO"/>
              </w:rPr>
            </w:pPr>
            <w:r w:rsidRPr="004758CA">
              <w:rPr>
                <w:rFonts w:ascii="Arial" w:eastAsia="Times New Roman" w:hAnsi="Arial" w:cs="Arial"/>
                <w:color w:val="000000"/>
                <w:sz w:val="14"/>
                <w:szCs w:val="18"/>
                <w:lang w:eastAsia="es-CO"/>
              </w:rPr>
              <w:t>Cifras en miles de $</w:t>
            </w:r>
          </w:p>
        </w:tc>
      </w:tr>
      <w:tr w:rsidR="009F4FDB" w:rsidRPr="004758CA" w:rsidTr="009F4FDB">
        <w:trPr>
          <w:trHeight w:val="300"/>
        </w:trPr>
        <w:tc>
          <w:tcPr>
            <w:tcW w:w="1213" w:type="pct"/>
            <w:vMerge w:val="restart"/>
            <w:tcBorders>
              <w:top w:val="nil"/>
              <w:left w:val="single" w:sz="4" w:space="0" w:color="auto"/>
              <w:bottom w:val="single" w:sz="4" w:space="0" w:color="auto"/>
              <w:right w:val="single" w:sz="4" w:space="0" w:color="auto"/>
            </w:tcBorders>
            <w:shd w:val="clear" w:color="DCE6F1" w:fill="D8E4BC"/>
            <w:noWrap/>
            <w:vAlign w:val="center"/>
            <w:hideMark/>
          </w:tcPr>
          <w:p w:rsidR="009F4FDB" w:rsidRPr="004758CA" w:rsidRDefault="009F4FDB" w:rsidP="009F4FDB">
            <w:pPr>
              <w:spacing w:after="0" w:line="240" w:lineRule="auto"/>
              <w:jc w:val="center"/>
              <w:rPr>
                <w:rFonts w:ascii="Arial" w:eastAsia="Times New Roman" w:hAnsi="Arial" w:cs="Arial"/>
                <w:b/>
                <w:bCs/>
                <w:color w:val="000000"/>
                <w:sz w:val="14"/>
                <w:lang w:eastAsia="es-CO"/>
              </w:rPr>
            </w:pPr>
            <w:r w:rsidRPr="004758CA">
              <w:rPr>
                <w:rFonts w:ascii="Arial" w:eastAsia="Times New Roman" w:hAnsi="Arial" w:cs="Arial"/>
                <w:b/>
                <w:bCs/>
                <w:color w:val="000000"/>
                <w:sz w:val="14"/>
                <w:lang w:eastAsia="es-CO"/>
              </w:rPr>
              <w:t>concepto</w:t>
            </w:r>
          </w:p>
        </w:tc>
        <w:tc>
          <w:tcPr>
            <w:tcW w:w="1175" w:type="pct"/>
            <w:gridSpan w:val="3"/>
            <w:tcBorders>
              <w:top w:val="single" w:sz="4" w:space="0" w:color="auto"/>
              <w:left w:val="nil"/>
              <w:bottom w:val="nil"/>
              <w:right w:val="single" w:sz="4" w:space="0" w:color="000000"/>
            </w:tcBorders>
            <w:shd w:val="clear" w:color="000000" w:fill="D8E4BC"/>
            <w:noWrap/>
            <w:vAlign w:val="bottom"/>
            <w:hideMark/>
          </w:tcPr>
          <w:p w:rsidR="009F4FDB" w:rsidRPr="004758CA" w:rsidRDefault="009F4FDB" w:rsidP="009F4FDB">
            <w:pPr>
              <w:spacing w:after="0" w:line="240" w:lineRule="auto"/>
              <w:jc w:val="center"/>
              <w:rPr>
                <w:rFonts w:ascii="Arial" w:eastAsia="Times New Roman" w:hAnsi="Arial" w:cs="Arial"/>
                <w:b/>
                <w:bCs/>
                <w:color w:val="000000"/>
                <w:sz w:val="14"/>
                <w:lang w:eastAsia="es-CO"/>
              </w:rPr>
            </w:pPr>
            <w:r w:rsidRPr="004758CA">
              <w:rPr>
                <w:rFonts w:ascii="Arial" w:eastAsia="Times New Roman" w:hAnsi="Arial" w:cs="Arial"/>
                <w:b/>
                <w:bCs/>
                <w:color w:val="000000"/>
                <w:sz w:val="14"/>
                <w:lang w:eastAsia="es-CO"/>
              </w:rPr>
              <w:t xml:space="preserve"> DEFINITIVO </w:t>
            </w:r>
          </w:p>
        </w:tc>
        <w:tc>
          <w:tcPr>
            <w:tcW w:w="1175" w:type="pct"/>
            <w:gridSpan w:val="3"/>
            <w:tcBorders>
              <w:top w:val="single" w:sz="4" w:space="0" w:color="auto"/>
              <w:left w:val="nil"/>
              <w:bottom w:val="nil"/>
              <w:right w:val="single" w:sz="4" w:space="0" w:color="000000"/>
            </w:tcBorders>
            <w:shd w:val="clear" w:color="000000" w:fill="D8E4BC"/>
            <w:noWrap/>
            <w:vAlign w:val="bottom"/>
            <w:hideMark/>
          </w:tcPr>
          <w:p w:rsidR="009F4FDB" w:rsidRPr="004758CA" w:rsidRDefault="009F4FDB" w:rsidP="009F4FDB">
            <w:pPr>
              <w:spacing w:after="0" w:line="240" w:lineRule="auto"/>
              <w:jc w:val="center"/>
              <w:rPr>
                <w:rFonts w:ascii="Arial" w:eastAsia="Times New Roman" w:hAnsi="Arial" w:cs="Arial"/>
                <w:b/>
                <w:bCs/>
                <w:color w:val="000000"/>
                <w:sz w:val="14"/>
                <w:lang w:eastAsia="es-CO"/>
              </w:rPr>
            </w:pPr>
            <w:r w:rsidRPr="004758CA">
              <w:rPr>
                <w:rFonts w:ascii="Arial" w:eastAsia="Times New Roman" w:hAnsi="Arial" w:cs="Arial"/>
                <w:b/>
                <w:bCs/>
                <w:color w:val="000000"/>
                <w:sz w:val="14"/>
                <w:lang w:eastAsia="es-CO"/>
              </w:rPr>
              <w:t xml:space="preserve"> RECAUDADO </w:t>
            </w:r>
          </w:p>
        </w:tc>
        <w:tc>
          <w:tcPr>
            <w:tcW w:w="1436" w:type="pct"/>
            <w:gridSpan w:val="3"/>
            <w:tcBorders>
              <w:top w:val="single" w:sz="4" w:space="0" w:color="auto"/>
              <w:left w:val="nil"/>
              <w:bottom w:val="single" w:sz="4" w:space="0" w:color="auto"/>
              <w:right w:val="single" w:sz="4" w:space="0" w:color="auto"/>
            </w:tcBorders>
            <w:shd w:val="clear" w:color="000000" w:fill="D8E4BC"/>
            <w:noWrap/>
            <w:vAlign w:val="bottom"/>
            <w:hideMark/>
          </w:tcPr>
          <w:p w:rsidR="009F4FDB" w:rsidRPr="004758CA" w:rsidRDefault="009F4FDB" w:rsidP="009F4FDB">
            <w:pPr>
              <w:spacing w:after="0" w:line="240" w:lineRule="auto"/>
              <w:jc w:val="center"/>
              <w:rPr>
                <w:rFonts w:ascii="Arial" w:eastAsia="Times New Roman" w:hAnsi="Arial" w:cs="Arial"/>
                <w:b/>
                <w:bCs/>
                <w:color w:val="000000"/>
                <w:sz w:val="14"/>
                <w:lang w:eastAsia="es-CO"/>
              </w:rPr>
            </w:pPr>
            <w:r w:rsidRPr="004758CA">
              <w:rPr>
                <w:rFonts w:ascii="Arial" w:eastAsia="Times New Roman" w:hAnsi="Arial" w:cs="Arial"/>
                <w:b/>
                <w:bCs/>
                <w:color w:val="000000"/>
                <w:sz w:val="14"/>
                <w:lang w:eastAsia="es-CO"/>
              </w:rPr>
              <w:t xml:space="preserve"> RECONOCIDO </w:t>
            </w:r>
          </w:p>
        </w:tc>
      </w:tr>
      <w:tr w:rsidR="009F4FDB" w:rsidRPr="004758CA" w:rsidTr="009F4FDB">
        <w:trPr>
          <w:trHeight w:val="300"/>
        </w:trPr>
        <w:tc>
          <w:tcPr>
            <w:tcW w:w="1213" w:type="pct"/>
            <w:vMerge/>
            <w:tcBorders>
              <w:top w:val="nil"/>
              <w:left w:val="single" w:sz="4" w:space="0" w:color="auto"/>
              <w:bottom w:val="single" w:sz="4" w:space="0" w:color="auto"/>
              <w:right w:val="single" w:sz="4" w:space="0" w:color="auto"/>
            </w:tcBorders>
            <w:vAlign w:val="center"/>
            <w:hideMark/>
          </w:tcPr>
          <w:p w:rsidR="009F4FDB" w:rsidRPr="004758CA" w:rsidRDefault="009F4FDB" w:rsidP="009F4FDB">
            <w:pPr>
              <w:spacing w:after="0" w:line="240" w:lineRule="auto"/>
              <w:rPr>
                <w:rFonts w:ascii="Arial" w:eastAsia="Times New Roman" w:hAnsi="Arial" w:cs="Arial"/>
                <w:b/>
                <w:bCs/>
                <w:color w:val="000000"/>
                <w:sz w:val="14"/>
                <w:lang w:eastAsia="es-CO"/>
              </w:rPr>
            </w:pPr>
          </w:p>
        </w:tc>
        <w:tc>
          <w:tcPr>
            <w:tcW w:w="476" w:type="pct"/>
            <w:tcBorders>
              <w:top w:val="single" w:sz="4" w:space="0" w:color="auto"/>
              <w:left w:val="nil"/>
              <w:bottom w:val="single" w:sz="4" w:space="0" w:color="auto"/>
              <w:right w:val="single" w:sz="4" w:space="0" w:color="auto"/>
            </w:tcBorders>
            <w:shd w:val="clear" w:color="DCE6F1" w:fill="D8E4BC"/>
            <w:noWrap/>
            <w:vAlign w:val="center"/>
            <w:hideMark/>
          </w:tcPr>
          <w:p w:rsidR="009F4FDB" w:rsidRPr="004758CA" w:rsidRDefault="009F4FDB" w:rsidP="009F4FDB">
            <w:pPr>
              <w:spacing w:after="0" w:line="240" w:lineRule="auto"/>
              <w:jc w:val="center"/>
              <w:rPr>
                <w:rFonts w:ascii="Arial" w:eastAsia="Times New Roman" w:hAnsi="Arial" w:cs="Arial"/>
                <w:b/>
                <w:bCs/>
                <w:color w:val="000000"/>
                <w:sz w:val="14"/>
                <w:lang w:eastAsia="es-CO"/>
              </w:rPr>
            </w:pPr>
            <w:r w:rsidRPr="004758CA">
              <w:rPr>
                <w:rFonts w:ascii="Arial" w:eastAsia="Times New Roman" w:hAnsi="Arial" w:cs="Arial"/>
                <w:b/>
                <w:bCs/>
                <w:color w:val="000000"/>
                <w:sz w:val="14"/>
                <w:lang w:eastAsia="es-CO"/>
              </w:rPr>
              <w:t xml:space="preserve">2.011 </w:t>
            </w:r>
          </w:p>
        </w:tc>
        <w:tc>
          <w:tcPr>
            <w:tcW w:w="476" w:type="pct"/>
            <w:tcBorders>
              <w:top w:val="single" w:sz="4" w:space="0" w:color="auto"/>
              <w:left w:val="nil"/>
              <w:bottom w:val="single" w:sz="4" w:space="0" w:color="auto"/>
              <w:right w:val="single" w:sz="4" w:space="0" w:color="auto"/>
            </w:tcBorders>
            <w:shd w:val="clear" w:color="DCE6F1" w:fill="D8E4BC"/>
            <w:noWrap/>
            <w:vAlign w:val="center"/>
            <w:hideMark/>
          </w:tcPr>
          <w:p w:rsidR="009F4FDB" w:rsidRPr="004758CA" w:rsidRDefault="009F4FDB" w:rsidP="009F4FDB">
            <w:pPr>
              <w:spacing w:after="0" w:line="240" w:lineRule="auto"/>
              <w:jc w:val="center"/>
              <w:rPr>
                <w:rFonts w:ascii="Arial" w:eastAsia="Times New Roman" w:hAnsi="Arial" w:cs="Arial"/>
                <w:b/>
                <w:bCs/>
                <w:color w:val="000000"/>
                <w:sz w:val="14"/>
                <w:lang w:eastAsia="es-CO"/>
              </w:rPr>
            </w:pPr>
            <w:r w:rsidRPr="004758CA">
              <w:rPr>
                <w:rFonts w:ascii="Arial" w:eastAsia="Times New Roman" w:hAnsi="Arial" w:cs="Arial"/>
                <w:b/>
                <w:bCs/>
                <w:color w:val="000000"/>
                <w:sz w:val="14"/>
                <w:lang w:eastAsia="es-CO"/>
              </w:rPr>
              <w:t xml:space="preserve">2.012 </w:t>
            </w:r>
          </w:p>
        </w:tc>
        <w:tc>
          <w:tcPr>
            <w:tcW w:w="224" w:type="pct"/>
            <w:tcBorders>
              <w:top w:val="single" w:sz="4" w:space="0" w:color="auto"/>
              <w:left w:val="nil"/>
              <w:bottom w:val="single" w:sz="4" w:space="0" w:color="auto"/>
              <w:right w:val="single" w:sz="4" w:space="0" w:color="auto"/>
            </w:tcBorders>
            <w:shd w:val="clear" w:color="000000" w:fill="D8E4BC"/>
            <w:noWrap/>
            <w:vAlign w:val="bottom"/>
            <w:hideMark/>
          </w:tcPr>
          <w:p w:rsidR="009F4FDB" w:rsidRPr="004758CA" w:rsidRDefault="009F4FDB" w:rsidP="009F4FDB">
            <w:pPr>
              <w:spacing w:after="0" w:line="240" w:lineRule="auto"/>
              <w:rPr>
                <w:rFonts w:ascii="Arial" w:eastAsia="Times New Roman" w:hAnsi="Arial" w:cs="Arial"/>
                <w:b/>
                <w:bCs/>
                <w:color w:val="000000"/>
                <w:sz w:val="14"/>
                <w:szCs w:val="18"/>
                <w:lang w:eastAsia="es-CO"/>
              </w:rPr>
            </w:pPr>
            <w:r w:rsidRPr="004758CA">
              <w:rPr>
                <w:rFonts w:ascii="Arial" w:eastAsia="Times New Roman" w:hAnsi="Arial" w:cs="Arial"/>
                <w:b/>
                <w:bCs/>
                <w:color w:val="000000"/>
                <w:sz w:val="14"/>
                <w:szCs w:val="18"/>
                <w:lang w:eastAsia="es-CO"/>
              </w:rPr>
              <w:t>% VAR</w:t>
            </w:r>
          </w:p>
        </w:tc>
        <w:tc>
          <w:tcPr>
            <w:tcW w:w="476" w:type="pct"/>
            <w:tcBorders>
              <w:top w:val="single" w:sz="4" w:space="0" w:color="auto"/>
              <w:left w:val="nil"/>
              <w:bottom w:val="single" w:sz="4" w:space="0" w:color="auto"/>
              <w:right w:val="single" w:sz="4" w:space="0" w:color="auto"/>
            </w:tcBorders>
            <w:shd w:val="clear" w:color="DCE6F1" w:fill="D8E4BC"/>
            <w:noWrap/>
            <w:vAlign w:val="center"/>
            <w:hideMark/>
          </w:tcPr>
          <w:p w:rsidR="009F4FDB" w:rsidRPr="004758CA" w:rsidRDefault="009F4FDB" w:rsidP="009F4FDB">
            <w:pPr>
              <w:spacing w:after="0" w:line="240" w:lineRule="auto"/>
              <w:jc w:val="center"/>
              <w:rPr>
                <w:rFonts w:ascii="Arial" w:eastAsia="Times New Roman" w:hAnsi="Arial" w:cs="Arial"/>
                <w:b/>
                <w:bCs/>
                <w:color w:val="000000"/>
                <w:sz w:val="14"/>
                <w:lang w:eastAsia="es-CO"/>
              </w:rPr>
            </w:pPr>
            <w:r w:rsidRPr="004758CA">
              <w:rPr>
                <w:rFonts w:ascii="Arial" w:eastAsia="Times New Roman" w:hAnsi="Arial" w:cs="Arial"/>
                <w:b/>
                <w:bCs/>
                <w:color w:val="000000"/>
                <w:sz w:val="14"/>
                <w:lang w:eastAsia="es-CO"/>
              </w:rPr>
              <w:t xml:space="preserve">2.011 </w:t>
            </w:r>
          </w:p>
        </w:tc>
        <w:tc>
          <w:tcPr>
            <w:tcW w:w="476" w:type="pct"/>
            <w:tcBorders>
              <w:top w:val="single" w:sz="4" w:space="0" w:color="auto"/>
              <w:left w:val="nil"/>
              <w:bottom w:val="single" w:sz="4" w:space="0" w:color="auto"/>
              <w:right w:val="single" w:sz="4" w:space="0" w:color="auto"/>
            </w:tcBorders>
            <w:shd w:val="clear" w:color="DCE6F1" w:fill="D8E4BC"/>
            <w:noWrap/>
            <w:vAlign w:val="center"/>
            <w:hideMark/>
          </w:tcPr>
          <w:p w:rsidR="009F4FDB" w:rsidRPr="004758CA" w:rsidRDefault="009F4FDB" w:rsidP="009F4FDB">
            <w:pPr>
              <w:spacing w:after="0" w:line="240" w:lineRule="auto"/>
              <w:jc w:val="center"/>
              <w:rPr>
                <w:rFonts w:ascii="Arial" w:eastAsia="Times New Roman" w:hAnsi="Arial" w:cs="Arial"/>
                <w:b/>
                <w:bCs/>
                <w:color w:val="000000"/>
                <w:sz w:val="14"/>
                <w:lang w:eastAsia="es-CO"/>
              </w:rPr>
            </w:pPr>
            <w:r w:rsidRPr="004758CA">
              <w:rPr>
                <w:rFonts w:ascii="Arial" w:eastAsia="Times New Roman" w:hAnsi="Arial" w:cs="Arial"/>
                <w:b/>
                <w:bCs/>
                <w:color w:val="000000"/>
                <w:sz w:val="14"/>
                <w:lang w:eastAsia="es-CO"/>
              </w:rPr>
              <w:t xml:space="preserve">2.012 </w:t>
            </w:r>
          </w:p>
        </w:tc>
        <w:tc>
          <w:tcPr>
            <w:tcW w:w="224" w:type="pct"/>
            <w:tcBorders>
              <w:top w:val="single" w:sz="4" w:space="0" w:color="auto"/>
              <w:left w:val="nil"/>
              <w:bottom w:val="single" w:sz="4" w:space="0" w:color="auto"/>
              <w:right w:val="single" w:sz="4" w:space="0" w:color="auto"/>
            </w:tcBorders>
            <w:shd w:val="clear" w:color="000000" w:fill="D8E4BC"/>
            <w:noWrap/>
            <w:vAlign w:val="bottom"/>
            <w:hideMark/>
          </w:tcPr>
          <w:p w:rsidR="009F4FDB" w:rsidRPr="004758CA" w:rsidRDefault="009F4FDB" w:rsidP="009F4FDB">
            <w:pPr>
              <w:spacing w:after="0" w:line="240" w:lineRule="auto"/>
              <w:rPr>
                <w:rFonts w:ascii="Arial" w:eastAsia="Times New Roman" w:hAnsi="Arial" w:cs="Arial"/>
                <w:b/>
                <w:bCs/>
                <w:color w:val="000000"/>
                <w:sz w:val="14"/>
                <w:szCs w:val="18"/>
                <w:lang w:eastAsia="es-CO"/>
              </w:rPr>
            </w:pPr>
            <w:r w:rsidRPr="004758CA">
              <w:rPr>
                <w:rFonts w:ascii="Arial" w:eastAsia="Times New Roman" w:hAnsi="Arial" w:cs="Arial"/>
                <w:b/>
                <w:bCs/>
                <w:color w:val="000000"/>
                <w:sz w:val="14"/>
                <w:szCs w:val="18"/>
                <w:lang w:eastAsia="es-CO"/>
              </w:rPr>
              <w:t>% VAR</w:t>
            </w:r>
          </w:p>
        </w:tc>
        <w:tc>
          <w:tcPr>
            <w:tcW w:w="593" w:type="pct"/>
            <w:tcBorders>
              <w:top w:val="nil"/>
              <w:left w:val="nil"/>
              <w:bottom w:val="single" w:sz="4" w:space="0" w:color="auto"/>
              <w:right w:val="single" w:sz="4" w:space="0" w:color="auto"/>
            </w:tcBorders>
            <w:shd w:val="clear" w:color="DCE6F1" w:fill="D8E4BC"/>
            <w:noWrap/>
            <w:vAlign w:val="center"/>
            <w:hideMark/>
          </w:tcPr>
          <w:p w:rsidR="009F4FDB" w:rsidRPr="004758CA" w:rsidRDefault="009F4FDB" w:rsidP="009F4FDB">
            <w:pPr>
              <w:spacing w:after="0" w:line="240" w:lineRule="auto"/>
              <w:jc w:val="center"/>
              <w:rPr>
                <w:rFonts w:ascii="Arial" w:eastAsia="Times New Roman" w:hAnsi="Arial" w:cs="Arial"/>
                <w:b/>
                <w:bCs/>
                <w:color w:val="000000"/>
                <w:sz w:val="14"/>
                <w:lang w:eastAsia="es-CO"/>
              </w:rPr>
            </w:pPr>
            <w:r w:rsidRPr="004758CA">
              <w:rPr>
                <w:rFonts w:ascii="Arial" w:eastAsia="Times New Roman" w:hAnsi="Arial" w:cs="Arial"/>
                <w:b/>
                <w:bCs/>
                <w:color w:val="000000"/>
                <w:sz w:val="14"/>
                <w:lang w:eastAsia="es-CO"/>
              </w:rPr>
              <w:t xml:space="preserve">2.011 </w:t>
            </w:r>
          </w:p>
        </w:tc>
        <w:tc>
          <w:tcPr>
            <w:tcW w:w="606" w:type="pct"/>
            <w:tcBorders>
              <w:top w:val="nil"/>
              <w:left w:val="nil"/>
              <w:bottom w:val="single" w:sz="4" w:space="0" w:color="auto"/>
              <w:right w:val="single" w:sz="4" w:space="0" w:color="auto"/>
            </w:tcBorders>
            <w:shd w:val="clear" w:color="DCE6F1" w:fill="D8E4BC"/>
            <w:noWrap/>
            <w:vAlign w:val="center"/>
            <w:hideMark/>
          </w:tcPr>
          <w:p w:rsidR="009F4FDB" w:rsidRPr="004758CA" w:rsidRDefault="009F4FDB" w:rsidP="009F4FDB">
            <w:pPr>
              <w:spacing w:after="0" w:line="240" w:lineRule="auto"/>
              <w:jc w:val="center"/>
              <w:rPr>
                <w:rFonts w:ascii="Arial" w:eastAsia="Times New Roman" w:hAnsi="Arial" w:cs="Arial"/>
                <w:b/>
                <w:bCs/>
                <w:color w:val="000000"/>
                <w:sz w:val="14"/>
                <w:lang w:eastAsia="es-CO"/>
              </w:rPr>
            </w:pPr>
            <w:r w:rsidRPr="004758CA">
              <w:rPr>
                <w:rFonts w:ascii="Arial" w:eastAsia="Times New Roman" w:hAnsi="Arial" w:cs="Arial"/>
                <w:b/>
                <w:bCs/>
                <w:color w:val="000000"/>
                <w:sz w:val="14"/>
                <w:lang w:eastAsia="es-CO"/>
              </w:rPr>
              <w:t xml:space="preserve">2.012 </w:t>
            </w:r>
          </w:p>
        </w:tc>
        <w:tc>
          <w:tcPr>
            <w:tcW w:w="237" w:type="pct"/>
            <w:tcBorders>
              <w:top w:val="nil"/>
              <w:left w:val="nil"/>
              <w:bottom w:val="single" w:sz="4" w:space="0" w:color="auto"/>
              <w:right w:val="single" w:sz="4" w:space="0" w:color="auto"/>
            </w:tcBorders>
            <w:shd w:val="clear" w:color="000000" w:fill="D8E4BC"/>
            <w:noWrap/>
            <w:vAlign w:val="bottom"/>
            <w:hideMark/>
          </w:tcPr>
          <w:p w:rsidR="009F4FDB" w:rsidRPr="004758CA" w:rsidRDefault="009F4FDB" w:rsidP="009F4FDB">
            <w:pPr>
              <w:spacing w:after="0" w:line="240" w:lineRule="auto"/>
              <w:rPr>
                <w:rFonts w:ascii="Arial" w:eastAsia="Times New Roman" w:hAnsi="Arial" w:cs="Arial"/>
                <w:b/>
                <w:bCs/>
                <w:color w:val="000000"/>
                <w:sz w:val="14"/>
                <w:szCs w:val="18"/>
                <w:lang w:eastAsia="es-CO"/>
              </w:rPr>
            </w:pPr>
            <w:r w:rsidRPr="004758CA">
              <w:rPr>
                <w:rFonts w:ascii="Arial" w:eastAsia="Times New Roman" w:hAnsi="Arial" w:cs="Arial"/>
                <w:b/>
                <w:bCs/>
                <w:color w:val="000000"/>
                <w:sz w:val="14"/>
                <w:szCs w:val="18"/>
                <w:lang w:eastAsia="es-CO"/>
              </w:rPr>
              <w:t> % VAR</w:t>
            </w:r>
          </w:p>
        </w:tc>
      </w:tr>
      <w:tr w:rsidR="009F4FDB" w:rsidRPr="004758CA" w:rsidTr="009F4FDB">
        <w:trPr>
          <w:trHeight w:val="285"/>
        </w:trPr>
        <w:tc>
          <w:tcPr>
            <w:tcW w:w="1213" w:type="pct"/>
            <w:tcBorders>
              <w:top w:val="nil"/>
              <w:left w:val="single" w:sz="4" w:space="0" w:color="auto"/>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rPr>
                <w:rFonts w:ascii="Arial" w:eastAsia="Times New Roman" w:hAnsi="Arial" w:cs="Arial"/>
                <w:color w:val="000000"/>
                <w:sz w:val="14"/>
                <w:lang w:eastAsia="es-CO"/>
              </w:rPr>
            </w:pPr>
            <w:r w:rsidRPr="004758CA">
              <w:rPr>
                <w:rFonts w:ascii="Arial" w:eastAsia="Times New Roman" w:hAnsi="Arial" w:cs="Arial"/>
                <w:color w:val="000000"/>
                <w:sz w:val="14"/>
                <w:lang w:eastAsia="es-CO"/>
              </w:rPr>
              <w:t>Disponibilidad inicial</w:t>
            </w:r>
          </w:p>
        </w:tc>
        <w:tc>
          <w:tcPr>
            <w:tcW w:w="476" w:type="pct"/>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lang w:eastAsia="es-CO"/>
              </w:rPr>
            </w:pPr>
            <w:r w:rsidRPr="004758CA">
              <w:rPr>
                <w:rFonts w:ascii="Arial" w:eastAsia="Times New Roman" w:hAnsi="Arial" w:cs="Arial"/>
                <w:color w:val="000000"/>
                <w:sz w:val="14"/>
                <w:lang w:eastAsia="es-CO"/>
              </w:rPr>
              <w:t>47.586.856</w:t>
            </w:r>
          </w:p>
        </w:tc>
        <w:tc>
          <w:tcPr>
            <w:tcW w:w="476" w:type="pct"/>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lang w:eastAsia="es-CO"/>
              </w:rPr>
            </w:pPr>
            <w:r w:rsidRPr="004758CA">
              <w:rPr>
                <w:rFonts w:ascii="Arial" w:eastAsia="Times New Roman" w:hAnsi="Arial" w:cs="Arial"/>
                <w:color w:val="000000"/>
                <w:sz w:val="14"/>
                <w:lang w:eastAsia="es-CO"/>
              </w:rPr>
              <w:t>53.060.545</w:t>
            </w:r>
          </w:p>
        </w:tc>
        <w:tc>
          <w:tcPr>
            <w:tcW w:w="224" w:type="pct"/>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lang w:eastAsia="es-CO"/>
              </w:rPr>
            </w:pPr>
            <w:r w:rsidRPr="004758CA">
              <w:rPr>
                <w:rFonts w:ascii="Arial" w:eastAsia="Times New Roman" w:hAnsi="Arial" w:cs="Arial"/>
                <w:color w:val="000000"/>
                <w:sz w:val="14"/>
                <w:lang w:eastAsia="es-CO"/>
              </w:rPr>
              <w:t>10</w:t>
            </w:r>
          </w:p>
        </w:tc>
        <w:tc>
          <w:tcPr>
            <w:tcW w:w="476" w:type="pct"/>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lang w:eastAsia="es-CO"/>
              </w:rPr>
            </w:pPr>
            <w:r w:rsidRPr="004758CA">
              <w:rPr>
                <w:rFonts w:ascii="Arial" w:eastAsia="Times New Roman" w:hAnsi="Arial" w:cs="Arial"/>
                <w:color w:val="000000"/>
                <w:sz w:val="14"/>
                <w:lang w:eastAsia="es-CO"/>
              </w:rPr>
              <w:t>15.472.712</w:t>
            </w:r>
          </w:p>
        </w:tc>
        <w:tc>
          <w:tcPr>
            <w:tcW w:w="476" w:type="pct"/>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lang w:eastAsia="es-CO"/>
              </w:rPr>
            </w:pPr>
            <w:r w:rsidRPr="004758CA">
              <w:rPr>
                <w:rFonts w:ascii="Arial" w:eastAsia="Times New Roman" w:hAnsi="Arial" w:cs="Arial"/>
                <w:color w:val="000000"/>
                <w:sz w:val="14"/>
                <w:lang w:eastAsia="es-CO"/>
              </w:rPr>
              <w:t>0</w:t>
            </w:r>
          </w:p>
        </w:tc>
        <w:tc>
          <w:tcPr>
            <w:tcW w:w="224" w:type="pct"/>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lang w:eastAsia="es-CO"/>
              </w:rPr>
            </w:pPr>
            <w:r w:rsidRPr="004758CA">
              <w:rPr>
                <w:rFonts w:ascii="Arial" w:eastAsia="Times New Roman" w:hAnsi="Arial" w:cs="Arial"/>
                <w:color w:val="000000"/>
                <w:sz w:val="14"/>
                <w:lang w:eastAsia="es-CO"/>
              </w:rPr>
              <w:t>100</w:t>
            </w:r>
          </w:p>
        </w:tc>
        <w:tc>
          <w:tcPr>
            <w:tcW w:w="593" w:type="pct"/>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lang w:eastAsia="es-CO"/>
              </w:rPr>
            </w:pPr>
            <w:r w:rsidRPr="004758CA">
              <w:rPr>
                <w:rFonts w:ascii="Arial" w:eastAsia="Times New Roman" w:hAnsi="Arial" w:cs="Arial"/>
                <w:color w:val="000000"/>
                <w:sz w:val="14"/>
                <w:lang w:eastAsia="es-CO"/>
              </w:rPr>
              <w:t>15.472.712</w:t>
            </w:r>
          </w:p>
        </w:tc>
        <w:tc>
          <w:tcPr>
            <w:tcW w:w="606" w:type="pct"/>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lang w:eastAsia="es-CO"/>
              </w:rPr>
            </w:pPr>
            <w:r w:rsidRPr="004758CA">
              <w:rPr>
                <w:rFonts w:ascii="Arial" w:eastAsia="Times New Roman" w:hAnsi="Arial" w:cs="Arial"/>
                <w:color w:val="000000"/>
                <w:sz w:val="14"/>
                <w:lang w:eastAsia="es-CO"/>
              </w:rPr>
              <w:t>20.473.709</w:t>
            </w:r>
          </w:p>
        </w:tc>
        <w:tc>
          <w:tcPr>
            <w:tcW w:w="237" w:type="pct"/>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lang w:eastAsia="es-CO"/>
              </w:rPr>
            </w:pPr>
            <w:r w:rsidRPr="004758CA">
              <w:rPr>
                <w:rFonts w:ascii="Arial" w:eastAsia="Times New Roman" w:hAnsi="Arial" w:cs="Arial"/>
                <w:color w:val="000000"/>
                <w:sz w:val="14"/>
                <w:lang w:eastAsia="es-CO"/>
              </w:rPr>
              <w:t>24</w:t>
            </w:r>
          </w:p>
        </w:tc>
      </w:tr>
      <w:tr w:rsidR="009F4FDB" w:rsidRPr="004758CA" w:rsidTr="009F4FDB">
        <w:trPr>
          <w:trHeight w:val="285"/>
        </w:trPr>
        <w:tc>
          <w:tcPr>
            <w:tcW w:w="1213" w:type="pct"/>
            <w:tcBorders>
              <w:top w:val="nil"/>
              <w:left w:val="single" w:sz="4" w:space="0" w:color="auto"/>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rPr>
                <w:rFonts w:ascii="Arial" w:eastAsia="Times New Roman" w:hAnsi="Arial" w:cs="Arial"/>
                <w:color w:val="000000"/>
                <w:sz w:val="14"/>
                <w:lang w:eastAsia="es-CO"/>
              </w:rPr>
            </w:pPr>
            <w:r w:rsidRPr="004758CA">
              <w:rPr>
                <w:rFonts w:ascii="Arial" w:eastAsia="Times New Roman" w:hAnsi="Arial" w:cs="Arial"/>
                <w:color w:val="000000"/>
                <w:sz w:val="14"/>
                <w:lang w:eastAsia="es-CO"/>
              </w:rPr>
              <w:t>Ingresos corrientes</w:t>
            </w:r>
          </w:p>
        </w:tc>
        <w:tc>
          <w:tcPr>
            <w:tcW w:w="476" w:type="pct"/>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lang w:eastAsia="es-CO"/>
              </w:rPr>
            </w:pPr>
            <w:r w:rsidRPr="004758CA">
              <w:rPr>
                <w:rFonts w:ascii="Arial" w:eastAsia="Times New Roman" w:hAnsi="Arial" w:cs="Arial"/>
                <w:color w:val="000000"/>
                <w:sz w:val="14"/>
                <w:lang w:eastAsia="es-CO"/>
              </w:rPr>
              <w:t>36.678.650</w:t>
            </w:r>
          </w:p>
        </w:tc>
        <w:tc>
          <w:tcPr>
            <w:tcW w:w="476" w:type="pct"/>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lang w:eastAsia="es-CO"/>
              </w:rPr>
            </w:pPr>
            <w:r w:rsidRPr="004758CA">
              <w:rPr>
                <w:rFonts w:ascii="Arial" w:eastAsia="Times New Roman" w:hAnsi="Arial" w:cs="Arial"/>
                <w:color w:val="000000"/>
                <w:sz w:val="14"/>
                <w:lang w:eastAsia="es-CO"/>
              </w:rPr>
              <w:t>44.866.313</w:t>
            </w:r>
          </w:p>
        </w:tc>
        <w:tc>
          <w:tcPr>
            <w:tcW w:w="224" w:type="pct"/>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lang w:eastAsia="es-CO"/>
              </w:rPr>
            </w:pPr>
            <w:r w:rsidRPr="004758CA">
              <w:rPr>
                <w:rFonts w:ascii="Arial" w:eastAsia="Times New Roman" w:hAnsi="Arial" w:cs="Arial"/>
                <w:color w:val="000000"/>
                <w:sz w:val="14"/>
                <w:lang w:eastAsia="es-CO"/>
              </w:rPr>
              <w:t>18</w:t>
            </w:r>
          </w:p>
        </w:tc>
        <w:tc>
          <w:tcPr>
            <w:tcW w:w="476" w:type="pct"/>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lang w:eastAsia="es-CO"/>
              </w:rPr>
            </w:pPr>
            <w:r w:rsidRPr="004758CA">
              <w:rPr>
                <w:rFonts w:ascii="Arial" w:eastAsia="Times New Roman" w:hAnsi="Arial" w:cs="Arial"/>
                <w:color w:val="000000"/>
                <w:sz w:val="14"/>
                <w:lang w:eastAsia="es-CO"/>
              </w:rPr>
              <w:t>36.678.650</w:t>
            </w:r>
          </w:p>
        </w:tc>
        <w:tc>
          <w:tcPr>
            <w:tcW w:w="476" w:type="pct"/>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lang w:eastAsia="es-CO"/>
              </w:rPr>
            </w:pPr>
            <w:r w:rsidRPr="004758CA">
              <w:rPr>
                <w:rFonts w:ascii="Arial" w:eastAsia="Times New Roman" w:hAnsi="Arial" w:cs="Arial"/>
                <w:color w:val="000000"/>
                <w:sz w:val="14"/>
                <w:lang w:eastAsia="es-CO"/>
              </w:rPr>
              <w:t>44.866.313</w:t>
            </w:r>
          </w:p>
        </w:tc>
        <w:tc>
          <w:tcPr>
            <w:tcW w:w="224" w:type="pct"/>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lang w:eastAsia="es-CO"/>
              </w:rPr>
            </w:pPr>
            <w:r w:rsidRPr="004758CA">
              <w:rPr>
                <w:rFonts w:ascii="Arial" w:eastAsia="Times New Roman" w:hAnsi="Arial" w:cs="Arial"/>
                <w:color w:val="000000"/>
                <w:sz w:val="14"/>
                <w:lang w:eastAsia="es-CO"/>
              </w:rPr>
              <w:t>18</w:t>
            </w:r>
          </w:p>
        </w:tc>
        <w:tc>
          <w:tcPr>
            <w:tcW w:w="593" w:type="pct"/>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lang w:eastAsia="es-CO"/>
              </w:rPr>
            </w:pPr>
            <w:r w:rsidRPr="004758CA">
              <w:rPr>
                <w:rFonts w:ascii="Arial" w:eastAsia="Times New Roman" w:hAnsi="Arial" w:cs="Arial"/>
                <w:color w:val="000000"/>
                <w:sz w:val="14"/>
                <w:lang w:eastAsia="es-CO"/>
              </w:rPr>
              <w:t>36.678.650</w:t>
            </w:r>
          </w:p>
        </w:tc>
        <w:tc>
          <w:tcPr>
            <w:tcW w:w="606" w:type="pct"/>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lang w:eastAsia="es-CO"/>
              </w:rPr>
            </w:pPr>
            <w:r w:rsidRPr="004758CA">
              <w:rPr>
                <w:rFonts w:ascii="Arial" w:eastAsia="Times New Roman" w:hAnsi="Arial" w:cs="Arial"/>
                <w:color w:val="000000"/>
                <w:sz w:val="14"/>
                <w:lang w:eastAsia="es-CO"/>
              </w:rPr>
              <w:t>44.866.313</w:t>
            </w:r>
          </w:p>
        </w:tc>
        <w:tc>
          <w:tcPr>
            <w:tcW w:w="237" w:type="pct"/>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lang w:eastAsia="es-CO"/>
              </w:rPr>
            </w:pPr>
            <w:r w:rsidRPr="004758CA">
              <w:rPr>
                <w:rFonts w:ascii="Arial" w:eastAsia="Times New Roman" w:hAnsi="Arial" w:cs="Arial"/>
                <w:color w:val="000000"/>
                <w:sz w:val="14"/>
                <w:lang w:eastAsia="es-CO"/>
              </w:rPr>
              <w:t>18</w:t>
            </w:r>
          </w:p>
        </w:tc>
      </w:tr>
      <w:tr w:rsidR="009F4FDB" w:rsidRPr="004758CA" w:rsidTr="009F4FDB">
        <w:trPr>
          <w:trHeight w:val="285"/>
        </w:trPr>
        <w:tc>
          <w:tcPr>
            <w:tcW w:w="1213" w:type="pct"/>
            <w:tcBorders>
              <w:top w:val="nil"/>
              <w:left w:val="single" w:sz="4" w:space="0" w:color="auto"/>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rPr>
                <w:rFonts w:ascii="Arial" w:eastAsia="Times New Roman" w:hAnsi="Arial" w:cs="Arial"/>
                <w:color w:val="000000"/>
                <w:sz w:val="14"/>
                <w:lang w:eastAsia="es-CO"/>
              </w:rPr>
            </w:pPr>
            <w:r w:rsidRPr="004758CA">
              <w:rPr>
                <w:rFonts w:ascii="Arial" w:eastAsia="Times New Roman" w:hAnsi="Arial" w:cs="Arial"/>
                <w:color w:val="000000"/>
                <w:sz w:val="14"/>
                <w:lang w:eastAsia="es-CO"/>
              </w:rPr>
              <w:t>Ingresos de capital</w:t>
            </w:r>
          </w:p>
        </w:tc>
        <w:tc>
          <w:tcPr>
            <w:tcW w:w="476" w:type="pct"/>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lang w:eastAsia="es-CO"/>
              </w:rPr>
            </w:pPr>
            <w:r w:rsidRPr="004758CA">
              <w:rPr>
                <w:rFonts w:ascii="Arial" w:eastAsia="Times New Roman" w:hAnsi="Arial" w:cs="Arial"/>
                <w:color w:val="000000"/>
                <w:sz w:val="14"/>
                <w:lang w:eastAsia="es-CO"/>
              </w:rPr>
              <w:t>91.430.655</w:t>
            </w:r>
          </w:p>
        </w:tc>
        <w:tc>
          <w:tcPr>
            <w:tcW w:w="476" w:type="pct"/>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lang w:eastAsia="es-CO"/>
              </w:rPr>
            </w:pPr>
            <w:r w:rsidRPr="004758CA">
              <w:rPr>
                <w:rFonts w:ascii="Arial" w:eastAsia="Times New Roman" w:hAnsi="Arial" w:cs="Arial"/>
                <w:color w:val="000000"/>
                <w:sz w:val="14"/>
                <w:lang w:eastAsia="es-CO"/>
              </w:rPr>
              <w:t>97.707.180</w:t>
            </w:r>
          </w:p>
        </w:tc>
        <w:tc>
          <w:tcPr>
            <w:tcW w:w="224" w:type="pct"/>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lang w:eastAsia="es-CO"/>
              </w:rPr>
            </w:pPr>
            <w:r w:rsidRPr="004758CA">
              <w:rPr>
                <w:rFonts w:ascii="Arial" w:eastAsia="Times New Roman" w:hAnsi="Arial" w:cs="Arial"/>
                <w:color w:val="000000"/>
                <w:sz w:val="14"/>
                <w:lang w:eastAsia="es-CO"/>
              </w:rPr>
              <w:t>6</w:t>
            </w:r>
          </w:p>
        </w:tc>
        <w:tc>
          <w:tcPr>
            <w:tcW w:w="476" w:type="pct"/>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lang w:eastAsia="es-CO"/>
              </w:rPr>
            </w:pPr>
            <w:r w:rsidRPr="004758CA">
              <w:rPr>
                <w:rFonts w:ascii="Arial" w:eastAsia="Times New Roman" w:hAnsi="Arial" w:cs="Arial"/>
                <w:color w:val="000000"/>
                <w:sz w:val="14"/>
                <w:lang w:eastAsia="es-CO"/>
              </w:rPr>
              <w:t>77.464.173</w:t>
            </w:r>
          </w:p>
        </w:tc>
        <w:tc>
          <w:tcPr>
            <w:tcW w:w="476" w:type="pct"/>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lang w:eastAsia="es-CO"/>
              </w:rPr>
            </w:pPr>
            <w:r w:rsidRPr="004758CA">
              <w:rPr>
                <w:rFonts w:ascii="Arial" w:eastAsia="Times New Roman" w:hAnsi="Arial" w:cs="Arial"/>
                <w:color w:val="000000"/>
                <w:sz w:val="14"/>
                <w:lang w:eastAsia="es-CO"/>
              </w:rPr>
              <w:t>71.732.297</w:t>
            </w:r>
          </w:p>
        </w:tc>
        <w:tc>
          <w:tcPr>
            <w:tcW w:w="224" w:type="pct"/>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lang w:eastAsia="es-CO"/>
              </w:rPr>
            </w:pPr>
            <w:r w:rsidRPr="004758CA">
              <w:rPr>
                <w:rFonts w:ascii="Arial" w:eastAsia="Times New Roman" w:hAnsi="Arial" w:cs="Arial"/>
                <w:color w:val="000000"/>
                <w:sz w:val="14"/>
                <w:lang w:eastAsia="es-CO"/>
              </w:rPr>
              <w:t>-8</w:t>
            </w:r>
          </w:p>
        </w:tc>
        <w:tc>
          <w:tcPr>
            <w:tcW w:w="593" w:type="pct"/>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lang w:eastAsia="es-CO"/>
              </w:rPr>
            </w:pPr>
            <w:r w:rsidRPr="004758CA">
              <w:rPr>
                <w:rFonts w:ascii="Arial" w:eastAsia="Times New Roman" w:hAnsi="Arial" w:cs="Arial"/>
                <w:color w:val="000000"/>
                <w:sz w:val="14"/>
                <w:lang w:eastAsia="es-CO"/>
              </w:rPr>
              <w:t>111.173.175</w:t>
            </w:r>
          </w:p>
        </w:tc>
        <w:tc>
          <w:tcPr>
            <w:tcW w:w="606" w:type="pct"/>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lang w:eastAsia="es-CO"/>
              </w:rPr>
            </w:pPr>
            <w:r w:rsidRPr="004758CA">
              <w:rPr>
                <w:rFonts w:ascii="Arial" w:eastAsia="Times New Roman" w:hAnsi="Arial" w:cs="Arial"/>
                <w:color w:val="000000"/>
                <w:sz w:val="14"/>
                <w:lang w:eastAsia="es-CO"/>
              </w:rPr>
              <w:t>117.374.321</w:t>
            </w:r>
          </w:p>
        </w:tc>
        <w:tc>
          <w:tcPr>
            <w:tcW w:w="237" w:type="pct"/>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lang w:eastAsia="es-CO"/>
              </w:rPr>
            </w:pPr>
            <w:r w:rsidRPr="004758CA">
              <w:rPr>
                <w:rFonts w:ascii="Arial" w:eastAsia="Times New Roman" w:hAnsi="Arial" w:cs="Arial"/>
                <w:color w:val="000000"/>
                <w:sz w:val="14"/>
                <w:lang w:eastAsia="es-CO"/>
              </w:rPr>
              <w:t>5</w:t>
            </w:r>
          </w:p>
        </w:tc>
      </w:tr>
      <w:tr w:rsidR="009F4FDB" w:rsidRPr="004758CA" w:rsidTr="009F4FDB">
        <w:trPr>
          <w:trHeight w:val="285"/>
        </w:trPr>
        <w:tc>
          <w:tcPr>
            <w:tcW w:w="1213" w:type="pct"/>
            <w:tcBorders>
              <w:top w:val="nil"/>
              <w:left w:val="single" w:sz="4" w:space="0" w:color="auto"/>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rPr>
                <w:rFonts w:ascii="Arial" w:eastAsia="Times New Roman" w:hAnsi="Arial" w:cs="Arial"/>
                <w:color w:val="000000"/>
                <w:sz w:val="14"/>
                <w:lang w:eastAsia="es-CO"/>
              </w:rPr>
            </w:pPr>
            <w:r w:rsidRPr="004758CA">
              <w:rPr>
                <w:rFonts w:ascii="Arial" w:eastAsia="Times New Roman" w:hAnsi="Arial" w:cs="Arial"/>
                <w:color w:val="000000"/>
                <w:sz w:val="14"/>
                <w:lang w:eastAsia="es-CO"/>
              </w:rPr>
              <w:t>Otros ingresos</w:t>
            </w:r>
          </w:p>
        </w:tc>
        <w:tc>
          <w:tcPr>
            <w:tcW w:w="476" w:type="pct"/>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lang w:eastAsia="es-CO"/>
              </w:rPr>
            </w:pPr>
            <w:r w:rsidRPr="004758CA">
              <w:rPr>
                <w:rFonts w:ascii="Arial" w:eastAsia="Times New Roman" w:hAnsi="Arial" w:cs="Arial"/>
                <w:color w:val="000000"/>
                <w:sz w:val="14"/>
                <w:lang w:eastAsia="es-CO"/>
              </w:rPr>
              <w:t>512.525</w:t>
            </w:r>
          </w:p>
        </w:tc>
        <w:tc>
          <w:tcPr>
            <w:tcW w:w="476" w:type="pct"/>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lang w:eastAsia="es-CO"/>
              </w:rPr>
            </w:pPr>
            <w:r w:rsidRPr="004758CA">
              <w:rPr>
                <w:rFonts w:ascii="Arial" w:eastAsia="Times New Roman" w:hAnsi="Arial" w:cs="Arial"/>
                <w:color w:val="000000"/>
                <w:sz w:val="14"/>
                <w:lang w:eastAsia="es-CO"/>
              </w:rPr>
              <w:t>694.750</w:t>
            </w:r>
          </w:p>
        </w:tc>
        <w:tc>
          <w:tcPr>
            <w:tcW w:w="224" w:type="pct"/>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lang w:eastAsia="es-CO"/>
              </w:rPr>
            </w:pPr>
            <w:r w:rsidRPr="004758CA">
              <w:rPr>
                <w:rFonts w:ascii="Arial" w:eastAsia="Times New Roman" w:hAnsi="Arial" w:cs="Arial"/>
                <w:color w:val="000000"/>
                <w:sz w:val="14"/>
                <w:lang w:eastAsia="es-CO"/>
              </w:rPr>
              <w:t>26</w:t>
            </w:r>
          </w:p>
        </w:tc>
        <w:tc>
          <w:tcPr>
            <w:tcW w:w="476" w:type="pct"/>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lang w:eastAsia="es-CO"/>
              </w:rPr>
            </w:pPr>
            <w:r w:rsidRPr="004758CA">
              <w:rPr>
                <w:rFonts w:ascii="Arial" w:eastAsia="Times New Roman" w:hAnsi="Arial" w:cs="Arial"/>
                <w:color w:val="000000"/>
                <w:sz w:val="14"/>
                <w:lang w:eastAsia="es-CO"/>
              </w:rPr>
              <w:t>669.179</w:t>
            </w:r>
          </w:p>
        </w:tc>
        <w:tc>
          <w:tcPr>
            <w:tcW w:w="476" w:type="pct"/>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lang w:eastAsia="es-CO"/>
              </w:rPr>
            </w:pPr>
            <w:r w:rsidRPr="004758CA">
              <w:rPr>
                <w:rFonts w:ascii="Arial" w:eastAsia="Times New Roman" w:hAnsi="Arial" w:cs="Arial"/>
                <w:color w:val="000000"/>
                <w:sz w:val="14"/>
                <w:lang w:eastAsia="es-CO"/>
              </w:rPr>
              <w:t>1.083.366</w:t>
            </w:r>
          </w:p>
        </w:tc>
        <w:tc>
          <w:tcPr>
            <w:tcW w:w="224" w:type="pct"/>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lang w:eastAsia="es-CO"/>
              </w:rPr>
            </w:pPr>
            <w:r w:rsidRPr="004758CA">
              <w:rPr>
                <w:rFonts w:ascii="Arial" w:eastAsia="Times New Roman" w:hAnsi="Arial" w:cs="Arial"/>
                <w:color w:val="000000"/>
                <w:sz w:val="14"/>
                <w:lang w:eastAsia="es-CO"/>
              </w:rPr>
              <w:t>38</w:t>
            </w:r>
          </w:p>
        </w:tc>
        <w:tc>
          <w:tcPr>
            <w:tcW w:w="593" w:type="pct"/>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lang w:eastAsia="es-CO"/>
              </w:rPr>
            </w:pPr>
            <w:r w:rsidRPr="004758CA">
              <w:rPr>
                <w:rFonts w:ascii="Arial" w:eastAsia="Times New Roman" w:hAnsi="Arial" w:cs="Arial"/>
                <w:color w:val="000000"/>
                <w:sz w:val="14"/>
                <w:lang w:eastAsia="es-CO"/>
              </w:rPr>
              <w:t>669.179</w:t>
            </w:r>
          </w:p>
        </w:tc>
        <w:tc>
          <w:tcPr>
            <w:tcW w:w="606" w:type="pct"/>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lang w:eastAsia="es-CO"/>
              </w:rPr>
            </w:pPr>
            <w:r w:rsidRPr="004758CA">
              <w:rPr>
                <w:rFonts w:ascii="Arial" w:eastAsia="Times New Roman" w:hAnsi="Arial" w:cs="Arial"/>
                <w:color w:val="000000"/>
                <w:sz w:val="14"/>
                <w:lang w:eastAsia="es-CO"/>
              </w:rPr>
              <w:t>1.083.366</w:t>
            </w:r>
          </w:p>
        </w:tc>
        <w:tc>
          <w:tcPr>
            <w:tcW w:w="237" w:type="pct"/>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lang w:eastAsia="es-CO"/>
              </w:rPr>
            </w:pPr>
            <w:r w:rsidRPr="004758CA">
              <w:rPr>
                <w:rFonts w:ascii="Arial" w:eastAsia="Times New Roman" w:hAnsi="Arial" w:cs="Arial"/>
                <w:color w:val="000000"/>
                <w:sz w:val="14"/>
                <w:lang w:eastAsia="es-CO"/>
              </w:rPr>
              <w:t>38</w:t>
            </w:r>
          </w:p>
        </w:tc>
      </w:tr>
      <w:tr w:rsidR="009F4FDB" w:rsidRPr="004758CA" w:rsidTr="009F4FDB">
        <w:trPr>
          <w:trHeight w:val="285"/>
        </w:trPr>
        <w:tc>
          <w:tcPr>
            <w:tcW w:w="1213" w:type="pct"/>
            <w:tcBorders>
              <w:top w:val="nil"/>
              <w:left w:val="single" w:sz="4" w:space="0" w:color="auto"/>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rPr>
                <w:rFonts w:ascii="Arial" w:eastAsia="Times New Roman" w:hAnsi="Arial" w:cs="Arial"/>
                <w:color w:val="000000"/>
                <w:sz w:val="14"/>
                <w:lang w:eastAsia="es-CO"/>
              </w:rPr>
            </w:pPr>
            <w:r w:rsidRPr="004758CA">
              <w:rPr>
                <w:rFonts w:ascii="Arial" w:eastAsia="Times New Roman" w:hAnsi="Arial" w:cs="Arial"/>
                <w:color w:val="000000"/>
                <w:sz w:val="14"/>
                <w:lang w:eastAsia="es-CO"/>
              </w:rPr>
              <w:t>Cuentas por cobrar Otras vigencias</w:t>
            </w:r>
          </w:p>
        </w:tc>
        <w:tc>
          <w:tcPr>
            <w:tcW w:w="476" w:type="pct"/>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lang w:eastAsia="es-CO"/>
              </w:rPr>
            </w:pPr>
            <w:r w:rsidRPr="004758CA">
              <w:rPr>
                <w:rFonts w:ascii="Arial" w:eastAsia="Times New Roman" w:hAnsi="Arial" w:cs="Arial"/>
                <w:color w:val="000000"/>
                <w:sz w:val="14"/>
                <w:lang w:eastAsia="es-CO"/>
              </w:rPr>
              <w:t>0</w:t>
            </w:r>
          </w:p>
        </w:tc>
        <w:tc>
          <w:tcPr>
            <w:tcW w:w="476" w:type="pct"/>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lang w:eastAsia="es-CO"/>
              </w:rPr>
            </w:pPr>
            <w:r w:rsidRPr="004758CA">
              <w:rPr>
                <w:rFonts w:ascii="Arial" w:eastAsia="Times New Roman" w:hAnsi="Arial" w:cs="Arial"/>
                <w:color w:val="000000"/>
                <w:sz w:val="14"/>
                <w:lang w:eastAsia="es-CO"/>
              </w:rPr>
              <w:t>0</w:t>
            </w:r>
          </w:p>
        </w:tc>
        <w:tc>
          <w:tcPr>
            <w:tcW w:w="224" w:type="pct"/>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lang w:eastAsia="es-CO"/>
              </w:rPr>
            </w:pPr>
            <w:r w:rsidRPr="004758CA">
              <w:rPr>
                <w:rFonts w:ascii="Arial" w:eastAsia="Times New Roman" w:hAnsi="Arial" w:cs="Arial"/>
                <w:color w:val="000000"/>
                <w:sz w:val="14"/>
                <w:lang w:eastAsia="es-CO"/>
              </w:rPr>
              <w:t>0</w:t>
            </w:r>
          </w:p>
        </w:tc>
        <w:tc>
          <w:tcPr>
            <w:tcW w:w="476" w:type="pct"/>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lang w:eastAsia="es-CO"/>
              </w:rPr>
            </w:pPr>
            <w:r w:rsidRPr="004758CA">
              <w:rPr>
                <w:rFonts w:ascii="Arial" w:eastAsia="Times New Roman" w:hAnsi="Arial" w:cs="Arial"/>
                <w:color w:val="000000"/>
                <w:sz w:val="14"/>
                <w:lang w:eastAsia="es-CO"/>
              </w:rPr>
              <w:t>0</w:t>
            </w:r>
          </w:p>
        </w:tc>
        <w:tc>
          <w:tcPr>
            <w:tcW w:w="476" w:type="pct"/>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lang w:eastAsia="es-CO"/>
              </w:rPr>
            </w:pPr>
            <w:r w:rsidRPr="004758CA">
              <w:rPr>
                <w:rFonts w:ascii="Arial" w:eastAsia="Times New Roman" w:hAnsi="Arial" w:cs="Arial"/>
                <w:color w:val="000000"/>
                <w:sz w:val="14"/>
                <w:lang w:eastAsia="es-CO"/>
              </w:rPr>
              <w:t>0</w:t>
            </w:r>
          </w:p>
        </w:tc>
        <w:tc>
          <w:tcPr>
            <w:tcW w:w="224" w:type="pct"/>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lang w:eastAsia="es-CO"/>
              </w:rPr>
            </w:pPr>
            <w:r w:rsidRPr="004758CA">
              <w:rPr>
                <w:rFonts w:ascii="Arial" w:eastAsia="Times New Roman" w:hAnsi="Arial" w:cs="Arial"/>
                <w:color w:val="000000"/>
                <w:sz w:val="14"/>
                <w:lang w:eastAsia="es-CO"/>
              </w:rPr>
              <w:t>100</w:t>
            </w:r>
          </w:p>
        </w:tc>
        <w:tc>
          <w:tcPr>
            <w:tcW w:w="593" w:type="pct"/>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lang w:eastAsia="es-CO"/>
              </w:rPr>
            </w:pPr>
            <w:r w:rsidRPr="004758CA">
              <w:rPr>
                <w:rFonts w:ascii="Arial" w:eastAsia="Times New Roman" w:hAnsi="Arial" w:cs="Arial"/>
                <w:color w:val="000000"/>
                <w:sz w:val="14"/>
                <w:lang w:eastAsia="es-CO"/>
              </w:rPr>
              <w:t>0</w:t>
            </w:r>
          </w:p>
        </w:tc>
        <w:tc>
          <w:tcPr>
            <w:tcW w:w="606" w:type="pct"/>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lang w:eastAsia="es-CO"/>
              </w:rPr>
            </w:pPr>
            <w:r w:rsidRPr="004758CA">
              <w:rPr>
                <w:rFonts w:ascii="Arial" w:eastAsia="Times New Roman" w:hAnsi="Arial" w:cs="Arial"/>
                <w:color w:val="000000"/>
                <w:sz w:val="14"/>
                <w:lang w:eastAsia="es-CO"/>
              </w:rPr>
              <w:t>0</w:t>
            </w:r>
          </w:p>
        </w:tc>
        <w:tc>
          <w:tcPr>
            <w:tcW w:w="237" w:type="pct"/>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lang w:eastAsia="es-CO"/>
              </w:rPr>
            </w:pPr>
            <w:r w:rsidRPr="004758CA">
              <w:rPr>
                <w:rFonts w:ascii="Arial" w:eastAsia="Times New Roman" w:hAnsi="Arial" w:cs="Arial"/>
                <w:color w:val="000000"/>
                <w:sz w:val="14"/>
                <w:lang w:eastAsia="es-CO"/>
              </w:rPr>
              <w:t>0</w:t>
            </w:r>
          </w:p>
        </w:tc>
      </w:tr>
      <w:tr w:rsidR="009F4FDB" w:rsidRPr="004758CA" w:rsidTr="009F4FDB">
        <w:trPr>
          <w:trHeight w:val="300"/>
        </w:trPr>
        <w:tc>
          <w:tcPr>
            <w:tcW w:w="1213" w:type="pct"/>
            <w:tcBorders>
              <w:top w:val="nil"/>
              <w:left w:val="single" w:sz="4" w:space="0" w:color="auto"/>
              <w:bottom w:val="single" w:sz="4" w:space="0" w:color="auto"/>
              <w:right w:val="single" w:sz="4" w:space="0" w:color="auto"/>
            </w:tcBorders>
            <w:shd w:val="clear" w:color="000000" w:fill="D8E4BC"/>
            <w:noWrap/>
            <w:vAlign w:val="bottom"/>
            <w:hideMark/>
          </w:tcPr>
          <w:p w:rsidR="009F4FDB" w:rsidRPr="004758CA" w:rsidRDefault="009F4FDB" w:rsidP="009F4FDB">
            <w:pPr>
              <w:spacing w:after="0" w:line="240" w:lineRule="auto"/>
              <w:rPr>
                <w:rFonts w:ascii="Arial" w:eastAsia="Times New Roman" w:hAnsi="Arial" w:cs="Arial"/>
                <w:b/>
                <w:bCs/>
                <w:color w:val="000000"/>
                <w:sz w:val="14"/>
                <w:lang w:eastAsia="es-CO"/>
              </w:rPr>
            </w:pPr>
            <w:r w:rsidRPr="004758CA">
              <w:rPr>
                <w:rFonts w:ascii="Arial" w:eastAsia="Times New Roman" w:hAnsi="Arial" w:cs="Arial"/>
                <w:b/>
                <w:bCs/>
                <w:color w:val="000000"/>
                <w:sz w:val="14"/>
                <w:lang w:eastAsia="es-CO"/>
              </w:rPr>
              <w:t>TOTAL</w:t>
            </w:r>
          </w:p>
        </w:tc>
        <w:tc>
          <w:tcPr>
            <w:tcW w:w="476" w:type="pct"/>
            <w:tcBorders>
              <w:top w:val="nil"/>
              <w:left w:val="nil"/>
              <w:bottom w:val="single" w:sz="4" w:space="0" w:color="auto"/>
              <w:right w:val="single" w:sz="4" w:space="0" w:color="auto"/>
            </w:tcBorders>
            <w:shd w:val="clear" w:color="000000" w:fill="D8E4BC"/>
            <w:noWrap/>
            <w:vAlign w:val="bottom"/>
            <w:hideMark/>
          </w:tcPr>
          <w:p w:rsidR="009F4FDB" w:rsidRPr="004758CA" w:rsidRDefault="009F4FDB" w:rsidP="009F4FDB">
            <w:pPr>
              <w:spacing w:after="0" w:line="240" w:lineRule="auto"/>
              <w:jc w:val="right"/>
              <w:rPr>
                <w:rFonts w:ascii="Arial" w:eastAsia="Times New Roman" w:hAnsi="Arial" w:cs="Arial"/>
                <w:b/>
                <w:bCs/>
                <w:color w:val="000000"/>
                <w:sz w:val="14"/>
                <w:lang w:eastAsia="es-CO"/>
              </w:rPr>
            </w:pPr>
            <w:r w:rsidRPr="004758CA">
              <w:rPr>
                <w:rFonts w:ascii="Arial" w:eastAsia="Times New Roman" w:hAnsi="Arial" w:cs="Arial"/>
                <w:b/>
                <w:bCs/>
                <w:color w:val="000000"/>
                <w:sz w:val="14"/>
                <w:lang w:eastAsia="es-CO"/>
              </w:rPr>
              <w:t xml:space="preserve">           176.208.686 </w:t>
            </w:r>
          </w:p>
        </w:tc>
        <w:tc>
          <w:tcPr>
            <w:tcW w:w="476" w:type="pct"/>
            <w:tcBorders>
              <w:top w:val="nil"/>
              <w:left w:val="nil"/>
              <w:bottom w:val="single" w:sz="4" w:space="0" w:color="auto"/>
              <w:right w:val="single" w:sz="4" w:space="0" w:color="auto"/>
            </w:tcBorders>
            <w:shd w:val="clear" w:color="000000" w:fill="D8E4BC"/>
            <w:noWrap/>
            <w:vAlign w:val="bottom"/>
            <w:hideMark/>
          </w:tcPr>
          <w:p w:rsidR="009F4FDB" w:rsidRPr="004758CA" w:rsidRDefault="009F4FDB" w:rsidP="009F4FDB">
            <w:pPr>
              <w:spacing w:after="0" w:line="240" w:lineRule="auto"/>
              <w:jc w:val="right"/>
              <w:rPr>
                <w:rFonts w:ascii="Arial" w:eastAsia="Times New Roman" w:hAnsi="Arial" w:cs="Arial"/>
                <w:b/>
                <w:bCs/>
                <w:color w:val="000000"/>
                <w:sz w:val="14"/>
                <w:lang w:eastAsia="es-CO"/>
              </w:rPr>
            </w:pPr>
            <w:r w:rsidRPr="004758CA">
              <w:rPr>
                <w:rFonts w:ascii="Arial" w:eastAsia="Times New Roman" w:hAnsi="Arial" w:cs="Arial"/>
                <w:b/>
                <w:bCs/>
                <w:color w:val="000000"/>
                <w:sz w:val="14"/>
                <w:lang w:eastAsia="es-CO"/>
              </w:rPr>
              <w:t xml:space="preserve">           196.328.788 </w:t>
            </w:r>
          </w:p>
        </w:tc>
        <w:tc>
          <w:tcPr>
            <w:tcW w:w="224" w:type="pct"/>
            <w:tcBorders>
              <w:top w:val="nil"/>
              <w:left w:val="nil"/>
              <w:bottom w:val="single" w:sz="4" w:space="0" w:color="auto"/>
              <w:right w:val="single" w:sz="4" w:space="0" w:color="auto"/>
            </w:tcBorders>
            <w:shd w:val="clear" w:color="000000" w:fill="D8E4BC"/>
            <w:noWrap/>
            <w:vAlign w:val="bottom"/>
            <w:hideMark/>
          </w:tcPr>
          <w:p w:rsidR="009F4FDB" w:rsidRPr="004758CA" w:rsidRDefault="009F4FDB" w:rsidP="009F4FDB">
            <w:pPr>
              <w:spacing w:after="0" w:line="240" w:lineRule="auto"/>
              <w:jc w:val="right"/>
              <w:rPr>
                <w:rFonts w:ascii="Arial" w:eastAsia="Times New Roman" w:hAnsi="Arial" w:cs="Arial"/>
                <w:b/>
                <w:bCs/>
                <w:color w:val="000000"/>
                <w:sz w:val="14"/>
                <w:lang w:eastAsia="es-CO"/>
              </w:rPr>
            </w:pPr>
            <w:r w:rsidRPr="004758CA">
              <w:rPr>
                <w:rFonts w:ascii="Arial" w:eastAsia="Times New Roman" w:hAnsi="Arial" w:cs="Arial"/>
                <w:b/>
                <w:bCs/>
                <w:color w:val="000000"/>
                <w:sz w:val="14"/>
                <w:lang w:eastAsia="es-CO"/>
              </w:rPr>
              <w:t xml:space="preserve">     10 </w:t>
            </w:r>
          </w:p>
        </w:tc>
        <w:tc>
          <w:tcPr>
            <w:tcW w:w="476" w:type="pct"/>
            <w:tcBorders>
              <w:top w:val="nil"/>
              <w:left w:val="nil"/>
              <w:bottom w:val="single" w:sz="4" w:space="0" w:color="auto"/>
              <w:right w:val="single" w:sz="4" w:space="0" w:color="auto"/>
            </w:tcBorders>
            <w:shd w:val="clear" w:color="000000" w:fill="D8E4BC"/>
            <w:noWrap/>
            <w:vAlign w:val="bottom"/>
            <w:hideMark/>
          </w:tcPr>
          <w:p w:rsidR="009F4FDB" w:rsidRPr="004758CA" w:rsidRDefault="009F4FDB" w:rsidP="009F4FDB">
            <w:pPr>
              <w:spacing w:after="0" w:line="240" w:lineRule="auto"/>
              <w:jc w:val="right"/>
              <w:rPr>
                <w:rFonts w:ascii="Arial" w:eastAsia="Times New Roman" w:hAnsi="Arial" w:cs="Arial"/>
                <w:b/>
                <w:bCs/>
                <w:color w:val="000000"/>
                <w:sz w:val="14"/>
                <w:lang w:eastAsia="es-CO"/>
              </w:rPr>
            </w:pPr>
            <w:r w:rsidRPr="004758CA">
              <w:rPr>
                <w:rFonts w:ascii="Arial" w:eastAsia="Times New Roman" w:hAnsi="Arial" w:cs="Arial"/>
                <w:b/>
                <w:bCs/>
                <w:color w:val="000000"/>
                <w:sz w:val="14"/>
                <w:lang w:eastAsia="es-CO"/>
              </w:rPr>
              <w:t xml:space="preserve">           130.284.715 </w:t>
            </w:r>
          </w:p>
        </w:tc>
        <w:tc>
          <w:tcPr>
            <w:tcW w:w="476" w:type="pct"/>
            <w:tcBorders>
              <w:top w:val="nil"/>
              <w:left w:val="nil"/>
              <w:bottom w:val="single" w:sz="4" w:space="0" w:color="auto"/>
              <w:right w:val="single" w:sz="4" w:space="0" w:color="auto"/>
            </w:tcBorders>
            <w:shd w:val="clear" w:color="000000" w:fill="D8E4BC"/>
            <w:noWrap/>
            <w:vAlign w:val="bottom"/>
            <w:hideMark/>
          </w:tcPr>
          <w:p w:rsidR="009F4FDB" w:rsidRPr="004758CA" w:rsidRDefault="009F4FDB" w:rsidP="009F4FDB">
            <w:pPr>
              <w:spacing w:after="0" w:line="240" w:lineRule="auto"/>
              <w:jc w:val="right"/>
              <w:rPr>
                <w:rFonts w:ascii="Arial" w:eastAsia="Times New Roman" w:hAnsi="Arial" w:cs="Arial"/>
                <w:b/>
                <w:bCs/>
                <w:color w:val="000000"/>
                <w:sz w:val="14"/>
                <w:lang w:eastAsia="es-CO"/>
              </w:rPr>
            </w:pPr>
            <w:r w:rsidRPr="004758CA">
              <w:rPr>
                <w:rFonts w:ascii="Arial" w:eastAsia="Times New Roman" w:hAnsi="Arial" w:cs="Arial"/>
                <w:b/>
                <w:bCs/>
                <w:color w:val="000000"/>
                <w:sz w:val="14"/>
                <w:lang w:eastAsia="es-CO"/>
              </w:rPr>
              <w:t xml:space="preserve">           117.681.976 </w:t>
            </w:r>
          </w:p>
        </w:tc>
        <w:tc>
          <w:tcPr>
            <w:tcW w:w="224" w:type="pct"/>
            <w:tcBorders>
              <w:top w:val="nil"/>
              <w:left w:val="nil"/>
              <w:bottom w:val="single" w:sz="4" w:space="0" w:color="auto"/>
              <w:right w:val="single" w:sz="4" w:space="0" w:color="auto"/>
            </w:tcBorders>
            <w:shd w:val="clear" w:color="000000" w:fill="D8E4BC"/>
            <w:noWrap/>
            <w:vAlign w:val="bottom"/>
            <w:hideMark/>
          </w:tcPr>
          <w:p w:rsidR="009F4FDB" w:rsidRPr="004758CA" w:rsidRDefault="009F4FDB" w:rsidP="009F4FDB">
            <w:pPr>
              <w:spacing w:after="0" w:line="240" w:lineRule="auto"/>
              <w:jc w:val="right"/>
              <w:rPr>
                <w:rFonts w:ascii="Arial" w:eastAsia="Times New Roman" w:hAnsi="Arial" w:cs="Arial"/>
                <w:b/>
                <w:bCs/>
                <w:color w:val="000000"/>
                <w:sz w:val="14"/>
                <w:lang w:eastAsia="es-CO"/>
              </w:rPr>
            </w:pPr>
            <w:r w:rsidRPr="004758CA">
              <w:rPr>
                <w:rFonts w:ascii="Arial" w:eastAsia="Times New Roman" w:hAnsi="Arial" w:cs="Arial"/>
                <w:b/>
                <w:bCs/>
                <w:color w:val="000000"/>
                <w:sz w:val="14"/>
                <w:lang w:eastAsia="es-CO"/>
              </w:rPr>
              <w:t xml:space="preserve">    (11)</w:t>
            </w:r>
          </w:p>
        </w:tc>
        <w:tc>
          <w:tcPr>
            <w:tcW w:w="593" w:type="pct"/>
            <w:tcBorders>
              <w:top w:val="nil"/>
              <w:left w:val="nil"/>
              <w:bottom w:val="single" w:sz="4" w:space="0" w:color="auto"/>
              <w:right w:val="single" w:sz="4" w:space="0" w:color="auto"/>
            </w:tcBorders>
            <w:shd w:val="clear" w:color="000000" w:fill="D8E4BC"/>
            <w:noWrap/>
            <w:vAlign w:val="bottom"/>
            <w:hideMark/>
          </w:tcPr>
          <w:p w:rsidR="009F4FDB" w:rsidRPr="004758CA" w:rsidRDefault="009F4FDB" w:rsidP="009F4FDB">
            <w:pPr>
              <w:spacing w:after="0" w:line="240" w:lineRule="auto"/>
              <w:jc w:val="right"/>
              <w:rPr>
                <w:rFonts w:ascii="Arial" w:eastAsia="Times New Roman" w:hAnsi="Arial" w:cs="Arial"/>
                <w:b/>
                <w:bCs/>
                <w:color w:val="000000"/>
                <w:sz w:val="14"/>
                <w:lang w:eastAsia="es-CO"/>
              </w:rPr>
            </w:pPr>
            <w:r w:rsidRPr="004758CA">
              <w:rPr>
                <w:rFonts w:ascii="Arial" w:eastAsia="Times New Roman" w:hAnsi="Arial" w:cs="Arial"/>
                <w:b/>
                <w:bCs/>
                <w:color w:val="000000"/>
                <w:sz w:val="14"/>
                <w:lang w:eastAsia="es-CO"/>
              </w:rPr>
              <w:t xml:space="preserve">                    163.993.717 </w:t>
            </w:r>
          </w:p>
        </w:tc>
        <w:tc>
          <w:tcPr>
            <w:tcW w:w="606" w:type="pct"/>
            <w:tcBorders>
              <w:top w:val="nil"/>
              <w:left w:val="nil"/>
              <w:bottom w:val="single" w:sz="4" w:space="0" w:color="auto"/>
              <w:right w:val="single" w:sz="4" w:space="0" w:color="auto"/>
            </w:tcBorders>
            <w:shd w:val="clear" w:color="000000" w:fill="D8E4BC"/>
            <w:noWrap/>
            <w:vAlign w:val="bottom"/>
            <w:hideMark/>
          </w:tcPr>
          <w:p w:rsidR="009F4FDB" w:rsidRPr="004758CA" w:rsidRDefault="009F4FDB" w:rsidP="009F4FDB">
            <w:pPr>
              <w:spacing w:after="0" w:line="240" w:lineRule="auto"/>
              <w:jc w:val="right"/>
              <w:rPr>
                <w:rFonts w:ascii="Arial" w:eastAsia="Times New Roman" w:hAnsi="Arial" w:cs="Arial"/>
                <w:b/>
                <w:bCs/>
                <w:color w:val="000000"/>
                <w:sz w:val="14"/>
                <w:lang w:eastAsia="es-CO"/>
              </w:rPr>
            </w:pPr>
            <w:r w:rsidRPr="004758CA">
              <w:rPr>
                <w:rFonts w:ascii="Arial" w:eastAsia="Times New Roman" w:hAnsi="Arial" w:cs="Arial"/>
                <w:b/>
                <w:bCs/>
                <w:color w:val="000000"/>
                <w:sz w:val="14"/>
                <w:lang w:eastAsia="es-CO"/>
              </w:rPr>
              <w:t xml:space="preserve">                     183.797.709 </w:t>
            </w:r>
          </w:p>
        </w:tc>
        <w:tc>
          <w:tcPr>
            <w:tcW w:w="237" w:type="pct"/>
            <w:tcBorders>
              <w:top w:val="nil"/>
              <w:left w:val="nil"/>
              <w:bottom w:val="single" w:sz="4" w:space="0" w:color="auto"/>
              <w:right w:val="single" w:sz="4" w:space="0" w:color="auto"/>
            </w:tcBorders>
            <w:shd w:val="clear" w:color="000000" w:fill="D8E4BC"/>
            <w:noWrap/>
            <w:vAlign w:val="bottom"/>
            <w:hideMark/>
          </w:tcPr>
          <w:p w:rsidR="009F4FDB" w:rsidRPr="004758CA" w:rsidRDefault="009F4FDB" w:rsidP="009F4FDB">
            <w:pPr>
              <w:spacing w:after="0" w:line="240" w:lineRule="auto"/>
              <w:jc w:val="right"/>
              <w:rPr>
                <w:rFonts w:ascii="Arial" w:eastAsia="Times New Roman" w:hAnsi="Arial" w:cs="Arial"/>
                <w:b/>
                <w:bCs/>
                <w:color w:val="000000"/>
                <w:sz w:val="14"/>
                <w:lang w:eastAsia="es-CO"/>
              </w:rPr>
            </w:pPr>
            <w:r w:rsidRPr="004758CA">
              <w:rPr>
                <w:rFonts w:ascii="Arial" w:eastAsia="Times New Roman" w:hAnsi="Arial" w:cs="Arial"/>
                <w:b/>
                <w:bCs/>
                <w:color w:val="000000"/>
                <w:sz w:val="14"/>
                <w:lang w:eastAsia="es-CO"/>
              </w:rPr>
              <w:t xml:space="preserve">     11 </w:t>
            </w:r>
          </w:p>
        </w:tc>
      </w:tr>
      <w:tr w:rsidR="009F4FDB" w:rsidRPr="004758CA" w:rsidTr="009F4FDB">
        <w:trPr>
          <w:trHeight w:val="70"/>
        </w:trPr>
        <w:tc>
          <w:tcPr>
            <w:tcW w:w="5000" w:type="pct"/>
            <w:gridSpan w:val="10"/>
            <w:tcBorders>
              <w:top w:val="nil"/>
              <w:left w:val="nil"/>
              <w:bottom w:val="nil"/>
              <w:right w:val="nil"/>
            </w:tcBorders>
            <w:shd w:val="clear" w:color="auto" w:fill="auto"/>
            <w:noWrap/>
            <w:vAlign w:val="bottom"/>
            <w:hideMark/>
          </w:tcPr>
          <w:p w:rsidR="009F4FDB" w:rsidRPr="004758CA" w:rsidRDefault="009F4FDB" w:rsidP="009F4FDB">
            <w:pPr>
              <w:spacing w:after="0" w:line="240" w:lineRule="auto"/>
              <w:rPr>
                <w:rFonts w:ascii="Arial" w:eastAsia="Times New Roman" w:hAnsi="Arial" w:cs="Arial"/>
                <w:color w:val="000000"/>
                <w:sz w:val="14"/>
                <w:lang w:eastAsia="es-CO"/>
              </w:rPr>
            </w:pPr>
            <w:r w:rsidRPr="004758CA">
              <w:rPr>
                <w:rFonts w:ascii="Arial" w:eastAsia="Times New Roman" w:hAnsi="Arial" w:cs="Arial"/>
                <w:color w:val="000000"/>
                <w:sz w:val="14"/>
                <w:szCs w:val="18"/>
                <w:lang w:eastAsia="es-CO"/>
              </w:rPr>
              <w:t>Fuente: SIHO - Ministerio de Salud y Protección Social</w:t>
            </w:r>
          </w:p>
        </w:tc>
      </w:tr>
    </w:tbl>
    <w:p w:rsidR="009F4FDB" w:rsidRPr="004758CA" w:rsidRDefault="009F4FDB" w:rsidP="009F4FDB">
      <w:pPr>
        <w:spacing w:after="0" w:line="240" w:lineRule="auto"/>
        <w:jc w:val="both"/>
        <w:rPr>
          <w:rFonts w:ascii="Arial" w:hAnsi="Arial" w:cs="Arial"/>
        </w:rPr>
      </w:pPr>
    </w:p>
    <w:p w:rsidR="009F4FDB" w:rsidRPr="004758CA" w:rsidRDefault="009F4FDB" w:rsidP="009F4FDB">
      <w:pPr>
        <w:tabs>
          <w:tab w:val="left" w:pos="9072"/>
        </w:tabs>
        <w:autoSpaceDE w:val="0"/>
        <w:autoSpaceDN w:val="0"/>
        <w:adjustRightInd w:val="0"/>
        <w:spacing w:after="0" w:line="240" w:lineRule="auto"/>
        <w:jc w:val="both"/>
        <w:rPr>
          <w:rFonts w:ascii="Arial" w:hAnsi="Arial" w:cs="Arial"/>
        </w:rPr>
      </w:pPr>
      <w:r w:rsidRPr="004758CA">
        <w:rPr>
          <w:rFonts w:ascii="Arial" w:hAnsi="Arial" w:cs="Arial"/>
        </w:rPr>
        <w:t>El presupuesto de ingresos aprobado al cierre de la vigencia 2012 reportado por el Hospital Universitario de Santander en cumplimiento de lo establecido en el Decreto 2193 de 2004 ascendió a $196.328.788 miles de pesos un 10% superior al valor reportado en el 2011 que ascendió a $176.209.686 miles de pesos.</w:t>
      </w:r>
    </w:p>
    <w:p w:rsidR="009F4FDB" w:rsidRPr="004758CA" w:rsidRDefault="009F4FDB" w:rsidP="009F4FDB">
      <w:pPr>
        <w:tabs>
          <w:tab w:val="left" w:pos="9072"/>
        </w:tabs>
        <w:autoSpaceDE w:val="0"/>
        <w:autoSpaceDN w:val="0"/>
        <w:adjustRightInd w:val="0"/>
        <w:spacing w:after="0" w:line="240" w:lineRule="auto"/>
        <w:jc w:val="both"/>
        <w:rPr>
          <w:rFonts w:ascii="Arial" w:hAnsi="Arial" w:cs="Arial"/>
        </w:rPr>
      </w:pPr>
    </w:p>
    <w:p w:rsidR="009F4FDB" w:rsidRPr="004758CA" w:rsidRDefault="009F4FDB" w:rsidP="009F4FDB">
      <w:pPr>
        <w:tabs>
          <w:tab w:val="left" w:pos="9072"/>
        </w:tabs>
        <w:autoSpaceDE w:val="0"/>
        <w:autoSpaceDN w:val="0"/>
        <w:adjustRightInd w:val="0"/>
        <w:spacing w:after="0" w:line="240" w:lineRule="auto"/>
        <w:jc w:val="both"/>
        <w:rPr>
          <w:rFonts w:ascii="Arial" w:hAnsi="Arial" w:cs="Arial"/>
        </w:rPr>
      </w:pPr>
      <w:r w:rsidRPr="004758CA">
        <w:rPr>
          <w:rFonts w:ascii="Arial" w:hAnsi="Arial" w:cs="Arial"/>
        </w:rPr>
        <w:t xml:space="preserve">Los ingresos recaudados disminuyeron un 11% en el 2012 frente al año 2011, al pasar de $130.284.715 miles de pesos a $117.681.976 miles de pesos, debido a que no hubo disponibilidad inicial en el 2012.  </w:t>
      </w:r>
    </w:p>
    <w:p w:rsidR="009F4FDB" w:rsidRPr="004758CA" w:rsidRDefault="009F4FDB" w:rsidP="009F4FDB">
      <w:pPr>
        <w:tabs>
          <w:tab w:val="left" w:pos="9072"/>
        </w:tabs>
        <w:autoSpaceDE w:val="0"/>
        <w:autoSpaceDN w:val="0"/>
        <w:adjustRightInd w:val="0"/>
        <w:spacing w:after="0" w:line="240" w:lineRule="auto"/>
        <w:jc w:val="both"/>
        <w:rPr>
          <w:rFonts w:ascii="Arial" w:hAnsi="Arial" w:cs="Arial"/>
        </w:rPr>
      </w:pPr>
    </w:p>
    <w:p w:rsidR="00FF1F7B" w:rsidRDefault="00FF1F7B" w:rsidP="009F4FDB">
      <w:pPr>
        <w:tabs>
          <w:tab w:val="left" w:pos="9072"/>
        </w:tabs>
        <w:autoSpaceDE w:val="0"/>
        <w:autoSpaceDN w:val="0"/>
        <w:adjustRightInd w:val="0"/>
        <w:spacing w:after="0" w:line="240" w:lineRule="auto"/>
        <w:jc w:val="both"/>
        <w:rPr>
          <w:rFonts w:ascii="Arial" w:hAnsi="Arial" w:cs="Arial"/>
          <w:b/>
        </w:rPr>
      </w:pPr>
    </w:p>
    <w:p w:rsidR="00FF1F7B" w:rsidRDefault="00FF1F7B" w:rsidP="009F4FDB">
      <w:pPr>
        <w:tabs>
          <w:tab w:val="left" w:pos="9072"/>
        </w:tabs>
        <w:autoSpaceDE w:val="0"/>
        <w:autoSpaceDN w:val="0"/>
        <w:adjustRightInd w:val="0"/>
        <w:spacing w:after="0" w:line="240" w:lineRule="auto"/>
        <w:jc w:val="both"/>
        <w:rPr>
          <w:rFonts w:ascii="Arial" w:hAnsi="Arial" w:cs="Arial"/>
          <w:b/>
        </w:rPr>
      </w:pPr>
    </w:p>
    <w:p w:rsidR="009F4FDB" w:rsidRPr="004758CA" w:rsidRDefault="009F4FDB" w:rsidP="009F4FDB">
      <w:pPr>
        <w:tabs>
          <w:tab w:val="left" w:pos="9072"/>
        </w:tabs>
        <w:autoSpaceDE w:val="0"/>
        <w:autoSpaceDN w:val="0"/>
        <w:adjustRightInd w:val="0"/>
        <w:spacing w:after="0" w:line="240" w:lineRule="auto"/>
        <w:jc w:val="both"/>
        <w:rPr>
          <w:rFonts w:ascii="Arial" w:hAnsi="Arial" w:cs="Arial"/>
          <w:b/>
        </w:rPr>
      </w:pPr>
      <w:r w:rsidRPr="004758CA">
        <w:rPr>
          <w:rFonts w:ascii="Arial" w:hAnsi="Arial" w:cs="Arial"/>
          <w:b/>
        </w:rPr>
        <w:t xml:space="preserve">Presupuesto de Gastos 2011-2012 </w:t>
      </w:r>
    </w:p>
    <w:p w:rsidR="009F4FDB" w:rsidRPr="004758CA" w:rsidRDefault="009F4FDB" w:rsidP="009F4FDB">
      <w:pPr>
        <w:tabs>
          <w:tab w:val="left" w:pos="9072"/>
        </w:tabs>
        <w:autoSpaceDE w:val="0"/>
        <w:autoSpaceDN w:val="0"/>
        <w:adjustRightInd w:val="0"/>
        <w:spacing w:after="0" w:line="240" w:lineRule="auto"/>
        <w:jc w:val="both"/>
        <w:rPr>
          <w:rFonts w:ascii="Arial" w:hAnsi="Arial" w:cs="Arial"/>
          <w:b/>
        </w:rPr>
      </w:pPr>
    </w:p>
    <w:p w:rsidR="009F4FDB" w:rsidRPr="004758CA" w:rsidRDefault="009F4FDB" w:rsidP="009F4FDB">
      <w:pPr>
        <w:tabs>
          <w:tab w:val="left" w:pos="9072"/>
        </w:tabs>
        <w:autoSpaceDE w:val="0"/>
        <w:autoSpaceDN w:val="0"/>
        <w:adjustRightInd w:val="0"/>
        <w:spacing w:after="0" w:line="240" w:lineRule="auto"/>
        <w:jc w:val="both"/>
        <w:rPr>
          <w:rFonts w:ascii="Arial" w:hAnsi="Arial" w:cs="Arial"/>
        </w:rPr>
      </w:pPr>
      <w:r w:rsidRPr="004758CA">
        <w:rPr>
          <w:rFonts w:ascii="Arial" w:hAnsi="Arial" w:cs="Arial"/>
        </w:rPr>
        <w:lastRenderedPageBreak/>
        <w:t>El presupuesto consolidado de gastos del Hospital Universitario de Santander al cierre de la vigencia 2012 ascendió a $159.597.227 miles de pesos, un 14% superior al registrado en la vigencia 2011 que fue por valor de $137.780.154 miles de pesos. La cuenta de disponibilidad final registro un saldo de $36.731.561 millones al cierre del año 2012, un 5% menor al valor registrado en el 2011.</w:t>
      </w:r>
    </w:p>
    <w:p w:rsidR="009F4FDB" w:rsidRPr="004758CA" w:rsidRDefault="009F4FDB" w:rsidP="009F4FDB">
      <w:pPr>
        <w:tabs>
          <w:tab w:val="left" w:pos="9072"/>
        </w:tabs>
        <w:autoSpaceDE w:val="0"/>
        <w:autoSpaceDN w:val="0"/>
        <w:adjustRightInd w:val="0"/>
        <w:spacing w:after="0" w:line="240" w:lineRule="auto"/>
        <w:jc w:val="both"/>
        <w:rPr>
          <w:rFonts w:ascii="Arial" w:hAnsi="Arial" w:cs="Arial"/>
        </w:rPr>
      </w:pPr>
    </w:p>
    <w:tbl>
      <w:tblPr>
        <w:tblW w:w="0" w:type="auto"/>
        <w:tblCellMar>
          <w:left w:w="70" w:type="dxa"/>
          <w:right w:w="70" w:type="dxa"/>
        </w:tblCellMar>
        <w:tblLook w:val="04A0" w:firstRow="1" w:lastRow="0" w:firstColumn="1" w:lastColumn="0" w:noHBand="0" w:noVBand="1"/>
      </w:tblPr>
      <w:tblGrid>
        <w:gridCol w:w="1362"/>
        <w:gridCol w:w="1099"/>
        <w:gridCol w:w="1099"/>
        <w:gridCol w:w="403"/>
        <w:gridCol w:w="1099"/>
        <w:gridCol w:w="1099"/>
        <w:gridCol w:w="403"/>
        <w:gridCol w:w="1233"/>
        <w:gridCol w:w="1344"/>
        <w:gridCol w:w="403"/>
      </w:tblGrid>
      <w:tr w:rsidR="009F4FDB" w:rsidRPr="004758CA" w:rsidTr="009F4FDB">
        <w:trPr>
          <w:trHeight w:val="80"/>
        </w:trPr>
        <w:tc>
          <w:tcPr>
            <w:tcW w:w="0" w:type="auto"/>
            <w:gridSpan w:val="10"/>
            <w:tcBorders>
              <w:top w:val="nil"/>
              <w:left w:val="nil"/>
              <w:bottom w:val="nil"/>
              <w:right w:val="nil"/>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Cifras en miles de $</w:t>
            </w:r>
          </w:p>
        </w:tc>
      </w:tr>
      <w:tr w:rsidR="009F4FDB" w:rsidRPr="004758CA" w:rsidTr="009F4FDB">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9F4FDB" w:rsidRPr="004758CA" w:rsidRDefault="009F4FDB" w:rsidP="009F4FDB">
            <w:pPr>
              <w:spacing w:after="0" w:line="240" w:lineRule="auto"/>
              <w:jc w:val="center"/>
              <w:rPr>
                <w:rFonts w:ascii="Arial" w:eastAsia="Times New Roman" w:hAnsi="Arial" w:cs="Arial"/>
                <w:b/>
                <w:bCs/>
                <w:color w:val="000000"/>
                <w:sz w:val="14"/>
                <w:szCs w:val="14"/>
                <w:lang w:eastAsia="es-CO"/>
              </w:rPr>
            </w:pPr>
            <w:r w:rsidRPr="004758CA">
              <w:rPr>
                <w:rFonts w:ascii="Arial" w:eastAsia="Times New Roman" w:hAnsi="Arial" w:cs="Arial"/>
                <w:b/>
                <w:bCs/>
                <w:color w:val="000000"/>
                <w:sz w:val="14"/>
                <w:szCs w:val="14"/>
                <w:lang w:eastAsia="es-CO"/>
              </w:rPr>
              <w:t>CONCEPTO</w:t>
            </w:r>
          </w:p>
        </w:tc>
        <w:tc>
          <w:tcPr>
            <w:tcW w:w="0" w:type="auto"/>
            <w:gridSpan w:val="3"/>
            <w:tcBorders>
              <w:top w:val="single" w:sz="4" w:space="0" w:color="auto"/>
              <w:left w:val="nil"/>
              <w:bottom w:val="single" w:sz="4" w:space="0" w:color="auto"/>
              <w:right w:val="single" w:sz="4" w:space="0" w:color="auto"/>
            </w:tcBorders>
            <w:shd w:val="clear" w:color="000000" w:fill="D8E4BC"/>
            <w:noWrap/>
            <w:vAlign w:val="center"/>
            <w:hideMark/>
          </w:tcPr>
          <w:p w:rsidR="009F4FDB" w:rsidRPr="004758CA" w:rsidRDefault="009F4FDB" w:rsidP="009F4FDB">
            <w:pPr>
              <w:spacing w:after="0" w:line="240" w:lineRule="auto"/>
              <w:jc w:val="center"/>
              <w:rPr>
                <w:rFonts w:ascii="Arial" w:eastAsia="Times New Roman" w:hAnsi="Arial" w:cs="Arial"/>
                <w:b/>
                <w:bCs/>
                <w:color w:val="000000"/>
                <w:sz w:val="14"/>
                <w:szCs w:val="14"/>
                <w:lang w:eastAsia="es-CO"/>
              </w:rPr>
            </w:pPr>
            <w:r w:rsidRPr="004758CA">
              <w:rPr>
                <w:rFonts w:ascii="Arial" w:eastAsia="Times New Roman" w:hAnsi="Arial" w:cs="Arial"/>
                <w:b/>
                <w:bCs/>
                <w:color w:val="000000"/>
                <w:sz w:val="14"/>
                <w:szCs w:val="14"/>
                <w:lang w:eastAsia="es-CO"/>
              </w:rPr>
              <w:t>DEFINITIVO</w:t>
            </w:r>
          </w:p>
        </w:tc>
        <w:tc>
          <w:tcPr>
            <w:tcW w:w="0" w:type="auto"/>
            <w:gridSpan w:val="3"/>
            <w:tcBorders>
              <w:top w:val="single" w:sz="4" w:space="0" w:color="auto"/>
              <w:left w:val="nil"/>
              <w:bottom w:val="single" w:sz="4" w:space="0" w:color="auto"/>
              <w:right w:val="single" w:sz="4" w:space="0" w:color="auto"/>
            </w:tcBorders>
            <w:shd w:val="clear" w:color="000000" w:fill="D8E4BC"/>
            <w:noWrap/>
            <w:vAlign w:val="center"/>
            <w:hideMark/>
          </w:tcPr>
          <w:p w:rsidR="009F4FDB" w:rsidRPr="004758CA" w:rsidRDefault="009F4FDB" w:rsidP="009F4FDB">
            <w:pPr>
              <w:spacing w:after="0" w:line="240" w:lineRule="auto"/>
              <w:jc w:val="center"/>
              <w:rPr>
                <w:rFonts w:ascii="Arial" w:eastAsia="Times New Roman" w:hAnsi="Arial" w:cs="Arial"/>
                <w:b/>
                <w:bCs/>
                <w:color w:val="000000"/>
                <w:sz w:val="14"/>
                <w:szCs w:val="14"/>
                <w:lang w:eastAsia="es-CO"/>
              </w:rPr>
            </w:pPr>
            <w:r w:rsidRPr="004758CA">
              <w:rPr>
                <w:rFonts w:ascii="Arial" w:eastAsia="Times New Roman" w:hAnsi="Arial" w:cs="Arial"/>
                <w:b/>
                <w:bCs/>
                <w:color w:val="000000"/>
                <w:sz w:val="14"/>
                <w:szCs w:val="14"/>
                <w:lang w:eastAsia="es-CO"/>
              </w:rPr>
              <w:t>COMPROMISO</w:t>
            </w:r>
          </w:p>
        </w:tc>
        <w:tc>
          <w:tcPr>
            <w:tcW w:w="0" w:type="auto"/>
            <w:gridSpan w:val="3"/>
            <w:tcBorders>
              <w:top w:val="single" w:sz="4" w:space="0" w:color="auto"/>
              <w:left w:val="nil"/>
              <w:bottom w:val="single" w:sz="4" w:space="0" w:color="auto"/>
              <w:right w:val="single" w:sz="4" w:space="0" w:color="auto"/>
            </w:tcBorders>
            <w:shd w:val="clear" w:color="000000" w:fill="D8E4BC"/>
            <w:noWrap/>
            <w:vAlign w:val="center"/>
            <w:hideMark/>
          </w:tcPr>
          <w:p w:rsidR="009F4FDB" w:rsidRPr="004758CA" w:rsidRDefault="009F4FDB" w:rsidP="009F4FDB">
            <w:pPr>
              <w:spacing w:after="0" w:line="240" w:lineRule="auto"/>
              <w:jc w:val="center"/>
              <w:rPr>
                <w:rFonts w:ascii="Arial" w:eastAsia="Times New Roman" w:hAnsi="Arial" w:cs="Arial"/>
                <w:b/>
                <w:bCs/>
                <w:color w:val="000000"/>
                <w:sz w:val="14"/>
                <w:szCs w:val="14"/>
                <w:lang w:eastAsia="es-CO"/>
              </w:rPr>
            </w:pPr>
            <w:r w:rsidRPr="004758CA">
              <w:rPr>
                <w:rFonts w:ascii="Arial" w:eastAsia="Times New Roman" w:hAnsi="Arial" w:cs="Arial"/>
                <w:b/>
                <w:bCs/>
                <w:color w:val="000000"/>
                <w:sz w:val="14"/>
                <w:szCs w:val="14"/>
                <w:lang w:eastAsia="es-CO"/>
              </w:rPr>
              <w:t>PAGO</w:t>
            </w:r>
          </w:p>
        </w:tc>
      </w:tr>
      <w:tr w:rsidR="009F4FDB" w:rsidRPr="004758CA" w:rsidTr="009F4FDB">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4FDB" w:rsidRPr="004758CA" w:rsidRDefault="009F4FDB" w:rsidP="009F4FDB">
            <w:pPr>
              <w:spacing w:after="0" w:line="240" w:lineRule="auto"/>
              <w:rPr>
                <w:rFonts w:ascii="Arial" w:eastAsia="Times New Roman" w:hAnsi="Arial" w:cs="Arial"/>
                <w:b/>
                <w:bCs/>
                <w:color w:val="000000"/>
                <w:sz w:val="14"/>
                <w:szCs w:val="14"/>
                <w:lang w:eastAsia="es-CO"/>
              </w:rPr>
            </w:pPr>
          </w:p>
        </w:tc>
        <w:tc>
          <w:tcPr>
            <w:tcW w:w="0" w:type="auto"/>
            <w:tcBorders>
              <w:top w:val="nil"/>
              <w:left w:val="nil"/>
              <w:bottom w:val="single" w:sz="4" w:space="0" w:color="auto"/>
              <w:right w:val="single" w:sz="4" w:space="0" w:color="auto"/>
            </w:tcBorders>
            <w:shd w:val="clear" w:color="000000" w:fill="D8E4BC"/>
            <w:noWrap/>
            <w:vAlign w:val="center"/>
            <w:hideMark/>
          </w:tcPr>
          <w:p w:rsidR="009F4FDB" w:rsidRPr="004758CA" w:rsidRDefault="009F4FDB" w:rsidP="009F4FDB">
            <w:pPr>
              <w:spacing w:after="0" w:line="240" w:lineRule="auto"/>
              <w:jc w:val="center"/>
              <w:rPr>
                <w:rFonts w:ascii="Arial" w:eastAsia="Times New Roman" w:hAnsi="Arial" w:cs="Arial"/>
                <w:b/>
                <w:bCs/>
                <w:color w:val="000000"/>
                <w:sz w:val="14"/>
                <w:szCs w:val="14"/>
                <w:lang w:eastAsia="es-CO"/>
              </w:rPr>
            </w:pPr>
            <w:r w:rsidRPr="004758CA">
              <w:rPr>
                <w:rFonts w:ascii="Arial" w:eastAsia="Times New Roman" w:hAnsi="Arial" w:cs="Arial"/>
                <w:b/>
                <w:bCs/>
                <w:color w:val="000000"/>
                <w:sz w:val="14"/>
                <w:szCs w:val="14"/>
                <w:lang w:eastAsia="es-CO"/>
              </w:rPr>
              <w:t>2011</w:t>
            </w:r>
          </w:p>
        </w:tc>
        <w:tc>
          <w:tcPr>
            <w:tcW w:w="0" w:type="auto"/>
            <w:tcBorders>
              <w:top w:val="nil"/>
              <w:left w:val="nil"/>
              <w:bottom w:val="single" w:sz="4" w:space="0" w:color="auto"/>
              <w:right w:val="single" w:sz="4" w:space="0" w:color="auto"/>
            </w:tcBorders>
            <w:shd w:val="clear" w:color="000000" w:fill="D8E4BC"/>
            <w:noWrap/>
            <w:vAlign w:val="center"/>
            <w:hideMark/>
          </w:tcPr>
          <w:p w:rsidR="009F4FDB" w:rsidRPr="004758CA" w:rsidRDefault="009F4FDB" w:rsidP="009F4FDB">
            <w:pPr>
              <w:spacing w:after="0" w:line="240" w:lineRule="auto"/>
              <w:jc w:val="center"/>
              <w:rPr>
                <w:rFonts w:ascii="Arial" w:eastAsia="Times New Roman" w:hAnsi="Arial" w:cs="Arial"/>
                <w:b/>
                <w:bCs/>
                <w:color w:val="000000"/>
                <w:sz w:val="14"/>
                <w:szCs w:val="14"/>
                <w:lang w:eastAsia="es-CO"/>
              </w:rPr>
            </w:pPr>
            <w:r w:rsidRPr="004758CA">
              <w:rPr>
                <w:rFonts w:ascii="Arial" w:eastAsia="Times New Roman" w:hAnsi="Arial" w:cs="Arial"/>
                <w:b/>
                <w:bCs/>
                <w:color w:val="000000"/>
                <w:sz w:val="14"/>
                <w:szCs w:val="14"/>
                <w:lang w:eastAsia="es-CO"/>
              </w:rPr>
              <w:t>2012</w:t>
            </w:r>
          </w:p>
        </w:tc>
        <w:tc>
          <w:tcPr>
            <w:tcW w:w="0" w:type="auto"/>
            <w:tcBorders>
              <w:top w:val="nil"/>
              <w:left w:val="nil"/>
              <w:bottom w:val="single" w:sz="4" w:space="0" w:color="auto"/>
              <w:right w:val="single" w:sz="4" w:space="0" w:color="auto"/>
            </w:tcBorders>
            <w:shd w:val="clear" w:color="000000" w:fill="D8E4BC"/>
            <w:noWrap/>
            <w:vAlign w:val="bottom"/>
            <w:hideMark/>
          </w:tcPr>
          <w:p w:rsidR="009F4FDB" w:rsidRPr="004758CA" w:rsidRDefault="009F4FDB" w:rsidP="009F4FDB">
            <w:pPr>
              <w:spacing w:after="0" w:line="240" w:lineRule="auto"/>
              <w:rPr>
                <w:rFonts w:ascii="Arial" w:eastAsia="Times New Roman" w:hAnsi="Arial" w:cs="Arial"/>
                <w:b/>
                <w:bCs/>
                <w:color w:val="000000"/>
                <w:sz w:val="14"/>
                <w:szCs w:val="14"/>
                <w:lang w:eastAsia="es-CO"/>
              </w:rPr>
            </w:pPr>
            <w:r w:rsidRPr="004758CA">
              <w:rPr>
                <w:rFonts w:ascii="Arial" w:eastAsia="Times New Roman" w:hAnsi="Arial" w:cs="Arial"/>
                <w:b/>
                <w:bCs/>
                <w:color w:val="000000"/>
                <w:sz w:val="14"/>
                <w:szCs w:val="14"/>
                <w:lang w:eastAsia="es-CO"/>
              </w:rPr>
              <w:t>% VAR</w:t>
            </w:r>
          </w:p>
        </w:tc>
        <w:tc>
          <w:tcPr>
            <w:tcW w:w="0" w:type="auto"/>
            <w:tcBorders>
              <w:top w:val="nil"/>
              <w:left w:val="nil"/>
              <w:bottom w:val="single" w:sz="4" w:space="0" w:color="auto"/>
              <w:right w:val="single" w:sz="4" w:space="0" w:color="auto"/>
            </w:tcBorders>
            <w:shd w:val="clear" w:color="000000" w:fill="D8E4BC"/>
            <w:noWrap/>
            <w:vAlign w:val="center"/>
            <w:hideMark/>
          </w:tcPr>
          <w:p w:rsidR="009F4FDB" w:rsidRPr="004758CA" w:rsidRDefault="009F4FDB" w:rsidP="009F4FDB">
            <w:pPr>
              <w:spacing w:after="0" w:line="240" w:lineRule="auto"/>
              <w:jc w:val="center"/>
              <w:rPr>
                <w:rFonts w:ascii="Arial" w:eastAsia="Times New Roman" w:hAnsi="Arial" w:cs="Arial"/>
                <w:b/>
                <w:bCs/>
                <w:color w:val="000000"/>
                <w:sz w:val="14"/>
                <w:szCs w:val="14"/>
                <w:lang w:eastAsia="es-CO"/>
              </w:rPr>
            </w:pPr>
            <w:r w:rsidRPr="004758CA">
              <w:rPr>
                <w:rFonts w:ascii="Arial" w:eastAsia="Times New Roman" w:hAnsi="Arial" w:cs="Arial"/>
                <w:b/>
                <w:bCs/>
                <w:color w:val="000000"/>
                <w:sz w:val="14"/>
                <w:szCs w:val="14"/>
                <w:lang w:eastAsia="es-CO"/>
              </w:rPr>
              <w:t>2011</w:t>
            </w:r>
          </w:p>
        </w:tc>
        <w:tc>
          <w:tcPr>
            <w:tcW w:w="0" w:type="auto"/>
            <w:tcBorders>
              <w:top w:val="nil"/>
              <w:left w:val="nil"/>
              <w:bottom w:val="single" w:sz="4" w:space="0" w:color="auto"/>
              <w:right w:val="single" w:sz="4" w:space="0" w:color="auto"/>
            </w:tcBorders>
            <w:shd w:val="clear" w:color="000000" w:fill="D8E4BC"/>
            <w:noWrap/>
            <w:vAlign w:val="center"/>
            <w:hideMark/>
          </w:tcPr>
          <w:p w:rsidR="009F4FDB" w:rsidRPr="004758CA" w:rsidRDefault="009F4FDB" w:rsidP="009F4FDB">
            <w:pPr>
              <w:spacing w:after="0" w:line="240" w:lineRule="auto"/>
              <w:jc w:val="center"/>
              <w:rPr>
                <w:rFonts w:ascii="Arial" w:eastAsia="Times New Roman" w:hAnsi="Arial" w:cs="Arial"/>
                <w:b/>
                <w:bCs/>
                <w:color w:val="000000"/>
                <w:sz w:val="14"/>
                <w:szCs w:val="14"/>
                <w:lang w:eastAsia="es-CO"/>
              </w:rPr>
            </w:pPr>
            <w:r w:rsidRPr="004758CA">
              <w:rPr>
                <w:rFonts w:ascii="Arial" w:eastAsia="Times New Roman" w:hAnsi="Arial" w:cs="Arial"/>
                <w:b/>
                <w:bCs/>
                <w:color w:val="000000"/>
                <w:sz w:val="14"/>
                <w:szCs w:val="14"/>
                <w:lang w:eastAsia="es-CO"/>
              </w:rPr>
              <w:t>2012</w:t>
            </w:r>
          </w:p>
        </w:tc>
        <w:tc>
          <w:tcPr>
            <w:tcW w:w="0" w:type="auto"/>
            <w:tcBorders>
              <w:top w:val="nil"/>
              <w:left w:val="nil"/>
              <w:bottom w:val="single" w:sz="4" w:space="0" w:color="auto"/>
              <w:right w:val="single" w:sz="4" w:space="0" w:color="auto"/>
            </w:tcBorders>
            <w:shd w:val="clear" w:color="000000" w:fill="D8E4BC"/>
            <w:noWrap/>
            <w:vAlign w:val="bottom"/>
            <w:hideMark/>
          </w:tcPr>
          <w:p w:rsidR="009F4FDB" w:rsidRPr="004758CA" w:rsidRDefault="009F4FDB" w:rsidP="009F4FDB">
            <w:pPr>
              <w:spacing w:after="0" w:line="240" w:lineRule="auto"/>
              <w:rPr>
                <w:rFonts w:ascii="Arial" w:eastAsia="Times New Roman" w:hAnsi="Arial" w:cs="Arial"/>
                <w:b/>
                <w:bCs/>
                <w:color w:val="000000"/>
                <w:sz w:val="14"/>
                <w:szCs w:val="14"/>
                <w:lang w:eastAsia="es-CO"/>
              </w:rPr>
            </w:pPr>
            <w:r w:rsidRPr="004758CA">
              <w:rPr>
                <w:rFonts w:ascii="Arial" w:eastAsia="Times New Roman" w:hAnsi="Arial" w:cs="Arial"/>
                <w:b/>
                <w:bCs/>
                <w:color w:val="000000"/>
                <w:sz w:val="14"/>
                <w:szCs w:val="14"/>
                <w:lang w:eastAsia="es-CO"/>
              </w:rPr>
              <w:t>% VAR</w:t>
            </w:r>
          </w:p>
        </w:tc>
        <w:tc>
          <w:tcPr>
            <w:tcW w:w="0" w:type="auto"/>
            <w:tcBorders>
              <w:top w:val="nil"/>
              <w:left w:val="nil"/>
              <w:bottom w:val="single" w:sz="4" w:space="0" w:color="auto"/>
              <w:right w:val="single" w:sz="4" w:space="0" w:color="auto"/>
            </w:tcBorders>
            <w:shd w:val="clear" w:color="000000" w:fill="D8E4BC"/>
            <w:noWrap/>
            <w:vAlign w:val="center"/>
            <w:hideMark/>
          </w:tcPr>
          <w:p w:rsidR="009F4FDB" w:rsidRPr="004758CA" w:rsidRDefault="009F4FDB" w:rsidP="009F4FDB">
            <w:pPr>
              <w:spacing w:after="0" w:line="240" w:lineRule="auto"/>
              <w:jc w:val="center"/>
              <w:rPr>
                <w:rFonts w:ascii="Arial" w:eastAsia="Times New Roman" w:hAnsi="Arial" w:cs="Arial"/>
                <w:b/>
                <w:bCs/>
                <w:color w:val="000000"/>
                <w:sz w:val="14"/>
                <w:szCs w:val="14"/>
                <w:lang w:eastAsia="es-CO"/>
              </w:rPr>
            </w:pPr>
            <w:r w:rsidRPr="004758CA">
              <w:rPr>
                <w:rFonts w:ascii="Arial" w:eastAsia="Times New Roman" w:hAnsi="Arial" w:cs="Arial"/>
                <w:b/>
                <w:bCs/>
                <w:color w:val="000000"/>
                <w:sz w:val="14"/>
                <w:szCs w:val="14"/>
                <w:lang w:eastAsia="es-CO"/>
              </w:rPr>
              <w:t>2011</w:t>
            </w:r>
          </w:p>
        </w:tc>
        <w:tc>
          <w:tcPr>
            <w:tcW w:w="0" w:type="auto"/>
            <w:tcBorders>
              <w:top w:val="nil"/>
              <w:left w:val="nil"/>
              <w:bottom w:val="single" w:sz="4" w:space="0" w:color="auto"/>
              <w:right w:val="single" w:sz="4" w:space="0" w:color="auto"/>
            </w:tcBorders>
            <w:shd w:val="clear" w:color="000000" w:fill="D8E4BC"/>
            <w:noWrap/>
            <w:vAlign w:val="center"/>
            <w:hideMark/>
          </w:tcPr>
          <w:p w:rsidR="009F4FDB" w:rsidRPr="004758CA" w:rsidRDefault="009F4FDB" w:rsidP="009F4FDB">
            <w:pPr>
              <w:spacing w:after="0" w:line="240" w:lineRule="auto"/>
              <w:jc w:val="center"/>
              <w:rPr>
                <w:rFonts w:ascii="Arial" w:eastAsia="Times New Roman" w:hAnsi="Arial" w:cs="Arial"/>
                <w:b/>
                <w:bCs/>
                <w:color w:val="000000"/>
                <w:sz w:val="14"/>
                <w:szCs w:val="14"/>
                <w:lang w:eastAsia="es-CO"/>
              </w:rPr>
            </w:pPr>
            <w:r w:rsidRPr="004758CA">
              <w:rPr>
                <w:rFonts w:ascii="Arial" w:eastAsia="Times New Roman" w:hAnsi="Arial" w:cs="Arial"/>
                <w:b/>
                <w:bCs/>
                <w:color w:val="000000"/>
                <w:sz w:val="14"/>
                <w:szCs w:val="14"/>
                <w:lang w:eastAsia="es-CO"/>
              </w:rPr>
              <w:t>2012</w:t>
            </w:r>
          </w:p>
        </w:tc>
        <w:tc>
          <w:tcPr>
            <w:tcW w:w="0" w:type="auto"/>
            <w:tcBorders>
              <w:top w:val="nil"/>
              <w:left w:val="nil"/>
              <w:bottom w:val="single" w:sz="4" w:space="0" w:color="auto"/>
              <w:right w:val="single" w:sz="4" w:space="0" w:color="auto"/>
            </w:tcBorders>
            <w:shd w:val="clear" w:color="000000" w:fill="D8E4BC"/>
            <w:noWrap/>
            <w:vAlign w:val="bottom"/>
            <w:hideMark/>
          </w:tcPr>
          <w:p w:rsidR="009F4FDB" w:rsidRPr="004758CA" w:rsidRDefault="009F4FDB" w:rsidP="009F4FDB">
            <w:pPr>
              <w:spacing w:after="0" w:line="240" w:lineRule="auto"/>
              <w:rPr>
                <w:rFonts w:ascii="Arial" w:eastAsia="Times New Roman" w:hAnsi="Arial" w:cs="Arial"/>
                <w:b/>
                <w:bCs/>
                <w:color w:val="000000"/>
                <w:sz w:val="14"/>
                <w:szCs w:val="14"/>
                <w:lang w:eastAsia="es-CO"/>
              </w:rPr>
            </w:pPr>
            <w:r w:rsidRPr="004758CA">
              <w:rPr>
                <w:rFonts w:ascii="Arial" w:eastAsia="Times New Roman" w:hAnsi="Arial" w:cs="Arial"/>
                <w:b/>
                <w:bCs/>
                <w:color w:val="000000"/>
                <w:sz w:val="14"/>
                <w:szCs w:val="14"/>
                <w:lang w:eastAsia="es-CO"/>
              </w:rPr>
              <w:t>% VAR</w:t>
            </w:r>
          </w:p>
        </w:tc>
      </w:tr>
      <w:tr w:rsidR="009F4FDB" w:rsidRPr="004758CA" w:rsidTr="009F4FDB">
        <w:trPr>
          <w:trHeight w:val="28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GASTOS DE FUNCIONAMIENTO</w:t>
            </w:r>
          </w:p>
        </w:tc>
        <w:tc>
          <w:tcPr>
            <w:tcW w:w="0" w:type="auto"/>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                         57.871.055 </w:t>
            </w:r>
          </w:p>
        </w:tc>
        <w:tc>
          <w:tcPr>
            <w:tcW w:w="0" w:type="auto"/>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                         65.842.628 </w:t>
            </w:r>
          </w:p>
        </w:tc>
        <w:tc>
          <w:tcPr>
            <w:tcW w:w="0" w:type="auto"/>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12</w:t>
            </w:r>
          </w:p>
        </w:tc>
        <w:tc>
          <w:tcPr>
            <w:tcW w:w="0" w:type="auto"/>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                         52.045.820 </w:t>
            </w:r>
          </w:p>
        </w:tc>
        <w:tc>
          <w:tcPr>
            <w:tcW w:w="0" w:type="auto"/>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                         62.650.468 </w:t>
            </w:r>
          </w:p>
        </w:tc>
        <w:tc>
          <w:tcPr>
            <w:tcW w:w="0" w:type="auto"/>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17</w:t>
            </w:r>
          </w:p>
        </w:tc>
        <w:tc>
          <w:tcPr>
            <w:tcW w:w="0" w:type="auto"/>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                               49.941.397 </w:t>
            </w:r>
          </w:p>
        </w:tc>
        <w:tc>
          <w:tcPr>
            <w:tcW w:w="0" w:type="auto"/>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                                    57.853.278 </w:t>
            </w:r>
          </w:p>
        </w:tc>
        <w:tc>
          <w:tcPr>
            <w:tcW w:w="0" w:type="auto"/>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14</w:t>
            </w:r>
          </w:p>
        </w:tc>
      </w:tr>
      <w:tr w:rsidR="009F4FDB" w:rsidRPr="004758CA" w:rsidTr="009F4FDB">
        <w:trPr>
          <w:trHeight w:val="28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GASTOS DE OPERACION </w:t>
            </w:r>
          </w:p>
        </w:tc>
        <w:tc>
          <w:tcPr>
            <w:tcW w:w="0" w:type="auto"/>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                         22.013.002 </w:t>
            </w:r>
          </w:p>
        </w:tc>
        <w:tc>
          <w:tcPr>
            <w:tcW w:w="0" w:type="auto"/>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                         22.157.213 </w:t>
            </w:r>
          </w:p>
        </w:tc>
        <w:tc>
          <w:tcPr>
            <w:tcW w:w="0" w:type="auto"/>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1</w:t>
            </w:r>
          </w:p>
        </w:tc>
        <w:tc>
          <w:tcPr>
            <w:tcW w:w="0" w:type="auto"/>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                         20.134.453 </w:t>
            </w:r>
          </w:p>
        </w:tc>
        <w:tc>
          <w:tcPr>
            <w:tcW w:w="0" w:type="auto"/>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                         20.594.375 </w:t>
            </w:r>
          </w:p>
        </w:tc>
        <w:tc>
          <w:tcPr>
            <w:tcW w:w="0" w:type="auto"/>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2</w:t>
            </w:r>
          </w:p>
        </w:tc>
        <w:tc>
          <w:tcPr>
            <w:tcW w:w="0" w:type="auto"/>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                               17.107.652 </w:t>
            </w:r>
          </w:p>
        </w:tc>
        <w:tc>
          <w:tcPr>
            <w:tcW w:w="0" w:type="auto"/>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                                    13.128.758 </w:t>
            </w:r>
          </w:p>
        </w:tc>
        <w:tc>
          <w:tcPr>
            <w:tcW w:w="0" w:type="auto"/>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-30</w:t>
            </w:r>
          </w:p>
        </w:tc>
      </w:tr>
      <w:tr w:rsidR="009F4FDB" w:rsidRPr="004758CA" w:rsidTr="009F4FDB">
        <w:trPr>
          <w:trHeight w:val="28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INVERSION</w:t>
            </w:r>
          </w:p>
        </w:tc>
        <w:tc>
          <w:tcPr>
            <w:tcW w:w="0" w:type="auto"/>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                         47.826.979 </w:t>
            </w:r>
          </w:p>
        </w:tc>
        <w:tc>
          <w:tcPr>
            <w:tcW w:w="0" w:type="auto"/>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                         55.600.595 </w:t>
            </w:r>
          </w:p>
        </w:tc>
        <w:tc>
          <w:tcPr>
            <w:tcW w:w="0" w:type="auto"/>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14</w:t>
            </w:r>
          </w:p>
        </w:tc>
        <w:tc>
          <w:tcPr>
            <w:tcW w:w="0" w:type="auto"/>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                         20.504.020 </w:t>
            </w:r>
          </w:p>
        </w:tc>
        <w:tc>
          <w:tcPr>
            <w:tcW w:w="0" w:type="auto"/>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                           8.359.509 </w:t>
            </w:r>
          </w:p>
        </w:tc>
        <w:tc>
          <w:tcPr>
            <w:tcW w:w="0" w:type="auto"/>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59</w:t>
            </w:r>
          </w:p>
        </w:tc>
        <w:tc>
          <w:tcPr>
            <w:tcW w:w="0" w:type="auto"/>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                               10.114.331 </w:t>
            </w:r>
          </w:p>
        </w:tc>
        <w:tc>
          <w:tcPr>
            <w:tcW w:w="0" w:type="auto"/>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                                      1.893.458 </w:t>
            </w:r>
          </w:p>
        </w:tc>
        <w:tc>
          <w:tcPr>
            <w:tcW w:w="0" w:type="auto"/>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-81</w:t>
            </w:r>
          </w:p>
        </w:tc>
      </w:tr>
      <w:tr w:rsidR="009F4FDB" w:rsidRPr="004758CA" w:rsidTr="009F4FDB">
        <w:trPr>
          <w:trHeight w:val="28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DEUDA PUBLICA</w:t>
            </w:r>
          </w:p>
        </w:tc>
        <w:tc>
          <w:tcPr>
            <w:tcW w:w="0" w:type="auto"/>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0</w:t>
            </w:r>
          </w:p>
        </w:tc>
      </w:tr>
      <w:tr w:rsidR="009F4FDB" w:rsidRPr="004758CA" w:rsidTr="009F4FDB">
        <w:trPr>
          <w:trHeight w:val="28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CUENTAS POR PAGAR</w:t>
            </w:r>
          </w:p>
        </w:tc>
        <w:tc>
          <w:tcPr>
            <w:tcW w:w="0" w:type="auto"/>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                         10.069.118 </w:t>
            </w:r>
          </w:p>
        </w:tc>
        <w:tc>
          <w:tcPr>
            <w:tcW w:w="0" w:type="auto"/>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                         15.996.792 </w:t>
            </w:r>
          </w:p>
        </w:tc>
        <w:tc>
          <w:tcPr>
            <w:tcW w:w="0" w:type="auto"/>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37</w:t>
            </w:r>
          </w:p>
        </w:tc>
        <w:tc>
          <w:tcPr>
            <w:tcW w:w="0" w:type="auto"/>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                           9.372.106 </w:t>
            </w:r>
          </w:p>
        </w:tc>
        <w:tc>
          <w:tcPr>
            <w:tcW w:w="0" w:type="auto"/>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                         15.516.609 </w:t>
            </w:r>
          </w:p>
        </w:tc>
        <w:tc>
          <w:tcPr>
            <w:tcW w:w="0" w:type="auto"/>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40</w:t>
            </w:r>
          </w:p>
        </w:tc>
        <w:tc>
          <w:tcPr>
            <w:tcW w:w="0" w:type="auto"/>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                                 8.896.321 </w:t>
            </w:r>
          </w:p>
        </w:tc>
        <w:tc>
          <w:tcPr>
            <w:tcW w:w="0" w:type="auto"/>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0</w:t>
            </w:r>
          </w:p>
        </w:tc>
      </w:tr>
      <w:tr w:rsidR="009F4FDB" w:rsidRPr="004758CA" w:rsidTr="009F4FDB">
        <w:trPr>
          <w:trHeight w:val="300"/>
        </w:trPr>
        <w:tc>
          <w:tcPr>
            <w:tcW w:w="0" w:type="auto"/>
            <w:tcBorders>
              <w:top w:val="nil"/>
              <w:left w:val="single" w:sz="4" w:space="0" w:color="auto"/>
              <w:bottom w:val="single" w:sz="4" w:space="0" w:color="auto"/>
              <w:right w:val="single" w:sz="4" w:space="0" w:color="auto"/>
            </w:tcBorders>
            <w:shd w:val="clear" w:color="000000" w:fill="D8E4BC"/>
            <w:noWrap/>
            <w:vAlign w:val="bottom"/>
            <w:hideMark/>
          </w:tcPr>
          <w:p w:rsidR="009F4FDB" w:rsidRPr="004758CA" w:rsidRDefault="009F4FDB" w:rsidP="009F4FDB">
            <w:pPr>
              <w:spacing w:after="0" w:line="240" w:lineRule="auto"/>
              <w:rPr>
                <w:rFonts w:ascii="Arial" w:eastAsia="Times New Roman" w:hAnsi="Arial" w:cs="Arial"/>
                <w:b/>
                <w:bCs/>
                <w:color w:val="000000"/>
                <w:sz w:val="14"/>
                <w:szCs w:val="14"/>
                <w:lang w:eastAsia="es-CO"/>
              </w:rPr>
            </w:pPr>
            <w:r w:rsidRPr="004758CA">
              <w:rPr>
                <w:rFonts w:ascii="Arial" w:eastAsia="Times New Roman" w:hAnsi="Arial" w:cs="Arial"/>
                <w:b/>
                <w:bCs/>
                <w:color w:val="000000"/>
                <w:sz w:val="14"/>
                <w:szCs w:val="14"/>
                <w:lang w:eastAsia="es-CO"/>
              </w:rPr>
              <w:t>TOTAL</w:t>
            </w:r>
          </w:p>
        </w:tc>
        <w:tc>
          <w:tcPr>
            <w:tcW w:w="0" w:type="auto"/>
            <w:tcBorders>
              <w:top w:val="nil"/>
              <w:left w:val="nil"/>
              <w:bottom w:val="single" w:sz="4" w:space="0" w:color="auto"/>
              <w:right w:val="single" w:sz="4" w:space="0" w:color="auto"/>
            </w:tcBorders>
            <w:shd w:val="clear" w:color="000000" w:fill="D8E4BC"/>
            <w:noWrap/>
            <w:vAlign w:val="bottom"/>
            <w:hideMark/>
          </w:tcPr>
          <w:p w:rsidR="009F4FDB" w:rsidRPr="004758CA" w:rsidRDefault="009F4FDB" w:rsidP="009F4FDB">
            <w:pPr>
              <w:spacing w:after="0" w:line="240" w:lineRule="auto"/>
              <w:jc w:val="right"/>
              <w:rPr>
                <w:rFonts w:ascii="Arial" w:eastAsia="Times New Roman" w:hAnsi="Arial" w:cs="Arial"/>
                <w:b/>
                <w:bCs/>
                <w:color w:val="000000"/>
                <w:sz w:val="14"/>
                <w:szCs w:val="14"/>
                <w:lang w:eastAsia="es-CO"/>
              </w:rPr>
            </w:pPr>
            <w:r w:rsidRPr="004758CA">
              <w:rPr>
                <w:rFonts w:ascii="Arial" w:eastAsia="Times New Roman" w:hAnsi="Arial" w:cs="Arial"/>
                <w:b/>
                <w:bCs/>
                <w:color w:val="000000"/>
                <w:sz w:val="14"/>
                <w:szCs w:val="14"/>
                <w:lang w:eastAsia="es-CO"/>
              </w:rPr>
              <w:t xml:space="preserve">                       137.780.154 </w:t>
            </w:r>
          </w:p>
        </w:tc>
        <w:tc>
          <w:tcPr>
            <w:tcW w:w="0" w:type="auto"/>
            <w:tcBorders>
              <w:top w:val="nil"/>
              <w:left w:val="nil"/>
              <w:bottom w:val="single" w:sz="4" w:space="0" w:color="auto"/>
              <w:right w:val="single" w:sz="4" w:space="0" w:color="auto"/>
            </w:tcBorders>
            <w:shd w:val="clear" w:color="000000" w:fill="D8E4BC"/>
            <w:noWrap/>
            <w:vAlign w:val="bottom"/>
            <w:hideMark/>
          </w:tcPr>
          <w:p w:rsidR="009F4FDB" w:rsidRPr="004758CA" w:rsidRDefault="009F4FDB" w:rsidP="009F4FDB">
            <w:pPr>
              <w:spacing w:after="0" w:line="240" w:lineRule="auto"/>
              <w:jc w:val="right"/>
              <w:rPr>
                <w:rFonts w:ascii="Arial" w:eastAsia="Times New Roman" w:hAnsi="Arial" w:cs="Arial"/>
                <w:b/>
                <w:bCs/>
                <w:color w:val="000000"/>
                <w:sz w:val="14"/>
                <w:szCs w:val="14"/>
                <w:lang w:eastAsia="es-CO"/>
              </w:rPr>
            </w:pPr>
            <w:r w:rsidRPr="004758CA">
              <w:rPr>
                <w:rFonts w:ascii="Arial" w:eastAsia="Times New Roman" w:hAnsi="Arial" w:cs="Arial"/>
                <w:b/>
                <w:bCs/>
                <w:color w:val="000000"/>
                <w:sz w:val="14"/>
                <w:szCs w:val="14"/>
                <w:lang w:eastAsia="es-CO"/>
              </w:rPr>
              <w:t xml:space="preserve">                       159.597.227 </w:t>
            </w:r>
          </w:p>
        </w:tc>
        <w:tc>
          <w:tcPr>
            <w:tcW w:w="0" w:type="auto"/>
            <w:tcBorders>
              <w:top w:val="nil"/>
              <w:left w:val="nil"/>
              <w:bottom w:val="single" w:sz="4" w:space="0" w:color="auto"/>
              <w:right w:val="single" w:sz="4" w:space="0" w:color="auto"/>
            </w:tcBorders>
            <w:shd w:val="clear" w:color="000000" w:fill="D8E4BC"/>
            <w:noWrap/>
            <w:vAlign w:val="bottom"/>
            <w:hideMark/>
          </w:tcPr>
          <w:p w:rsidR="009F4FDB" w:rsidRPr="004758CA" w:rsidRDefault="009F4FDB" w:rsidP="009F4FDB">
            <w:pPr>
              <w:spacing w:after="0" w:line="240" w:lineRule="auto"/>
              <w:jc w:val="right"/>
              <w:rPr>
                <w:rFonts w:ascii="Arial" w:eastAsia="Times New Roman" w:hAnsi="Arial" w:cs="Arial"/>
                <w:b/>
                <w:bCs/>
                <w:i/>
                <w:color w:val="000000"/>
                <w:sz w:val="14"/>
                <w:szCs w:val="14"/>
                <w:lang w:eastAsia="es-CO"/>
              </w:rPr>
            </w:pPr>
            <w:r w:rsidRPr="004758CA">
              <w:rPr>
                <w:rFonts w:ascii="Arial" w:eastAsia="Times New Roman" w:hAnsi="Arial" w:cs="Arial"/>
                <w:b/>
                <w:bCs/>
                <w:i/>
                <w:color w:val="000000"/>
                <w:sz w:val="14"/>
                <w:szCs w:val="14"/>
                <w:lang w:eastAsia="es-CO"/>
              </w:rPr>
              <w:t>14</w:t>
            </w:r>
          </w:p>
        </w:tc>
        <w:tc>
          <w:tcPr>
            <w:tcW w:w="0" w:type="auto"/>
            <w:tcBorders>
              <w:top w:val="nil"/>
              <w:left w:val="nil"/>
              <w:bottom w:val="single" w:sz="4" w:space="0" w:color="auto"/>
              <w:right w:val="single" w:sz="4" w:space="0" w:color="auto"/>
            </w:tcBorders>
            <w:shd w:val="clear" w:color="000000" w:fill="D8E4BC"/>
            <w:noWrap/>
            <w:vAlign w:val="bottom"/>
            <w:hideMark/>
          </w:tcPr>
          <w:p w:rsidR="009F4FDB" w:rsidRPr="004758CA" w:rsidRDefault="009F4FDB" w:rsidP="009F4FDB">
            <w:pPr>
              <w:spacing w:after="0" w:line="240" w:lineRule="auto"/>
              <w:jc w:val="right"/>
              <w:rPr>
                <w:rFonts w:ascii="Arial" w:eastAsia="Times New Roman" w:hAnsi="Arial" w:cs="Arial"/>
                <w:b/>
                <w:bCs/>
                <w:color w:val="000000"/>
                <w:sz w:val="14"/>
                <w:szCs w:val="14"/>
                <w:lang w:eastAsia="es-CO"/>
              </w:rPr>
            </w:pPr>
            <w:r w:rsidRPr="004758CA">
              <w:rPr>
                <w:rFonts w:ascii="Arial" w:eastAsia="Times New Roman" w:hAnsi="Arial" w:cs="Arial"/>
                <w:b/>
                <w:bCs/>
                <w:color w:val="000000"/>
                <w:sz w:val="14"/>
                <w:szCs w:val="14"/>
                <w:lang w:eastAsia="es-CO"/>
              </w:rPr>
              <w:t xml:space="preserve">                       102.056.400 </w:t>
            </w:r>
          </w:p>
        </w:tc>
        <w:tc>
          <w:tcPr>
            <w:tcW w:w="0" w:type="auto"/>
            <w:tcBorders>
              <w:top w:val="nil"/>
              <w:left w:val="nil"/>
              <w:bottom w:val="single" w:sz="4" w:space="0" w:color="auto"/>
              <w:right w:val="single" w:sz="4" w:space="0" w:color="auto"/>
            </w:tcBorders>
            <w:shd w:val="clear" w:color="000000" w:fill="D8E4BC"/>
            <w:noWrap/>
            <w:vAlign w:val="bottom"/>
            <w:hideMark/>
          </w:tcPr>
          <w:p w:rsidR="009F4FDB" w:rsidRPr="004758CA" w:rsidRDefault="009F4FDB" w:rsidP="009F4FDB">
            <w:pPr>
              <w:spacing w:after="0" w:line="240" w:lineRule="auto"/>
              <w:jc w:val="right"/>
              <w:rPr>
                <w:rFonts w:ascii="Arial" w:eastAsia="Times New Roman" w:hAnsi="Arial" w:cs="Arial"/>
                <w:b/>
                <w:bCs/>
                <w:color w:val="000000"/>
                <w:sz w:val="14"/>
                <w:szCs w:val="14"/>
                <w:lang w:eastAsia="es-CO"/>
              </w:rPr>
            </w:pPr>
            <w:r w:rsidRPr="004758CA">
              <w:rPr>
                <w:rFonts w:ascii="Arial" w:eastAsia="Times New Roman" w:hAnsi="Arial" w:cs="Arial"/>
                <w:b/>
                <w:bCs/>
                <w:color w:val="000000"/>
                <w:sz w:val="14"/>
                <w:szCs w:val="14"/>
                <w:lang w:eastAsia="es-CO"/>
              </w:rPr>
              <w:t xml:space="preserve">                       107.120.961 </w:t>
            </w:r>
          </w:p>
        </w:tc>
        <w:tc>
          <w:tcPr>
            <w:tcW w:w="0" w:type="auto"/>
            <w:tcBorders>
              <w:top w:val="nil"/>
              <w:left w:val="nil"/>
              <w:bottom w:val="single" w:sz="4" w:space="0" w:color="auto"/>
              <w:right w:val="single" w:sz="4" w:space="0" w:color="auto"/>
            </w:tcBorders>
            <w:shd w:val="clear" w:color="000000" w:fill="D8E4BC"/>
            <w:noWrap/>
            <w:vAlign w:val="bottom"/>
            <w:hideMark/>
          </w:tcPr>
          <w:p w:rsidR="009F4FDB" w:rsidRPr="004758CA" w:rsidRDefault="009F4FDB" w:rsidP="009F4FDB">
            <w:pPr>
              <w:spacing w:after="0" w:line="240" w:lineRule="auto"/>
              <w:jc w:val="right"/>
              <w:rPr>
                <w:rFonts w:ascii="Arial" w:eastAsia="Times New Roman" w:hAnsi="Arial" w:cs="Arial"/>
                <w:b/>
                <w:bCs/>
                <w:color w:val="000000"/>
                <w:sz w:val="14"/>
                <w:szCs w:val="14"/>
                <w:lang w:eastAsia="es-CO"/>
              </w:rPr>
            </w:pPr>
            <w:r w:rsidRPr="004758CA">
              <w:rPr>
                <w:rFonts w:ascii="Arial" w:eastAsia="Times New Roman" w:hAnsi="Arial" w:cs="Arial"/>
                <w:b/>
                <w:bCs/>
                <w:color w:val="000000"/>
                <w:sz w:val="14"/>
                <w:szCs w:val="14"/>
                <w:lang w:eastAsia="es-CO"/>
              </w:rPr>
              <w:t>5</w:t>
            </w:r>
          </w:p>
        </w:tc>
        <w:tc>
          <w:tcPr>
            <w:tcW w:w="0" w:type="auto"/>
            <w:tcBorders>
              <w:top w:val="nil"/>
              <w:left w:val="nil"/>
              <w:bottom w:val="single" w:sz="4" w:space="0" w:color="auto"/>
              <w:right w:val="single" w:sz="4" w:space="0" w:color="auto"/>
            </w:tcBorders>
            <w:shd w:val="clear" w:color="000000" w:fill="D8E4BC"/>
            <w:noWrap/>
            <w:vAlign w:val="bottom"/>
            <w:hideMark/>
          </w:tcPr>
          <w:p w:rsidR="009F4FDB" w:rsidRPr="004758CA" w:rsidRDefault="009F4FDB" w:rsidP="009F4FDB">
            <w:pPr>
              <w:spacing w:after="0" w:line="240" w:lineRule="auto"/>
              <w:jc w:val="right"/>
              <w:rPr>
                <w:rFonts w:ascii="Arial" w:eastAsia="Times New Roman" w:hAnsi="Arial" w:cs="Arial"/>
                <w:b/>
                <w:bCs/>
                <w:color w:val="000000"/>
                <w:sz w:val="14"/>
                <w:szCs w:val="14"/>
                <w:lang w:eastAsia="es-CO"/>
              </w:rPr>
            </w:pPr>
            <w:r w:rsidRPr="004758CA">
              <w:rPr>
                <w:rFonts w:ascii="Arial" w:eastAsia="Times New Roman" w:hAnsi="Arial" w:cs="Arial"/>
                <w:b/>
                <w:bCs/>
                <w:color w:val="000000"/>
                <w:sz w:val="14"/>
                <w:szCs w:val="14"/>
                <w:lang w:eastAsia="es-CO"/>
              </w:rPr>
              <w:t xml:space="preserve">                               86.059.700 </w:t>
            </w:r>
          </w:p>
        </w:tc>
        <w:tc>
          <w:tcPr>
            <w:tcW w:w="0" w:type="auto"/>
            <w:tcBorders>
              <w:top w:val="nil"/>
              <w:left w:val="nil"/>
              <w:bottom w:val="single" w:sz="4" w:space="0" w:color="auto"/>
              <w:right w:val="single" w:sz="4" w:space="0" w:color="auto"/>
            </w:tcBorders>
            <w:shd w:val="clear" w:color="000000" w:fill="D8E4BC"/>
            <w:noWrap/>
            <w:vAlign w:val="bottom"/>
            <w:hideMark/>
          </w:tcPr>
          <w:p w:rsidR="009F4FDB" w:rsidRPr="004758CA" w:rsidRDefault="009F4FDB" w:rsidP="009F4FDB">
            <w:pPr>
              <w:spacing w:after="0" w:line="240" w:lineRule="auto"/>
              <w:jc w:val="right"/>
              <w:rPr>
                <w:rFonts w:ascii="Arial" w:eastAsia="Times New Roman" w:hAnsi="Arial" w:cs="Arial"/>
                <w:b/>
                <w:bCs/>
                <w:color w:val="000000"/>
                <w:sz w:val="14"/>
                <w:szCs w:val="14"/>
                <w:lang w:eastAsia="es-CO"/>
              </w:rPr>
            </w:pPr>
            <w:r w:rsidRPr="004758CA">
              <w:rPr>
                <w:rFonts w:ascii="Arial" w:eastAsia="Times New Roman" w:hAnsi="Arial" w:cs="Arial"/>
                <w:b/>
                <w:bCs/>
                <w:color w:val="000000"/>
                <w:sz w:val="14"/>
                <w:szCs w:val="14"/>
                <w:lang w:eastAsia="es-CO"/>
              </w:rPr>
              <w:t xml:space="preserve">                                    72.875.493 </w:t>
            </w:r>
          </w:p>
        </w:tc>
        <w:tc>
          <w:tcPr>
            <w:tcW w:w="0" w:type="auto"/>
            <w:tcBorders>
              <w:top w:val="nil"/>
              <w:left w:val="nil"/>
              <w:bottom w:val="single" w:sz="4" w:space="0" w:color="auto"/>
              <w:right w:val="single" w:sz="4" w:space="0" w:color="auto"/>
            </w:tcBorders>
            <w:shd w:val="clear" w:color="000000" w:fill="D8E4BC"/>
            <w:noWrap/>
            <w:vAlign w:val="bottom"/>
            <w:hideMark/>
          </w:tcPr>
          <w:p w:rsidR="009F4FDB" w:rsidRPr="004758CA" w:rsidRDefault="009F4FDB" w:rsidP="009F4FDB">
            <w:pPr>
              <w:spacing w:after="0" w:line="240" w:lineRule="auto"/>
              <w:jc w:val="right"/>
              <w:rPr>
                <w:rFonts w:ascii="Arial" w:eastAsia="Times New Roman" w:hAnsi="Arial" w:cs="Arial"/>
                <w:b/>
                <w:bCs/>
                <w:color w:val="000000"/>
                <w:sz w:val="14"/>
                <w:szCs w:val="14"/>
                <w:lang w:eastAsia="es-CO"/>
              </w:rPr>
            </w:pPr>
            <w:r w:rsidRPr="004758CA">
              <w:rPr>
                <w:rFonts w:ascii="Arial" w:eastAsia="Times New Roman" w:hAnsi="Arial" w:cs="Arial"/>
                <w:b/>
                <w:bCs/>
                <w:color w:val="000000"/>
                <w:sz w:val="14"/>
                <w:szCs w:val="14"/>
                <w:lang w:eastAsia="es-CO"/>
              </w:rPr>
              <w:t>-18</w:t>
            </w:r>
          </w:p>
        </w:tc>
      </w:tr>
      <w:tr w:rsidR="009F4FDB" w:rsidRPr="004758CA" w:rsidTr="009F4FDB">
        <w:trPr>
          <w:trHeight w:val="28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Disponibilidad Final</w:t>
            </w:r>
          </w:p>
        </w:tc>
        <w:tc>
          <w:tcPr>
            <w:tcW w:w="0" w:type="auto"/>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                         38.428.533 </w:t>
            </w:r>
          </w:p>
        </w:tc>
        <w:tc>
          <w:tcPr>
            <w:tcW w:w="0" w:type="auto"/>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                         36.731.561 </w:t>
            </w:r>
          </w:p>
        </w:tc>
        <w:tc>
          <w:tcPr>
            <w:tcW w:w="0" w:type="auto"/>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-5</w:t>
            </w:r>
          </w:p>
        </w:tc>
        <w:tc>
          <w:tcPr>
            <w:tcW w:w="0" w:type="auto"/>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                         61.937.317 </w:t>
            </w:r>
          </w:p>
        </w:tc>
        <w:tc>
          <w:tcPr>
            <w:tcW w:w="0" w:type="auto"/>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                         76.676.748 </w:t>
            </w:r>
          </w:p>
        </w:tc>
        <w:tc>
          <w:tcPr>
            <w:tcW w:w="0" w:type="auto"/>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19</w:t>
            </w:r>
          </w:p>
        </w:tc>
        <w:tc>
          <w:tcPr>
            <w:tcW w:w="0" w:type="auto"/>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                               44.225.015 </w:t>
            </w:r>
          </w:p>
        </w:tc>
        <w:tc>
          <w:tcPr>
            <w:tcW w:w="0" w:type="auto"/>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 xml:space="preserve">                                    44.806.483 </w:t>
            </w:r>
          </w:p>
        </w:tc>
        <w:tc>
          <w:tcPr>
            <w:tcW w:w="0" w:type="auto"/>
            <w:tcBorders>
              <w:top w:val="nil"/>
              <w:left w:val="nil"/>
              <w:bottom w:val="single" w:sz="4" w:space="0" w:color="auto"/>
              <w:right w:val="single" w:sz="4" w:space="0" w:color="auto"/>
            </w:tcBorders>
            <w:shd w:val="clear" w:color="auto" w:fill="auto"/>
            <w:noWrap/>
            <w:vAlign w:val="bottom"/>
            <w:hideMark/>
          </w:tcPr>
          <w:p w:rsidR="009F4FDB" w:rsidRPr="004758CA" w:rsidRDefault="009F4FDB" w:rsidP="009F4FDB">
            <w:pPr>
              <w:spacing w:after="0" w:line="240" w:lineRule="auto"/>
              <w:jc w:val="right"/>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1</w:t>
            </w:r>
          </w:p>
        </w:tc>
      </w:tr>
      <w:tr w:rsidR="009F4FDB" w:rsidRPr="004758CA" w:rsidTr="009F4FDB">
        <w:trPr>
          <w:trHeight w:val="70"/>
        </w:trPr>
        <w:tc>
          <w:tcPr>
            <w:tcW w:w="0" w:type="auto"/>
            <w:gridSpan w:val="10"/>
            <w:tcBorders>
              <w:top w:val="nil"/>
              <w:left w:val="nil"/>
              <w:bottom w:val="nil"/>
              <w:right w:val="nil"/>
            </w:tcBorders>
            <w:shd w:val="clear" w:color="auto" w:fill="auto"/>
            <w:noWrap/>
            <w:vAlign w:val="bottom"/>
            <w:hideMark/>
          </w:tcPr>
          <w:p w:rsidR="009F4FDB" w:rsidRPr="004758CA" w:rsidRDefault="009F4FDB" w:rsidP="009F4FDB">
            <w:pPr>
              <w:spacing w:after="0" w:line="240" w:lineRule="auto"/>
              <w:rPr>
                <w:rFonts w:ascii="Arial" w:eastAsia="Times New Roman" w:hAnsi="Arial" w:cs="Arial"/>
                <w:color w:val="000000"/>
                <w:sz w:val="14"/>
                <w:szCs w:val="14"/>
                <w:lang w:eastAsia="es-CO"/>
              </w:rPr>
            </w:pPr>
            <w:r w:rsidRPr="004758CA">
              <w:rPr>
                <w:rFonts w:ascii="Arial" w:eastAsia="Times New Roman" w:hAnsi="Arial" w:cs="Arial"/>
                <w:color w:val="000000"/>
                <w:sz w:val="14"/>
                <w:szCs w:val="14"/>
                <w:lang w:eastAsia="es-CO"/>
              </w:rPr>
              <w:t>Fuente: SIHO Ministerio de Salud y Protección Social</w:t>
            </w:r>
          </w:p>
        </w:tc>
      </w:tr>
    </w:tbl>
    <w:p w:rsidR="009F4FDB" w:rsidRPr="004758CA" w:rsidRDefault="009F4FDB" w:rsidP="009F4FDB">
      <w:pPr>
        <w:tabs>
          <w:tab w:val="left" w:pos="9072"/>
        </w:tabs>
        <w:autoSpaceDE w:val="0"/>
        <w:autoSpaceDN w:val="0"/>
        <w:adjustRightInd w:val="0"/>
        <w:spacing w:after="0" w:line="240" w:lineRule="auto"/>
        <w:jc w:val="both"/>
        <w:rPr>
          <w:rFonts w:ascii="Arial" w:hAnsi="Arial" w:cs="Arial"/>
        </w:rPr>
      </w:pPr>
    </w:p>
    <w:p w:rsidR="009F4FDB" w:rsidRPr="004758CA" w:rsidRDefault="009F4FDB" w:rsidP="009F4FDB">
      <w:pPr>
        <w:tabs>
          <w:tab w:val="left" w:pos="9072"/>
        </w:tabs>
        <w:autoSpaceDE w:val="0"/>
        <w:autoSpaceDN w:val="0"/>
        <w:adjustRightInd w:val="0"/>
        <w:spacing w:after="0" w:line="240" w:lineRule="auto"/>
        <w:jc w:val="center"/>
        <w:rPr>
          <w:rFonts w:ascii="Arial" w:hAnsi="Arial" w:cs="Arial"/>
          <w:b/>
        </w:rPr>
      </w:pPr>
      <w:r w:rsidRPr="004758CA">
        <w:rPr>
          <w:rFonts w:ascii="Arial" w:hAnsi="Arial" w:cs="Arial"/>
          <w:b/>
        </w:rPr>
        <w:t>PRESUPUESTO DE GASTOS 2011-2012</w:t>
      </w:r>
    </w:p>
    <w:p w:rsidR="009F4FDB" w:rsidRPr="004758CA" w:rsidRDefault="009F4FDB" w:rsidP="009F4FDB">
      <w:pPr>
        <w:spacing w:after="0" w:line="240" w:lineRule="auto"/>
        <w:jc w:val="center"/>
        <w:rPr>
          <w:rFonts w:ascii="Arial" w:hAnsi="Arial" w:cs="Arial"/>
          <w:b/>
          <w:sz w:val="20"/>
        </w:rPr>
      </w:pPr>
      <w:r w:rsidRPr="004758CA">
        <w:rPr>
          <w:noProof/>
          <w:lang w:eastAsia="es-CO"/>
        </w:rPr>
        <w:drawing>
          <wp:inline distT="0" distB="0" distL="0" distR="0" wp14:anchorId="3E26F0CC" wp14:editId="76F0A2C4">
            <wp:extent cx="4114800" cy="2238375"/>
            <wp:effectExtent l="0" t="0" r="0" b="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F4FDB" w:rsidRPr="004758CA" w:rsidRDefault="009F4FDB" w:rsidP="009F4FDB">
      <w:pPr>
        <w:tabs>
          <w:tab w:val="left" w:pos="9072"/>
        </w:tabs>
        <w:autoSpaceDE w:val="0"/>
        <w:autoSpaceDN w:val="0"/>
        <w:adjustRightInd w:val="0"/>
        <w:spacing w:after="0" w:line="240" w:lineRule="auto"/>
        <w:jc w:val="both"/>
        <w:rPr>
          <w:rFonts w:ascii="Arial" w:hAnsi="Arial" w:cs="Arial"/>
        </w:rPr>
      </w:pPr>
      <w:r w:rsidRPr="004758CA">
        <w:rPr>
          <w:rFonts w:ascii="Arial" w:hAnsi="Arial" w:cs="Arial"/>
        </w:rPr>
        <w:t>Los compromisos se incrementaron en un 5% al pasar de $102.056.400 miles de pesos en el 2011 a $107.120.961 miles de pesos en el 2012, siendo los de inversión los que porcentualmente presentaron el mayor descenso equivalente al 59% y las cuentas por pagar el mayor incremento (40%).</w:t>
      </w:r>
    </w:p>
    <w:p w:rsidR="009F4FDB" w:rsidRPr="004758CA" w:rsidRDefault="009F4FDB" w:rsidP="009F4FDB">
      <w:pPr>
        <w:tabs>
          <w:tab w:val="left" w:pos="9072"/>
        </w:tabs>
        <w:autoSpaceDE w:val="0"/>
        <w:autoSpaceDN w:val="0"/>
        <w:adjustRightInd w:val="0"/>
        <w:spacing w:after="0" w:line="240" w:lineRule="auto"/>
        <w:jc w:val="both"/>
        <w:rPr>
          <w:rFonts w:ascii="Arial" w:hAnsi="Arial" w:cs="Arial"/>
        </w:rPr>
      </w:pPr>
    </w:p>
    <w:p w:rsidR="009F4FDB" w:rsidRPr="004758CA" w:rsidRDefault="009F4FDB" w:rsidP="009F4FDB">
      <w:pPr>
        <w:tabs>
          <w:tab w:val="left" w:pos="9072"/>
        </w:tabs>
        <w:autoSpaceDE w:val="0"/>
        <w:autoSpaceDN w:val="0"/>
        <w:adjustRightInd w:val="0"/>
        <w:spacing w:after="0" w:line="240" w:lineRule="auto"/>
        <w:jc w:val="both"/>
        <w:rPr>
          <w:rFonts w:ascii="Arial" w:hAnsi="Arial" w:cs="Arial"/>
        </w:rPr>
      </w:pPr>
      <w:r w:rsidRPr="004758CA">
        <w:rPr>
          <w:rFonts w:ascii="Arial" w:hAnsi="Arial" w:cs="Arial"/>
        </w:rPr>
        <w:t>Los pagos al cierre del año 2012 muestran un crecimiento del 1%, principalmente los relacionados con gastos de funcionamiento que aumentaron un 14%.</w:t>
      </w:r>
    </w:p>
    <w:p w:rsidR="009F4FDB" w:rsidRPr="004758CA" w:rsidRDefault="009F4FDB" w:rsidP="009F4FDB">
      <w:pPr>
        <w:widowControl w:val="0"/>
        <w:autoSpaceDE w:val="0"/>
        <w:autoSpaceDN w:val="0"/>
        <w:adjustRightInd w:val="0"/>
        <w:spacing w:after="0" w:line="240" w:lineRule="auto"/>
        <w:ind w:left="284" w:hanging="284"/>
        <w:jc w:val="both"/>
        <w:rPr>
          <w:rFonts w:ascii="Arial" w:hAnsi="Arial" w:cs="Arial"/>
          <w:b/>
          <w:i/>
          <w:color w:val="000000"/>
        </w:rPr>
      </w:pPr>
    </w:p>
    <w:p w:rsidR="009F4FDB" w:rsidRPr="004758CA" w:rsidRDefault="009F4FDB" w:rsidP="009F4FDB">
      <w:pPr>
        <w:pStyle w:val="Sinespaciado"/>
        <w:ind w:left="708"/>
        <w:jc w:val="both"/>
        <w:rPr>
          <w:rFonts w:ascii="Arial" w:hAnsi="Arial" w:cs="Arial"/>
          <w:b/>
          <w:i/>
          <w:color w:val="000000"/>
        </w:rPr>
      </w:pPr>
      <w:r w:rsidRPr="004758CA">
        <w:rPr>
          <w:rFonts w:ascii="Arial" w:hAnsi="Arial" w:cs="Arial"/>
          <w:b/>
          <w:i/>
          <w:color w:val="000000"/>
        </w:rPr>
        <w:t xml:space="preserve">“6. Uno de los sujetos de la función de inspección, vigilancia y control de la Superintendencia Nacional de salud, son los prestadores de servicio de salud pública, como es el Hospital Universitario de Santander. ¿Qué acciones ha </w:t>
      </w:r>
      <w:r w:rsidRPr="004758CA">
        <w:rPr>
          <w:rFonts w:ascii="Arial" w:hAnsi="Arial" w:cs="Arial"/>
          <w:b/>
          <w:i/>
          <w:color w:val="000000"/>
        </w:rPr>
        <w:lastRenderedPageBreak/>
        <w:t>adelantado la Supersalud en ejercicio de la mencionada función frente a la crisis que afronta el HUS?”</w:t>
      </w:r>
    </w:p>
    <w:p w:rsidR="009F4FDB" w:rsidRPr="004758CA" w:rsidRDefault="009F4FDB" w:rsidP="009F4FDB">
      <w:pPr>
        <w:widowControl w:val="0"/>
        <w:autoSpaceDE w:val="0"/>
        <w:autoSpaceDN w:val="0"/>
        <w:adjustRightInd w:val="0"/>
        <w:spacing w:after="0" w:line="240" w:lineRule="auto"/>
        <w:ind w:left="284" w:hanging="284"/>
        <w:jc w:val="both"/>
        <w:rPr>
          <w:rFonts w:ascii="Arial" w:hAnsi="Arial" w:cs="Arial"/>
          <w:b/>
          <w:i/>
          <w:color w:val="000000"/>
        </w:rPr>
      </w:pPr>
    </w:p>
    <w:p w:rsidR="00647181" w:rsidRDefault="00647181" w:rsidP="009F4FDB">
      <w:pPr>
        <w:autoSpaceDE w:val="0"/>
        <w:autoSpaceDN w:val="0"/>
        <w:adjustRightInd w:val="0"/>
        <w:spacing w:after="0" w:line="240" w:lineRule="auto"/>
        <w:jc w:val="both"/>
        <w:rPr>
          <w:rFonts w:ascii="Arial" w:eastAsia="Calibri" w:hAnsi="Arial" w:cs="Arial"/>
          <w:color w:val="000000"/>
          <w:lang w:eastAsia="es-CO"/>
        </w:rPr>
      </w:pPr>
      <w:r>
        <w:rPr>
          <w:rFonts w:ascii="Arial" w:hAnsi="Arial" w:cs="Arial"/>
          <w:color w:val="000000"/>
        </w:rPr>
        <w:t>Dada la situación conocida por todos los estamentos sobre la crisis que atraviesan muchos de los hospitales públicos del país, la Superintendencia ha realizado requerimiento a las Direcciones Departamentales de Salud, con el fin de que a nivel territorial se adelanten las acciones tendientes a establecer las diferentes situaciones y gestionar los correctivos y acciones de mejora correspondientes. Es así como mediante oficio radicado con número 2-2012-034683 del 25/05/2012 se solicitó a la Secretaría Departamental de Salud de Santander hacer seguimiento y remitir copia de los planes de gestión de los gerentes de las ESE de ese departamento. Mediante oficio número 1-2012-088902, la Secretaría Departamental de Salud de Santander, informa que el HUS cumplió con la presentación del plan de gestión.</w:t>
      </w:r>
    </w:p>
    <w:p w:rsidR="00647181" w:rsidRDefault="00647181" w:rsidP="009F4FDB">
      <w:pPr>
        <w:autoSpaceDE w:val="0"/>
        <w:autoSpaceDN w:val="0"/>
        <w:adjustRightInd w:val="0"/>
        <w:spacing w:after="0" w:line="240" w:lineRule="auto"/>
        <w:jc w:val="both"/>
        <w:rPr>
          <w:rFonts w:ascii="Arial" w:eastAsia="Calibri" w:hAnsi="Arial" w:cs="Arial"/>
          <w:color w:val="000000"/>
          <w:lang w:eastAsia="es-CO"/>
        </w:rPr>
      </w:pPr>
    </w:p>
    <w:p w:rsidR="009F4FDB" w:rsidRPr="004758CA" w:rsidRDefault="00647181" w:rsidP="009F4FDB">
      <w:pPr>
        <w:autoSpaceDE w:val="0"/>
        <w:autoSpaceDN w:val="0"/>
        <w:adjustRightInd w:val="0"/>
        <w:spacing w:after="0" w:line="240" w:lineRule="auto"/>
        <w:jc w:val="both"/>
        <w:rPr>
          <w:rFonts w:ascii="Arial" w:eastAsia="Calibri" w:hAnsi="Arial" w:cs="Arial"/>
          <w:color w:val="000000"/>
          <w:lang w:eastAsia="es-CO"/>
        </w:rPr>
      </w:pPr>
      <w:r>
        <w:rPr>
          <w:rFonts w:ascii="Arial" w:eastAsia="Calibri" w:hAnsi="Arial" w:cs="Arial"/>
          <w:color w:val="000000"/>
          <w:lang w:eastAsia="es-CO"/>
        </w:rPr>
        <w:t>Ahora bien, f</w:t>
      </w:r>
      <w:r w:rsidR="009F4FDB" w:rsidRPr="004758CA">
        <w:rPr>
          <w:rFonts w:ascii="Arial" w:eastAsia="Calibri" w:hAnsi="Arial" w:cs="Arial"/>
          <w:color w:val="000000"/>
          <w:lang w:eastAsia="es-CO"/>
        </w:rPr>
        <w:t xml:space="preserve">rente a las quejas presentadas por las Instituciones Prestadoras de Servicios de Salud, la Superintendencia Nacional de Salud realiza los requerimientos a las EPS, para que den cumplimiento al flujo de recursos, en especial, a la Resolución No. 4361 de 2011 de la Superintendencia </w:t>
      </w:r>
      <w:r w:rsidR="00DB1B5F">
        <w:rPr>
          <w:rFonts w:ascii="Arial" w:eastAsia="Calibri" w:hAnsi="Arial" w:cs="Arial"/>
          <w:color w:val="000000"/>
          <w:lang w:eastAsia="es-CO"/>
        </w:rPr>
        <w:t>Nacional de Salud, que determinó</w:t>
      </w:r>
      <w:r w:rsidR="009F4FDB" w:rsidRPr="004758CA">
        <w:rPr>
          <w:rFonts w:ascii="Arial" w:eastAsia="Calibri" w:hAnsi="Arial" w:cs="Arial"/>
          <w:color w:val="000000"/>
          <w:lang w:eastAsia="es-CO"/>
        </w:rPr>
        <w:t xml:space="preserve"> la obligación de realizar la depuración y conciliación de la cartera con corte a 31 de diciembre de 2011 y </w:t>
      </w:r>
      <w:r w:rsidR="00DB1B5F">
        <w:rPr>
          <w:rFonts w:ascii="Arial" w:eastAsia="Calibri" w:hAnsi="Arial" w:cs="Arial"/>
          <w:color w:val="000000"/>
          <w:lang w:eastAsia="es-CO"/>
        </w:rPr>
        <w:t xml:space="preserve">luego </w:t>
      </w:r>
      <w:r w:rsidR="009F4FDB" w:rsidRPr="004758CA">
        <w:rPr>
          <w:rFonts w:ascii="Arial" w:eastAsia="Calibri" w:hAnsi="Arial" w:cs="Arial"/>
          <w:color w:val="000000"/>
          <w:lang w:eastAsia="es-CO"/>
        </w:rPr>
        <w:t>de manera permanente.</w:t>
      </w:r>
    </w:p>
    <w:p w:rsidR="009F4FDB" w:rsidRPr="004758CA" w:rsidRDefault="009F4FDB" w:rsidP="009F4FDB">
      <w:pPr>
        <w:autoSpaceDE w:val="0"/>
        <w:autoSpaceDN w:val="0"/>
        <w:adjustRightInd w:val="0"/>
        <w:spacing w:after="0" w:line="240" w:lineRule="auto"/>
        <w:jc w:val="both"/>
        <w:rPr>
          <w:rFonts w:ascii="Arial" w:eastAsia="Calibri" w:hAnsi="Arial" w:cs="Arial"/>
          <w:color w:val="000000"/>
          <w:lang w:eastAsia="es-CO"/>
        </w:rPr>
      </w:pPr>
    </w:p>
    <w:p w:rsidR="009F4FDB" w:rsidRPr="004758CA" w:rsidRDefault="009F4FDB" w:rsidP="009F4FDB">
      <w:pPr>
        <w:autoSpaceDE w:val="0"/>
        <w:autoSpaceDN w:val="0"/>
        <w:adjustRightInd w:val="0"/>
        <w:spacing w:after="0" w:line="240" w:lineRule="auto"/>
        <w:jc w:val="both"/>
        <w:rPr>
          <w:rFonts w:ascii="Arial" w:eastAsia="Calibri" w:hAnsi="Arial" w:cs="Arial"/>
          <w:color w:val="000000"/>
          <w:lang w:eastAsia="es-CO"/>
        </w:rPr>
      </w:pPr>
      <w:r w:rsidRPr="004758CA">
        <w:rPr>
          <w:rFonts w:ascii="Arial" w:eastAsia="Calibri" w:hAnsi="Arial" w:cs="Arial"/>
          <w:color w:val="000000"/>
          <w:lang w:eastAsia="es-CO"/>
        </w:rPr>
        <w:t xml:space="preserve">Las respuestas presentadas por las EPS son enviadas a las Instituciones Prestadoras de Servicios de Salud peticionarias, para que con base en la Resolución No. 421 de 2011 de la Contaduría General de la República y No. 4362 de 2011 de la Superintendencia Nacional de Salud realicen el análisis de la cartera con el fin de presentar saldos reales y estados financieros razonables. Cabe anotar que las IPS, de acuerdo con las normas mencionadas debieron realizar la depuración y ajustes a la información financiera con corte a 31 de diciembre de 2011 y hacerlo de manera permanente en cumplimiento de los principios contables. </w:t>
      </w:r>
    </w:p>
    <w:p w:rsidR="009F4FDB" w:rsidRPr="004758CA" w:rsidRDefault="009F4FDB" w:rsidP="009F4FDB">
      <w:pPr>
        <w:autoSpaceDE w:val="0"/>
        <w:autoSpaceDN w:val="0"/>
        <w:adjustRightInd w:val="0"/>
        <w:spacing w:after="0" w:line="240" w:lineRule="auto"/>
        <w:jc w:val="both"/>
        <w:rPr>
          <w:rFonts w:ascii="Arial" w:eastAsia="Calibri" w:hAnsi="Arial" w:cs="Arial"/>
          <w:color w:val="000000"/>
          <w:lang w:eastAsia="es-CO"/>
        </w:rPr>
      </w:pPr>
    </w:p>
    <w:p w:rsidR="009F4FDB" w:rsidRDefault="009F4FDB" w:rsidP="009F4FDB">
      <w:pPr>
        <w:widowControl w:val="0"/>
        <w:autoSpaceDE w:val="0"/>
        <w:autoSpaceDN w:val="0"/>
        <w:adjustRightInd w:val="0"/>
        <w:spacing w:after="0" w:line="240" w:lineRule="auto"/>
        <w:jc w:val="both"/>
        <w:rPr>
          <w:rFonts w:ascii="Arial" w:eastAsia="Calibri" w:hAnsi="Arial" w:cs="Arial"/>
          <w:color w:val="000000"/>
          <w:lang w:eastAsia="es-CO"/>
        </w:rPr>
      </w:pPr>
      <w:r w:rsidRPr="004758CA">
        <w:rPr>
          <w:rFonts w:ascii="Arial" w:eastAsia="Calibri" w:hAnsi="Arial" w:cs="Arial"/>
          <w:color w:val="000000"/>
          <w:lang w:eastAsia="es-CO"/>
        </w:rPr>
        <w:t>La Superintendencia Nacional de Salud realiza seguimiento trimestral, lo cual se articula con la evaluación de cumplimiento de</w:t>
      </w:r>
      <w:r>
        <w:rPr>
          <w:rFonts w:ascii="Arial" w:eastAsia="Calibri" w:hAnsi="Arial" w:cs="Arial"/>
          <w:color w:val="000000"/>
          <w:lang w:eastAsia="es-CO"/>
        </w:rPr>
        <w:t xml:space="preserve"> los indicadores de permanencia y financieros</w:t>
      </w:r>
      <w:r w:rsidR="00DB1B5F">
        <w:rPr>
          <w:rFonts w:ascii="Arial" w:eastAsia="Calibri" w:hAnsi="Arial" w:cs="Arial"/>
          <w:color w:val="000000"/>
          <w:lang w:eastAsia="es-CO"/>
        </w:rPr>
        <w:t xml:space="preserve">, </w:t>
      </w:r>
      <w:r w:rsidRPr="004758CA">
        <w:rPr>
          <w:rFonts w:ascii="Arial" w:eastAsia="Calibri" w:hAnsi="Arial" w:cs="Arial"/>
          <w:color w:val="000000"/>
          <w:lang w:eastAsia="es-CO"/>
        </w:rPr>
        <w:t xml:space="preserve"> en especial con el cumplimiento del Margen de Solvencia, que se relaciona directamente con la capacidad de pago que tienen las EPS, para garantizar el cumplimiento de las obligaciones asumidas por la EPS, dentro de los plazos establecidos por la norma</w:t>
      </w:r>
      <w:r w:rsidR="00DB1B5F">
        <w:rPr>
          <w:rFonts w:ascii="Arial" w:eastAsia="Calibri" w:hAnsi="Arial" w:cs="Arial"/>
          <w:color w:val="000000"/>
          <w:lang w:eastAsia="es-CO"/>
        </w:rPr>
        <w:t xml:space="preserve">. Este proceso </w:t>
      </w:r>
      <w:r w:rsidRPr="004758CA">
        <w:rPr>
          <w:rFonts w:ascii="Arial" w:eastAsia="Calibri" w:hAnsi="Arial" w:cs="Arial"/>
          <w:color w:val="000000"/>
          <w:lang w:eastAsia="es-CO"/>
        </w:rPr>
        <w:t xml:space="preserve">ha soportado las actuaciones administrativas </w:t>
      </w:r>
      <w:r w:rsidR="00DE719C">
        <w:rPr>
          <w:rFonts w:ascii="Arial" w:eastAsia="Calibri" w:hAnsi="Arial" w:cs="Arial"/>
          <w:color w:val="000000"/>
          <w:lang w:eastAsia="es-CO"/>
        </w:rPr>
        <w:t xml:space="preserve">relacionadas a continuación </w:t>
      </w:r>
      <w:r w:rsidR="00E46565">
        <w:rPr>
          <w:rFonts w:ascii="Arial" w:eastAsia="Calibri" w:hAnsi="Arial" w:cs="Arial"/>
          <w:color w:val="000000"/>
          <w:lang w:eastAsia="es-CO"/>
        </w:rPr>
        <w:t xml:space="preserve">por inadecuado flujo de recursos </w:t>
      </w:r>
      <w:r w:rsidR="00DE719C">
        <w:rPr>
          <w:rFonts w:ascii="Arial" w:eastAsia="Calibri" w:hAnsi="Arial" w:cs="Arial"/>
          <w:color w:val="000000"/>
          <w:lang w:eastAsia="es-CO"/>
        </w:rPr>
        <w:t>al Hospital Universitario de Santander</w:t>
      </w:r>
      <w:r w:rsidR="00DB1B5F">
        <w:rPr>
          <w:rFonts w:ascii="Arial" w:eastAsia="Calibri" w:hAnsi="Arial" w:cs="Arial"/>
          <w:color w:val="000000"/>
          <w:lang w:eastAsia="es-CO"/>
        </w:rPr>
        <w:t>:</w:t>
      </w:r>
    </w:p>
    <w:p w:rsidR="00DB1B5F" w:rsidRDefault="00DB1B5F" w:rsidP="009F4FDB">
      <w:pPr>
        <w:widowControl w:val="0"/>
        <w:autoSpaceDE w:val="0"/>
        <w:autoSpaceDN w:val="0"/>
        <w:adjustRightInd w:val="0"/>
        <w:spacing w:after="0" w:line="240" w:lineRule="auto"/>
        <w:jc w:val="both"/>
        <w:rPr>
          <w:rFonts w:ascii="Arial" w:eastAsia="Calibri" w:hAnsi="Arial" w:cs="Arial"/>
          <w:color w:val="000000"/>
          <w:lang w:eastAsia="es-CO"/>
        </w:rPr>
      </w:pPr>
    </w:p>
    <w:tbl>
      <w:tblPr>
        <w:tblW w:w="9371" w:type="dxa"/>
        <w:tblInd w:w="55" w:type="dxa"/>
        <w:tblCellMar>
          <w:left w:w="70" w:type="dxa"/>
          <w:right w:w="70" w:type="dxa"/>
        </w:tblCellMar>
        <w:tblLook w:val="04A0" w:firstRow="1" w:lastRow="0" w:firstColumn="1" w:lastColumn="0" w:noHBand="0" w:noVBand="1"/>
      </w:tblPr>
      <w:tblGrid>
        <w:gridCol w:w="1063"/>
        <w:gridCol w:w="6749"/>
        <w:gridCol w:w="1559"/>
      </w:tblGrid>
      <w:tr w:rsidR="00DB1B5F" w:rsidRPr="00DB1B5F" w:rsidTr="00AF7A4B">
        <w:trPr>
          <w:trHeight w:val="20"/>
          <w:tblHeader/>
        </w:trPr>
        <w:tc>
          <w:tcPr>
            <w:tcW w:w="1063" w:type="dxa"/>
            <w:tcBorders>
              <w:top w:val="single" w:sz="4" w:space="0" w:color="auto"/>
              <w:left w:val="single" w:sz="4" w:space="0" w:color="auto"/>
              <w:bottom w:val="single" w:sz="4" w:space="0" w:color="auto"/>
              <w:right w:val="single" w:sz="4" w:space="0" w:color="auto"/>
            </w:tcBorders>
            <w:shd w:val="clear" w:color="000000" w:fill="D8E4BC"/>
            <w:vAlign w:val="center"/>
            <w:hideMark/>
          </w:tcPr>
          <w:p w:rsidR="00DB1B5F" w:rsidRPr="00DB1B5F" w:rsidRDefault="00DB1B5F" w:rsidP="00DB1B5F">
            <w:pPr>
              <w:spacing w:after="0" w:line="240" w:lineRule="auto"/>
              <w:jc w:val="center"/>
              <w:rPr>
                <w:rFonts w:ascii="Arial" w:eastAsia="Times New Roman" w:hAnsi="Arial" w:cs="Arial"/>
                <w:b/>
                <w:bCs/>
                <w:color w:val="000000"/>
                <w:sz w:val="20"/>
                <w:szCs w:val="20"/>
                <w:lang w:eastAsia="es-CO"/>
              </w:rPr>
            </w:pPr>
            <w:r w:rsidRPr="00DB1B5F">
              <w:rPr>
                <w:rFonts w:ascii="Arial" w:eastAsia="Times New Roman" w:hAnsi="Arial" w:cs="Arial"/>
                <w:b/>
                <w:bCs/>
                <w:color w:val="000000"/>
                <w:sz w:val="20"/>
                <w:szCs w:val="20"/>
                <w:lang w:eastAsia="es-CO"/>
              </w:rPr>
              <w:t>AÑO SANCIÓN</w:t>
            </w:r>
          </w:p>
        </w:tc>
        <w:tc>
          <w:tcPr>
            <w:tcW w:w="6749" w:type="dxa"/>
            <w:tcBorders>
              <w:top w:val="single" w:sz="4" w:space="0" w:color="auto"/>
              <w:left w:val="nil"/>
              <w:bottom w:val="single" w:sz="4" w:space="0" w:color="auto"/>
              <w:right w:val="single" w:sz="4" w:space="0" w:color="auto"/>
            </w:tcBorders>
            <w:shd w:val="clear" w:color="000000" w:fill="D8E4BC"/>
            <w:vAlign w:val="center"/>
            <w:hideMark/>
          </w:tcPr>
          <w:p w:rsidR="00DB1B5F" w:rsidRPr="00DB1B5F" w:rsidRDefault="00DB1B5F" w:rsidP="00DB1B5F">
            <w:pPr>
              <w:spacing w:after="0" w:line="240" w:lineRule="auto"/>
              <w:jc w:val="center"/>
              <w:rPr>
                <w:rFonts w:ascii="Arial" w:eastAsia="Times New Roman" w:hAnsi="Arial" w:cs="Arial"/>
                <w:b/>
                <w:bCs/>
                <w:color w:val="000000"/>
                <w:sz w:val="20"/>
                <w:szCs w:val="20"/>
                <w:lang w:eastAsia="es-CO"/>
              </w:rPr>
            </w:pPr>
            <w:r w:rsidRPr="00DB1B5F">
              <w:rPr>
                <w:rFonts w:ascii="Arial" w:eastAsia="Times New Roman" w:hAnsi="Arial" w:cs="Arial"/>
                <w:b/>
                <w:bCs/>
                <w:color w:val="000000"/>
                <w:sz w:val="20"/>
                <w:szCs w:val="20"/>
                <w:lang w:eastAsia="es-CO"/>
              </w:rPr>
              <w:t>NOMBRE ENTIDAD SANCIONADA</w:t>
            </w:r>
          </w:p>
        </w:tc>
        <w:tc>
          <w:tcPr>
            <w:tcW w:w="1559" w:type="dxa"/>
            <w:tcBorders>
              <w:top w:val="single" w:sz="4" w:space="0" w:color="auto"/>
              <w:left w:val="nil"/>
              <w:bottom w:val="single" w:sz="4" w:space="0" w:color="auto"/>
              <w:right w:val="single" w:sz="4" w:space="0" w:color="auto"/>
            </w:tcBorders>
            <w:shd w:val="clear" w:color="000000" w:fill="D8E4BC"/>
            <w:vAlign w:val="center"/>
            <w:hideMark/>
          </w:tcPr>
          <w:p w:rsidR="00DB1B5F" w:rsidRPr="00DB1B5F" w:rsidRDefault="00DB1B5F" w:rsidP="00DB1B5F">
            <w:pPr>
              <w:spacing w:after="0" w:line="240" w:lineRule="auto"/>
              <w:jc w:val="center"/>
              <w:rPr>
                <w:rFonts w:ascii="Arial" w:eastAsia="Times New Roman" w:hAnsi="Arial" w:cs="Arial"/>
                <w:b/>
                <w:bCs/>
                <w:color w:val="000000"/>
                <w:sz w:val="20"/>
                <w:szCs w:val="20"/>
                <w:lang w:eastAsia="es-CO"/>
              </w:rPr>
            </w:pPr>
            <w:r w:rsidRPr="00DB1B5F">
              <w:rPr>
                <w:rFonts w:ascii="Arial" w:eastAsia="Times New Roman" w:hAnsi="Arial" w:cs="Arial"/>
                <w:b/>
                <w:bCs/>
                <w:color w:val="000000"/>
                <w:sz w:val="20"/>
                <w:szCs w:val="20"/>
                <w:lang w:eastAsia="es-CO"/>
              </w:rPr>
              <w:t>CANTIDAD DE SANCIONES</w:t>
            </w:r>
          </w:p>
        </w:tc>
      </w:tr>
      <w:tr w:rsidR="00DB1B5F" w:rsidRPr="00DB1B5F" w:rsidTr="00DB1B5F">
        <w:trPr>
          <w:trHeight w:val="20"/>
        </w:trPr>
        <w:tc>
          <w:tcPr>
            <w:tcW w:w="1063" w:type="dxa"/>
            <w:tcBorders>
              <w:top w:val="nil"/>
              <w:left w:val="single" w:sz="4" w:space="0" w:color="auto"/>
              <w:bottom w:val="single" w:sz="4" w:space="0" w:color="auto"/>
              <w:right w:val="single" w:sz="4" w:space="0" w:color="auto"/>
            </w:tcBorders>
            <w:shd w:val="clear" w:color="000000" w:fill="FFFFFF"/>
            <w:vAlign w:val="center"/>
            <w:hideMark/>
          </w:tcPr>
          <w:p w:rsidR="00DB1B5F" w:rsidRPr="00DB1B5F" w:rsidRDefault="00DB1B5F" w:rsidP="00DB1B5F">
            <w:pPr>
              <w:spacing w:after="0" w:line="240" w:lineRule="auto"/>
              <w:jc w:val="center"/>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t>2009</w:t>
            </w:r>
          </w:p>
        </w:tc>
        <w:tc>
          <w:tcPr>
            <w:tcW w:w="6749" w:type="dxa"/>
            <w:tcBorders>
              <w:top w:val="nil"/>
              <w:left w:val="nil"/>
              <w:bottom w:val="single" w:sz="4" w:space="0" w:color="auto"/>
              <w:right w:val="single" w:sz="4" w:space="0" w:color="auto"/>
            </w:tcBorders>
            <w:shd w:val="clear" w:color="000000" w:fill="FFFFFF"/>
            <w:vAlign w:val="center"/>
            <w:hideMark/>
          </w:tcPr>
          <w:p w:rsidR="00DB1B5F" w:rsidRPr="00DB1B5F" w:rsidRDefault="00AF7A4B" w:rsidP="00AF7A4B">
            <w:pPr>
              <w:spacing w:after="0" w:line="240" w:lineRule="auto"/>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t xml:space="preserve">Empresa Mutual </w:t>
            </w:r>
            <w:r>
              <w:rPr>
                <w:rFonts w:ascii="Arial" w:eastAsia="Times New Roman" w:hAnsi="Arial" w:cs="Arial"/>
                <w:color w:val="000000"/>
                <w:sz w:val="20"/>
                <w:szCs w:val="20"/>
                <w:lang w:eastAsia="es-CO"/>
              </w:rPr>
              <w:t>p</w:t>
            </w:r>
            <w:r w:rsidRPr="00DB1B5F">
              <w:rPr>
                <w:rFonts w:ascii="Arial" w:eastAsia="Times New Roman" w:hAnsi="Arial" w:cs="Arial"/>
                <w:color w:val="000000"/>
                <w:sz w:val="20"/>
                <w:szCs w:val="20"/>
                <w:lang w:eastAsia="es-CO"/>
              </w:rPr>
              <w:t xml:space="preserve">ara </w:t>
            </w:r>
            <w:r>
              <w:rPr>
                <w:rFonts w:ascii="Arial" w:eastAsia="Times New Roman" w:hAnsi="Arial" w:cs="Arial"/>
                <w:color w:val="000000"/>
                <w:sz w:val="20"/>
                <w:szCs w:val="20"/>
                <w:lang w:eastAsia="es-CO"/>
              </w:rPr>
              <w:t>e</w:t>
            </w:r>
            <w:r w:rsidRPr="00DB1B5F">
              <w:rPr>
                <w:rFonts w:ascii="Arial" w:eastAsia="Times New Roman" w:hAnsi="Arial" w:cs="Arial"/>
                <w:color w:val="000000"/>
                <w:sz w:val="20"/>
                <w:szCs w:val="20"/>
                <w:lang w:eastAsia="es-CO"/>
              </w:rPr>
              <w:t xml:space="preserve">l Desarrollo Integral </w:t>
            </w:r>
            <w:r>
              <w:rPr>
                <w:rFonts w:ascii="Arial" w:eastAsia="Times New Roman" w:hAnsi="Arial" w:cs="Arial"/>
                <w:color w:val="000000"/>
                <w:sz w:val="20"/>
                <w:szCs w:val="20"/>
                <w:lang w:eastAsia="es-CO"/>
              </w:rPr>
              <w:t>d</w:t>
            </w:r>
            <w:r w:rsidRPr="00DB1B5F">
              <w:rPr>
                <w:rFonts w:ascii="Arial" w:eastAsia="Times New Roman" w:hAnsi="Arial" w:cs="Arial"/>
                <w:color w:val="000000"/>
                <w:sz w:val="20"/>
                <w:szCs w:val="20"/>
                <w:lang w:eastAsia="es-CO"/>
              </w:rPr>
              <w:t xml:space="preserve">e </w:t>
            </w:r>
            <w:r>
              <w:rPr>
                <w:rFonts w:ascii="Arial" w:eastAsia="Times New Roman" w:hAnsi="Arial" w:cs="Arial"/>
                <w:color w:val="000000"/>
                <w:sz w:val="20"/>
                <w:szCs w:val="20"/>
                <w:lang w:eastAsia="es-CO"/>
              </w:rPr>
              <w:t>l</w:t>
            </w:r>
            <w:r w:rsidRPr="00DB1B5F">
              <w:rPr>
                <w:rFonts w:ascii="Arial" w:eastAsia="Times New Roman" w:hAnsi="Arial" w:cs="Arial"/>
                <w:color w:val="000000"/>
                <w:sz w:val="20"/>
                <w:szCs w:val="20"/>
                <w:lang w:eastAsia="es-CO"/>
              </w:rPr>
              <w:t>a Salud E</w:t>
            </w:r>
            <w:r>
              <w:rPr>
                <w:rFonts w:ascii="Arial" w:eastAsia="Times New Roman" w:hAnsi="Arial" w:cs="Arial"/>
                <w:color w:val="000000"/>
                <w:sz w:val="20"/>
                <w:szCs w:val="20"/>
                <w:lang w:eastAsia="es-CO"/>
              </w:rPr>
              <w:t>SS</w:t>
            </w:r>
            <w:r w:rsidRPr="00DB1B5F">
              <w:rPr>
                <w:rFonts w:ascii="Arial" w:eastAsia="Times New Roman" w:hAnsi="Arial" w:cs="Arial"/>
                <w:color w:val="000000"/>
                <w:sz w:val="20"/>
                <w:szCs w:val="20"/>
                <w:lang w:eastAsia="es-CO"/>
              </w:rPr>
              <w:t xml:space="preserve"> Emdisalud </w:t>
            </w:r>
          </w:p>
        </w:tc>
        <w:tc>
          <w:tcPr>
            <w:tcW w:w="1559" w:type="dxa"/>
            <w:tcBorders>
              <w:top w:val="nil"/>
              <w:left w:val="nil"/>
              <w:bottom w:val="single" w:sz="4" w:space="0" w:color="auto"/>
              <w:right w:val="single" w:sz="4" w:space="0" w:color="auto"/>
            </w:tcBorders>
            <w:shd w:val="clear" w:color="000000" w:fill="FFFFFF"/>
            <w:vAlign w:val="center"/>
            <w:hideMark/>
          </w:tcPr>
          <w:p w:rsidR="00DB1B5F" w:rsidRPr="00DB1B5F" w:rsidRDefault="00DB1B5F" w:rsidP="00DB1B5F">
            <w:pPr>
              <w:spacing w:after="0" w:line="240" w:lineRule="auto"/>
              <w:jc w:val="center"/>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t>3</w:t>
            </w:r>
          </w:p>
        </w:tc>
      </w:tr>
      <w:tr w:rsidR="00DB1B5F" w:rsidRPr="00DB1B5F" w:rsidTr="00DB1B5F">
        <w:trPr>
          <w:trHeight w:val="20"/>
        </w:trPr>
        <w:tc>
          <w:tcPr>
            <w:tcW w:w="1063" w:type="dxa"/>
            <w:tcBorders>
              <w:top w:val="nil"/>
              <w:left w:val="single" w:sz="4" w:space="0" w:color="auto"/>
              <w:bottom w:val="single" w:sz="4" w:space="0" w:color="auto"/>
              <w:right w:val="single" w:sz="4" w:space="0" w:color="auto"/>
            </w:tcBorders>
            <w:shd w:val="clear" w:color="000000" w:fill="FFFFFF"/>
            <w:vAlign w:val="center"/>
            <w:hideMark/>
          </w:tcPr>
          <w:p w:rsidR="00DB1B5F" w:rsidRPr="00DB1B5F" w:rsidRDefault="00DB1B5F" w:rsidP="00DB1B5F">
            <w:pPr>
              <w:spacing w:after="0" w:line="240" w:lineRule="auto"/>
              <w:jc w:val="center"/>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t>2009</w:t>
            </w:r>
          </w:p>
        </w:tc>
        <w:tc>
          <w:tcPr>
            <w:tcW w:w="6749" w:type="dxa"/>
            <w:tcBorders>
              <w:top w:val="nil"/>
              <w:left w:val="nil"/>
              <w:bottom w:val="single" w:sz="4" w:space="0" w:color="auto"/>
              <w:right w:val="single" w:sz="4" w:space="0" w:color="auto"/>
            </w:tcBorders>
            <w:shd w:val="clear" w:color="000000" w:fill="FFFFFF"/>
            <w:vAlign w:val="center"/>
            <w:hideMark/>
          </w:tcPr>
          <w:p w:rsidR="00DB1B5F" w:rsidRPr="00DB1B5F" w:rsidRDefault="00AF7A4B" w:rsidP="00AF7A4B">
            <w:pPr>
              <w:spacing w:after="0" w:line="240" w:lineRule="auto"/>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t xml:space="preserve">Cooperativa </w:t>
            </w:r>
            <w:r>
              <w:rPr>
                <w:rFonts w:ascii="Arial" w:eastAsia="Times New Roman" w:hAnsi="Arial" w:cs="Arial"/>
                <w:color w:val="000000"/>
                <w:sz w:val="20"/>
                <w:szCs w:val="20"/>
                <w:lang w:eastAsia="es-CO"/>
              </w:rPr>
              <w:t>d</w:t>
            </w:r>
            <w:r w:rsidRPr="00DB1B5F">
              <w:rPr>
                <w:rFonts w:ascii="Arial" w:eastAsia="Times New Roman" w:hAnsi="Arial" w:cs="Arial"/>
                <w:color w:val="000000"/>
                <w:sz w:val="20"/>
                <w:szCs w:val="20"/>
                <w:lang w:eastAsia="es-CO"/>
              </w:rPr>
              <w:t xml:space="preserve">e Salud Comunitaria Empresa Solidaria </w:t>
            </w:r>
            <w:r>
              <w:rPr>
                <w:rFonts w:ascii="Arial" w:eastAsia="Times New Roman" w:hAnsi="Arial" w:cs="Arial"/>
                <w:color w:val="000000"/>
                <w:sz w:val="20"/>
                <w:szCs w:val="20"/>
                <w:lang w:eastAsia="es-CO"/>
              </w:rPr>
              <w:t>d</w:t>
            </w:r>
            <w:r w:rsidRPr="00DB1B5F">
              <w:rPr>
                <w:rFonts w:ascii="Arial" w:eastAsia="Times New Roman" w:hAnsi="Arial" w:cs="Arial"/>
                <w:color w:val="000000"/>
                <w:sz w:val="20"/>
                <w:szCs w:val="20"/>
                <w:lang w:eastAsia="es-CO"/>
              </w:rPr>
              <w:t>e Salud Comparta Salud L</w:t>
            </w:r>
            <w:r>
              <w:rPr>
                <w:rFonts w:ascii="Arial" w:eastAsia="Times New Roman" w:hAnsi="Arial" w:cs="Arial"/>
                <w:color w:val="000000"/>
                <w:sz w:val="20"/>
                <w:szCs w:val="20"/>
                <w:lang w:eastAsia="es-CO"/>
              </w:rPr>
              <w:t>TDA</w:t>
            </w:r>
            <w:r w:rsidRPr="00DB1B5F">
              <w:rPr>
                <w:rFonts w:ascii="Arial" w:eastAsia="Times New Roman" w:hAnsi="Arial" w:cs="Arial"/>
                <w:color w:val="000000"/>
                <w:sz w:val="20"/>
                <w:szCs w:val="20"/>
                <w:lang w:eastAsia="es-CO"/>
              </w:rPr>
              <w:t xml:space="preserve"> “E</w:t>
            </w:r>
            <w:r>
              <w:rPr>
                <w:rFonts w:ascii="Arial" w:eastAsia="Times New Roman" w:hAnsi="Arial" w:cs="Arial"/>
                <w:color w:val="000000"/>
                <w:sz w:val="20"/>
                <w:szCs w:val="20"/>
                <w:lang w:eastAsia="es-CO"/>
              </w:rPr>
              <w:t>SS</w:t>
            </w:r>
            <w:r w:rsidRPr="00DB1B5F">
              <w:rPr>
                <w:rFonts w:ascii="Arial" w:eastAsia="Times New Roman" w:hAnsi="Arial" w:cs="Arial"/>
                <w:color w:val="000000"/>
                <w:sz w:val="20"/>
                <w:szCs w:val="20"/>
                <w:lang w:eastAsia="es-CO"/>
              </w:rPr>
              <w:t xml:space="preserve"> Comparta”</w:t>
            </w:r>
            <w:r w:rsidRPr="00DB1B5F">
              <w:rPr>
                <w:rFonts w:ascii="Arial" w:eastAsia="Times New Roman" w:hAnsi="Arial" w:cs="Arial"/>
                <w:b/>
                <w:bCs/>
                <w:color w:val="000000"/>
                <w:sz w:val="20"/>
                <w:szCs w:val="20"/>
                <w:lang w:eastAsia="es-CO"/>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rsidR="00DB1B5F" w:rsidRPr="00DB1B5F" w:rsidRDefault="00DB1B5F" w:rsidP="00DB1B5F">
            <w:pPr>
              <w:spacing w:after="0" w:line="240" w:lineRule="auto"/>
              <w:jc w:val="center"/>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t>1</w:t>
            </w:r>
          </w:p>
        </w:tc>
      </w:tr>
      <w:tr w:rsidR="00DB1B5F" w:rsidRPr="00DB1B5F" w:rsidTr="00DB1B5F">
        <w:trPr>
          <w:trHeight w:val="20"/>
        </w:trPr>
        <w:tc>
          <w:tcPr>
            <w:tcW w:w="1063" w:type="dxa"/>
            <w:tcBorders>
              <w:top w:val="nil"/>
              <w:left w:val="single" w:sz="4" w:space="0" w:color="auto"/>
              <w:bottom w:val="single" w:sz="4" w:space="0" w:color="auto"/>
              <w:right w:val="single" w:sz="4" w:space="0" w:color="auto"/>
            </w:tcBorders>
            <w:shd w:val="clear" w:color="000000" w:fill="FFFFFF"/>
            <w:vAlign w:val="center"/>
            <w:hideMark/>
          </w:tcPr>
          <w:p w:rsidR="00DB1B5F" w:rsidRPr="00DB1B5F" w:rsidRDefault="00DB1B5F" w:rsidP="00DB1B5F">
            <w:pPr>
              <w:spacing w:after="0" w:line="240" w:lineRule="auto"/>
              <w:jc w:val="center"/>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t>2009</w:t>
            </w:r>
          </w:p>
        </w:tc>
        <w:tc>
          <w:tcPr>
            <w:tcW w:w="6749" w:type="dxa"/>
            <w:tcBorders>
              <w:top w:val="nil"/>
              <w:left w:val="nil"/>
              <w:bottom w:val="single" w:sz="4" w:space="0" w:color="auto"/>
              <w:right w:val="single" w:sz="4" w:space="0" w:color="auto"/>
            </w:tcBorders>
            <w:shd w:val="clear" w:color="000000" w:fill="FFFFFF"/>
            <w:vAlign w:val="center"/>
            <w:hideMark/>
          </w:tcPr>
          <w:p w:rsidR="00DB1B5F" w:rsidRPr="00DB1B5F" w:rsidRDefault="00AF7A4B" w:rsidP="00AF7A4B">
            <w:pPr>
              <w:spacing w:after="0" w:line="240" w:lineRule="auto"/>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t xml:space="preserve">Entidad Promotora </w:t>
            </w:r>
            <w:r>
              <w:rPr>
                <w:rFonts w:ascii="Arial" w:eastAsia="Times New Roman" w:hAnsi="Arial" w:cs="Arial"/>
                <w:color w:val="000000"/>
                <w:sz w:val="20"/>
                <w:szCs w:val="20"/>
                <w:lang w:eastAsia="es-CO"/>
              </w:rPr>
              <w:t>d</w:t>
            </w:r>
            <w:r w:rsidRPr="00DB1B5F">
              <w:rPr>
                <w:rFonts w:ascii="Arial" w:eastAsia="Times New Roman" w:hAnsi="Arial" w:cs="Arial"/>
                <w:color w:val="000000"/>
                <w:sz w:val="20"/>
                <w:szCs w:val="20"/>
                <w:lang w:eastAsia="es-CO"/>
              </w:rPr>
              <w:t xml:space="preserve">e Salud Cóndor S. A. Administradora </w:t>
            </w:r>
            <w:r>
              <w:rPr>
                <w:rFonts w:ascii="Arial" w:eastAsia="Times New Roman" w:hAnsi="Arial" w:cs="Arial"/>
                <w:color w:val="000000"/>
                <w:sz w:val="20"/>
                <w:szCs w:val="20"/>
                <w:lang w:eastAsia="es-CO"/>
              </w:rPr>
              <w:t>d</w:t>
            </w:r>
            <w:r w:rsidRPr="00DB1B5F">
              <w:rPr>
                <w:rFonts w:ascii="Arial" w:eastAsia="Times New Roman" w:hAnsi="Arial" w:cs="Arial"/>
                <w:color w:val="000000"/>
                <w:sz w:val="20"/>
                <w:szCs w:val="20"/>
                <w:lang w:eastAsia="es-CO"/>
              </w:rPr>
              <w:t xml:space="preserve">el Régimen Subsidiado    </w:t>
            </w:r>
          </w:p>
        </w:tc>
        <w:tc>
          <w:tcPr>
            <w:tcW w:w="1559" w:type="dxa"/>
            <w:tcBorders>
              <w:top w:val="nil"/>
              <w:left w:val="nil"/>
              <w:bottom w:val="single" w:sz="4" w:space="0" w:color="auto"/>
              <w:right w:val="single" w:sz="4" w:space="0" w:color="auto"/>
            </w:tcBorders>
            <w:shd w:val="clear" w:color="000000" w:fill="FFFFFF"/>
            <w:vAlign w:val="center"/>
            <w:hideMark/>
          </w:tcPr>
          <w:p w:rsidR="00DB1B5F" w:rsidRPr="00DB1B5F" w:rsidRDefault="00DB1B5F" w:rsidP="00DB1B5F">
            <w:pPr>
              <w:spacing w:after="0" w:line="240" w:lineRule="auto"/>
              <w:jc w:val="center"/>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t>1</w:t>
            </w:r>
          </w:p>
        </w:tc>
      </w:tr>
      <w:tr w:rsidR="00DB1B5F" w:rsidRPr="00DB1B5F" w:rsidTr="00DB1B5F">
        <w:trPr>
          <w:trHeight w:val="20"/>
        </w:trPr>
        <w:tc>
          <w:tcPr>
            <w:tcW w:w="1063" w:type="dxa"/>
            <w:tcBorders>
              <w:top w:val="nil"/>
              <w:left w:val="single" w:sz="4" w:space="0" w:color="auto"/>
              <w:bottom w:val="single" w:sz="4" w:space="0" w:color="auto"/>
              <w:right w:val="single" w:sz="4" w:space="0" w:color="auto"/>
            </w:tcBorders>
            <w:shd w:val="clear" w:color="000000" w:fill="FFFFFF"/>
            <w:vAlign w:val="center"/>
            <w:hideMark/>
          </w:tcPr>
          <w:p w:rsidR="00DB1B5F" w:rsidRPr="00DB1B5F" w:rsidRDefault="00DB1B5F" w:rsidP="00DB1B5F">
            <w:pPr>
              <w:spacing w:after="0" w:line="240" w:lineRule="auto"/>
              <w:jc w:val="center"/>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t>2009</w:t>
            </w:r>
          </w:p>
        </w:tc>
        <w:tc>
          <w:tcPr>
            <w:tcW w:w="6749" w:type="dxa"/>
            <w:tcBorders>
              <w:top w:val="nil"/>
              <w:left w:val="nil"/>
              <w:bottom w:val="single" w:sz="4" w:space="0" w:color="auto"/>
              <w:right w:val="single" w:sz="4" w:space="0" w:color="auto"/>
            </w:tcBorders>
            <w:shd w:val="clear" w:color="000000" w:fill="FFFFFF"/>
            <w:vAlign w:val="center"/>
            <w:hideMark/>
          </w:tcPr>
          <w:p w:rsidR="00DB1B5F" w:rsidRPr="00DB1B5F" w:rsidRDefault="00AF7A4B" w:rsidP="00AF7A4B">
            <w:pPr>
              <w:spacing w:after="0" w:line="240" w:lineRule="auto"/>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t xml:space="preserve">Caja </w:t>
            </w:r>
            <w:r>
              <w:rPr>
                <w:rFonts w:ascii="Arial" w:eastAsia="Times New Roman" w:hAnsi="Arial" w:cs="Arial"/>
                <w:color w:val="000000"/>
                <w:sz w:val="20"/>
                <w:szCs w:val="20"/>
                <w:lang w:eastAsia="es-CO"/>
              </w:rPr>
              <w:t>d</w:t>
            </w:r>
            <w:r w:rsidRPr="00DB1B5F">
              <w:rPr>
                <w:rFonts w:ascii="Arial" w:eastAsia="Times New Roman" w:hAnsi="Arial" w:cs="Arial"/>
                <w:color w:val="000000"/>
                <w:sz w:val="20"/>
                <w:szCs w:val="20"/>
                <w:lang w:eastAsia="es-CO"/>
              </w:rPr>
              <w:t xml:space="preserve">e Compensación Familiar </w:t>
            </w:r>
            <w:r>
              <w:rPr>
                <w:rFonts w:ascii="Arial" w:eastAsia="Times New Roman" w:hAnsi="Arial" w:cs="Arial"/>
                <w:color w:val="000000"/>
                <w:sz w:val="20"/>
                <w:szCs w:val="20"/>
                <w:lang w:eastAsia="es-CO"/>
              </w:rPr>
              <w:t>d</w:t>
            </w:r>
            <w:r w:rsidRPr="00DB1B5F">
              <w:rPr>
                <w:rFonts w:ascii="Arial" w:eastAsia="Times New Roman" w:hAnsi="Arial" w:cs="Arial"/>
                <w:color w:val="000000"/>
                <w:sz w:val="20"/>
                <w:szCs w:val="20"/>
                <w:lang w:eastAsia="es-CO"/>
              </w:rPr>
              <w:t xml:space="preserve">el Caquetá - </w:t>
            </w:r>
            <w:proofErr w:type="spellStart"/>
            <w:r w:rsidRPr="00DB1B5F">
              <w:rPr>
                <w:rFonts w:ascii="Arial" w:eastAsia="Times New Roman" w:hAnsi="Arial" w:cs="Arial"/>
                <w:color w:val="000000"/>
                <w:sz w:val="20"/>
                <w:szCs w:val="20"/>
                <w:lang w:eastAsia="es-CO"/>
              </w:rPr>
              <w:t>Comfaca</w:t>
            </w:r>
            <w:proofErr w:type="spellEnd"/>
            <w:r w:rsidRPr="00DB1B5F">
              <w:rPr>
                <w:rFonts w:ascii="Arial" w:eastAsia="Times New Roman" w:hAnsi="Arial" w:cs="Arial"/>
                <w:color w:val="000000"/>
                <w:sz w:val="20"/>
                <w:szCs w:val="20"/>
                <w:lang w:eastAsia="es-CO"/>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rsidR="00DB1B5F" w:rsidRPr="00DB1B5F" w:rsidRDefault="00DB1B5F" w:rsidP="00DB1B5F">
            <w:pPr>
              <w:spacing w:after="0" w:line="240" w:lineRule="auto"/>
              <w:jc w:val="center"/>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t>1</w:t>
            </w:r>
          </w:p>
        </w:tc>
      </w:tr>
      <w:tr w:rsidR="00DB1B5F" w:rsidRPr="00DB1B5F" w:rsidTr="00DB1B5F">
        <w:trPr>
          <w:trHeight w:val="20"/>
        </w:trPr>
        <w:tc>
          <w:tcPr>
            <w:tcW w:w="1063" w:type="dxa"/>
            <w:tcBorders>
              <w:top w:val="nil"/>
              <w:left w:val="single" w:sz="4" w:space="0" w:color="auto"/>
              <w:bottom w:val="single" w:sz="4" w:space="0" w:color="auto"/>
              <w:right w:val="single" w:sz="4" w:space="0" w:color="auto"/>
            </w:tcBorders>
            <w:shd w:val="clear" w:color="000000" w:fill="FFFFFF"/>
            <w:vAlign w:val="center"/>
            <w:hideMark/>
          </w:tcPr>
          <w:p w:rsidR="00DB1B5F" w:rsidRPr="00DB1B5F" w:rsidRDefault="00DB1B5F" w:rsidP="00DB1B5F">
            <w:pPr>
              <w:spacing w:after="0" w:line="240" w:lineRule="auto"/>
              <w:jc w:val="center"/>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t>2009</w:t>
            </w:r>
          </w:p>
        </w:tc>
        <w:tc>
          <w:tcPr>
            <w:tcW w:w="6749" w:type="dxa"/>
            <w:tcBorders>
              <w:top w:val="nil"/>
              <w:left w:val="nil"/>
              <w:bottom w:val="single" w:sz="4" w:space="0" w:color="auto"/>
              <w:right w:val="single" w:sz="4" w:space="0" w:color="auto"/>
            </w:tcBorders>
            <w:shd w:val="clear" w:color="000000" w:fill="FFFFFF"/>
            <w:vAlign w:val="center"/>
            <w:hideMark/>
          </w:tcPr>
          <w:p w:rsidR="00DB1B5F" w:rsidRPr="00DB1B5F" w:rsidRDefault="00AF7A4B" w:rsidP="00AF7A4B">
            <w:pPr>
              <w:spacing w:after="0" w:line="240" w:lineRule="auto"/>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t xml:space="preserve">Fondo </w:t>
            </w:r>
            <w:r>
              <w:rPr>
                <w:rFonts w:ascii="Arial" w:eastAsia="Times New Roman" w:hAnsi="Arial" w:cs="Arial"/>
                <w:color w:val="000000"/>
                <w:sz w:val="20"/>
                <w:szCs w:val="20"/>
                <w:lang w:eastAsia="es-CO"/>
              </w:rPr>
              <w:t>d</w:t>
            </w:r>
            <w:r w:rsidRPr="00DB1B5F">
              <w:rPr>
                <w:rFonts w:ascii="Arial" w:eastAsia="Times New Roman" w:hAnsi="Arial" w:cs="Arial"/>
                <w:color w:val="000000"/>
                <w:sz w:val="20"/>
                <w:szCs w:val="20"/>
                <w:lang w:eastAsia="es-CO"/>
              </w:rPr>
              <w:t xml:space="preserve">e Pasivo Social </w:t>
            </w:r>
            <w:r>
              <w:rPr>
                <w:rFonts w:ascii="Arial" w:eastAsia="Times New Roman" w:hAnsi="Arial" w:cs="Arial"/>
                <w:color w:val="000000"/>
                <w:sz w:val="20"/>
                <w:szCs w:val="20"/>
                <w:lang w:eastAsia="es-CO"/>
              </w:rPr>
              <w:t>d</w:t>
            </w:r>
            <w:r w:rsidRPr="00DB1B5F">
              <w:rPr>
                <w:rFonts w:ascii="Arial" w:eastAsia="Times New Roman" w:hAnsi="Arial" w:cs="Arial"/>
                <w:color w:val="000000"/>
                <w:sz w:val="20"/>
                <w:szCs w:val="20"/>
                <w:lang w:eastAsia="es-CO"/>
              </w:rPr>
              <w:t xml:space="preserve">e Ferrocarriles Nacionales </w:t>
            </w:r>
            <w:r>
              <w:rPr>
                <w:rFonts w:ascii="Arial" w:eastAsia="Times New Roman" w:hAnsi="Arial" w:cs="Arial"/>
                <w:color w:val="000000"/>
                <w:sz w:val="20"/>
                <w:szCs w:val="20"/>
                <w:lang w:eastAsia="es-CO"/>
              </w:rPr>
              <w:t>d</w:t>
            </w:r>
            <w:r w:rsidRPr="00DB1B5F">
              <w:rPr>
                <w:rFonts w:ascii="Arial" w:eastAsia="Times New Roman" w:hAnsi="Arial" w:cs="Arial"/>
                <w:color w:val="000000"/>
                <w:sz w:val="20"/>
                <w:szCs w:val="20"/>
                <w:lang w:eastAsia="es-CO"/>
              </w:rPr>
              <w:t xml:space="preserve">e Colombia  </w:t>
            </w:r>
          </w:p>
        </w:tc>
        <w:tc>
          <w:tcPr>
            <w:tcW w:w="1559" w:type="dxa"/>
            <w:tcBorders>
              <w:top w:val="nil"/>
              <w:left w:val="nil"/>
              <w:bottom w:val="single" w:sz="4" w:space="0" w:color="auto"/>
              <w:right w:val="single" w:sz="4" w:space="0" w:color="auto"/>
            </w:tcBorders>
            <w:shd w:val="clear" w:color="000000" w:fill="FFFFFF"/>
            <w:vAlign w:val="center"/>
            <w:hideMark/>
          </w:tcPr>
          <w:p w:rsidR="00DB1B5F" w:rsidRPr="00DB1B5F" w:rsidRDefault="00DB1B5F" w:rsidP="00DB1B5F">
            <w:pPr>
              <w:spacing w:after="0" w:line="240" w:lineRule="auto"/>
              <w:jc w:val="center"/>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t>1</w:t>
            </w:r>
          </w:p>
        </w:tc>
      </w:tr>
      <w:tr w:rsidR="00DB1B5F" w:rsidRPr="00DB1B5F" w:rsidTr="00DB1B5F">
        <w:trPr>
          <w:trHeight w:val="20"/>
        </w:trPr>
        <w:tc>
          <w:tcPr>
            <w:tcW w:w="1063" w:type="dxa"/>
            <w:tcBorders>
              <w:top w:val="nil"/>
              <w:left w:val="single" w:sz="4" w:space="0" w:color="auto"/>
              <w:bottom w:val="single" w:sz="4" w:space="0" w:color="auto"/>
              <w:right w:val="single" w:sz="4" w:space="0" w:color="auto"/>
            </w:tcBorders>
            <w:shd w:val="clear" w:color="000000" w:fill="FFFFFF"/>
            <w:vAlign w:val="center"/>
            <w:hideMark/>
          </w:tcPr>
          <w:p w:rsidR="00DB1B5F" w:rsidRPr="00DB1B5F" w:rsidRDefault="00DB1B5F" w:rsidP="00DB1B5F">
            <w:pPr>
              <w:spacing w:after="0" w:line="240" w:lineRule="auto"/>
              <w:jc w:val="center"/>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t>2009</w:t>
            </w:r>
          </w:p>
        </w:tc>
        <w:tc>
          <w:tcPr>
            <w:tcW w:w="6749" w:type="dxa"/>
            <w:tcBorders>
              <w:top w:val="nil"/>
              <w:left w:val="nil"/>
              <w:bottom w:val="single" w:sz="4" w:space="0" w:color="auto"/>
              <w:right w:val="single" w:sz="4" w:space="0" w:color="auto"/>
            </w:tcBorders>
            <w:shd w:val="clear" w:color="000000" w:fill="FFFFFF"/>
            <w:vAlign w:val="center"/>
            <w:hideMark/>
          </w:tcPr>
          <w:p w:rsidR="00DB1B5F" w:rsidRPr="00DB1B5F" w:rsidRDefault="00AF7A4B" w:rsidP="00AF7A4B">
            <w:pPr>
              <w:spacing w:after="0" w:line="240"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Caja d</w:t>
            </w:r>
            <w:r w:rsidRPr="00DB1B5F">
              <w:rPr>
                <w:rFonts w:ascii="Arial" w:eastAsia="Times New Roman" w:hAnsi="Arial" w:cs="Arial"/>
                <w:color w:val="000000"/>
                <w:sz w:val="20"/>
                <w:szCs w:val="20"/>
                <w:lang w:eastAsia="es-CO"/>
              </w:rPr>
              <w:t xml:space="preserve">e Compensación Familiar </w:t>
            </w:r>
            <w:r>
              <w:rPr>
                <w:rFonts w:ascii="Arial" w:eastAsia="Times New Roman" w:hAnsi="Arial" w:cs="Arial"/>
                <w:color w:val="000000"/>
                <w:sz w:val="20"/>
                <w:szCs w:val="20"/>
                <w:lang w:eastAsia="es-CO"/>
              </w:rPr>
              <w:t>d</w:t>
            </w:r>
            <w:r w:rsidRPr="00DB1B5F">
              <w:rPr>
                <w:rFonts w:ascii="Arial" w:eastAsia="Times New Roman" w:hAnsi="Arial" w:cs="Arial"/>
                <w:color w:val="000000"/>
                <w:sz w:val="20"/>
                <w:szCs w:val="20"/>
                <w:lang w:eastAsia="es-CO"/>
              </w:rPr>
              <w:t>e Boyacá -</w:t>
            </w:r>
            <w:r>
              <w:rPr>
                <w:rFonts w:ascii="Arial" w:eastAsia="Times New Roman" w:hAnsi="Arial" w:cs="Arial"/>
                <w:color w:val="000000"/>
                <w:sz w:val="20"/>
                <w:szCs w:val="20"/>
                <w:lang w:eastAsia="es-CO"/>
              </w:rPr>
              <w:t xml:space="preserve"> </w:t>
            </w:r>
            <w:proofErr w:type="spellStart"/>
            <w:r w:rsidRPr="00DB1B5F">
              <w:rPr>
                <w:rFonts w:ascii="Arial" w:eastAsia="Times New Roman" w:hAnsi="Arial" w:cs="Arial"/>
                <w:color w:val="000000"/>
                <w:sz w:val="20"/>
                <w:szCs w:val="20"/>
                <w:lang w:eastAsia="es-CO"/>
              </w:rPr>
              <w:t>Comfaboy</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rsidR="00DB1B5F" w:rsidRPr="00DB1B5F" w:rsidRDefault="00DB1B5F" w:rsidP="00DB1B5F">
            <w:pPr>
              <w:spacing w:after="0" w:line="240" w:lineRule="auto"/>
              <w:jc w:val="center"/>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t>1</w:t>
            </w:r>
          </w:p>
        </w:tc>
      </w:tr>
      <w:tr w:rsidR="00DB1B5F" w:rsidRPr="00DB1B5F" w:rsidTr="00DB1B5F">
        <w:trPr>
          <w:trHeight w:val="20"/>
        </w:trPr>
        <w:tc>
          <w:tcPr>
            <w:tcW w:w="1063" w:type="dxa"/>
            <w:tcBorders>
              <w:top w:val="nil"/>
              <w:left w:val="single" w:sz="4" w:space="0" w:color="auto"/>
              <w:bottom w:val="single" w:sz="4" w:space="0" w:color="auto"/>
              <w:right w:val="single" w:sz="4" w:space="0" w:color="auto"/>
            </w:tcBorders>
            <w:shd w:val="clear" w:color="000000" w:fill="FFFFFF"/>
            <w:vAlign w:val="center"/>
            <w:hideMark/>
          </w:tcPr>
          <w:p w:rsidR="00DB1B5F" w:rsidRPr="00DB1B5F" w:rsidRDefault="00DB1B5F" w:rsidP="00DB1B5F">
            <w:pPr>
              <w:spacing w:after="0" w:line="240" w:lineRule="auto"/>
              <w:jc w:val="center"/>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t>2009</w:t>
            </w:r>
          </w:p>
        </w:tc>
        <w:tc>
          <w:tcPr>
            <w:tcW w:w="6749" w:type="dxa"/>
            <w:tcBorders>
              <w:top w:val="nil"/>
              <w:left w:val="nil"/>
              <w:bottom w:val="single" w:sz="4" w:space="0" w:color="auto"/>
              <w:right w:val="single" w:sz="4" w:space="0" w:color="auto"/>
            </w:tcBorders>
            <w:shd w:val="clear" w:color="000000" w:fill="FFFFFF"/>
            <w:vAlign w:val="center"/>
            <w:hideMark/>
          </w:tcPr>
          <w:p w:rsidR="00DB1B5F" w:rsidRPr="00DB1B5F" w:rsidRDefault="00AF7A4B" w:rsidP="00AF7A4B">
            <w:pPr>
              <w:spacing w:after="0" w:line="240" w:lineRule="auto"/>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t xml:space="preserve">Asociación Mutual Barrios Unidos </w:t>
            </w:r>
            <w:r>
              <w:rPr>
                <w:rFonts w:ascii="Arial" w:eastAsia="Times New Roman" w:hAnsi="Arial" w:cs="Arial"/>
                <w:color w:val="000000"/>
                <w:sz w:val="20"/>
                <w:szCs w:val="20"/>
                <w:lang w:eastAsia="es-CO"/>
              </w:rPr>
              <w:t>d</w:t>
            </w:r>
            <w:r w:rsidRPr="00DB1B5F">
              <w:rPr>
                <w:rFonts w:ascii="Arial" w:eastAsia="Times New Roman" w:hAnsi="Arial" w:cs="Arial"/>
                <w:color w:val="000000"/>
                <w:sz w:val="20"/>
                <w:szCs w:val="20"/>
                <w:lang w:eastAsia="es-CO"/>
              </w:rPr>
              <w:t xml:space="preserve">e </w:t>
            </w:r>
            <w:r w:rsidR="003E253B" w:rsidRPr="00DB1B5F">
              <w:rPr>
                <w:rFonts w:ascii="Arial" w:eastAsia="Times New Roman" w:hAnsi="Arial" w:cs="Arial"/>
                <w:color w:val="000000"/>
                <w:sz w:val="20"/>
                <w:szCs w:val="20"/>
                <w:lang w:eastAsia="es-CO"/>
              </w:rPr>
              <w:t>Quibdó</w:t>
            </w:r>
            <w:r w:rsidRPr="00DB1B5F">
              <w:rPr>
                <w:rFonts w:ascii="Arial" w:eastAsia="Times New Roman" w:hAnsi="Arial" w:cs="Arial"/>
                <w:color w:val="000000"/>
                <w:sz w:val="20"/>
                <w:szCs w:val="20"/>
                <w:lang w:eastAsia="es-CO"/>
              </w:rPr>
              <w:t xml:space="preserve"> </w:t>
            </w:r>
            <w:r>
              <w:rPr>
                <w:rFonts w:ascii="Arial" w:eastAsia="Times New Roman" w:hAnsi="Arial" w:cs="Arial"/>
                <w:color w:val="000000"/>
                <w:sz w:val="20"/>
                <w:szCs w:val="20"/>
                <w:lang w:eastAsia="es-CO"/>
              </w:rPr>
              <w:t xml:space="preserve">- </w:t>
            </w:r>
            <w:proofErr w:type="spellStart"/>
            <w:r w:rsidRPr="00DB1B5F">
              <w:rPr>
                <w:rFonts w:ascii="Arial" w:eastAsia="Times New Roman" w:hAnsi="Arial" w:cs="Arial"/>
                <w:color w:val="000000"/>
                <w:sz w:val="20"/>
                <w:szCs w:val="20"/>
                <w:lang w:eastAsia="es-CO"/>
              </w:rPr>
              <w:t>Ambuq</w:t>
            </w:r>
            <w:proofErr w:type="spellEnd"/>
            <w:r w:rsidRPr="00DB1B5F">
              <w:rPr>
                <w:rFonts w:ascii="Arial" w:eastAsia="Times New Roman" w:hAnsi="Arial" w:cs="Arial"/>
                <w:color w:val="000000"/>
                <w:sz w:val="20"/>
                <w:szCs w:val="20"/>
                <w:lang w:eastAsia="es-CO"/>
              </w:rPr>
              <w:t xml:space="preserve"> </w:t>
            </w:r>
            <w:r>
              <w:rPr>
                <w:rFonts w:ascii="Arial" w:eastAsia="Times New Roman" w:hAnsi="Arial" w:cs="Arial"/>
                <w:color w:val="000000"/>
                <w:sz w:val="20"/>
                <w:szCs w:val="20"/>
                <w:lang w:eastAsia="es-CO"/>
              </w:rPr>
              <w:t>ARS</w:t>
            </w:r>
            <w:r w:rsidRPr="00DB1B5F">
              <w:rPr>
                <w:rFonts w:ascii="Arial" w:eastAsia="Times New Roman" w:hAnsi="Arial" w:cs="Arial"/>
                <w:color w:val="000000"/>
                <w:sz w:val="20"/>
                <w:szCs w:val="20"/>
                <w:lang w:eastAsia="es-CO"/>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rsidR="00DB1B5F" w:rsidRPr="00DB1B5F" w:rsidRDefault="00DB1B5F" w:rsidP="00DB1B5F">
            <w:pPr>
              <w:spacing w:after="0" w:line="240" w:lineRule="auto"/>
              <w:jc w:val="center"/>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t>1</w:t>
            </w:r>
          </w:p>
        </w:tc>
      </w:tr>
      <w:tr w:rsidR="00DB1B5F" w:rsidRPr="00DB1B5F" w:rsidTr="00DB1B5F">
        <w:trPr>
          <w:trHeight w:val="20"/>
        </w:trPr>
        <w:tc>
          <w:tcPr>
            <w:tcW w:w="1063" w:type="dxa"/>
            <w:tcBorders>
              <w:top w:val="nil"/>
              <w:left w:val="single" w:sz="4" w:space="0" w:color="auto"/>
              <w:bottom w:val="single" w:sz="4" w:space="0" w:color="auto"/>
              <w:right w:val="single" w:sz="4" w:space="0" w:color="auto"/>
            </w:tcBorders>
            <w:shd w:val="clear" w:color="000000" w:fill="FFFFFF"/>
            <w:vAlign w:val="center"/>
            <w:hideMark/>
          </w:tcPr>
          <w:p w:rsidR="00DB1B5F" w:rsidRPr="00DB1B5F" w:rsidRDefault="00DB1B5F" w:rsidP="00DB1B5F">
            <w:pPr>
              <w:spacing w:after="0" w:line="240" w:lineRule="auto"/>
              <w:jc w:val="center"/>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t>2010</w:t>
            </w:r>
          </w:p>
        </w:tc>
        <w:tc>
          <w:tcPr>
            <w:tcW w:w="6749" w:type="dxa"/>
            <w:tcBorders>
              <w:top w:val="nil"/>
              <w:left w:val="nil"/>
              <w:bottom w:val="single" w:sz="4" w:space="0" w:color="auto"/>
              <w:right w:val="single" w:sz="4" w:space="0" w:color="auto"/>
            </w:tcBorders>
            <w:shd w:val="clear" w:color="000000" w:fill="FFFFFF"/>
            <w:vAlign w:val="center"/>
            <w:hideMark/>
          </w:tcPr>
          <w:p w:rsidR="00DB1B5F" w:rsidRPr="00DB1B5F" w:rsidRDefault="00AF7A4B" w:rsidP="00AF7A4B">
            <w:pPr>
              <w:spacing w:after="0" w:line="240" w:lineRule="auto"/>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t xml:space="preserve">Empresa Mutual </w:t>
            </w:r>
            <w:r>
              <w:rPr>
                <w:rFonts w:ascii="Arial" w:eastAsia="Times New Roman" w:hAnsi="Arial" w:cs="Arial"/>
                <w:color w:val="000000"/>
                <w:sz w:val="20"/>
                <w:szCs w:val="20"/>
                <w:lang w:eastAsia="es-CO"/>
              </w:rPr>
              <w:t>p</w:t>
            </w:r>
            <w:r w:rsidRPr="00DB1B5F">
              <w:rPr>
                <w:rFonts w:ascii="Arial" w:eastAsia="Times New Roman" w:hAnsi="Arial" w:cs="Arial"/>
                <w:color w:val="000000"/>
                <w:sz w:val="20"/>
                <w:szCs w:val="20"/>
                <w:lang w:eastAsia="es-CO"/>
              </w:rPr>
              <w:t xml:space="preserve">ara </w:t>
            </w:r>
            <w:r>
              <w:rPr>
                <w:rFonts w:ascii="Arial" w:eastAsia="Times New Roman" w:hAnsi="Arial" w:cs="Arial"/>
                <w:color w:val="000000"/>
                <w:sz w:val="20"/>
                <w:szCs w:val="20"/>
                <w:lang w:eastAsia="es-CO"/>
              </w:rPr>
              <w:t>e</w:t>
            </w:r>
            <w:r w:rsidRPr="00DB1B5F">
              <w:rPr>
                <w:rFonts w:ascii="Arial" w:eastAsia="Times New Roman" w:hAnsi="Arial" w:cs="Arial"/>
                <w:color w:val="000000"/>
                <w:sz w:val="20"/>
                <w:szCs w:val="20"/>
                <w:lang w:eastAsia="es-CO"/>
              </w:rPr>
              <w:t xml:space="preserve">l Desarrollo Integral </w:t>
            </w:r>
            <w:r>
              <w:rPr>
                <w:rFonts w:ascii="Arial" w:eastAsia="Times New Roman" w:hAnsi="Arial" w:cs="Arial"/>
                <w:color w:val="000000"/>
                <w:sz w:val="20"/>
                <w:szCs w:val="20"/>
                <w:lang w:eastAsia="es-CO"/>
              </w:rPr>
              <w:t>d</w:t>
            </w:r>
            <w:r w:rsidRPr="00DB1B5F">
              <w:rPr>
                <w:rFonts w:ascii="Arial" w:eastAsia="Times New Roman" w:hAnsi="Arial" w:cs="Arial"/>
                <w:color w:val="000000"/>
                <w:sz w:val="20"/>
                <w:szCs w:val="20"/>
                <w:lang w:eastAsia="es-CO"/>
              </w:rPr>
              <w:t xml:space="preserve">e </w:t>
            </w:r>
            <w:r>
              <w:rPr>
                <w:rFonts w:ascii="Arial" w:eastAsia="Times New Roman" w:hAnsi="Arial" w:cs="Arial"/>
                <w:color w:val="000000"/>
                <w:sz w:val="20"/>
                <w:szCs w:val="20"/>
                <w:lang w:eastAsia="es-CO"/>
              </w:rPr>
              <w:t>l</w:t>
            </w:r>
            <w:r w:rsidRPr="00DB1B5F">
              <w:rPr>
                <w:rFonts w:ascii="Arial" w:eastAsia="Times New Roman" w:hAnsi="Arial" w:cs="Arial"/>
                <w:color w:val="000000"/>
                <w:sz w:val="20"/>
                <w:szCs w:val="20"/>
                <w:lang w:eastAsia="es-CO"/>
              </w:rPr>
              <w:t>a Salud E</w:t>
            </w:r>
            <w:r>
              <w:rPr>
                <w:rFonts w:ascii="Arial" w:eastAsia="Times New Roman" w:hAnsi="Arial" w:cs="Arial"/>
                <w:color w:val="000000"/>
                <w:sz w:val="20"/>
                <w:szCs w:val="20"/>
                <w:lang w:eastAsia="es-CO"/>
              </w:rPr>
              <w:t>SS</w:t>
            </w:r>
            <w:r w:rsidRPr="00DB1B5F">
              <w:rPr>
                <w:rFonts w:ascii="Arial" w:eastAsia="Times New Roman" w:hAnsi="Arial" w:cs="Arial"/>
                <w:color w:val="000000"/>
                <w:sz w:val="20"/>
                <w:szCs w:val="20"/>
                <w:lang w:eastAsia="es-CO"/>
              </w:rPr>
              <w:t xml:space="preserve"> Emdisalud </w:t>
            </w:r>
          </w:p>
        </w:tc>
        <w:tc>
          <w:tcPr>
            <w:tcW w:w="1559" w:type="dxa"/>
            <w:tcBorders>
              <w:top w:val="nil"/>
              <w:left w:val="nil"/>
              <w:bottom w:val="single" w:sz="4" w:space="0" w:color="auto"/>
              <w:right w:val="single" w:sz="4" w:space="0" w:color="auto"/>
            </w:tcBorders>
            <w:shd w:val="clear" w:color="000000" w:fill="FFFFFF"/>
            <w:vAlign w:val="center"/>
            <w:hideMark/>
          </w:tcPr>
          <w:p w:rsidR="00DB1B5F" w:rsidRPr="00DB1B5F" w:rsidRDefault="00DB1B5F" w:rsidP="00DB1B5F">
            <w:pPr>
              <w:spacing w:after="0" w:line="240" w:lineRule="auto"/>
              <w:jc w:val="center"/>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t>1</w:t>
            </w:r>
          </w:p>
        </w:tc>
      </w:tr>
      <w:tr w:rsidR="00DB1B5F" w:rsidRPr="00DB1B5F" w:rsidTr="00DB1B5F">
        <w:trPr>
          <w:trHeight w:val="20"/>
        </w:trPr>
        <w:tc>
          <w:tcPr>
            <w:tcW w:w="1063" w:type="dxa"/>
            <w:tcBorders>
              <w:top w:val="nil"/>
              <w:left w:val="single" w:sz="4" w:space="0" w:color="auto"/>
              <w:bottom w:val="single" w:sz="4" w:space="0" w:color="auto"/>
              <w:right w:val="single" w:sz="4" w:space="0" w:color="auto"/>
            </w:tcBorders>
            <w:shd w:val="clear" w:color="000000" w:fill="FFFFFF"/>
            <w:vAlign w:val="center"/>
            <w:hideMark/>
          </w:tcPr>
          <w:p w:rsidR="00DB1B5F" w:rsidRPr="00DB1B5F" w:rsidRDefault="00DB1B5F" w:rsidP="00DB1B5F">
            <w:pPr>
              <w:spacing w:after="0" w:line="240" w:lineRule="auto"/>
              <w:jc w:val="center"/>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t>2010</w:t>
            </w:r>
          </w:p>
        </w:tc>
        <w:tc>
          <w:tcPr>
            <w:tcW w:w="6749" w:type="dxa"/>
            <w:tcBorders>
              <w:top w:val="nil"/>
              <w:left w:val="nil"/>
              <w:bottom w:val="single" w:sz="4" w:space="0" w:color="auto"/>
              <w:right w:val="single" w:sz="4" w:space="0" w:color="auto"/>
            </w:tcBorders>
            <w:shd w:val="clear" w:color="000000" w:fill="FFFFFF"/>
            <w:vAlign w:val="center"/>
            <w:hideMark/>
          </w:tcPr>
          <w:p w:rsidR="00DB1B5F" w:rsidRPr="00DB1B5F" w:rsidRDefault="00AF7A4B" w:rsidP="00AF7A4B">
            <w:pPr>
              <w:spacing w:after="0" w:line="240" w:lineRule="auto"/>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t xml:space="preserve">Cooperativa </w:t>
            </w:r>
            <w:r>
              <w:rPr>
                <w:rFonts w:ascii="Arial" w:eastAsia="Times New Roman" w:hAnsi="Arial" w:cs="Arial"/>
                <w:color w:val="000000"/>
                <w:sz w:val="20"/>
                <w:szCs w:val="20"/>
                <w:lang w:eastAsia="es-CO"/>
              </w:rPr>
              <w:t>d</w:t>
            </w:r>
            <w:r w:rsidRPr="00DB1B5F">
              <w:rPr>
                <w:rFonts w:ascii="Arial" w:eastAsia="Times New Roman" w:hAnsi="Arial" w:cs="Arial"/>
                <w:color w:val="000000"/>
                <w:sz w:val="20"/>
                <w:szCs w:val="20"/>
                <w:lang w:eastAsia="es-CO"/>
              </w:rPr>
              <w:t xml:space="preserve">e Salud Comunitaria Empresa Solidaria </w:t>
            </w:r>
            <w:r>
              <w:rPr>
                <w:rFonts w:ascii="Arial" w:eastAsia="Times New Roman" w:hAnsi="Arial" w:cs="Arial"/>
                <w:color w:val="000000"/>
                <w:sz w:val="20"/>
                <w:szCs w:val="20"/>
                <w:lang w:eastAsia="es-CO"/>
              </w:rPr>
              <w:t>d</w:t>
            </w:r>
            <w:r w:rsidRPr="00DB1B5F">
              <w:rPr>
                <w:rFonts w:ascii="Arial" w:eastAsia="Times New Roman" w:hAnsi="Arial" w:cs="Arial"/>
                <w:color w:val="000000"/>
                <w:sz w:val="20"/>
                <w:szCs w:val="20"/>
                <w:lang w:eastAsia="es-CO"/>
              </w:rPr>
              <w:t xml:space="preserve">e Salud Comparta </w:t>
            </w:r>
            <w:r w:rsidRPr="00DB1B5F">
              <w:rPr>
                <w:rFonts w:ascii="Arial" w:eastAsia="Times New Roman" w:hAnsi="Arial" w:cs="Arial"/>
                <w:color w:val="000000"/>
                <w:sz w:val="20"/>
                <w:szCs w:val="20"/>
                <w:lang w:eastAsia="es-CO"/>
              </w:rPr>
              <w:lastRenderedPageBreak/>
              <w:t>Salud L</w:t>
            </w:r>
            <w:r>
              <w:rPr>
                <w:rFonts w:ascii="Arial" w:eastAsia="Times New Roman" w:hAnsi="Arial" w:cs="Arial"/>
                <w:color w:val="000000"/>
                <w:sz w:val="20"/>
                <w:szCs w:val="20"/>
                <w:lang w:eastAsia="es-CO"/>
              </w:rPr>
              <w:t>TDA</w:t>
            </w:r>
            <w:r w:rsidRPr="00DB1B5F">
              <w:rPr>
                <w:rFonts w:ascii="Arial" w:eastAsia="Times New Roman" w:hAnsi="Arial" w:cs="Arial"/>
                <w:color w:val="000000"/>
                <w:sz w:val="20"/>
                <w:szCs w:val="20"/>
                <w:lang w:eastAsia="es-CO"/>
              </w:rPr>
              <w:t xml:space="preserve"> “E</w:t>
            </w:r>
            <w:r>
              <w:rPr>
                <w:rFonts w:ascii="Arial" w:eastAsia="Times New Roman" w:hAnsi="Arial" w:cs="Arial"/>
                <w:color w:val="000000"/>
                <w:sz w:val="20"/>
                <w:szCs w:val="20"/>
                <w:lang w:eastAsia="es-CO"/>
              </w:rPr>
              <w:t>SS</w:t>
            </w:r>
            <w:r w:rsidRPr="00DB1B5F">
              <w:rPr>
                <w:rFonts w:ascii="Arial" w:eastAsia="Times New Roman" w:hAnsi="Arial" w:cs="Arial"/>
                <w:color w:val="000000"/>
                <w:sz w:val="20"/>
                <w:szCs w:val="20"/>
                <w:lang w:eastAsia="es-CO"/>
              </w:rPr>
              <w:t xml:space="preserve"> Comparta”</w:t>
            </w:r>
            <w:r w:rsidRPr="00DB1B5F">
              <w:rPr>
                <w:rFonts w:ascii="Arial" w:eastAsia="Times New Roman" w:hAnsi="Arial" w:cs="Arial"/>
                <w:b/>
                <w:bCs/>
                <w:color w:val="000000"/>
                <w:sz w:val="20"/>
                <w:szCs w:val="20"/>
                <w:lang w:eastAsia="es-CO"/>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rsidR="00DB1B5F" w:rsidRPr="00DB1B5F" w:rsidRDefault="00DB1B5F" w:rsidP="00DB1B5F">
            <w:pPr>
              <w:spacing w:after="0" w:line="240" w:lineRule="auto"/>
              <w:jc w:val="center"/>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lastRenderedPageBreak/>
              <w:t>1</w:t>
            </w:r>
          </w:p>
        </w:tc>
      </w:tr>
      <w:tr w:rsidR="00DB1B5F" w:rsidRPr="00DB1B5F" w:rsidTr="00DB1B5F">
        <w:trPr>
          <w:trHeight w:val="20"/>
        </w:trPr>
        <w:tc>
          <w:tcPr>
            <w:tcW w:w="1063" w:type="dxa"/>
            <w:tcBorders>
              <w:top w:val="nil"/>
              <w:left w:val="single" w:sz="4" w:space="0" w:color="auto"/>
              <w:bottom w:val="single" w:sz="4" w:space="0" w:color="auto"/>
              <w:right w:val="single" w:sz="4" w:space="0" w:color="auto"/>
            </w:tcBorders>
            <w:shd w:val="clear" w:color="000000" w:fill="FFFFFF"/>
            <w:vAlign w:val="center"/>
            <w:hideMark/>
          </w:tcPr>
          <w:p w:rsidR="00DB1B5F" w:rsidRPr="00DB1B5F" w:rsidRDefault="00DB1B5F" w:rsidP="00DB1B5F">
            <w:pPr>
              <w:spacing w:after="0" w:line="240" w:lineRule="auto"/>
              <w:jc w:val="center"/>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lastRenderedPageBreak/>
              <w:t>2010</w:t>
            </w:r>
          </w:p>
        </w:tc>
        <w:tc>
          <w:tcPr>
            <w:tcW w:w="6749" w:type="dxa"/>
            <w:tcBorders>
              <w:top w:val="nil"/>
              <w:left w:val="nil"/>
              <w:bottom w:val="single" w:sz="4" w:space="0" w:color="auto"/>
              <w:right w:val="single" w:sz="4" w:space="0" w:color="auto"/>
            </w:tcBorders>
            <w:shd w:val="clear" w:color="000000" w:fill="FFFFFF"/>
            <w:vAlign w:val="center"/>
            <w:hideMark/>
          </w:tcPr>
          <w:p w:rsidR="00DB1B5F" w:rsidRPr="00DB1B5F" w:rsidRDefault="00AF7A4B" w:rsidP="00DB1B5F">
            <w:pPr>
              <w:spacing w:after="0" w:line="240" w:lineRule="auto"/>
              <w:rPr>
                <w:rFonts w:ascii="Arial" w:eastAsia="Times New Roman" w:hAnsi="Arial" w:cs="Arial"/>
                <w:color w:val="000000"/>
                <w:sz w:val="20"/>
                <w:szCs w:val="20"/>
                <w:lang w:eastAsia="es-CO"/>
              </w:rPr>
            </w:pPr>
            <w:proofErr w:type="spellStart"/>
            <w:r w:rsidRPr="00DB1B5F">
              <w:rPr>
                <w:rFonts w:ascii="Arial" w:eastAsia="Times New Roman" w:hAnsi="Arial" w:cs="Arial"/>
                <w:color w:val="000000"/>
                <w:sz w:val="20"/>
                <w:szCs w:val="20"/>
                <w:lang w:eastAsia="es-CO"/>
              </w:rPr>
              <w:t>Saludvida</w:t>
            </w:r>
            <w:proofErr w:type="spellEnd"/>
            <w:r w:rsidRPr="00DB1B5F">
              <w:rPr>
                <w:rFonts w:ascii="Arial" w:eastAsia="Times New Roman" w:hAnsi="Arial" w:cs="Arial"/>
                <w:color w:val="000000"/>
                <w:sz w:val="20"/>
                <w:szCs w:val="20"/>
                <w:lang w:eastAsia="es-CO"/>
              </w:rPr>
              <w:t xml:space="preserve"> E.P.S. S .A.</w:t>
            </w:r>
          </w:p>
        </w:tc>
        <w:tc>
          <w:tcPr>
            <w:tcW w:w="1559" w:type="dxa"/>
            <w:tcBorders>
              <w:top w:val="nil"/>
              <w:left w:val="nil"/>
              <w:bottom w:val="single" w:sz="4" w:space="0" w:color="auto"/>
              <w:right w:val="single" w:sz="4" w:space="0" w:color="auto"/>
            </w:tcBorders>
            <w:shd w:val="clear" w:color="000000" w:fill="FFFFFF"/>
            <w:vAlign w:val="center"/>
            <w:hideMark/>
          </w:tcPr>
          <w:p w:rsidR="00DB1B5F" w:rsidRPr="00DB1B5F" w:rsidRDefault="00DB1B5F" w:rsidP="00DB1B5F">
            <w:pPr>
              <w:spacing w:after="0" w:line="240" w:lineRule="auto"/>
              <w:jc w:val="center"/>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t>1</w:t>
            </w:r>
          </w:p>
        </w:tc>
      </w:tr>
      <w:tr w:rsidR="00DB1B5F" w:rsidRPr="00DB1B5F" w:rsidTr="00DB1B5F">
        <w:trPr>
          <w:trHeight w:val="20"/>
        </w:trPr>
        <w:tc>
          <w:tcPr>
            <w:tcW w:w="1063" w:type="dxa"/>
            <w:tcBorders>
              <w:top w:val="nil"/>
              <w:left w:val="single" w:sz="4" w:space="0" w:color="auto"/>
              <w:bottom w:val="single" w:sz="4" w:space="0" w:color="auto"/>
              <w:right w:val="single" w:sz="4" w:space="0" w:color="auto"/>
            </w:tcBorders>
            <w:shd w:val="clear" w:color="000000" w:fill="FFFFFF"/>
            <w:vAlign w:val="center"/>
            <w:hideMark/>
          </w:tcPr>
          <w:p w:rsidR="00DB1B5F" w:rsidRPr="00DB1B5F" w:rsidRDefault="00DB1B5F" w:rsidP="00DB1B5F">
            <w:pPr>
              <w:spacing w:after="0" w:line="240" w:lineRule="auto"/>
              <w:jc w:val="center"/>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t>2010</w:t>
            </w:r>
          </w:p>
        </w:tc>
        <w:tc>
          <w:tcPr>
            <w:tcW w:w="6749" w:type="dxa"/>
            <w:tcBorders>
              <w:top w:val="nil"/>
              <w:left w:val="nil"/>
              <w:bottom w:val="single" w:sz="4" w:space="0" w:color="auto"/>
              <w:right w:val="single" w:sz="4" w:space="0" w:color="auto"/>
            </w:tcBorders>
            <w:shd w:val="clear" w:color="000000" w:fill="FFFFFF"/>
            <w:vAlign w:val="center"/>
            <w:hideMark/>
          </w:tcPr>
          <w:p w:rsidR="00DB1B5F" w:rsidRPr="00DB1B5F" w:rsidRDefault="00AF7A4B" w:rsidP="00AF7A4B">
            <w:pPr>
              <w:spacing w:after="0" w:line="240" w:lineRule="auto"/>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t xml:space="preserve">Caja </w:t>
            </w:r>
            <w:r>
              <w:rPr>
                <w:rFonts w:ascii="Arial" w:eastAsia="Times New Roman" w:hAnsi="Arial" w:cs="Arial"/>
                <w:color w:val="000000"/>
                <w:sz w:val="20"/>
                <w:szCs w:val="20"/>
                <w:lang w:eastAsia="es-CO"/>
              </w:rPr>
              <w:t>d</w:t>
            </w:r>
            <w:r w:rsidRPr="00DB1B5F">
              <w:rPr>
                <w:rFonts w:ascii="Arial" w:eastAsia="Times New Roman" w:hAnsi="Arial" w:cs="Arial"/>
                <w:color w:val="000000"/>
                <w:sz w:val="20"/>
                <w:szCs w:val="20"/>
                <w:lang w:eastAsia="es-CO"/>
              </w:rPr>
              <w:t>e Compensación Familiar “</w:t>
            </w:r>
            <w:proofErr w:type="spellStart"/>
            <w:r w:rsidRPr="00DB1B5F">
              <w:rPr>
                <w:rFonts w:ascii="Arial" w:eastAsia="Times New Roman" w:hAnsi="Arial" w:cs="Arial"/>
                <w:color w:val="000000"/>
                <w:sz w:val="20"/>
                <w:szCs w:val="20"/>
                <w:lang w:eastAsia="es-CO"/>
              </w:rPr>
              <w:t>Cafam</w:t>
            </w:r>
            <w:proofErr w:type="spellEnd"/>
            <w:r w:rsidRPr="00DB1B5F">
              <w:rPr>
                <w:rFonts w:ascii="Arial" w:eastAsia="Times New Roman" w:hAnsi="Arial" w:cs="Arial"/>
                <w:color w:val="000000"/>
                <w:sz w:val="20"/>
                <w:szCs w:val="20"/>
                <w:lang w:eastAsia="es-CO"/>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rsidR="00DB1B5F" w:rsidRPr="00DB1B5F" w:rsidRDefault="00DB1B5F" w:rsidP="00DB1B5F">
            <w:pPr>
              <w:spacing w:after="0" w:line="240" w:lineRule="auto"/>
              <w:jc w:val="center"/>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t>1</w:t>
            </w:r>
          </w:p>
        </w:tc>
      </w:tr>
      <w:tr w:rsidR="00DB1B5F" w:rsidRPr="00DB1B5F" w:rsidTr="00DB1B5F">
        <w:trPr>
          <w:trHeight w:val="20"/>
        </w:trPr>
        <w:tc>
          <w:tcPr>
            <w:tcW w:w="1063" w:type="dxa"/>
            <w:tcBorders>
              <w:top w:val="nil"/>
              <w:left w:val="single" w:sz="4" w:space="0" w:color="auto"/>
              <w:bottom w:val="single" w:sz="4" w:space="0" w:color="auto"/>
              <w:right w:val="single" w:sz="4" w:space="0" w:color="auto"/>
            </w:tcBorders>
            <w:shd w:val="clear" w:color="000000" w:fill="FFFFFF"/>
            <w:vAlign w:val="center"/>
            <w:hideMark/>
          </w:tcPr>
          <w:p w:rsidR="00DB1B5F" w:rsidRPr="00DB1B5F" w:rsidRDefault="00DB1B5F" w:rsidP="00DB1B5F">
            <w:pPr>
              <w:spacing w:after="0" w:line="240" w:lineRule="auto"/>
              <w:jc w:val="center"/>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t>2010</w:t>
            </w:r>
          </w:p>
        </w:tc>
        <w:tc>
          <w:tcPr>
            <w:tcW w:w="6749" w:type="dxa"/>
            <w:tcBorders>
              <w:top w:val="nil"/>
              <w:left w:val="nil"/>
              <w:bottom w:val="single" w:sz="4" w:space="0" w:color="auto"/>
              <w:right w:val="single" w:sz="4" w:space="0" w:color="auto"/>
            </w:tcBorders>
            <w:shd w:val="clear" w:color="000000" w:fill="FFFFFF"/>
            <w:vAlign w:val="center"/>
            <w:hideMark/>
          </w:tcPr>
          <w:p w:rsidR="00DB1B5F" w:rsidRPr="00DB1B5F" w:rsidRDefault="00AF7A4B" w:rsidP="00AF7A4B">
            <w:pPr>
              <w:spacing w:after="0" w:line="240" w:lineRule="auto"/>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t>Humana Vivir S.A. E</w:t>
            </w:r>
            <w:r>
              <w:rPr>
                <w:rFonts w:ascii="Arial" w:eastAsia="Times New Roman" w:hAnsi="Arial" w:cs="Arial"/>
                <w:color w:val="000000"/>
                <w:sz w:val="20"/>
                <w:szCs w:val="20"/>
                <w:lang w:eastAsia="es-CO"/>
              </w:rPr>
              <w:t>PS</w:t>
            </w:r>
            <w:r w:rsidRPr="00DB1B5F">
              <w:rPr>
                <w:rFonts w:ascii="Arial" w:eastAsia="Times New Roman" w:hAnsi="Arial" w:cs="Arial"/>
                <w:color w:val="000000"/>
                <w:sz w:val="20"/>
                <w:szCs w:val="20"/>
                <w:lang w:eastAsia="es-CO"/>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rsidR="00DB1B5F" w:rsidRPr="00DB1B5F" w:rsidRDefault="00DB1B5F" w:rsidP="00DB1B5F">
            <w:pPr>
              <w:spacing w:after="0" w:line="240" w:lineRule="auto"/>
              <w:jc w:val="center"/>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t>1</w:t>
            </w:r>
          </w:p>
        </w:tc>
      </w:tr>
      <w:tr w:rsidR="00DB1B5F" w:rsidRPr="00DB1B5F" w:rsidTr="00DB1B5F">
        <w:trPr>
          <w:trHeight w:val="20"/>
        </w:trPr>
        <w:tc>
          <w:tcPr>
            <w:tcW w:w="1063" w:type="dxa"/>
            <w:tcBorders>
              <w:top w:val="nil"/>
              <w:left w:val="single" w:sz="4" w:space="0" w:color="auto"/>
              <w:bottom w:val="single" w:sz="4" w:space="0" w:color="auto"/>
              <w:right w:val="single" w:sz="4" w:space="0" w:color="auto"/>
            </w:tcBorders>
            <w:shd w:val="clear" w:color="000000" w:fill="FFFFFF"/>
            <w:vAlign w:val="center"/>
            <w:hideMark/>
          </w:tcPr>
          <w:p w:rsidR="00DB1B5F" w:rsidRPr="00DB1B5F" w:rsidRDefault="00DB1B5F" w:rsidP="00DB1B5F">
            <w:pPr>
              <w:spacing w:after="0" w:line="240" w:lineRule="auto"/>
              <w:jc w:val="center"/>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t>2010</w:t>
            </w:r>
          </w:p>
        </w:tc>
        <w:tc>
          <w:tcPr>
            <w:tcW w:w="6749" w:type="dxa"/>
            <w:tcBorders>
              <w:top w:val="nil"/>
              <w:left w:val="nil"/>
              <w:bottom w:val="single" w:sz="4" w:space="0" w:color="auto"/>
              <w:right w:val="single" w:sz="4" w:space="0" w:color="auto"/>
            </w:tcBorders>
            <w:shd w:val="clear" w:color="000000" w:fill="FFFFFF"/>
            <w:vAlign w:val="center"/>
            <w:hideMark/>
          </w:tcPr>
          <w:p w:rsidR="00DB1B5F" w:rsidRPr="00DB1B5F" w:rsidRDefault="00AF7A4B" w:rsidP="00AF7A4B">
            <w:pPr>
              <w:spacing w:after="0" w:line="240" w:lineRule="auto"/>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t xml:space="preserve">Caja </w:t>
            </w:r>
            <w:r>
              <w:rPr>
                <w:rFonts w:ascii="Arial" w:eastAsia="Times New Roman" w:hAnsi="Arial" w:cs="Arial"/>
                <w:color w:val="000000"/>
                <w:sz w:val="20"/>
                <w:szCs w:val="20"/>
                <w:lang w:eastAsia="es-CO"/>
              </w:rPr>
              <w:t>d</w:t>
            </w:r>
            <w:r w:rsidRPr="00DB1B5F">
              <w:rPr>
                <w:rFonts w:ascii="Arial" w:eastAsia="Times New Roman" w:hAnsi="Arial" w:cs="Arial"/>
                <w:color w:val="000000"/>
                <w:sz w:val="20"/>
                <w:szCs w:val="20"/>
                <w:lang w:eastAsia="es-CO"/>
              </w:rPr>
              <w:t xml:space="preserve">e Compensación Familiar </w:t>
            </w:r>
            <w:r>
              <w:rPr>
                <w:rFonts w:ascii="Arial" w:eastAsia="Times New Roman" w:hAnsi="Arial" w:cs="Arial"/>
                <w:color w:val="000000"/>
                <w:sz w:val="20"/>
                <w:szCs w:val="20"/>
                <w:lang w:eastAsia="es-CO"/>
              </w:rPr>
              <w:t>d</w:t>
            </w:r>
            <w:r w:rsidRPr="00DB1B5F">
              <w:rPr>
                <w:rFonts w:ascii="Arial" w:eastAsia="Times New Roman" w:hAnsi="Arial" w:cs="Arial"/>
                <w:color w:val="000000"/>
                <w:sz w:val="20"/>
                <w:szCs w:val="20"/>
                <w:lang w:eastAsia="es-CO"/>
              </w:rPr>
              <w:t xml:space="preserve">e </w:t>
            </w:r>
            <w:r>
              <w:rPr>
                <w:rFonts w:ascii="Arial" w:eastAsia="Times New Roman" w:hAnsi="Arial" w:cs="Arial"/>
                <w:color w:val="000000"/>
                <w:sz w:val="20"/>
                <w:szCs w:val="20"/>
                <w:lang w:eastAsia="es-CO"/>
              </w:rPr>
              <w:t>l</w:t>
            </w:r>
            <w:r w:rsidRPr="00DB1B5F">
              <w:rPr>
                <w:rFonts w:ascii="Arial" w:eastAsia="Times New Roman" w:hAnsi="Arial" w:cs="Arial"/>
                <w:color w:val="000000"/>
                <w:sz w:val="20"/>
                <w:szCs w:val="20"/>
                <w:lang w:eastAsia="es-CO"/>
              </w:rPr>
              <w:t xml:space="preserve">a Guajira </w:t>
            </w:r>
          </w:p>
        </w:tc>
        <w:tc>
          <w:tcPr>
            <w:tcW w:w="1559" w:type="dxa"/>
            <w:tcBorders>
              <w:top w:val="nil"/>
              <w:left w:val="nil"/>
              <w:bottom w:val="single" w:sz="4" w:space="0" w:color="auto"/>
              <w:right w:val="single" w:sz="4" w:space="0" w:color="auto"/>
            </w:tcBorders>
            <w:shd w:val="clear" w:color="000000" w:fill="FFFFFF"/>
            <w:vAlign w:val="center"/>
            <w:hideMark/>
          </w:tcPr>
          <w:p w:rsidR="00DB1B5F" w:rsidRPr="00DB1B5F" w:rsidRDefault="00DB1B5F" w:rsidP="00DB1B5F">
            <w:pPr>
              <w:spacing w:after="0" w:line="240" w:lineRule="auto"/>
              <w:jc w:val="center"/>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t>1</w:t>
            </w:r>
          </w:p>
        </w:tc>
      </w:tr>
      <w:tr w:rsidR="00DB1B5F" w:rsidRPr="00DB1B5F" w:rsidTr="00DB1B5F">
        <w:trPr>
          <w:trHeight w:val="20"/>
        </w:trPr>
        <w:tc>
          <w:tcPr>
            <w:tcW w:w="1063" w:type="dxa"/>
            <w:tcBorders>
              <w:top w:val="nil"/>
              <w:left w:val="single" w:sz="4" w:space="0" w:color="auto"/>
              <w:bottom w:val="single" w:sz="4" w:space="0" w:color="auto"/>
              <w:right w:val="single" w:sz="4" w:space="0" w:color="auto"/>
            </w:tcBorders>
            <w:shd w:val="clear" w:color="000000" w:fill="FFFFFF"/>
            <w:vAlign w:val="center"/>
            <w:hideMark/>
          </w:tcPr>
          <w:p w:rsidR="00DB1B5F" w:rsidRPr="00DB1B5F" w:rsidRDefault="00DB1B5F" w:rsidP="00DB1B5F">
            <w:pPr>
              <w:spacing w:after="0" w:line="240" w:lineRule="auto"/>
              <w:jc w:val="center"/>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t>2010</w:t>
            </w:r>
          </w:p>
        </w:tc>
        <w:tc>
          <w:tcPr>
            <w:tcW w:w="6749" w:type="dxa"/>
            <w:tcBorders>
              <w:top w:val="nil"/>
              <w:left w:val="nil"/>
              <w:bottom w:val="single" w:sz="4" w:space="0" w:color="auto"/>
              <w:right w:val="single" w:sz="4" w:space="0" w:color="auto"/>
            </w:tcBorders>
            <w:shd w:val="clear" w:color="000000" w:fill="FFFFFF"/>
            <w:vAlign w:val="center"/>
            <w:hideMark/>
          </w:tcPr>
          <w:p w:rsidR="00DB1B5F" w:rsidRPr="00DB1B5F" w:rsidRDefault="00AF7A4B" w:rsidP="00AF7A4B">
            <w:pPr>
              <w:spacing w:after="0" w:line="240" w:lineRule="auto"/>
              <w:rPr>
                <w:rFonts w:ascii="Arial" w:eastAsia="Times New Roman" w:hAnsi="Arial" w:cs="Arial"/>
                <w:color w:val="000000"/>
                <w:sz w:val="20"/>
                <w:szCs w:val="20"/>
                <w:lang w:eastAsia="es-CO"/>
              </w:rPr>
            </w:pPr>
            <w:proofErr w:type="spellStart"/>
            <w:r w:rsidRPr="00DB1B5F">
              <w:rPr>
                <w:rFonts w:ascii="Arial" w:eastAsia="Times New Roman" w:hAnsi="Arial" w:cs="Arial"/>
                <w:color w:val="000000"/>
                <w:sz w:val="20"/>
                <w:szCs w:val="20"/>
                <w:lang w:eastAsia="es-CO"/>
              </w:rPr>
              <w:t>Calisalud</w:t>
            </w:r>
            <w:proofErr w:type="spellEnd"/>
            <w:r w:rsidRPr="00DB1B5F">
              <w:rPr>
                <w:rFonts w:ascii="Arial" w:eastAsia="Times New Roman" w:hAnsi="Arial" w:cs="Arial"/>
                <w:color w:val="000000"/>
                <w:sz w:val="20"/>
                <w:szCs w:val="20"/>
                <w:lang w:eastAsia="es-CO"/>
              </w:rPr>
              <w:t xml:space="preserve"> Entidad Promotora </w:t>
            </w:r>
            <w:r>
              <w:rPr>
                <w:rFonts w:ascii="Arial" w:eastAsia="Times New Roman" w:hAnsi="Arial" w:cs="Arial"/>
                <w:color w:val="000000"/>
                <w:sz w:val="20"/>
                <w:szCs w:val="20"/>
                <w:lang w:eastAsia="es-CO"/>
              </w:rPr>
              <w:t>d</w:t>
            </w:r>
            <w:r w:rsidRPr="00DB1B5F">
              <w:rPr>
                <w:rFonts w:ascii="Arial" w:eastAsia="Times New Roman" w:hAnsi="Arial" w:cs="Arial"/>
                <w:color w:val="000000"/>
                <w:sz w:val="20"/>
                <w:szCs w:val="20"/>
                <w:lang w:eastAsia="es-CO"/>
              </w:rPr>
              <w:t xml:space="preserve">e Salud </w:t>
            </w:r>
          </w:p>
        </w:tc>
        <w:tc>
          <w:tcPr>
            <w:tcW w:w="1559" w:type="dxa"/>
            <w:tcBorders>
              <w:top w:val="nil"/>
              <w:left w:val="nil"/>
              <w:bottom w:val="single" w:sz="4" w:space="0" w:color="auto"/>
              <w:right w:val="single" w:sz="4" w:space="0" w:color="auto"/>
            </w:tcBorders>
            <w:shd w:val="clear" w:color="000000" w:fill="FFFFFF"/>
            <w:vAlign w:val="center"/>
            <w:hideMark/>
          </w:tcPr>
          <w:p w:rsidR="00DB1B5F" w:rsidRPr="00DB1B5F" w:rsidRDefault="00DB1B5F" w:rsidP="00DB1B5F">
            <w:pPr>
              <w:spacing w:after="0" w:line="240" w:lineRule="auto"/>
              <w:jc w:val="center"/>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t>1</w:t>
            </w:r>
          </w:p>
        </w:tc>
      </w:tr>
      <w:tr w:rsidR="00DB1B5F" w:rsidRPr="00DB1B5F" w:rsidTr="00DB1B5F">
        <w:trPr>
          <w:trHeight w:val="20"/>
        </w:trPr>
        <w:tc>
          <w:tcPr>
            <w:tcW w:w="1063" w:type="dxa"/>
            <w:tcBorders>
              <w:top w:val="nil"/>
              <w:left w:val="single" w:sz="4" w:space="0" w:color="auto"/>
              <w:bottom w:val="single" w:sz="4" w:space="0" w:color="auto"/>
              <w:right w:val="single" w:sz="4" w:space="0" w:color="auto"/>
            </w:tcBorders>
            <w:shd w:val="clear" w:color="000000" w:fill="FFFFFF"/>
            <w:vAlign w:val="center"/>
            <w:hideMark/>
          </w:tcPr>
          <w:p w:rsidR="00DB1B5F" w:rsidRPr="00DB1B5F" w:rsidRDefault="00DB1B5F" w:rsidP="00DB1B5F">
            <w:pPr>
              <w:spacing w:after="0" w:line="240" w:lineRule="auto"/>
              <w:jc w:val="center"/>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t>2011</w:t>
            </w:r>
          </w:p>
        </w:tc>
        <w:tc>
          <w:tcPr>
            <w:tcW w:w="6749" w:type="dxa"/>
            <w:tcBorders>
              <w:top w:val="nil"/>
              <w:left w:val="nil"/>
              <w:bottom w:val="single" w:sz="4" w:space="0" w:color="auto"/>
              <w:right w:val="single" w:sz="4" w:space="0" w:color="auto"/>
            </w:tcBorders>
            <w:shd w:val="clear" w:color="000000" w:fill="FFFFFF"/>
            <w:vAlign w:val="center"/>
            <w:hideMark/>
          </w:tcPr>
          <w:p w:rsidR="00DB1B5F" w:rsidRPr="00DB1B5F" w:rsidRDefault="00AF7A4B" w:rsidP="00AF7A4B">
            <w:pPr>
              <w:spacing w:after="0" w:line="240" w:lineRule="auto"/>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t>Caprecom E</w:t>
            </w:r>
            <w:r>
              <w:rPr>
                <w:rFonts w:ascii="Arial" w:eastAsia="Times New Roman" w:hAnsi="Arial" w:cs="Arial"/>
                <w:color w:val="000000"/>
                <w:sz w:val="20"/>
                <w:szCs w:val="20"/>
                <w:lang w:eastAsia="es-CO"/>
              </w:rPr>
              <w:t>PS</w:t>
            </w:r>
            <w:r w:rsidRPr="00DB1B5F">
              <w:rPr>
                <w:rFonts w:ascii="Arial" w:eastAsia="Times New Roman" w:hAnsi="Arial" w:cs="Arial"/>
                <w:color w:val="000000"/>
                <w:sz w:val="20"/>
                <w:szCs w:val="20"/>
                <w:lang w:eastAsia="es-CO"/>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rsidR="00DB1B5F" w:rsidRPr="00DB1B5F" w:rsidRDefault="00DB1B5F" w:rsidP="00DB1B5F">
            <w:pPr>
              <w:spacing w:after="0" w:line="240" w:lineRule="auto"/>
              <w:jc w:val="center"/>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t>2</w:t>
            </w:r>
          </w:p>
        </w:tc>
      </w:tr>
      <w:tr w:rsidR="00DB1B5F" w:rsidRPr="00DB1B5F" w:rsidTr="00DB1B5F">
        <w:trPr>
          <w:trHeight w:val="20"/>
        </w:trPr>
        <w:tc>
          <w:tcPr>
            <w:tcW w:w="1063" w:type="dxa"/>
            <w:tcBorders>
              <w:top w:val="nil"/>
              <w:left w:val="single" w:sz="4" w:space="0" w:color="auto"/>
              <w:bottom w:val="single" w:sz="4" w:space="0" w:color="auto"/>
              <w:right w:val="single" w:sz="4" w:space="0" w:color="auto"/>
            </w:tcBorders>
            <w:shd w:val="clear" w:color="000000" w:fill="FFFFFF"/>
            <w:vAlign w:val="center"/>
            <w:hideMark/>
          </w:tcPr>
          <w:p w:rsidR="00DB1B5F" w:rsidRPr="00DB1B5F" w:rsidRDefault="00DB1B5F" w:rsidP="00DB1B5F">
            <w:pPr>
              <w:spacing w:after="0" w:line="240" w:lineRule="auto"/>
              <w:jc w:val="center"/>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t>2011</w:t>
            </w:r>
          </w:p>
        </w:tc>
        <w:tc>
          <w:tcPr>
            <w:tcW w:w="6749" w:type="dxa"/>
            <w:tcBorders>
              <w:top w:val="nil"/>
              <w:left w:val="nil"/>
              <w:bottom w:val="single" w:sz="4" w:space="0" w:color="auto"/>
              <w:right w:val="single" w:sz="4" w:space="0" w:color="auto"/>
            </w:tcBorders>
            <w:shd w:val="clear" w:color="000000" w:fill="FFFFFF"/>
            <w:vAlign w:val="center"/>
            <w:hideMark/>
          </w:tcPr>
          <w:p w:rsidR="00DB1B5F" w:rsidRPr="00DB1B5F" w:rsidRDefault="00AF7A4B" w:rsidP="00AF7A4B">
            <w:pPr>
              <w:spacing w:after="0" w:line="240" w:lineRule="auto"/>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t xml:space="preserve">Empresa Mutual </w:t>
            </w:r>
            <w:r>
              <w:rPr>
                <w:rFonts w:ascii="Arial" w:eastAsia="Times New Roman" w:hAnsi="Arial" w:cs="Arial"/>
                <w:color w:val="000000"/>
                <w:sz w:val="20"/>
                <w:szCs w:val="20"/>
                <w:lang w:eastAsia="es-CO"/>
              </w:rPr>
              <w:t>p</w:t>
            </w:r>
            <w:r w:rsidRPr="00DB1B5F">
              <w:rPr>
                <w:rFonts w:ascii="Arial" w:eastAsia="Times New Roman" w:hAnsi="Arial" w:cs="Arial"/>
                <w:color w:val="000000"/>
                <w:sz w:val="20"/>
                <w:szCs w:val="20"/>
                <w:lang w:eastAsia="es-CO"/>
              </w:rPr>
              <w:t xml:space="preserve">ara </w:t>
            </w:r>
            <w:r>
              <w:rPr>
                <w:rFonts w:ascii="Arial" w:eastAsia="Times New Roman" w:hAnsi="Arial" w:cs="Arial"/>
                <w:color w:val="000000"/>
                <w:sz w:val="20"/>
                <w:szCs w:val="20"/>
                <w:lang w:eastAsia="es-CO"/>
              </w:rPr>
              <w:t>e</w:t>
            </w:r>
            <w:r w:rsidRPr="00DB1B5F">
              <w:rPr>
                <w:rFonts w:ascii="Arial" w:eastAsia="Times New Roman" w:hAnsi="Arial" w:cs="Arial"/>
                <w:color w:val="000000"/>
                <w:sz w:val="20"/>
                <w:szCs w:val="20"/>
                <w:lang w:eastAsia="es-CO"/>
              </w:rPr>
              <w:t xml:space="preserve">l Desarrollo Integral </w:t>
            </w:r>
            <w:r>
              <w:rPr>
                <w:rFonts w:ascii="Arial" w:eastAsia="Times New Roman" w:hAnsi="Arial" w:cs="Arial"/>
                <w:color w:val="000000"/>
                <w:sz w:val="20"/>
                <w:szCs w:val="20"/>
                <w:lang w:eastAsia="es-CO"/>
              </w:rPr>
              <w:t>d</w:t>
            </w:r>
            <w:r w:rsidRPr="00DB1B5F">
              <w:rPr>
                <w:rFonts w:ascii="Arial" w:eastAsia="Times New Roman" w:hAnsi="Arial" w:cs="Arial"/>
                <w:color w:val="000000"/>
                <w:sz w:val="20"/>
                <w:szCs w:val="20"/>
                <w:lang w:eastAsia="es-CO"/>
              </w:rPr>
              <w:t xml:space="preserve">e </w:t>
            </w:r>
            <w:r>
              <w:rPr>
                <w:rFonts w:ascii="Arial" w:eastAsia="Times New Roman" w:hAnsi="Arial" w:cs="Arial"/>
                <w:color w:val="000000"/>
                <w:sz w:val="20"/>
                <w:szCs w:val="20"/>
                <w:lang w:eastAsia="es-CO"/>
              </w:rPr>
              <w:t>l</w:t>
            </w:r>
            <w:r w:rsidRPr="00DB1B5F">
              <w:rPr>
                <w:rFonts w:ascii="Arial" w:eastAsia="Times New Roman" w:hAnsi="Arial" w:cs="Arial"/>
                <w:color w:val="000000"/>
                <w:sz w:val="20"/>
                <w:szCs w:val="20"/>
                <w:lang w:eastAsia="es-CO"/>
              </w:rPr>
              <w:t>a Salud E</w:t>
            </w:r>
            <w:r>
              <w:rPr>
                <w:rFonts w:ascii="Arial" w:eastAsia="Times New Roman" w:hAnsi="Arial" w:cs="Arial"/>
                <w:color w:val="000000"/>
                <w:sz w:val="20"/>
                <w:szCs w:val="20"/>
                <w:lang w:eastAsia="es-CO"/>
              </w:rPr>
              <w:t>SS</w:t>
            </w:r>
            <w:r w:rsidRPr="00DB1B5F">
              <w:rPr>
                <w:rFonts w:ascii="Arial" w:eastAsia="Times New Roman" w:hAnsi="Arial" w:cs="Arial"/>
                <w:color w:val="000000"/>
                <w:sz w:val="20"/>
                <w:szCs w:val="20"/>
                <w:lang w:eastAsia="es-CO"/>
              </w:rPr>
              <w:t xml:space="preserve"> Emdisalud </w:t>
            </w:r>
          </w:p>
        </w:tc>
        <w:tc>
          <w:tcPr>
            <w:tcW w:w="1559" w:type="dxa"/>
            <w:tcBorders>
              <w:top w:val="nil"/>
              <w:left w:val="nil"/>
              <w:bottom w:val="single" w:sz="4" w:space="0" w:color="auto"/>
              <w:right w:val="single" w:sz="4" w:space="0" w:color="auto"/>
            </w:tcBorders>
            <w:shd w:val="clear" w:color="000000" w:fill="FFFFFF"/>
            <w:vAlign w:val="center"/>
            <w:hideMark/>
          </w:tcPr>
          <w:p w:rsidR="00DB1B5F" w:rsidRPr="00DB1B5F" w:rsidRDefault="00DB1B5F" w:rsidP="00DB1B5F">
            <w:pPr>
              <w:spacing w:after="0" w:line="240" w:lineRule="auto"/>
              <w:jc w:val="center"/>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t>2</w:t>
            </w:r>
          </w:p>
        </w:tc>
      </w:tr>
      <w:tr w:rsidR="00DB1B5F" w:rsidRPr="00DB1B5F" w:rsidTr="00DB1B5F">
        <w:trPr>
          <w:trHeight w:val="20"/>
        </w:trPr>
        <w:tc>
          <w:tcPr>
            <w:tcW w:w="1063" w:type="dxa"/>
            <w:tcBorders>
              <w:top w:val="nil"/>
              <w:left w:val="single" w:sz="4" w:space="0" w:color="auto"/>
              <w:bottom w:val="single" w:sz="4" w:space="0" w:color="auto"/>
              <w:right w:val="single" w:sz="4" w:space="0" w:color="auto"/>
            </w:tcBorders>
            <w:shd w:val="clear" w:color="000000" w:fill="FFFFFF"/>
            <w:vAlign w:val="center"/>
            <w:hideMark/>
          </w:tcPr>
          <w:p w:rsidR="00DB1B5F" w:rsidRPr="00DB1B5F" w:rsidRDefault="00DB1B5F" w:rsidP="00DB1B5F">
            <w:pPr>
              <w:spacing w:after="0" w:line="240" w:lineRule="auto"/>
              <w:jc w:val="center"/>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t>2011</w:t>
            </w:r>
          </w:p>
        </w:tc>
        <w:tc>
          <w:tcPr>
            <w:tcW w:w="6749" w:type="dxa"/>
            <w:tcBorders>
              <w:top w:val="nil"/>
              <w:left w:val="nil"/>
              <w:bottom w:val="single" w:sz="4" w:space="0" w:color="auto"/>
              <w:right w:val="single" w:sz="4" w:space="0" w:color="auto"/>
            </w:tcBorders>
            <w:shd w:val="clear" w:color="000000" w:fill="FFFFFF"/>
            <w:vAlign w:val="center"/>
            <w:hideMark/>
          </w:tcPr>
          <w:p w:rsidR="00DB1B5F" w:rsidRPr="00DB1B5F" w:rsidRDefault="00AF7A4B" w:rsidP="003E253B">
            <w:pPr>
              <w:spacing w:after="0" w:line="240" w:lineRule="auto"/>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t xml:space="preserve">Caja </w:t>
            </w:r>
            <w:r>
              <w:rPr>
                <w:rFonts w:ascii="Arial" w:eastAsia="Times New Roman" w:hAnsi="Arial" w:cs="Arial"/>
                <w:color w:val="000000"/>
                <w:sz w:val="20"/>
                <w:szCs w:val="20"/>
                <w:lang w:eastAsia="es-CO"/>
              </w:rPr>
              <w:t>d</w:t>
            </w:r>
            <w:r w:rsidRPr="00DB1B5F">
              <w:rPr>
                <w:rFonts w:ascii="Arial" w:eastAsia="Times New Roman" w:hAnsi="Arial" w:cs="Arial"/>
                <w:color w:val="000000"/>
                <w:sz w:val="20"/>
                <w:szCs w:val="20"/>
                <w:lang w:eastAsia="es-CO"/>
              </w:rPr>
              <w:t xml:space="preserve">e </w:t>
            </w:r>
            <w:r w:rsidR="003E253B" w:rsidRPr="00DB1B5F">
              <w:rPr>
                <w:rFonts w:ascii="Arial" w:eastAsia="Times New Roman" w:hAnsi="Arial" w:cs="Arial"/>
                <w:color w:val="000000"/>
                <w:sz w:val="20"/>
                <w:szCs w:val="20"/>
                <w:lang w:eastAsia="es-CO"/>
              </w:rPr>
              <w:t>Compensación</w:t>
            </w:r>
            <w:r w:rsidRPr="00DB1B5F">
              <w:rPr>
                <w:rFonts w:ascii="Arial" w:eastAsia="Times New Roman" w:hAnsi="Arial" w:cs="Arial"/>
                <w:color w:val="000000"/>
                <w:sz w:val="20"/>
                <w:szCs w:val="20"/>
                <w:lang w:eastAsia="es-CO"/>
              </w:rPr>
              <w:t xml:space="preserve"> Familiar </w:t>
            </w:r>
            <w:r w:rsidR="003E253B">
              <w:rPr>
                <w:rFonts w:ascii="Arial" w:eastAsia="Times New Roman" w:hAnsi="Arial" w:cs="Arial"/>
                <w:color w:val="000000"/>
                <w:sz w:val="20"/>
                <w:szCs w:val="20"/>
                <w:lang w:eastAsia="es-CO"/>
              </w:rPr>
              <w:t>d</w:t>
            </w:r>
            <w:r w:rsidRPr="00DB1B5F">
              <w:rPr>
                <w:rFonts w:ascii="Arial" w:eastAsia="Times New Roman" w:hAnsi="Arial" w:cs="Arial"/>
                <w:color w:val="000000"/>
                <w:sz w:val="20"/>
                <w:szCs w:val="20"/>
                <w:lang w:eastAsia="es-CO"/>
              </w:rPr>
              <w:t>e C</w:t>
            </w:r>
            <w:r w:rsidR="003E253B">
              <w:rPr>
                <w:rFonts w:ascii="Arial" w:eastAsia="Times New Roman" w:hAnsi="Arial" w:cs="Arial"/>
                <w:color w:val="000000"/>
                <w:sz w:val="20"/>
                <w:szCs w:val="20"/>
                <w:lang w:eastAsia="es-CO"/>
              </w:rPr>
              <w:t>ó</w:t>
            </w:r>
            <w:r w:rsidRPr="00DB1B5F">
              <w:rPr>
                <w:rFonts w:ascii="Arial" w:eastAsia="Times New Roman" w:hAnsi="Arial" w:cs="Arial"/>
                <w:color w:val="000000"/>
                <w:sz w:val="20"/>
                <w:szCs w:val="20"/>
                <w:lang w:eastAsia="es-CO"/>
              </w:rPr>
              <w:t xml:space="preserve">rdoba "Comfacor" </w:t>
            </w:r>
          </w:p>
        </w:tc>
        <w:tc>
          <w:tcPr>
            <w:tcW w:w="1559" w:type="dxa"/>
            <w:tcBorders>
              <w:top w:val="nil"/>
              <w:left w:val="nil"/>
              <w:bottom w:val="single" w:sz="4" w:space="0" w:color="auto"/>
              <w:right w:val="single" w:sz="4" w:space="0" w:color="auto"/>
            </w:tcBorders>
            <w:shd w:val="clear" w:color="000000" w:fill="FFFFFF"/>
            <w:vAlign w:val="center"/>
            <w:hideMark/>
          </w:tcPr>
          <w:p w:rsidR="00DB1B5F" w:rsidRPr="00DB1B5F" w:rsidRDefault="00DB1B5F" w:rsidP="00DB1B5F">
            <w:pPr>
              <w:spacing w:after="0" w:line="240" w:lineRule="auto"/>
              <w:jc w:val="center"/>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t>1</w:t>
            </w:r>
          </w:p>
        </w:tc>
      </w:tr>
      <w:tr w:rsidR="00DB1B5F" w:rsidRPr="00DB1B5F" w:rsidTr="00DB1B5F">
        <w:trPr>
          <w:trHeight w:val="20"/>
        </w:trPr>
        <w:tc>
          <w:tcPr>
            <w:tcW w:w="1063" w:type="dxa"/>
            <w:tcBorders>
              <w:top w:val="nil"/>
              <w:left w:val="single" w:sz="4" w:space="0" w:color="auto"/>
              <w:bottom w:val="single" w:sz="4" w:space="0" w:color="auto"/>
              <w:right w:val="single" w:sz="4" w:space="0" w:color="auto"/>
            </w:tcBorders>
            <w:shd w:val="clear" w:color="000000" w:fill="FFFFFF"/>
            <w:vAlign w:val="center"/>
            <w:hideMark/>
          </w:tcPr>
          <w:p w:rsidR="00DB1B5F" w:rsidRPr="00DB1B5F" w:rsidRDefault="00DB1B5F" w:rsidP="00DB1B5F">
            <w:pPr>
              <w:spacing w:after="0" w:line="240" w:lineRule="auto"/>
              <w:jc w:val="center"/>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t>2011</w:t>
            </w:r>
          </w:p>
        </w:tc>
        <w:tc>
          <w:tcPr>
            <w:tcW w:w="6749" w:type="dxa"/>
            <w:tcBorders>
              <w:top w:val="nil"/>
              <w:left w:val="nil"/>
              <w:bottom w:val="single" w:sz="4" w:space="0" w:color="auto"/>
              <w:right w:val="single" w:sz="4" w:space="0" w:color="auto"/>
            </w:tcBorders>
            <w:shd w:val="clear" w:color="000000" w:fill="FFFFFF"/>
            <w:vAlign w:val="center"/>
            <w:hideMark/>
          </w:tcPr>
          <w:p w:rsidR="00DB1B5F" w:rsidRPr="00DB1B5F" w:rsidRDefault="00AF7A4B" w:rsidP="003E253B">
            <w:pPr>
              <w:spacing w:after="0" w:line="240" w:lineRule="auto"/>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t xml:space="preserve">Salud Vida S.A. </w:t>
            </w:r>
            <w:r w:rsidR="003E253B">
              <w:rPr>
                <w:rFonts w:ascii="Arial" w:eastAsia="Times New Roman" w:hAnsi="Arial" w:cs="Arial"/>
                <w:color w:val="000000"/>
                <w:sz w:val="20"/>
                <w:szCs w:val="20"/>
                <w:lang w:eastAsia="es-CO"/>
              </w:rPr>
              <w:t>EPS</w:t>
            </w:r>
          </w:p>
        </w:tc>
        <w:tc>
          <w:tcPr>
            <w:tcW w:w="1559" w:type="dxa"/>
            <w:tcBorders>
              <w:top w:val="nil"/>
              <w:left w:val="nil"/>
              <w:bottom w:val="single" w:sz="4" w:space="0" w:color="auto"/>
              <w:right w:val="single" w:sz="4" w:space="0" w:color="auto"/>
            </w:tcBorders>
            <w:shd w:val="clear" w:color="000000" w:fill="FFFFFF"/>
            <w:vAlign w:val="center"/>
            <w:hideMark/>
          </w:tcPr>
          <w:p w:rsidR="00DB1B5F" w:rsidRPr="00DB1B5F" w:rsidRDefault="00DB1B5F" w:rsidP="00DB1B5F">
            <w:pPr>
              <w:spacing w:after="0" w:line="240" w:lineRule="auto"/>
              <w:jc w:val="center"/>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t>1</w:t>
            </w:r>
          </w:p>
        </w:tc>
      </w:tr>
      <w:tr w:rsidR="00DB1B5F" w:rsidRPr="00DB1B5F" w:rsidTr="00DB1B5F">
        <w:trPr>
          <w:trHeight w:val="20"/>
        </w:trPr>
        <w:tc>
          <w:tcPr>
            <w:tcW w:w="1063" w:type="dxa"/>
            <w:tcBorders>
              <w:top w:val="nil"/>
              <w:left w:val="single" w:sz="4" w:space="0" w:color="auto"/>
              <w:bottom w:val="single" w:sz="4" w:space="0" w:color="auto"/>
              <w:right w:val="single" w:sz="4" w:space="0" w:color="auto"/>
            </w:tcBorders>
            <w:shd w:val="clear" w:color="000000" w:fill="FFFFFF"/>
            <w:vAlign w:val="center"/>
            <w:hideMark/>
          </w:tcPr>
          <w:p w:rsidR="00DB1B5F" w:rsidRPr="00DB1B5F" w:rsidRDefault="00DB1B5F" w:rsidP="00DB1B5F">
            <w:pPr>
              <w:spacing w:after="0" w:line="240" w:lineRule="auto"/>
              <w:jc w:val="center"/>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t>2011</w:t>
            </w:r>
          </w:p>
        </w:tc>
        <w:tc>
          <w:tcPr>
            <w:tcW w:w="6749" w:type="dxa"/>
            <w:tcBorders>
              <w:top w:val="nil"/>
              <w:left w:val="nil"/>
              <w:bottom w:val="single" w:sz="4" w:space="0" w:color="auto"/>
              <w:right w:val="single" w:sz="4" w:space="0" w:color="auto"/>
            </w:tcBorders>
            <w:shd w:val="clear" w:color="000000" w:fill="FFFFFF"/>
            <w:vAlign w:val="center"/>
            <w:hideMark/>
          </w:tcPr>
          <w:p w:rsidR="00DB1B5F" w:rsidRPr="00DB1B5F" w:rsidRDefault="00AF7A4B" w:rsidP="003E253B">
            <w:pPr>
              <w:spacing w:after="0" w:line="240" w:lineRule="auto"/>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t xml:space="preserve">Caja </w:t>
            </w:r>
            <w:r w:rsidR="003E253B">
              <w:rPr>
                <w:rFonts w:ascii="Arial" w:eastAsia="Times New Roman" w:hAnsi="Arial" w:cs="Arial"/>
                <w:color w:val="000000"/>
                <w:sz w:val="20"/>
                <w:szCs w:val="20"/>
                <w:lang w:eastAsia="es-CO"/>
              </w:rPr>
              <w:t>d</w:t>
            </w:r>
            <w:r w:rsidRPr="00DB1B5F">
              <w:rPr>
                <w:rFonts w:ascii="Arial" w:eastAsia="Times New Roman" w:hAnsi="Arial" w:cs="Arial"/>
                <w:color w:val="000000"/>
                <w:sz w:val="20"/>
                <w:szCs w:val="20"/>
                <w:lang w:eastAsia="es-CO"/>
              </w:rPr>
              <w:t xml:space="preserve">e </w:t>
            </w:r>
            <w:r w:rsidR="003E253B" w:rsidRPr="00DB1B5F">
              <w:rPr>
                <w:rFonts w:ascii="Arial" w:eastAsia="Times New Roman" w:hAnsi="Arial" w:cs="Arial"/>
                <w:color w:val="000000"/>
                <w:sz w:val="20"/>
                <w:szCs w:val="20"/>
                <w:lang w:eastAsia="es-CO"/>
              </w:rPr>
              <w:t>Compensación</w:t>
            </w:r>
            <w:r w:rsidRPr="00DB1B5F">
              <w:rPr>
                <w:rFonts w:ascii="Arial" w:eastAsia="Times New Roman" w:hAnsi="Arial" w:cs="Arial"/>
                <w:color w:val="000000"/>
                <w:sz w:val="20"/>
                <w:szCs w:val="20"/>
                <w:lang w:eastAsia="es-CO"/>
              </w:rPr>
              <w:t xml:space="preserve"> Familiar Cajacopi  </w:t>
            </w:r>
            <w:r w:rsidR="003E253B" w:rsidRPr="00DB1B5F">
              <w:rPr>
                <w:rFonts w:ascii="Arial" w:eastAsia="Times New Roman" w:hAnsi="Arial" w:cs="Arial"/>
                <w:color w:val="000000"/>
                <w:sz w:val="20"/>
                <w:szCs w:val="20"/>
                <w:lang w:eastAsia="es-CO"/>
              </w:rPr>
              <w:t>Atlántico</w:t>
            </w:r>
            <w:r w:rsidRPr="00DB1B5F">
              <w:rPr>
                <w:rFonts w:ascii="Arial" w:eastAsia="Times New Roman" w:hAnsi="Arial" w:cs="Arial"/>
                <w:color w:val="000000"/>
                <w:sz w:val="20"/>
                <w:szCs w:val="20"/>
                <w:lang w:eastAsia="es-CO"/>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rsidR="00DB1B5F" w:rsidRPr="00DB1B5F" w:rsidRDefault="00DB1B5F" w:rsidP="00DB1B5F">
            <w:pPr>
              <w:spacing w:after="0" w:line="240" w:lineRule="auto"/>
              <w:jc w:val="center"/>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t>1</w:t>
            </w:r>
          </w:p>
        </w:tc>
      </w:tr>
      <w:tr w:rsidR="00DB1B5F" w:rsidRPr="00DB1B5F" w:rsidTr="00DB1B5F">
        <w:trPr>
          <w:trHeight w:val="20"/>
        </w:trPr>
        <w:tc>
          <w:tcPr>
            <w:tcW w:w="1063" w:type="dxa"/>
            <w:tcBorders>
              <w:top w:val="nil"/>
              <w:left w:val="single" w:sz="4" w:space="0" w:color="auto"/>
              <w:bottom w:val="single" w:sz="4" w:space="0" w:color="auto"/>
              <w:right w:val="single" w:sz="4" w:space="0" w:color="auto"/>
            </w:tcBorders>
            <w:shd w:val="clear" w:color="000000" w:fill="FFFFFF"/>
            <w:vAlign w:val="center"/>
            <w:hideMark/>
          </w:tcPr>
          <w:p w:rsidR="00DB1B5F" w:rsidRPr="00DB1B5F" w:rsidRDefault="00DB1B5F" w:rsidP="00DB1B5F">
            <w:pPr>
              <w:spacing w:after="0" w:line="240" w:lineRule="auto"/>
              <w:jc w:val="center"/>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t>2011</w:t>
            </w:r>
          </w:p>
        </w:tc>
        <w:tc>
          <w:tcPr>
            <w:tcW w:w="6749" w:type="dxa"/>
            <w:tcBorders>
              <w:top w:val="nil"/>
              <w:left w:val="nil"/>
              <w:bottom w:val="single" w:sz="4" w:space="0" w:color="auto"/>
              <w:right w:val="single" w:sz="4" w:space="0" w:color="auto"/>
            </w:tcBorders>
            <w:shd w:val="clear" w:color="000000" w:fill="FFFFFF"/>
            <w:vAlign w:val="center"/>
            <w:hideMark/>
          </w:tcPr>
          <w:p w:rsidR="00DB1B5F" w:rsidRPr="00DB1B5F" w:rsidRDefault="00DB1B5F" w:rsidP="003E253B">
            <w:pPr>
              <w:spacing w:after="0" w:line="240" w:lineRule="auto"/>
              <w:jc w:val="both"/>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t xml:space="preserve">Asociación Mutual Barrios Unidos </w:t>
            </w:r>
            <w:r w:rsidR="003E253B">
              <w:rPr>
                <w:rFonts w:ascii="Arial" w:eastAsia="Times New Roman" w:hAnsi="Arial" w:cs="Arial"/>
                <w:color w:val="000000"/>
                <w:sz w:val="20"/>
                <w:szCs w:val="20"/>
                <w:lang w:eastAsia="es-CO"/>
              </w:rPr>
              <w:t>d</w:t>
            </w:r>
            <w:r w:rsidR="00AF7A4B" w:rsidRPr="00DB1B5F">
              <w:rPr>
                <w:rFonts w:ascii="Arial" w:eastAsia="Times New Roman" w:hAnsi="Arial" w:cs="Arial"/>
                <w:color w:val="000000"/>
                <w:sz w:val="20"/>
                <w:szCs w:val="20"/>
                <w:lang w:eastAsia="es-CO"/>
              </w:rPr>
              <w:t xml:space="preserve">e </w:t>
            </w:r>
            <w:r w:rsidRPr="00DB1B5F">
              <w:rPr>
                <w:rFonts w:ascii="Arial" w:eastAsia="Times New Roman" w:hAnsi="Arial" w:cs="Arial"/>
                <w:color w:val="000000"/>
                <w:sz w:val="20"/>
                <w:szCs w:val="20"/>
                <w:lang w:eastAsia="es-CO"/>
              </w:rPr>
              <w:t>Quibdó E</w:t>
            </w:r>
            <w:r w:rsidR="00AF7A4B" w:rsidRPr="00DB1B5F">
              <w:rPr>
                <w:rFonts w:ascii="Arial" w:eastAsia="Times New Roman" w:hAnsi="Arial" w:cs="Arial"/>
                <w:color w:val="000000"/>
                <w:sz w:val="20"/>
                <w:szCs w:val="20"/>
                <w:lang w:eastAsia="es-CO"/>
              </w:rPr>
              <w:t>.</w:t>
            </w:r>
            <w:r w:rsidRPr="00DB1B5F">
              <w:rPr>
                <w:rFonts w:ascii="Arial" w:eastAsia="Times New Roman" w:hAnsi="Arial" w:cs="Arial"/>
                <w:color w:val="000000"/>
                <w:sz w:val="20"/>
                <w:szCs w:val="20"/>
                <w:lang w:eastAsia="es-CO"/>
              </w:rPr>
              <w:t>S</w:t>
            </w:r>
            <w:r w:rsidR="00AF7A4B" w:rsidRPr="00DB1B5F">
              <w:rPr>
                <w:rFonts w:ascii="Arial" w:eastAsia="Times New Roman" w:hAnsi="Arial" w:cs="Arial"/>
                <w:color w:val="000000"/>
                <w:sz w:val="20"/>
                <w:szCs w:val="20"/>
                <w:lang w:eastAsia="es-CO"/>
              </w:rPr>
              <w:t>.</w:t>
            </w:r>
            <w:r w:rsidRPr="00DB1B5F">
              <w:rPr>
                <w:rFonts w:ascii="Arial" w:eastAsia="Times New Roman" w:hAnsi="Arial" w:cs="Arial"/>
                <w:color w:val="000000"/>
                <w:sz w:val="20"/>
                <w:szCs w:val="20"/>
                <w:lang w:eastAsia="es-CO"/>
              </w:rPr>
              <w:t>S</w:t>
            </w:r>
            <w:r w:rsidR="00AF7A4B" w:rsidRPr="00DB1B5F">
              <w:rPr>
                <w:rFonts w:ascii="Arial" w:eastAsia="Times New Roman" w:hAnsi="Arial" w:cs="Arial"/>
                <w:color w:val="000000"/>
                <w:sz w:val="20"/>
                <w:szCs w:val="20"/>
                <w:lang w:eastAsia="es-CO"/>
              </w:rPr>
              <w:t>.  "</w:t>
            </w:r>
            <w:r w:rsidRPr="00DB1B5F">
              <w:rPr>
                <w:rFonts w:ascii="Arial" w:eastAsia="Times New Roman" w:hAnsi="Arial" w:cs="Arial"/>
                <w:color w:val="000000"/>
                <w:sz w:val="20"/>
                <w:szCs w:val="20"/>
                <w:lang w:eastAsia="es-CO"/>
              </w:rPr>
              <w:t>AMBUQ</w:t>
            </w:r>
            <w:r w:rsidR="00AF7A4B" w:rsidRPr="00DB1B5F">
              <w:rPr>
                <w:rFonts w:ascii="Arial" w:eastAsia="Times New Roman" w:hAnsi="Arial" w:cs="Arial"/>
                <w:color w:val="000000"/>
                <w:sz w:val="20"/>
                <w:szCs w:val="20"/>
                <w:lang w:eastAsia="es-CO"/>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rsidR="00DB1B5F" w:rsidRPr="00DB1B5F" w:rsidRDefault="00DB1B5F" w:rsidP="00DB1B5F">
            <w:pPr>
              <w:spacing w:after="0" w:line="240" w:lineRule="auto"/>
              <w:jc w:val="center"/>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t>1</w:t>
            </w:r>
          </w:p>
        </w:tc>
      </w:tr>
      <w:tr w:rsidR="00DB1B5F" w:rsidRPr="00DB1B5F" w:rsidTr="00DB1B5F">
        <w:trPr>
          <w:trHeight w:val="20"/>
        </w:trPr>
        <w:tc>
          <w:tcPr>
            <w:tcW w:w="1063" w:type="dxa"/>
            <w:tcBorders>
              <w:top w:val="nil"/>
              <w:left w:val="single" w:sz="4" w:space="0" w:color="auto"/>
              <w:bottom w:val="single" w:sz="4" w:space="0" w:color="auto"/>
              <w:right w:val="single" w:sz="4" w:space="0" w:color="auto"/>
            </w:tcBorders>
            <w:shd w:val="clear" w:color="000000" w:fill="FFFFFF"/>
            <w:vAlign w:val="center"/>
            <w:hideMark/>
          </w:tcPr>
          <w:p w:rsidR="00DB1B5F" w:rsidRPr="00DB1B5F" w:rsidRDefault="00DB1B5F" w:rsidP="00DB1B5F">
            <w:pPr>
              <w:spacing w:after="0" w:line="240" w:lineRule="auto"/>
              <w:jc w:val="center"/>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t>2011</w:t>
            </w:r>
          </w:p>
        </w:tc>
        <w:tc>
          <w:tcPr>
            <w:tcW w:w="6749" w:type="dxa"/>
            <w:tcBorders>
              <w:top w:val="nil"/>
              <w:left w:val="nil"/>
              <w:bottom w:val="single" w:sz="4" w:space="0" w:color="auto"/>
              <w:right w:val="single" w:sz="4" w:space="0" w:color="auto"/>
            </w:tcBorders>
            <w:shd w:val="clear" w:color="000000" w:fill="FFFFFF"/>
            <w:vAlign w:val="center"/>
            <w:hideMark/>
          </w:tcPr>
          <w:p w:rsidR="00DB1B5F" w:rsidRPr="00DB1B5F" w:rsidRDefault="00AF7A4B" w:rsidP="003E253B">
            <w:pPr>
              <w:spacing w:after="0" w:line="240" w:lineRule="auto"/>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t xml:space="preserve">Coomeva Entidad Promotora </w:t>
            </w:r>
            <w:r w:rsidR="003E253B">
              <w:rPr>
                <w:rFonts w:ascii="Arial" w:eastAsia="Times New Roman" w:hAnsi="Arial" w:cs="Arial"/>
                <w:color w:val="000000"/>
                <w:sz w:val="20"/>
                <w:szCs w:val="20"/>
                <w:lang w:eastAsia="es-CO"/>
              </w:rPr>
              <w:t>d</w:t>
            </w:r>
            <w:r w:rsidRPr="00DB1B5F">
              <w:rPr>
                <w:rFonts w:ascii="Arial" w:eastAsia="Times New Roman" w:hAnsi="Arial" w:cs="Arial"/>
                <w:color w:val="000000"/>
                <w:sz w:val="20"/>
                <w:szCs w:val="20"/>
                <w:lang w:eastAsia="es-CO"/>
              </w:rPr>
              <w:t xml:space="preserve">e Salud S.A. </w:t>
            </w:r>
          </w:p>
        </w:tc>
        <w:tc>
          <w:tcPr>
            <w:tcW w:w="1559" w:type="dxa"/>
            <w:tcBorders>
              <w:top w:val="nil"/>
              <w:left w:val="nil"/>
              <w:bottom w:val="single" w:sz="4" w:space="0" w:color="auto"/>
              <w:right w:val="single" w:sz="4" w:space="0" w:color="auto"/>
            </w:tcBorders>
            <w:shd w:val="clear" w:color="000000" w:fill="FFFFFF"/>
            <w:vAlign w:val="center"/>
            <w:hideMark/>
          </w:tcPr>
          <w:p w:rsidR="00DB1B5F" w:rsidRPr="00DB1B5F" w:rsidRDefault="00DB1B5F" w:rsidP="00DB1B5F">
            <w:pPr>
              <w:spacing w:after="0" w:line="240" w:lineRule="auto"/>
              <w:jc w:val="center"/>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t>1</w:t>
            </w:r>
          </w:p>
        </w:tc>
      </w:tr>
      <w:tr w:rsidR="00DB1B5F" w:rsidRPr="00DB1B5F" w:rsidTr="00DB1B5F">
        <w:trPr>
          <w:trHeight w:val="20"/>
        </w:trPr>
        <w:tc>
          <w:tcPr>
            <w:tcW w:w="1063" w:type="dxa"/>
            <w:tcBorders>
              <w:top w:val="nil"/>
              <w:left w:val="single" w:sz="4" w:space="0" w:color="auto"/>
              <w:bottom w:val="single" w:sz="4" w:space="0" w:color="auto"/>
              <w:right w:val="single" w:sz="4" w:space="0" w:color="auto"/>
            </w:tcBorders>
            <w:shd w:val="clear" w:color="000000" w:fill="FFFFFF"/>
            <w:vAlign w:val="center"/>
            <w:hideMark/>
          </w:tcPr>
          <w:p w:rsidR="00DB1B5F" w:rsidRPr="00DB1B5F" w:rsidRDefault="00DB1B5F" w:rsidP="00DB1B5F">
            <w:pPr>
              <w:spacing w:after="0" w:line="240" w:lineRule="auto"/>
              <w:jc w:val="center"/>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t>2012</w:t>
            </w:r>
          </w:p>
        </w:tc>
        <w:tc>
          <w:tcPr>
            <w:tcW w:w="6749" w:type="dxa"/>
            <w:tcBorders>
              <w:top w:val="nil"/>
              <w:left w:val="nil"/>
              <w:bottom w:val="single" w:sz="4" w:space="0" w:color="auto"/>
              <w:right w:val="single" w:sz="4" w:space="0" w:color="auto"/>
            </w:tcBorders>
            <w:shd w:val="clear" w:color="000000" w:fill="FFFFFF"/>
            <w:vAlign w:val="center"/>
            <w:hideMark/>
          </w:tcPr>
          <w:p w:rsidR="00DB1B5F" w:rsidRPr="00DB1B5F" w:rsidRDefault="00AF7A4B" w:rsidP="003E253B">
            <w:pPr>
              <w:spacing w:after="0" w:line="240" w:lineRule="auto"/>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t>Humana Vivir S.A</w:t>
            </w:r>
            <w:r w:rsidR="003E253B">
              <w:rPr>
                <w:rFonts w:ascii="Arial" w:eastAsia="Times New Roman" w:hAnsi="Arial" w:cs="Arial"/>
                <w:color w:val="000000"/>
                <w:sz w:val="20"/>
                <w:szCs w:val="20"/>
                <w:lang w:eastAsia="es-CO"/>
              </w:rPr>
              <w:t>.S</w:t>
            </w:r>
            <w:r w:rsidRPr="00DB1B5F">
              <w:rPr>
                <w:rFonts w:ascii="Arial" w:eastAsia="Times New Roman" w:hAnsi="Arial" w:cs="Arial"/>
                <w:color w:val="000000"/>
                <w:sz w:val="20"/>
                <w:szCs w:val="20"/>
                <w:lang w:eastAsia="es-CO"/>
              </w:rPr>
              <w:t xml:space="preserve">. </w:t>
            </w:r>
            <w:r w:rsidR="003E253B">
              <w:rPr>
                <w:rFonts w:ascii="Arial" w:eastAsia="Times New Roman" w:hAnsi="Arial" w:cs="Arial"/>
                <w:color w:val="000000"/>
                <w:sz w:val="20"/>
                <w:szCs w:val="20"/>
                <w:lang w:eastAsia="es-CO"/>
              </w:rPr>
              <w:t>EPS</w:t>
            </w:r>
            <w:r w:rsidRPr="00DB1B5F">
              <w:rPr>
                <w:rFonts w:ascii="Arial" w:eastAsia="Times New Roman" w:hAnsi="Arial" w:cs="Arial"/>
                <w:color w:val="000000"/>
                <w:sz w:val="20"/>
                <w:szCs w:val="20"/>
                <w:lang w:eastAsia="es-CO"/>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rsidR="00DB1B5F" w:rsidRPr="00DB1B5F" w:rsidRDefault="00DB1B5F" w:rsidP="00DB1B5F">
            <w:pPr>
              <w:spacing w:after="0" w:line="240" w:lineRule="auto"/>
              <w:jc w:val="center"/>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t>1</w:t>
            </w:r>
          </w:p>
        </w:tc>
      </w:tr>
      <w:tr w:rsidR="00DB1B5F" w:rsidRPr="00DB1B5F" w:rsidTr="00DB1B5F">
        <w:trPr>
          <w:trHeight w:val="20"/>
        </w:trPr>
        <w:tc>
          <w:tcPr>
            <w:tcW w:w="1063" w:type="dxa"/>
            <w:tcBorders>
              <w:top w:val="nil"/>
              <w:left w:val="single" w:sz="4" w:space="0" w:color="auto"/>
              <w:bottom w:val="single" w:sz="4" w:space="0" w:color="auto"/>
              <w:right w:val="single" w:sz="4" w:space="0" w:color="auto"/>
            </w:tcBorders>
            <w:shd w:val="clear" w:color="000000" w:fill="FFFFFF"/>
            <w:vAlign w:val="center"/>
            <w:hideMark/>
          </w:tcPr>
          <w:p w:rsidR="00DB1B5F" w:rsidRPr="00DB1B5F" w:rsidRDefault="00DB1B5F" w:rsidP="00DB1B5F">
            <w:pPr>
              <w:spacing w:after="0" w:line="240" w:lineRule="auto"/>
              <w:jc w:val="center"/>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t>2012</w:t>
            </w:r>
          </w:p>
        </w:tc>
        <w:tc>
          <w:tcPr>
            <w:tcW w:w="6749" w:type="dxa"/>
            <w:tcBorders>
              <w:top w:val="nil"/>
              <w:left w:val="nil"/>
              <w:bottom w:val="single" w:sz="4" w:space="0" w:color="auto"/>
              <w:right w:val="single" w:sz="4" w:space="0" w:color="auto"/>
            </w:tcBorders>
            <w:shd w:val="clear" w:color="000000" w:fill="FFFFFF"/>
            <w:vAlign w:val="center"/>
            <w:hideMark/>
          </w:tcPr>
          <w:p w:rsidR="00DB1B5F" w:rsidRPr="00DB1B5F" w:rsidRDefault="003E253B" w:rsidP="00DB1B5F">
            <w:pPr>
              <w:spacing w:after="0" w:line="240"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EPS</w:t>
            </w:r>
            <w:r w:rsidR="00AF7A4B" w:rsidRPr="00DB1B5F">
              <w:rPr>
                <w:rFonts w:ascii="Arial" w:eastAsia="Times New Roman" w:hAnsi="Arial" w:cs="Arial"/>
                <w:color w:val="000000"/>
                <w:sz w:val="20"/>
                <w:szCs w:val="20"/>
                <w:lang w:eastAsia="es-CO"/>
              </w:rPr>
              <w:t xml:space="preserve"> </w:t>
            </w:r>
            <w:r w:rsidRPr="00DB1B5F">
              <w:rPr>
                <w:rFonts w:ascii="Arial" w:eastAsia="Times New Roman" w:hAnsi="Arial" w:cs="Arial"/>
                <w:color w:val="000000"/>
                <w:sz w:val="20"/>
                <w:szCs w:val="20"/>
                <w:lang w:eastAsia="es-CO"/>
              </w:rPr>
              <w:t>Cóndor</w:t>
            </w:r>
            <w:r w:rsidR="00AF7A4B" w:rsidRPr="00DB1B5F">
              <w:rPr>
                <w:rFonts w:ascii="Arial" w:eastAsia="Times New Roman" w:hAnsi="Arial" w:cs="Arial"/>
                <w:color w:val="000000"/>
                <w:sz w:val="20"/>
                <w:szCs w:val="20"/>
                <w:lang w:eastAsia="es-CO"/>
              </w:rPr>
              <w:t xml:space="preserve"> S.A. </w:t>
            </w:r>
          </w:p>
        </w:tc>
        <w:tc>
          <w:tcPr>
            <w:tcW w:w="1559" w:type="dxa"/>
            <w:tcBorders>
              <w:top w:val="nil"/>
              <w:left w:val="nil"/>
              <w:bottom w:val="single" w:sz="4" w:space="0" w:color="auto"/>
              <w:right w:val="single" w:sz="4" w:space="0" w:color="auto"/>
            </w:tcBorders>
            <w:shd w:val="clear" w:color="000000" w:fill="FFFFFF"/>
            <w:vAlign w:val="center"/>
            <w:hideMark/>
          </w:tcPr>
          <w:p w:rsidR="00DB1B5F" w:rsidRPr="00DB1B5F" w:rsidRDefault="00DB1B5F" w:rsidP="00DB1B5F">
            <w:pPr>
              <w:spacing w:after="0" w:line="240" w:lineRule="auto"/>
              <w:jc w:val="center"/>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t>1</w:t>
            </w:r>
          </w:p>
        </w:tc>
      </w:tr>
      <w:tr w:rsidR="00DB1B5F" w:rsidRPr="00DB1B5F" w:rsidTr="00DB1B5F">
        <w:trPr>
          <w:trHeight w:val="20"/>
        </w:trPr>
        <w:tc>
          <w:tcPr>
            <w:tcW w:w="1063" w:type="dxa"/>
            <w:tcBorders>
              <w:top w:val="nil"/>
              <w:left w:val="single" w:sz="4" w:space="0" w:color="auto"/>
              <w:bottom w:val="single" w:sz="4" w:space="0" w:color="auto"/>
              <w:right w:val="single" w:sz="4" w:space="0" w:color="auto"/>
            </w:tcBorders>
            <w:shd w:val="clear" w:color="000000" w:fill="FFFFFF"/>
            <w:vAlign w:val="center"/>
            <w:hideMark/>
          </w:tcPr>
          <w:p w:rsidR="00DB1B5F" w:rsidRPr="00DB1B5F" w:rsidRDefault="00DB1B5F" w:rsidP="00DB1B5F">
            <w:pPr>
              <w:spacing w:after="0" w:line="240" w:lineRule="auto"/>
              <w:jc w:val="center"/>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t>2012</w:t>
            </w:r>
          </w:p>
        </w:tc>
        <w:tc>
          <w:tcPr>
            <w:tcW w:w="6749" w:type="dxa"/>
            <w:tcBorders>
              <w:top w:val="nil"/>
              <w:left w:val="nil"/>
              <w:bottom w:val="single" w:sz="4" w:space="0" w:color="auto"/>
              <w:right w:val="single" w:sz="4" w:space="0" w:color="auto"/>
            </w:tcBorders>
            <w:shd w:val="clear" w:color="000000" w:fill="FFFFFF"/>
            <w:vAlign w:val="center"/>
            <w:hideMark/>
          </w:tcPr>
          <w:p w:rsidR="00DB1B5F" w:rsidRPr="00DB1B5F" w:rsidRDefault="003E253B" w:rsidP="003E253B">
            <w:pPr>
              <w:spacing w:after="0" w:line="240" w:lineRule="auto"/>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t>Asociación</w:t>
            </w:r>
            <w:r w:rsidR="00AF7A4B" w:rsidRPr="00DB1B5F">
              <w:rPr>
                <w:rFonts w:ascii="Arial" w:eastAsia="Times New Roman" w:hAnsi="Arial" w:cs="Arial"/>
                <w:color w:val="000000"/>
                <w:sz w:val="20"/>
                <w:szCs w:val="20"/>
                <w:lang w:eastAsia="es-CO"/>
              </w:rPr>
              <w:t xml:space="preserve"> Mutual Ser Empresa Solidaria </w:t>
            </w:r>
            <w:r>
              <w:rPr>
                <w:rFonts w:ascii="Arial" w:eastAsia="Times New Roman" w:hAnsi="Arial" w:cs="Arial"/>
                <w:color w:val="000000"/>
                <w:sz w:val="20"/>
                <w:szCs w:val="20"/>
                <w:lang w:eastAsia="es-CO"/>
              </w:rPr>
              <w:t>d</w:t>
            </w:r>
            <w:r w:rsidR="00AF7A4B" w:rsidRPr="00DB1B5F">
              <w:rPr>
                <w:rFonts w:ascii="Arial" w:eastAsia="Times New Roman" w:hAnsi="Arial" w:cs="Arial"/>
                <w:color w:val="000000"/>
                <w:sz w:val="20"/>
                <w:szCs w:val="20"/>
                <w:lang w:eastAsia="es-CO"/>
              </w:rPr>
              <w:t xml:space="preserve">e Salud  </w:t>
            </w:r>
          </w:p>
        </w:tc>
        <w:tc>
          <w:tcPr>
            <w:tcW w:w="1559" w:type="dxa"/>
            <w:tcBorders>
              <w:top w:val="nil"/>
              <w:left w:val="nil"/>
              <w:bottom w:val="single" w:sz="4" w:space="0" w:color="auto"/>
              <w:right w:val="single" w:sz="4" w:space="0" w:color="auto"/>
            </w:tcBorders>
            <w:shd w:val="clear" w:color="000000" w:fill="FFFFFF"/>
            <w:vAlign w:val="center"/>
            <w:hideMark/>
          </w:tcPr>
          <w:p w:rsidR="00DB1B5F" w:rsidRPr="00DB1B5F" w:rsidRDefault="00DB1B5F" w:rsidP="00DB1B5F">
            <w:pPr>
              <w:spacing w:after="0" w:line="240" w:lineRule="auto"/>
              <w:jc w:val="center"/>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t>1</w:t>
            </w:r>
          </w:p>
        </w:tc>
      </w:tr>
      <w:tr w:rsidR="00DB1B5F" w:rsidRPr="00DB1B5F" w:rsidTr="00DB1B5F">
        <w:trPr>
          <w:trHeight w:val="20"/>
        </w:trPr>
        <w:tc>
          <w:tcPr>
            <w:tcW w:w="1063" w:type="dxa"/>
            <w:tcBorders>
              <w:top w:val="nil"/>
              <w:left w:val="single" w:sz="4" w:space="0" w:color="auto"/>
              <w:bottom w:val="single" w:sz="4" w:space="0" w:color="auto"/>
              <w:right w:val="single" w:sz="4" w:space="0" w:color="auto"/>
            </w:tcBorders>
            <w:shd w:val="clear" w:color="000000" w:fill="FFFFFF"/>
            <w:vAlign w:val="center"/>
            <w:hideMark/>
          </w:tcPr>
          <w:p w:rsidR="00DB1B5F" w:rsidRPr="00DB1B5F" w:rsidRDefault="00DB1B5F" w:rsidP="00DB1B5F">
            <w:pPr>
              <w:spacing w:after="0" w:line="240" w:lineRule="auto"/>
              <w:jc w:val="center"/>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t>2012</w:t>
            </w:r>
          </w:p>
        </w:tc>
        <w:tc>
          <w:tcPr>
            <w:tcW w:w="6749" w:type="dxa"/>
            <w:tcBorders>
              <w:top w:val="nil"/>
              <w:left w:val="nil"/>
              <w:bottom w:val="single" w:sz="4" w:space="0" w:color="auto"/>
              <w:right w:val="single" w:sz="4" w:space="0" w:color="auto"/>
            </w:tcBorders>
            <w:shd w:val="clear" w:color="000000" w:fill="FFFFFF"/>
            <w:vAlign w:val="center"/>
            <w:hideMark/>
          </w:tcPr>
          <w:p w:rsidR="00DB1B5F" w:rsidRPr="00DB1B5F" w:rsidRDefault="00AF7A4B" w:rsidP="003E253B">
            <w:pPr>
              <w:spacing w:after="0" w:line="240" w:lineRule="auto"/>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t xml:space="preserve">Solsalud </w:t>
            </w:r>
            <w:r w:rsidR="003E253B">
              <w:rPr>
                <w:rFonts w:ascii="Arial" w:eastAsia="Times New Roman" w:hAnsi="Arial" w:cs="Arial"/>
                <w:color w:val="000000"/>
                <w:sz w:val="20"/>
                <w:szCs w:val="20"/>
                <w:lang w:eastAsia="es-CO"/>
              </w:rPr>
              <w:t>EPS</w:t>
            </w:r>
            <w:r w:rsidRPr="00DB1B5F">
              <w:rPr>
                <w:rFonts w:ascii="Arial" w:eastAsia="Times New Roman" w:hAnsi="Arial" w:cs="Arial"/>
                <w:color w:val="000000"/>
                <w:sz w:val="20"/>
                <w:szCs w:val="20"/>
                <w:lang w:eastAsia="es-CO"/>
              </w:rPr>
              <w:t xml:space="preserve"> S.A.  </w:t>
            </w:r>
          </w:p>
        </w:tc>
        <w:tc>
          <w:tcPr>
            <w:tcW w:w="1559" w:type="dxa"/>
            <w:tcBorders>
              <w:top w:val="nil"/>
              <w:left w:val="nil"/>
              <w:bottom w:val="single" w:sz="4" w:space="0" w:color="auto"/>
              <w:right w:val="single" w:sz="4" w:space="0" w:color="auto"/>
            </w:tcBorders>
            <w:shd w:val="clear" w:color="000000" w:fill="FFFFFF"/>
            <w:vAlign w:val="center"/>
            <w:hideMark/>
          </w:tcPr>
          <w:p w:rsidR="00DB1B5F" w:rsidRPr="00DB1B5F" w:rsidRDefault="00DB1B5F" w:rsidP="00DB1B5F">
            <w:pPr>
              <w:spacing w:after="0" w:line="240" w:lineRule="auto"/>
              <w:jc w:val="center"/>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t>1</w:t>
            </w:r>
          </w:p>
        </w:tc>
      </w:tr>
      <w:tr w:rsidR="00DB1B5F" w:rsidRPr="00DB1B5F" w:rsidTr="00DB1B5F">
        <w:trPr>
          <w:trHeight w:val="20"/>
        </w:trPr>
        <w:tc>
          <w:tcPr>
            <w:tcW w:w="1063" w:type="dxa"/>
            <w:tcBorders>
              <w:top w:val="nil"/>
              <w:left w:val="single" w:sz="4" w:space="0" w:color="auto"/>
              <w:bottom w:val="single" w:sz="4" w:space="0" w:color="auto"/>
              <w:right w:val="single" w:sz="4" w:space="0" w:color="auto"/>
            </w:tcBorders>
            <w:shd w:val="clear" w:color="000000" w:fill="FFFFFF"/>
            <w:vAlign w:val="center"/>
            <w:hideMark/>
          </w:tcPr>
          <w:p w:rsidR="00DB1B5F" w:rsidRPr="00DB1B5F" w:rsidRDefault="00DB1B5F" w:rsidP="00DB1B5F">
            <w:pPr>
              <w:spacing w:after="0" w:line="240" w:lineRule="auto"/>
              <w:jc w:val="center"/>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t>2012</w:t>
            </w:r>
          </w:p>
        </w:tc>
        <w:tc>
          <w:tcPr>
            <w:tcW w:w="6749" w:type="dxa"/>
            <w:tcBorders>
              <w:top w:val="nil"/>
              <w:left w:val="nil"/>
              <w:bottom w:val="single" w:sz="4" w:space="0" w:color="auto"/>
              <w:right w:val="single" w:sz="4" w:space="0" w:color="auto"/>
            </w:tcBorders>
            <w:shd w:val="clear" w:color="000000" w:fill="FFFFFF"/>
            <w:vAlign w:val="center"/>
            <w:hideMark/>
          </w:tcPr>
          <w:p w:rsidR="00DB1B5F" w:rsidRPr="00DB1B5F" w:rsidRDefault="00AF7A4B" w:rsidP="00DB1B5F">
            <w:pPr>
              <w:spacing w:after="0" w:line="240" w:lineRule="auto"/>
              <w:rPr>
                <w:rFonts w:ascii="Arial" w:eastAsia="Times New Roman" w:hAnsi="Arial" w:cs="Arial"/>
                <w:color w:val="000000"/>
                <w:sz w:val="20"/>
                <w:szCs w:val="20"/>
                <w:lang w:eastAsia="es-CO"/>
              </w:rPr>
            </w:pPr>
            <w:proofErr w:type="spellStart"/>
            <w:r w:rsidRPr="00DB1B5F">
              <w:rPr>
                <w:rFonts w:ascii="Arial" w:eastAsia="Times New Roman" w:hAnsi="Arial" w:cs="Arial"/>
                <w:color w:val="000000"/>
                <w:sz w:val="20"/>
                <w:szCs w:val="20"/>
                <w:lang w:eastAsia="es-CO"/>
              </w:rPr>
              <w:t>Selvasalud</w:t>
            </w:r>
            <w:proofErr w:type="spellEnd"/>
            <w:r w:rsidRPr="00DB1B5F">
              <w:rPr>
                <w:rFonts w:ascii="Arial" w:eastAsia="Times New Roman" w:hAnsi="Arial" w:cs="Arial"/>
                <w:color w:val="000000"/>
                <w:sz w:val="20"/>
                <w:szCs w:val="20"/>
                <w:lang w:eastAsia="es-CO"/>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rsidR="00DB1B5F" w:rsidRPr="00DB1B5F" w:rsidRDefault="00DB1B5F" w:rsidP="00DB1B5F">
            <w:pPr>
              <w:spacing w:after="0" w:line="240" w:lineRule="auto"/>
              <w:jc w:val="center"/>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t>1</w:t>
            </w:r>
          </w:p>
        </w:tc>
      </w:tr>
      <w:tr w:rsidR="00DB1B5F" w:rsidRPr="00DB1B5F" w:rsidTr="00DB1B5F">
        <w:trPr>
          <w:trHeight w:val="20"/>
        </w:trPr>
        <w:tc>
          <w:tcPr>
            <w:tcW w:w="1063" w:type="dxa"/>
            <w:tcBorders>
              <w:top w:val="nil"/>
              <w:left w:val="single" w:sz="4" w:space="0" w:color="auto"/>
              <w:bottom w:val="single" w:sz="4" w:space="0" w:color="auto"/>
              <w:right w:val="single" w:sz="4" w:space="0" w:color="auto"/>
            </w:tcBorders>
            <w:shd w:val="clear" w:color="000000" w:fill="FFFFFF"/>
            <w:vAlign w:val="center"/>
            <w:hideMark/>
          </w:tcPr>
          <w:p w:rsidR="00DB1B5F" w:rsidRPr="00DB1B5F" w:rsidRDefault="00DB1B5F" w:rsidP="00DB1B5F">
            <w:pPr>
              <w:spacing w:after="0" w:line="240" w:lineRule="auto"/>
              <w:jc w:val="center"/>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t>2012</w:t>
            </w:r>
          </w:p>
        </w:tc>
        <w:tc>
          <w:tcPr>
            <w:tcW w:w="6749" w:type="dxa"/>
            <w:tcBorders>
              <w:top w:val="nil"/>
              <w:left w:val="nil"/>
              <w:bottom w:val="single" w:sz="4" w:space="0" w:color="auto"/>
              <w:right w:val="single" w:sz="4" w:space="0" w:color="auto"/>
            </w:tcBorders>
            <w:shd w:val="clear" w:color="000000" w:fill="FFFFFF"/>
            <w:vAlign w:val="center"/>
            <w:hideMark/>
          </w:tcPr>
          <w:p w:rsidR="00DB1B5F" w:rsidRPr="00DB1B5F" w:rsidRDefault="00AF7A4B" w:rsidP="003E253B">
            <w:pPr>
              <w:spacing w:after="0" w:line="240" w:lineRule="auto"/>
              <w:rPr>
                <w:rFonts w:ascii="Arial" w:eastAsia="Times New Roman" w:hAnsi="Arial" w:cs="Arial"/>
                <w:color w:val="000000"/>
                <w:sz w:val="20"/>
                <w:szCs w:val="20"/>
                <w:lang w:eastAsia="es-CO"/>
              </w:rPr>
            </w:pPr>
            <w:proofErr w:type="spellStart"/>
            <w:r w:rsidRPr="00DB1B5F">
              <w:rPr>
                <w:rFonts w:ascii="Arial" w:eastAsia="Times New Roman" w:hAnsi="Arial" w:cs="Arial"/>
                <w:color w:val="000000"/>
                <w:sz w:val="20"/>
                <w:szCs w:val="20"/>
                <w:lang w:eastAsia="es-CO"/>
              </w:rPr>
              <w:t>Dusakawi</w:t>
            </w:r>
            <w:proofErr w:type="spellEnd"/>
            <w:r w:rsidRPr="00DB1B5F">
              <w:rPr>
                <w:rFonts w:ascii="Arial" w:eastAsia="Times New Roman" w:hAnsi="Arial" w:cs="Arial"/>
                <w:color w:val="000000"/>
                <w:sz w:val="20"/>
                <w:szCs w:val="20"/>
                <w:lang w:eastAsia="es-CO"/>
              </w:rPr>
              <w:t xml:space="preserve"> </w:t>
            </w:r>
            <w:r w:rsidR="003E253B">
              <w:rPr>
                <w:rFonts w:ascii="Arial" w:eastAsia="Times New Roman" w:hAnsi="Arial" w:cs="Arial"/>
                <w:color w:val="000000"/>
                <w:sz w:val="20"/>
                <w:szCs w:val="20"/>
                <w:lang w:eastAsia="es-CO"/>
              </w:rPr>
              <w:t>EPSI</w:t>
            </w:r>
          </w:p>
        </w:tc>
        <w:tc>
          <w:tcPr>
            <w:tcW w:w="1559" w:type="dxa"/>
            <w:tcBorders>
              <w:top w:val="nil"/>
              <w:left w:val="nil"/>
              <w:bottom w:val="single" w:sz="4" w:space="0" w:color="auto"/>
              <w:right w:val="single" w:sz="4" w:space="0" w:color="auto"/>
            </w:tcBorders>
            <w:shd w:val="clear" w:color="000000" w:fill="FFFFFF"/>
            <w:vAlign w:val="center"/>
            <w:hideMark/>
          </w:tcPr>
          <w:p w:rsidR="00DB1B5F" w:rsidRPr="00DB1B5F" w:rsidRDefault="00DB1B5F" w:rsidP="00DB1B5F">
            <w:pPr>
              <w:spacing w:after="0" w:line="240" w:lineRule="auto"/>
              <w:jc w:val="center"/>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t>1</w:t>
            </w:r>
          </w:p>
        </w:tc>
      </w:tr>
      <w:tr w:rsidR="00DB1B5F" w:rsidRPr="00DB1B5F" w:rsidTr="00DB1B5F">
        <w:trPr>
          <w:trHeight w:val="20"/>
        </w:trPr>
        <w:tc>
          <w:tcPr>
            <w:tcW w:w="1063" w:type="dxa"/>
            <w:tcBorders>
              <w:top w:val="nil"/>
              <w:left w:val="single" w:sz="4" w:space="0" w:color="auto"/>
              <w:bottom w:val="single" w:sz="4" w:space="0" w:color="auto"/>
              <w:right w:val="single" w:sz="4" w:space="0" w:color="auto"/>
            </w:tcBorders>
            <w:shd w:val="clear" w:color="000000" w:fill="FFFFFF"/>
            <w:vAlign w:val="center"/>
            <w:hideMark/>
          </w:tcPr>
          <w:p w:rsidR="00DB1B5F" w:rsidRPr="00DB1B5F" w:rsidRDefault="00DB1B5F" w:rsidP="00DB1B5F">
            <w:pPr>
              <w:spacing w:after="0" w:line="240" w:lineRule="auto"/>
              <w:jc w:val="center"/>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t>2013</w:t>
            </w:r>
          </w:p>
        </w:tc>
        <w:tc>
          <w:tcPr>
            <w:tcW w:w="6749" w:type="dxa"/>
            <w:tcBorders>
              <w:top w:val="nil"/>
              <w:left w:val="nil"/>
              <w:bottom w:val="single" w:sz="4" w:space="0" w:color="auto"/>
              <w:right w:val="single" w:sz="4" w:space="0" w:color="auto"/>
            </w:tcBorders>
            <w:shd w:val="clear" w:color="000000" w:fill="FFFFFF"/>
            <w:vAlign w:val="center"/>
            <w:hideMark/>
          </w:tcPr>
          <w:p w:rsidR="00DB1B5F" w:rsidRPr="00DB1B5F" w:rsidRDefault="00AF7A4B" w:rsidP="003E253B">
            <w:pPr>
              <w:spacing w:after="0" w:line="240" w:lineRule="auto"/>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t>Asociación Mutual Ser - Empresa Solidaria De Salud E</w:t>
            </w:r>
            <w:r w:rsidR="003E253B">
              <w:rPr>
                <w:rFonts w:ascii="Arial" w:eastAsia="Times New Roman" w:hAnsi="Arial" w:cs="Arial"/>
                <w:color w:val="000000"/>
                <w:sz w:val="20"/>
                <w:szCs w:val="20"/>
                <w:lang w:eastAsia="es-CO"/>
              </w:rPr>
              <w:t>SS</w:t>
            </w:r>
            <w:r w:rsidRPr="00DB1B5F">
              <w:rPr>
                <w:rFonts w:ascii="Arial" w:eastAsia="Times New Roman" w:hAnsi="Arial" w:cs="Arial"/>
                <w:color w:val="000000"/>
                <w:sz w:val="20"/>
                <w:szCs w:val="20"/>
                <w:lang w:eastAsia="es-CO"/>
              </w:rPr>
              <w:t xml:space="preserve"> </w:t>
            </w:r>
            <w:r w:rsidR="003E253B">
              <w:rPr>
                <w:rFonts w:ascii="Arial" w:eastAsia="Times New Roman" w:hAnsi="Arial" w:cs="Arial"/>
                <w:color w:val="000000"/>
                <w:sz w:val="20"/>
                <w:szCs w:val="20"/>
                <w:lang w:eastAsia="es-CO"/>
              </w:rPr>
              <w:t>–</w:t>
            </w:r>
            <w:r w:rsidRPr="00DB1B5F">
              <w:rPr>
                <w:rFonts w:ascii="Arial" w:eastAsia="Times New Roman" w:hAnsi="Arial" w:cs="Arial"/>
                <w:color w:val="000000"/>
                <w:sz w:val="20"/>
                <w:szCs w:val="20"/>
                <w:lang w:eastAsia="es-CO"/>
              </w:rPr>
              <w:t xml:space="preserve"> E</w:t>
            </w:r>
            <w:r w:rsidR="003E253B">
              <w:rPr>
                <w:rFonts w:ascii="Arial" w:eastAsia="Times New Roman" w:hAnsi="Arial" w:cs="Arial"/>
                <w:color w:val="000000"/>
                <w:sz w:val="20"/>
                <w:szCs w:val="20"/>
                <w:lang w:eastAsia="es-CO"/>
              </w:rPr>
              <w:t>PS</w:t>
            </w:r>
            <w:r w:rsidRPr="00DB1B5F">
              <w:rPr>
                <w:rFonts w:ascii="Arial" w:eastAsia="Times New Roman" w:hAnsi="Arial" w:cs="Arial"/>
                <w:color w:val="000000"/>
                <w:sz w:val="20"/>
                <w:szCs w:val="20"/>
                <w:lang w:eastAsia="es-CO"/>
              </w:rPr>
              <w:t>-S</w:t>
            </w:r>
          </w:p>
        </w:tc>
        <w:tc>
          <w:tcPr>
            <w:tcW w:w="1559" w:type="dxa"/>
            <w:tcBorders>
              <w:top w:val="nil"/>
              <w:left w:val="nil"/>
              <w:bottom w:val="single" w:sz="4" w:space="0" w:color="auto"/>
              <w:right w:val="single" w:sz="4" w:space="0" w:color="auto"/>
            </w:tcBorders>
            <w:shd w:val="clear" w:color="000000" w:fill="FFFFFF"/>
            <w:vAlign w:val="center"/>
            <w:hideMark/>
          </w:tcPr>
          <w:p w:rsidR="00DB1B5F" w:rsidRPr="00DB1B5F" w:rsidRDefault="00DB1B5F" w:rsidP="00DB1B5F">
            <w:pPr>
              <w:spacing w:after="0" w:line="240" w:lineRule="auto"/>
              <w:jc w:val="center"/>
              <w:rPr>
                <w:rFonts w:ascii="Arial" w:eastAsia="Times New Roman" w:hAnsi="Arial" w:cs="Arial"/>
                <w:color w:val="000000"/>
                <w:sz w:val="20"/>
                <w:szCs w:val="20"/>
                <w:lang w:eastAsia="es-CO"/>
              </w:rPr>
            </w:pPr>
            <w:r w:rsidRPr="00DB1B5F">
              <w:rPr>
                <w:rFonts w:ascii="Arial" w:eastAsia="Times New Roman" w:hAnsi="Arial" w:cs="Arial"/>
                <w:color w:val="000000"/>
                <w:sz w:val="20"/>
                <w:szCs w:val="20"/>
                <w:lang w:eastAsia="es-CO"/>
              </w:rPr>
              <w:t>1</w:t>
            </w:r>
          </w:p>
        </w:tc>
      </w:tr>
    </w:tbl>
    <w:p w:rsidR="003E253B" w:rsidRPr="003E253B" w:rsidRDefault="003E253B" w:rsidP="009F4FDB">
      <w:pPr>
        <w:spacing w:after="0" w:line="240" w:lineRule="auto"/>
        <w:jc w:val="both"/>
        <w:rPr>
          <w:rFonts w:ascii="Arial" w:hAnsi="Arial" w:cs="Arial"/>
          <w:sz w:val="16"/>
          <w:szCs w:val="16"/>
        </w:rPr>
      </w:pPr>
      <w:r w:rsidRPr="003E253B">
        <w:rPr>
          <w:rFonts w:ascii="Arial" w:hAnsi="Arial" w:cs="Arial"/>
          <w:sz w:val="16"/>
          <w:szCs w:val="16"/>
        </w:rPr>
        <w:t>Fuente: Construcción Delegada de Generación y Gestión de Recursos</w:t>
      </w:r>
    </w:p>
    <w:p w:rsidR="003E253B" w:rsidRDefault="003E253B" w:rsidP="009F4FDB">
      <w:pPr>
        <w:spacing w:after="0" w:line="240" w:lineRule="auto"/>
        <w:jc w:val="both"/>
        <w:rPr>
          <w:rFonts w:ascii="Arial" w:hAnsi="Arial" w:cs="Arial"/>
        </w:rPr>
      </w:pPr>
    </w:p>
    <w:p w:rsidR="00905B00" w:rsidRPr="001A5760" w:rsidRDefault="00905B00" w:rsidP="002C55BE">
      <w:pPr>
        <w:pStyle w:val="Sinespaciado"/>
        <w:jc w:val="both"/>
        <w:rPr>
          <w:rFonts w:ascii="Arial" w:hAnsi="Arial" w:cs="Arial"/>
          <w:b/>
          <w:bCs/>
        </w:rPr>
      </w:pPr>
    </w:p>
    <w:sectPr w:rsidR="00905B00" w:rsidRPr="001A5760" w:rsidSect="00C755AD">
      <w:headerReference w:type="default" r:id="rId11"/>
      <w:footerReference w:type="default" r:id="rId12"/>
      <w:pgSz w:w="12240" w:h="15840"/>
      <w:pgMar w:top="1559" w:right="1418" w:bottom="1418" w:left="1418" w:header="138" w:footer="2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46E" w:rsidRDefault="000A546E" w:rsidP="008B2A76">
      <w:pPr>
        <w:spacing w:after="0" w:line="240" w:lineRule="auto"/>
      </w:pPr>
      <w:r>
        <w:separator/>
      </w:r>
    </w:p>
  </w:endnote>
  <w:endnote w:type="continuationSeparator" w:id="0">
    <w:p w:rsidR="000A546E" w:rsidRDefault="000A546E" w:rsidP="008B2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es-ES"/>
      </w:rPr>
      <w:id w:val="250395305"/>
      <w:docPartObj>
        <w:docPartGallery w:val="Page Numbers (Top of Page)"/>
        <w:docPartUnique/>
      </w:docPartObj>
    </w:sdtPr>
    <w:sdtEndPr/>
    <w:sdtContent>
      <w:p w:rsidR="009F4FDB" w:rsidRDefault="009F4FDB" w:rsidP="00141B5F">
        <w:pPr>
          <w:spacing w:after="0" w:line="240" w:lineRule="auto"/>
          <w:jc w:val="right"/>
          <w:rPr>
            <w:lang w:val="es-ES"/>
          </w:rPr>
        </w:pPr>
        <w:r>
          <w:rPr>
            <w:lang w:val="es-ES"/>
          </w:rPr>
          <w:t xml:space="preserve">Página </w:t>
        </w:r>
        <w:r>
          <w:rPr>
            <w:lang w:val="es-ES"/>
          </w:rPr>
          <w:fldChar w:fldCharType="begin"/>
        </w:r>
        <w:r>
          <w:rPr>
            <w:lang w:val="es-ES"/>
          </w:rPr>
          <w:instrText xml:space="preserve"> PAGE </w:instrText>
        </w:r>
        <w:r>
          <w:rPr>
            <w:lang w:val="es-ES"/>
          </w:rPr>
          <w:fldChar w:fldCharType="separate"/>
        </w:r>
        <w:r w:rsidR="00CF1899">
          <w:rPr>
            <w:noProof/>
            <w:lang w:val="es-ES"/>
          </w:rPr>
          <w:t>1</w:t>
        </w:r>
        <w:r>
          <w:rPr>
            <w:lang w:val="es-ES"/>
          </w:rPr>
          <w:fldChar w:fldCharType="end"/>
        </w:r>
        <w:r>
          <w:rPr>
            <w:lang w:val="es-ES"/>
          </w:rPr>
          <w:t xml:space="preserve"> de </w:t>
        </w:r>
        <w:r>
          <w:rPr>
            <w:lang w:val="es-ES"/>
          </w:rPr>
          <w:fldChar w:fldCharType="begin"/>
        </w:r>
        <w:r>
          <w:rPr>
            <w:lang w:val="es-ES"/>
          </w:rPr>
          <w:instrText xml:space="preserve"> NUMPAGES  </w:instrText>
        </w:r>
        <w:r>
          <w:rPr>
            <w:lang w:val="es-ES"/>
          </w:rPr>
          <w:fldChar w:fldCharType="separate"/>
        </w:r>
        <w:r w:rsidR="00CF1899">
          <w:rPr>
            <w:noProof/>
            <w:lang w:val="es-ES"/>
          </w:rPr>
          <w:t>12</w:t>
        </w:r>
        <w:r>
          <w:rPr>
            <w:lang w:val="es-ES"/>
          </w:rPr>
          <w:fldChar w:fldCharType="end"/>
        </w:r>
      </w:p>
    </w:sdtContent>
  </w:sdt>
  <w:p w:rsidR="009F4FDB" w:rsidRDefault="009F4FDB" w:rsidP="00E02E34">
    <w:pPr>
      <w:pStyle w:val="Piedepgina"/>
      <w:ind w:right="-142" w:hanging="1134"/>
    </w:pPr>
    <w:r>
      <w:rPr>
        <w:noProof/>
        <w:lang w:eastAsia="es-CO"/>
      </w:rPr>
      <w:drawing>
        <wp:inline distT="0" distB="0" distL="0" distR="0" wp14:anchorId="76BF78D3" wp14:editId="2A8B3F40">
          <wp:extent cx="7029450" cy="866775"/>
          <wp:effectExtent l="19050" t="0" r="0" b="0"/>
          <wp:docPr id="1" name="Imagen 1" descr="Hoja c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ja carta"/>
                  <pic:cNvPicPr>
                    <a:picLocks noChangeAspect="1" noChangeArrowheads="1"/>
                  </pic:cNvPicPr>
                </pic:nvPicPr>
                <pic:blipFill>
                  <a:blip r:embed="rId1"/>
                  <a:srcRect/>
                  <a:stretch>
                    <a:fillRect/>
                  </a:stretch>
                </pic:blipFill>
                <pic:spPr bwMode="auto">
                  <a:xfrm>
                    <a:off x="0" y="0"/>
                    <a:ext cx="7029450" cy="8667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46E" w:rsidRDefault="000A546E" w:rsidP="008B2A76">
      <w:pPr>
        <w:spacing w:after="0" w:line="240" w:lineRule="auto"/>
      </w:pPr>
      <w:r>
        <w:separator/>
      </w:r>
    </w:p>
  </w:footnote>
  <w:footnote w:type="continuationSeparator" w:id="0">
    <w:p w:rsidR="000A546E" w:rsidRDefault="000A546E" w:rsidP="008B2A76">
      <w:pPr>
        <w:spacing w:after="0" w:line="240" w:lineRule="auto"/>
      </w:pPr>
      <w:r>
        <w:continuationSeparator/>
      </w:r>
    </w:p>
  </w:footnote>
  <w:footnote w:id="1">
    <w:p w:rsidR="009F4FDB" w:rsidRPr="00C83312" w:rsidRDefault="009F4FDB" w:rsidP="002C55BE">
      <w:pPr>
        <w:pStyle w:val="Textonotapie"/>
        <w:rPr>
          <w:rFonts w:ascii="Verdana" w:hAnsi="Verdana"/>
        </w:rPr>
      </w:pPr>
      <w:r w:rsidRPr="00C83312">
        <w:rPr>
          <w:rStyle w:val="Refdenotaalpie"/>
          <w:rFonts w:ascii="Verdana" w:hAnsi="Verdana"/>
          <w:sz w:val="18"/>
        </w:rPr>
        <w:footnoteRef/>
      </w:r>
      <w:r w:rsidRPr="00C83312">
        <w:rPr>
          <w:rFonts w:ascii="Verdana" w:hAnsi="Verdana"/>
          <w:sz w:val="18"/>
        </w:rPr>
        <w:t xml:space="preserve"> Modificado </w:t>
      </w:r>
      <w:r w:rsidRPr="00C83312">
        <w:rPr>
          <w:rFonts w:ascii="Verdana" w:hAnsi="Verdana" w:cs="Arial"/>
          <w:color w:val="000000"/>
          <w:sz w:val="18"/>
          <w:lang w:val="es-ES"/>
        </w:rPr>
        <w:t>por los Decretos 1700 y 3830 de 2011.</w:t>
      </w:r>
    </w:p>
  </w:footnote>
  <w:footnote w:id="2">
    <w:p w:rsidR="009F4FDB" w:rsidRPr="00307EBD" w:rsidRDefault="009F4FDB" w:rsidP="009F4FDB">
      <w:pPr>
        <w:pStyle w:val="Textonotapie"/>
        <w:jc w:val="both"/>
        <w:rPr>
          <w:rFonts w:ascii="Arial" w:hAnsi="Arial" w:cs="Arial"/>
          <w:sz w:val="16"/>
        </w:rPr>
      </w:pPr>
      <w:r w:rsidRPr="004758CA">
        <w:rPr>
          <w:rStyle w:val="Refdenotaalpie"/>
          <w:rFonts w:ascii="Arial" w:hAnsi="Arial" w:cs="Arial"/>
          <w:sz w:val="16"/>
        </w:rPr>
        <w:footnoteRef/>
      </w:r>
      <w:r w:rsidRPr="004758CA">
        <w:rPr>
          <w:rFonts w:ascii="Arial" w:hAnsi="Arial" w:cs="Arial"/>
          <w:sz w:val="16"/>
        </w:rPr>
        <w:t xml:space="preserve"> La información presupuestal y financiera tenida en cuenta para la categorización del riesgo en la ESE, corresponde a la reportada por éstas con corte a 31 de diciembre de la vigencia anterior al año en que se realiza la categorización en cumplimiento de lo establecido en el Decreto 2193.</w:t>
      </w:r>
      <w:r w:rsidRPr="00307EBD">
        <w:rPr>
          <w:rFonts w:ascii="Arial" w:hAnsi="Arial" w:cs="Arial"/>
          <w:sz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FDB" w:rsidRPr="00C755AD" w:rsidRDefault="009F4FDB" w:rsidP="008B2A76">
    <w:pPr>
      <w:pStyle w:val="Encabezado"/>
      <w:tabs>
        <w:tab w:val="clear" w:pos="8838"/>
      </w:tabs>
      <w:ind w:left="-1418"/>
      <w:rPr>
        <w:noProof/>
        <w:sz w:val="20"/>
        <w:lang w:eastAsia="es-CO"/>
      </w:rPr>
    </w:pPr>
    <w:r w:rsidRPr="00C755AD">
      <w:rPr>
        <w:noProof/>
        <w:sz w:val="20"/>
        <w:lang w:eastAsia="es-CO"/>
      </w:rPr>
      <w:drawing>
        <wp:anchor distT="0" distB="0" distL="114300" distR="114300" simplePos="0" relativeHeight="251660800" behindDoc="1" locked="0" layoutInCell="1" allowOverlap="1" wp14:anchorId="3FE6E82B" wp14:editId="1865A2E6">
          <wp:simplePos x="0" y="0"/>
          <wp:positionH relativeFrom="column">
            <wp:posOffset>-899160</wp:posOffset>
          </wp:positionH>
          <wp:positionV relativeFrom="paragraph">
            <wp:posOffset>-459105</wp:posOffset>
          </wp:positionV>
          <wp:extent cx="7350125" cy="1343025"/>
          <wp:effectExtent l="0" t="0" r="0" b="0"/>
          <wp:wrapThrough wrapText="bothSides">
            <wp:wrapPolygon edited="0">
              <wp:start x="5430" y="6128"/>
              <wp:lineTo x="3079" y="9191"/>
              <wp:lineTo x="784" y="11336"/>
              <wp:lineTo x="728" y="14706"/>
              <wp:lineTo x="1008" y="15932"/>
              <wp:lineTo x="1679" y="16545"/>
              <wp:lineTo x="20770" y="16545"/>
              <wp:lineTo x="20882" y="15932"/>
              <wp:lineTo x="21050" y="12868"/>
              <wp:lineTo x="21050" y="10111"/>
              <wp:lineTo x="20938" y="7660"/>
              <wp:lineTo x="20714" y="6128"/>
              <wp:lineTo x="5430" y="6128"/>
            </wp:wrapPolygon>
          </wp:wrapThrough>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licacion-envia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50125" cy="1343025"/>
                  </a:xfrm>
                  <a:prstGeom prst="rect">
                    <a:avLst/>
                  </a:prstGeom>
                </pic:spPr>
              </pic:pic>
            </a:graphicData>
          </a:graphic>
        </wp:anchor>
      </w:drawing>
    </w:r>
  </w:p>
  <w:p w:rsidR="009F4FDB" w:rsidRPr="00C755AD" w:rsidRDefault="009F4FDB" w:rsidP="008B2A76">
    <w:pPr>
      <w:pStyle w:val="Encabezado"/>
      <w:tabs>
        <w:tab w:val="clear" w:pos="8838"/>
      </w:tabs>
      <w:ind w:left="-1418"/>
      <w:rPr>
        <w:noProof/>
        <w:sz w:val="20"/>
        <w:lang w:eastAsia="es-CO"/>
      </w:rPr>
    </w:pPr>
  </w:p>
  <w:p w:rsidR="009F4FDB" w:rsidRPr="00C755AD" w:rsidRDefault="009F4FDB" w:rsidP="008B2A76">
    <w:pPr>
      <w:pStyle w:val="Encabezado"/>
      <w:tabs>
        <w:tab w:val="clear" w:pos="8838"/>
      </w:tabs>
      <w:ind w:left="-1418"/>
      <w:rPr>
        <w:noProof/>
        <w:sz w:val="20"/>
        <w:lang w:eastAsia="es-CO"/>
      </w:rPr>
    </w:pPr>
  </w:p>
  <w:p w:rsidR="009F4FDB" w:rsidRPr="00C755AD" w:rsidRDefault="009F4FDB" w:rsidP="008B2A76">
    <w:pPr>
      <w:pStyle w:val="Encabezado"/>
      <w:tabs>
        <w:tab w:val="clear" w:pos="8838"/>
      </w:tabs>
      <w:ind w:left="-1418"/>
      <w:jc w:val="right"/>
      <w:rPr>
        <w:noProof/>
        <w:sz w:val="20"/>
        <w:lang w:eastAsia="es-CO"/>
      </w:rPr>
    </w:pPr>
  </w:p>
  <w:p w:rsidR="009F4FDB" w:rsidRPr="00C755AD" w:rsidRDefault="009F4FDB" w:rsidP="008B2A76">
    <w:pPr>
      <w:pStyle w:val="Encabezado"/>
      <w:tabs>
        <w:tab w:val="clear" w:pos="8838"/>
      </w:tabs>
      <w:ind w:left="-1418"/>
      <w:jc w:val="right"/>
      <w:rPr>
        <w:noProof/>
        <w:sz w:val="20"/>
        <w:lang w:eastAsia="es-CO"/>
      </w:rPr>
    </w:pPr>
  </w:p>
  <w:p w:rsidR="009F4FDB" w:rsidRPr="00C755AD" w:rsidRDefault="009F4FDB" w:rsidP="008B2A76">
    <w:pPr>
      <w:pStyle w:val="Encabezado"/>
      <w:tabs>
        <w:tab w:val="clear" w:pos="8838"/>
      </w:tabs>
      <w:ind w:left="-1418"/>
      <w:jc w:val="right"/>
      <w:rPr>
        <w:noProof/>
        <w:sz w:val="20"/>
        <w:lang w:eastAsia="es-CO"/>
      </w:rPr>
    </w:pPr>
  </w:p>
  <w:p w:rsidR="009F4FDB" w:rsidRDefault="009F4FDB" w:rsidP="008B2A76">
    <w:pPr>
      <w:pStyle w:val="Encabezado"/>
      <w:tabs>
        <w:tab w:val="clear" w:pos="8838"/>
      </w:tabs>
      <w:ind w:left="-1418"/>
      <w:jc w:val="right"/>
      <w:rPr>
        <w:noProof/>
        <w:sz w:val="20"/>
        <w:lang w:eastAsia="es-CO"/>
      </w:rPr>
    </w:pPr>
    <w:r w:rsidRPr="00C755AD">
      <w:rPr>
        <w:noProof/>
        <w:sz w:val="20"/>
        <w:lang w:eastAsia="es-CO"/>
      </w:rPr>
      <w:t>FI-PLAN-110810 – V 5</w:t>
    </w:r>
  </w:p>
  <w:p w:rsidR="009F4FDB" w:rsidRPr="00C755AD" w:rsidRDefault="009F4FDB" w:rsidP="008B2A76">
    <w:pPr>
      <w:pStyle w:val="Encabezado"/>
      <w:tabs>
        <w:tab w:val="clear" w:pos="8838"/>
      </w:tabs>
      <w:ind w:left="-1418"/>
      <w:jc w:val="right"/>
      <w:rPr>
        <w:noProof/>
        <w:sz w:val="18"/>
        <w:lang w:eastAsia="es-C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52A6656"/>
    <w:lvl w:ilvl="0">
      <w:numFmt w:val="bullet"/>
      <w:lvlText w:val="*"/>
      <w:lvlJc w:val="left"/>
    </w:lvl>
  </w:abstractNum>
  <w:abstractNum w:abstractNumId="1">
    <w:nsid w:val="050B2497"/>
    <w:multiLevelType w:val="hybridMultilevel"/>
    <w:tmpl w:val="4D620146"/>
    <w:lvl w:ilvl="0" w:tplc="ACFCBDDC">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nsid w:val="088054ED"/>
    <w:multiLevelType w:val="hybridMultilevel"/>
    <w:tmpl w:val="C2302256"/>
    <w:lvl w:ilvl="0" w:tplc="01766D12">
      <w:start w:val="5"/>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3497CD4"/>
    <w:multiLevelType w:val="hybridMultilevel"/>
    <w:tmpl w:val="7DB06DD2"/>
    <w:lvl w:ilvl="0" w:tplc="6F1ACCF8">
      <w:start w:val="1"/>
      <w:numFmt w:val="upperRoman"/>
      <w:lvlText w:val="%1."/>
      <w:lvlJc w:val="righ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60F6D7E"/>
    <w:multiLevelType w:val="hybridMultilevel"/>
    <w:tmpl w:val="5A8C04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36EB123F"/>
    <w:multiLevelType w:val="hybridMultilevel"/>
    <w:tmpl w:val="4D78749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3F6C4499"/>
    <w:multiLevelType w:val="hybridMultilevel"/>
    <w:tmpl w:val="C344C0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48E66536"/>
    <w:multiLevelType w:val="hybridMultilevel"/>
    <w:tmpl w:val="418885A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nsid w:val="54964174"/>
    <w:multiLevelType w:val="hybridMultilevel"/>
    <w:tmpl w:val="80B407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5C863A9D"/>
    <w:multiLevelType w:val="hybridMultilevel"/>
    <w:tmpl w:val="B0FAEA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5D610E3E"/>
    <w:multiLevelType w:val="hybridMultilevel"/>
    <w:tmpl w:val="4CACC70A"/>
    <w:lvl w:ilvl="0" w:tplc="743A3146">
      <w:start w:val="1"/>
      <w:numFmt w:val="decimal"/>
      <w:lvlText w:val="%1."/>
      <w:lvlJc w:val="left"/>
      <w:pPr>
        <w:ind w:left="786" w:hanging="360"/>
      </w:pPr>
      <w:rPr>
        <w:rFonts w:hint="default"/>
        <w:b/>
      </w:rPr>
    </w:lvl>
    <w:lvl w:ilvl="1" w:tplc="240A0019">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1">
    <w:nsid w:val="5F1338E1"/>
    <w:multiLevelType w:val="hybridMultilevel"/>
    <w:tmpl w:val="E6DE53F8"/>
    <w:lvl w:ilvl="0" w:tplc="2D3EE892">
      <w:start w:val="10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6784064C"/>
    <w:multiLevelType w:val="hybridMultilevel"/>
    <w:tmpl w:val="0E74FB0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nsid w:val="73097582"/>
    <w:multiLevelType w:val="hybridMultilevel"/>
    <w:tmpl w:val="58A881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762E101E"/>
    <w:multiLevelType w:val="hybridMultilevel"/>
    <w:tmpl w:val="217A89C4"/>
    <w:lvl w:ilvl="0" w:tplc="2D3EE892">
      <w:start w:val="10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77541927"/>
    <w:multiLevelType w:val="hybridMultilevel"/>
    <w:tmpl w:val="DC6CA450"/>
    <w:lvl w:ilvl="0" w:tplc="A736354A">
      <w:numFmt w:val="bullet"/>
      <w:lvlText w:val="-"/>
      <w:lvlJc w:val="left"/>
      <w:pPr>
        <w:ind w:left="684" w:hanging="360"/>
      </w:pPr>
      <w:rPr>
        <w:rFonts w:ascii="Arial" w:eastAsiaTheme="minorHAnsi" w:hAnsi="Arial" w:cs="Arial" w:hint="default"/>
      </w:rPr>
    </w:lvl>
    <w:lvl w:ilvl="1" w:tplc="240A0003" w:tentative="1">
      <w:start w:val="1"/>
      <w:numFmt w:val="bullet"/>
      <w:lvlText w:val="o"/>
      <w:lvlJc w:val="left"/>
      <w:pPr>
        <w:ind w:left="1404" w:hanging="360"/>
      </w:pPr>
      <w:rPr>
        <w:rFonts w:ascii="Courier New" w:hAnsi="Courier New" w:cs="Courier New" w:hint="default"/>
      </w:rPr>
    </w:lvl>
    <w:lvl w:ilvl="2" w:tplc="240A0005" w:tentative="1">
      <w:start w:val="1"/>
      <w:numFmt w:val="bullet"/>
      <w:lvlText w:val=""/>
      <w:lvlJc w:val="left"/>
      <w:pPr>
        <w:ind w:left="2124" w:hanging="360"/>
      </w:pPr>
      <w:rPr>
        <w:rFonts w:ascii="Wingdings" w:hAnsi="Wingdings" w:hint="default"/>
      </w:rPr>
    </w:lvl>
    <w:lvl w:ilvl="3" w:tplc="240A0001" w:tentative="1">
      <w:start w:val="1"/>
      <w:numFmt w:val="bullet"/>
      <w:lvlText w:val=""/>
      <w:lvlJc w:val="left"/>
      <w:pPr>
        <w:ind w:left="2844" w:hanging="360"/>
      </w:pPr>
      <w:rPr>
        <w:rFonts w:ascii="Symbol" w:hAnsi="Symbol" w:hint="default"/>
      </w:rPr>
    </w:lvl>
    <w:lvl w:ilvl="4" w:tplc="240A0003" w:tentative="1">
      <w:start w:val="1"/>
      <w:numFmt w:val="bullet"/>
      <w:lvlText w:val="o"/>
      <w:lvlJc w:val="left"/>
      <w:pPr>
        <w:ind w:left="3564" w:hanging="360"/>
      </w:pPr>
      <w:rPr>
        <w:rFonts w:ascii="Courier New" w:hAnsi="Courier New" w:cs="Courier New" w:hint="default"/>
      </w:rPr>
    </w:lvl>
    <w:lvl w:ilvl="5" w:tplc="240A0005" w:tentative="1">
      <w:start w:val="1"/>
      <w:numFmt w:val="bullet"/>
      <w:lvlText w:val=""/>
      <w:lvlJc w:val="left"/>
      <w:pPr>
        <w:ind w:left="4284" w:hanging="360"/>
      </w:pPr>
      <w:rPr>
        <w:rFonts w:ascii="Wingdings" w:hAnsi="Wingdings" w:hint="default"/>
      </w:rPr>
    </w:lvl>
    <w:lvl w:ilvl="6" w:tplc="240A0001" w:tentative="1">
      <w:start w:val="1"/>
      <w:numFmt w:val="bullet"/>
      <w:lvlText w:val=""/>
      <w:lvlJc w:val="left"/>
      <w:pPr>
        <w:ind w:left="5004" w:hanging="360"/>
      </w:pPr>
      <w:rPr>
        <w:rFonts w:ascii="Symbol" w:hAnsi="Symbol" w:hint="default"/>
      </w:rPr>
    </w:lvl>
    <w:lvl w:ilvl="7" w:tplc="240A0003" w:tentative="1">
      <w:start w:val="1"/>
      <w:numFmt w:val="bullet"/>
      <w:lvlText w:val="o"/>
      <w:lvlJc w:val="left"/>
      <w:pPr>
        <w:ind w:left="5724" w:hanging="360"/>
      </w:pPr>
      <w:rPr>
        <w:rFonts w:ascii="Courier New" w:hAnsi="Courier New" w:cs="Courier New" w:hint="default"/>
      </w:rPr>
    </w:lvl>
    <w:lvl w:ilvl="8" w:tplc="240A0005" w:tentative="1">
      <w:start w:val="1"/>
      <w:numFmt w:val="bullet"/>
      <w:lvlText w:val=""/>
      <w:lvlJc w:val="left"/>
      <w:pPr>
        <w:ind w:left="6444" w:hanging="360"/>
      </w:pPr>
      <w:rPr>
        <w:rFonts w:ascii="Wingdings" w:hAnsi="Wingdings" w:hint="default"/>
      </w:rPr>
    </w:lvl>
  </w:abstractNum>
  <w:abstractNum w:abstractNumId="16">
    <w:nsid w:val="789673B6"/>
    <w:multiLevelType w:val="hybridMultilevel"/>
    <w:tmpl w:val="073CDA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7AD932C4"/>
    <w:multiLevelType w:val="hybridMultilevel"/>
    <w:tmpl w:val="A088EF2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8">
    <w:nsid w:val="7BA71425"/>
    <w:multiLevelType w:val="hybridMultilevel"/>
    <w:tmpl w:val="109A66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16"/>
  </w:num>
  <w:num w:numId="5">
    <w:abstractNumId w:val="17"/>
  </w:num>
  <w:num w:numId="6">
    <w:abstractNumId w:val="2"/>
  </w:num>
  <w:num w:numId="7">
    <w:abstractNumId w:val="18"/>
  </w:num>
  <w:num w:numId="8">
    <w:abstractNumId w:val="5"/>
  </w:num>
  <w:num w:numId="9">
    <w:abstractNumId w:val="12"/>
  </w:num>
  <w:num w:numId="10">
    <w:abstractNumId w:val="6"/>
  </w:num>
  <w:num w:numId="11">
    <w:abstractNumId w:val="10"/>
  </w:num>
  <w:num w:numId="12">
    <w:abstractNumId w:val="1"/>
  </w:num>
  <w:num w:numId="13">
    <w:abstractNumId w:val="13"/>
  </w:num>
  <w:num w:numId="14">
    <w:abstractNumId w:val="3"/>
  </w:num>
  <w:num w:numId="15">
    <w:abstractNumId w:val="9"/>
  </w:num>
  <w:num w:numId="16">
    <w:abstractNumId w:val="15"/>
  </w:num>
  <w:num w:numId="17">
    <w:abstractNumId w:val="11"/>
  </w:num>
  <w:num w:numId="18">
    <w:abstractNumId w:val="0"/>
    <w:lvlOverride w:ilvl="0">
      <w:lvl w:ilvl="0">
        <w:numFmt w:val="bullet"/>
        <w:lvlText w:val=""/>
        <w:legacy w:legacy="1" w:legacySpace="0" w:legacyIndent="0"/>
        <w:lvlJc w:val="left"/>
        <w:rPr>
          <w:rFonts w:ascii="Symbol" w:hAnsi="Symbol" w:hint="default"/>
          <w:sz w:val="22"/>
        </w:rPr>
      </w:lvl>
    </w:lvlOverride>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A76"/>
    <w:rsid w:val="00031C15"/>
    <w:rsid w:val="0003412A"/>
    <w:rsid w:val="000379A7"/>
    <w:rsid w:val="00041128"/>
    <w:rsid w:val="000577D7"/>
    <w:rsid w:val="00057C69"/>
    <w:rsid w:val="00073876"/>
    <w:rsid w:val="00083E29"/>
    <w:rsid w:val="00084B69"/>
    <w:rsid w:val="000860DE"/>
    <w:rsid w:val="000A546E"/>
    <w:rsid w:val="000B3526"/>
    <w:rsid w:val="000D1A89"/>
    <w:rsid w:val="000F0121"/>
    <w:rsid w:val="00103F48"/>
    <w:rsid w:val="00137AB7"/>
    <w:rsid w:val="00141B5F"/>
    <w:rsid w:val="001654F3"/>
    <w:rsid w:val="001670B0"/>
    <w:rsid w:val="001670BC"/>
    <w:rsid w:val="00167AB4"/>
    <w:rsid w:val="0017377E"/>
    <w:rsid w:val="00191C25"/>
    <w:rsid w:val="001A5760"/>
    <w:rsid w:val="001A5BE5"/>
    <w:rsid w:val="001A6B3C"/>
    <w:rsid w:val="001B2C57"/>
    <w:rsid w:val="001B5544"/>
    <w:rsid w:val="001B64CE"/>
    <w:rsid w:val="001E3B7C"/>
    <w:rsid w:val="00201B7C"/>
    <w:rsid w:val="00201BDF"/>
    <w:rsid w:val="0021173A"/>
    <w:rsid w:val="00214300"/>
    <w:rsid w:val="0022639F"/>
    <w:rsid w:val="00234D06"/>
    <w:rsid w:val="00236E06"/>
    <w:rsid w:val="00241BE2"/>
    <w:rsid w:val="002547DE"/>
    <w:rsid w:val="0026028E"/>
    <w:rsid w:val="00263E58"/>
    <w:rsid w:val="00266109"/>
    <w:rsid w:val="002A1D84"/>
    <w:rsid w:val="002A7149"/>
    <w:rsid w:val="002A73A7"/>
    <w:rsid w:val="002B3C81"/>
    <w:rsid w:val="002C55BE"/>
    <w:rsid w:val="002C659C"/>
    <w:rsid w:val="002D4058"/>
    <w:rsid w:val="002D52BC"/>
    <w:rsid w:val="002D5BD5"/>
    <w:rsid w:val="002D6CA6"/>
    <w:rsid w:val="003110F2"/>
    <w:rsid w:val="00315196"/>
    <w:rsid w:val="00333B6A"/>
    <w:rsid w:val="00360BF6"/>
    <w:rsid w:val="00361700"/>
    <w:rsid w:val="00380E0B"/>
    <w:rsid w:val="00393CDA"/>
    <w:rsid w:val="003A447C"/>
    <w:rsid w:val="003B16A0"/>
    <w:rsid w:val="003D5C4C"/>
    <w:rsid w:val="003D5E33"/>
    <w:rsid w:val="003E179C"/>
    <w:rsid w:val="003E253B"/>
    <w:rsid w:val="003E4510"/>
    <w:rsid w:val="003F30AF"/>
    <w:rsid w:val="00403A9B"/>
    <w:rsid w:val="0040792F"/>
    <w:rsid w:val="0041180C"/>
    <w:rsid w:val="0041499F"/>
    <w:rsid w:val="00414B08"/>
    <w:rsid w:val="004155BF"/>
    <w:rsid w:val="00450D40"/>
    <w:rsid w:val="00485916"/>
    <w:rsid w:val="00493F58"/>
    <w:rsid w:val="004B1161"/>
    <w:rsid w:val="004D5F76"/>
    <w:rsid w:val="004E1422"/>
    <w:rsid w:val="004E2BC5"/>
    <w:rsid w:val="0050410D"/>
    <w:rsid w:val="00512B6E"/>
    <w:rsid w:val="005149B1"/>
    <w:rsid w:val="00526E1D"/>
    <w:rsid w:val="005578A8"/>
    <w:rsid w:val="00582C33"/>
    <w:rsid w:val="00583644"/>
    <w:rsid w:val="00586CFB"/>
    <w:rsid w:val="005A172C"/>
    <w:rsid w:val="005A28E9"/>
    <w:rsid w:val="005B3C08"/>
    <w:rsid w:val="005E09C6"/>
    <w:rsid w:val="005F3C4D"/>
    <w:rsid w:val="0060052D"/>
    <w:rsid w:val="006207DC"/>
    <w:rsid w:val="00626E17"/>
    <w:rsid w:val="006271C7"/>
    <w:rsid w:val="00647181"/>
    <w:rsid w:val="00651792"/>
    <w:rsid w:val="006556E0"/>
    <w:rsid w:val="00673426"/>
    <w:rsid w:val="00684432"/>
    <w:rsid w:val="0068675A"/>
    <w:rsid w:val="0069324E"/>
    <w:rsid w:val="00694201"/>
    <w:rsid w:val="006B0482"/>
    <w:rsid w:val="006B689A"/>
    <w:rsid w:val="006C0B10"/>
    <w:rsid w:val="006D37C3"/>
    <w:rsid w:val="006E27F8"/>
    <w:rsid w:val="006E3161"/>
    <w:rsid w:val="006E5084"/>
    <w:rsid w:val="00730C6E"/>
    <w:rsid w:val="00736FBE"/>
    <w:rsid w:val="0074537E"/>
    <w:rsid w:val="007715ED"/>
    <w:rsid w:val="00775EDC"/>
    <w:rsid w:val="007A71A8"/>
    <w:rsid w:val="007A7EB9"/>
    <w:rsid w:val="007C26D0"/>
    <w:rsid w:val="0081067F"/>
    <w:rsid w:val="008137F1"/>
    <w:rsid w:val="0082104A"/>
    <w:rsid w:val="008230BA"/>
    <w:rsid w:val="008353DA"/>
    <w:rsid w:val="00842499"/>
    <w:rsid w:val="0084309D"/>
    <w:rsid w:val="00850A6B"/>
    <w:rsid w:val="008541E5"/>
    <w:rsid w:val="008851D3"/>
    <w:rsid w:val="00886F62"/>
    <w:rsid w:val="00895453"/>
    <w:rsid w:val="008A5C0D"/>
    <w:rsid w:val="008B2A76"/>
    <w:rsid w:val="008C032C"/>
    <w:rsid w:val="008E1BD1"/>
    <w:rsid w:val="008F3068"/>
    <w:rsid w:val="008F7EA5"/>
    <w:rsid w:val="00903DC6"/>
    <w:rsid w:val="00905B00"/>
    <w:rsid w:val="00911BE5"/>
    <w:rsid w:val="009235C2"/>
    <w:rsid w:val="0093335B"/>
    <w:rsid w:val="0094220F"/>
    <w:rsid w:val="00955E22"/>
    <w:rsid w:val="0095763F"/>
    <w:rsid w:val="009626B2"/>
    <w:rsid w:val="009820C6"/>
    <w:rsid w:val="009B28E0"/>
    <w:rsid w:val="009E7C43"/>
    <w:rsid w:val="009F4FDB"/>
    <w:rsid w:val="00A06040"/>
    <w:rsid w:val="00A20565"/>
    <w:rsid w:val="00A20F68"/>
    <w:rsid w:val="00A239FC"/>
    <w:rsid w:val="00A25BB4"/>
    <w:rsid w:val="00A3330E"/>
    <w:rsid w:val="00A33EDF"/>
    <w:rsid w:val="00A4074F"/>
    <w:rsid w:val="00A504AF"/>
    <w:rsid w:val="00A56660"/>
    <w:rsid w:val="00A5751B"/>
    <w:rsid w:val="00A65A96"/>
    <w:rsid w:val="00A75261"/>
    <w:rsid w:val="00A861CB"/>
    <w:rsid w:val="00AA47A3"/>
    <w:rsid w:val="00AA783C"/>
    <w:rsid w:val="00AB3801"/>
    <w:rsid w:val="00AB3C51"/>
    <w:rsid w:val="00AC26A7"/>
    <w:rsid w:val="00AD49CF"/>
    <w:rsid w:val="00AE3DEF"/>
    <w:rsid w:val="00AF1251"/>
    <w:rsid w:val="00AF7A4B"/>
    <w:rsid w:val="00B0661B"/>
    <w:rsid w:val="00B30CB2"/>
    <w:rsid w:val="00B35C83"/>
    <w:rsid w:val="00B74B58"/>
    <w:rsid w:val="00B7697E"/>
    <w:rsid w:val="00B81C28"/>
    <w:rsid w:val="00B9543B"/>
    <w:rsid w:val="00BA13FE"/>
    <w:rsid w:val="00BB3F24"/>
    <w:rsid w:val="00BB43BD"/>
    <w:rsid w:val="00BD40E0"/>
    <w:rsid w:val="00BD50D8"/>
    <w:rsid w:val="00BE11E0"/>
    <w:rsid w:val="00BE2665"/>
    <w:rsid w:val="00BE5202"/>
    <w:rsid w:val="00BF6E40"/>
    <w:rsid w:val="00C06453"/>
    <w:rsid w:val="00C33A19"/>
    <w:rsid w:val="00C43742"/>
    <w:rsid w:val="00C56B27"/>
    <w:rsid w:val="00C6697E"/>
    <w:rsid w:val="00C73D4E"/>
    <w:rsid w:val="00C755AD"/>
    <w:rsid w:val="00C83312"/>
    <w:rsid w:val="00CB66F7"/>
    <w:rsid w:val="00CE1403"/>
    <w:rsid w:val="00CF1663"/>
    <w:rsid w:val="00CF1899"/>
    <w:rsid w:val="00D1707B"/>
    <w:rsid w:val="00D23712"/>
    <w:rsid w:val="00D36D38"/>
    <w:rsid w:val="00D56491"/>
    <w:rsid w:val="00D6081F"/>
    <w:rsid w:val="00D632EE"/>
    <w:rsid w:val="00D67EFE"/>
    <w:rsid w:val="00D7772D"/>
    <w:rsid w:val="00D800D1"/>
    <w:rsid w:val="00D8542E"/>
    <w:rsid w:val="00D867E3"/>
    <w:rsid w:val="00DB1B5F"/>
    <w:rsid w:val="00DB2F4A"/>
    <w:rsid w:val="00DE719C"/>
    <w:rsid w:val="00E02E34"/>
    <w:rsid w:val="00E12BD6"/>
    <w:rsid w:val="00E13590"/>
    <w:rsid w:val="00E25541"/>
    <w:rsid w:val="00E25B1F"/>
    <w:rsid w:val="00E46565"/>
    <w:rsid w:val="00E46C49"/>
    <w:rsid w:val="00E617AD"/>
    <w:rsid w:val="00E67056"/>
    <w:rsid w:val="00E70602"/>
    <w:rsid w:val="00E92F8A"/>
    <w:rsid w:val="00E945F0"/>
    <w:rsid w:val="00EB0478"/>
    <w:rsid w:val="00EC3D61"/>
    <w:rsid w:val="00EE41B4"/>
    <w:rsid w:val="00EF6CF0"/>
    <w:rsid w:val="00F044BC"/>
    <w:rsid w:val="00F1706D"/>
    <w:rsid w:val="00F22359"/>
    <w:rsid w:val="00F41024"/>
    <w:rsid w:val="00F45AF0"/>
    <w:rsid w:val="00F46E9E"/>
    <w:rsid w:val="00F66665"/>
    <w:rsid w:val="00F7170F"/>
    <w:rsid w:val="00F72593"/>
    <w:rsid w:val="00F87207"/>
    <w:rsid w:val="00FA4DF4"/>
    <w:rsid w:val="00FB37D3"/>
    <w:rsid w:val="00FD0E0F"/>
    <w:rsid w:val="00FD2285"/>
    <w:rsid w:val="00FD6DE4"/>
    <w:rsid w:val="00FE5E41"/>
    <w:rsid w:val="00FE6B65"/>
    <w:rsid w:val="00FE76F7"/>
    <w:rsid w:val="00FF1F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3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B2A7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B2A76"/>
    <w:rPr>
      <w:rFonts w:ascii="Tahoma" w:hAnsi="Tahoma" w:cs="Tahoma"/>
      <w:sz w:val="16"/>
      <w:szCs w:val="16"/>
    </w:rPr>
  </w:style>
  <w:style w:type="paragraph" w:styleId="Encabezado">
    <w:name w:val="header"/>
    <w:basedOn w:val="Normal"/>
    <w:link w:val="EncabezadoCar"/>
    <w:uiPriority w:val="99"/>
    <w:unhideWhenUsed/>
    <w:rsid w:val="008B2A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B2A76"/>
  </w:style>
  <w:style w:type="paragraph" w:styleId="Piedepgina">
    <w:name w:val="footer"/>
    <w:basedOn w:val="Normal"/>
    <w:link w:val="PiedepginaCar"/>
    <w:uiPriority w:val="99"/>
    <w:unhideWhenUsed/>
    <w:rsid w:val="008B2A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2A76"/>
  </w:style>
  <w:style w:type="paragraph" w:styleId="Prrafodelista">
    <w:name w:val="List Paragraph"/>
    <w:basedOn w:val="Normal"/>
    <w:uiPriority w:val="34"/>
    <w:qFormat/>
    <w:rsid w:val="00FD2285"/>
    <w:pPr>
      <w:ind w:left="720"/>
      <w:contextualSpacing/>
    </w:pPr>
  </w:style>
  <w:style w:type="table" w:styleId="Tablaconcuadrcula">
    <w:name w:val="Table Grid"/>
    <w:basedOn w:val="Tablanormal"/>
    <w:uiPriority w:val="59"/>
    <w:rsid w:val="007C26D0"/>
    <w:pPr>
      <w:spacing w:after="0" w:line="240" w:lineRule="auto"/>
    </w:pPr>
    <w:rPr>
      <w:rFonts w:ascii="Calibri" w:eastAsia="Calibri" w:hAnsi="Calibri"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pgrafe">
    <w:name w:val="caption"/>
    <w:basedOn w:val="Normal"/>
    <w:next w:val="Normal"/>
    <w:uiPriority w:val="35"/>
    <w:unhideWhenUsed/>
    <w:qFormat/>
    <w:rsid w:val="007C26D0"/>
    <w:pPr>
      <w:spacing w:line="240" w:lineRule="auto"/>
    </w:pPr>
    <w:rPr>
      <w:b/>
      <w:bCs/>
      <w:color w:val="4F81BD" w:themeColor="accent1"/>
      <w:sz w:val="18"/>
      <w:szCs w:val="18"/>
    </w:rPr>
  </w:style>
  <w:style w:type="paragraph" w:customStyle="1" w:styleId="Default">
    <w:name w:val="Default"/>
    <w:rsid w:val="007C26D0"/>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semiHidden/>
    <w:unhideWhenUsed/>
    <w:rsid w:val="0003412A"/>
    <w:rPr>
      <w:color w:val="0000FF"/>
      <w:u w:val="single"/>
    </w:rPr>
  </w:style>
  <w:style w:type="character" w:styleId="Hipervnculovisitado">
    <w:name w:val="FollowedHyperlink"/>
    <w:basedOn w:val="Fuentedeprrafopredeter"/>
    <w:uiPriority w:val="99"/>
    <w:semiHidden/>
    <w:unhideWhenUsed/>
    <w:rsid w:val="0003412A"/>
    <w:rPr>
      <w:color w:val="800080"/>
      <w:u w:val="single"/>
    </w:rPr>
  </w:style>
  <w:style w:type="paragraph" w:customStyle="1" w:styleId="xl63">
    <w:name w:val="xl63"/>
    <w:basedOn w:val="Normal"/>
    <w:rsid w:val="0003412A"/>
    <w:pPr>
      <w:spacing w:before="100" w:beforeAutospacing="1" w:after="100" w:afterAutospacing="1" w:line="240" w:lineRule="auto"/>
    </w:pPr>
    <w:rPr>
      <w:rFonts w:ascii="Arial" w:eastAsia="Times New Roman" w:hAnsi="Arial" w:cs="Arial"/>
      <w:sz w:val="20"/>
      <w:szCs w:val="20"/>
      <w:lang w:eastAsia="es-CO"/>
    </w:rPr>
  </w:style>
  <w:style w:type="paragraph" w:customStyle="1" w:styleId="xl64">
    <w:name w:val="xl64"/>
    <w:basedOn w:val="Normal"/>
    <w:rsid w:val="0003412A"/>
    <w:pPr>
      <w:spacing w:before="100" w:beforeAutospacing="1" w:after="100" w:afterAutospacing="1" w:line="240" w:lineRule="auto"/>
    </w:pPr>
    <w:rPr>
      <w:rFonts w:ascii="Arial" w:eastAsia="Times New Roman" w:hAnsi="Arial" w:cs="Arial"/>
      <w:b/>
      <w:bCs/>
      <w:sz w:val="20"/>
      <w:szCs w:val="20"/>
      <w:lang w:eastAsia="es-CO"/>
    </w:rPr>
  </w:style>
  <w:style w:type="paragraph" w:customStyle="1" w:styleId="xl65">
    <w:name w:val="xl65"/>
    <w:basedOn w:val="Normal"/>
    <w:rsid w:val="000341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es-CO"/>
    </w:rPr>
  </w:style>
  <w:style w:type="paragraph" w:customStyle="1" w:styleId="xl66">
    <w:name w:val="xl66"/>
    <w:basedOn w:val="Normal"/>
    <w:rsid w:val="0003412A"/>
    <w:pPr>
      <w:spacing w:before="100" w:beforeAutospacing="1" w:after="100" w:afterAutospacing="1" w:line="240" w:lineRule="auto"/>
      <w:textAlignment w:val="center"/>
    </w:pPr>
    <w:rPr>
      <w:rFonts w:ascii="Arial" w:eastAsia="Times New Roman" w:hAnsi="Arial" w:cs="Arial"/>
      <w:color w:val="000000"/>
      <w:sz w:val="16"/>
      <w:szCs w:val="16"/>
      <w:lang w:eastAsia="es-CO"/>
    </w:rPr>
  </w:style>
  <w:style w:type="paragraph" w:customStyle="1" w:styleId="xl67">
    <w:name w:val="xl67"/>
    <w:basedOn w:val="Normal"/>
    <w:rsid w:val="0003412A"/>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Arial" w:eastAsia="Times New Roman" w:hAnsi="Arial" w:cs="Arial"/>
      <w:b/>
      <w:bCs/>
      <w:sz w:val="20"/>
      <w:szCs w:val="20"/>
      <w:lang w:eastAsia="es-CO"/>
    </w:rPr>
  </w:style>
  <w:style w:type="paragraph" w:customStyle="1" w:styleId="xl68">
    <w:name w:val="xl68"/>
    <w:basedOn w:val="Normal"/>
    <w:rsid w:val="000341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es-CO"/>
    </w:rPr>
  </w:style>
  <w:style w:type="paragraph" w:customStyle="1" w:styleId="xl69">
    <w:name w:val="xl69"/>
    <w:basedOn w:val="Normal"/>
    <w:rsid w:val="0003412A"/>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pPr>
    <w:rPr>
      <w:rFonts w:ascii="Arial" w:eastAsia="Times New Roman" w:hAnsi="Arial" w:cs="Arial"/>
      <w:b/>
      <w:bCs/>
      <w:sz w:val="20"/>
      <w:szCs w:val="20"/>
      <w:lang w:eastAsia="es-CO"/>
    </w:rPr>
  </w:style>
  <w:style w:type="paragraph" w:customStyle="1" w:styleId="xl70">
    <w:name w:val="xl70"/>
    <w:basedOn w:val="Normal"/>
    <w:rsid w:val="0003412A"/>
    <w:pPr>
      <w:pBdr>
        <w:top w:val="single" w:sz="4" w:space="0" w:color="auto"/>
        <w:left w:val="single" w:sz="4" w:space="0" w:color="auto"/>
        <w:bottom w:val="single" w:sz="4" w:space="0" w:color="auto"/>
        <w:right w:val="single" w:sz="4" w:space="0" w:color="auto"/>
      </w:pBdr>
      <w:shd w:val="clear" w:color="DCE6F1" w:fill="D8E4BC"/>
      <w:spacing w:before="100" w:beforeAutospacing="1" w:after="100" w:afterAutospacing="1" w:line="240" w:lineRule="auto"/>
      <w:jc w:val="center"/>
    </w:pPr>
    <w:rPr>
      <w:rFonts w:ascii="Arial" w:eastAsia="Times New Roman" w:hAnsi="Arial" w:cs="Arial"/>
      <w:b/>
      <w:bCs/>
      <w:sz w:val="20"/>
      <w:szCs w:val="20"/>
      <w:lang w:eastAsia="es-CO"/>
    </w:rPr>
  </w:style>
  <w:style w:type="paragraph" w:customStyle="1" w:styleId="xl71">
    <w:name w:val="xl71"/>
    <w:basedOn w:val="Normal"/>
    <w:rsid w:val="0003412A"/>
    <w:pPr>
      <w:pBdr>
        <w:top w:val="single" w:sz="4" w:space="0" w:color="auto"/>
        <w:left w:val="single" w:sz="4" w:space="0" w:color="auto"/>
        <w:bottom w:val="single" w:sz="4" w:space="0" w:color="auto"/>
        <w:right w:val="single" w:sz="4" w:space="0" w:color="auto"/>
      </w:pBdr>
      <w:shd w:val="clear" w:color="DCE6F1" w:fill="D8E4BC"/>
      <w:spacing w:before="100" w:beforeAutospacing="1" w:after="100" w:afterAutospacing="1" w:line="240" w:lineRule="auto"/>
    </w:pPr>
    <w:rPr>
      <w:rFonts w:ascii="Arial" w:eastAsia="Times New Roman" w:hAnsi="Arial" w:cs="Arial"/>
      <w:b/>
      <w:bCs/>
      <w:sz w:val="20"/>
      <w:szCs w:val="20"/>
      <w:lang w:eastAsia="es-CO"/>
    </w:rPr>
  </w:style>
  <w:style w:type="paragraph" w:customStyle="1" w:styleId="xl72">
    <w:name w:val="xl72"/>
    <w:basedOn w:val="Normal"/>
    <w:rsid w:val="0003412A"/>
    <w:pPr>
      <w:pBdr>
        <w:top w:val="single" w:sz="4" w:space="0" w:color="auto"/>
        <w:left w:val="single" w:sz="4" w:space="0" w:color="auto"/>
        <w:bottom w:val="single" w:sz="4" w:space="0" w:color="auto"/>
        <w:right w:val="single" w:sz="4" w:space="0" w:color="auto"/>
      </w:pBdr>
      <w:shd w:val="clear" w:color="DCE6F1" w:fill="D8E4BC"/>
      <w:spacing w:before="100" w:beforeAutospacing="1" w:after="100" w:afterAutospacing="1" w:line="240" w:lineRule="auto"/>
    </w:pPr>
    <w:rPr>
      <w:rFonts w:ascii="Arial" w:eastAsia="Times New Roman" w:hAnsi="Arial" w:cs="Arial"/>
      <w:b/>
      <w:bCs/>
      <w:sz w:val="24"/>
      <w:szCs w:val="24"/>
      <w:lang w:eastAsia="es-CO"/>
    </w:rPr>
  </w:style>
  <w:style w:type="paragraph" w:styleId="NormalWeb">
    <w:name w:val="Normal (Web)"/>
    <w:basedOn w:val="Normal"/>
    <w:uiPriority w:val="99"/>
    <w:unhideWhenUsed/>
    <w:rsid w:val="00A65A9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3">
    <w:name w:val="xl73"/>
    <w:basedOn w:val="Normal"/>
    <w:rsid w:val="006E27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es-CO"/>
    </w:rPr>
  </w:style>
  <w:style w:type="paragraph" w:styleId="Textonotapie">
    <w:name w:val="footnote text"/>
    <w:basedOn w:val="Normal"/>
    <w:link w:val="TextonotapieCar"/>
    <w:uiPriority w:val="99"/>
    <w:semiHidden/>
    <w:unhideWhenUsed/>
    <w:rsid w:val="00C8331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83312"/>
    <w:rPr>
      <w:sz w:val="20"/>
      <w:szCs w:val="20"/>
    </w:rPr>
  </w:style>
  <w:style w:type="character" w:styleId="Refdenotaalpie">
    <w:name w:val="footnote reference"/>
    <w:basedOn w:val="Fuentedeprrafopredeter"/>
    <w:uiPriority w:val="99"/>
    <w:unhideWhenUsed/>
    <w:rsid w:val="00C83312"/>
    <w:rPr>
      <w:vertAlign w:val="superscript"/>
    </w:rPr>
  </w:style>
  <w:style w:type="paragraph" w:styleId="Sinespaciado">
    <w:name w:val="No Spacing"/>
    <w:uiPriority w:val="1"/>
    <w:qFormat/>
    <w:rsid w:val="008137F1"/>
    <w:pPr>
      <w:spacing w:after="0" w:line="240" w:lineRule="auto"/>
    </w:pPr>
  </w:style>
  <w:style w:type="paragraph" w:styleId="TDC1">
    <w:name w:val="toc 1"/>
    <w:basedOn w:val="Normal"/>
    <w:next w:val="Normal"/>
    <w:autoRedefine/>
    <w:uiPriority w:val="39"/>
    <w:rsid w:val="009E7C43"/>
    <w:pPr>
      <w:spacing w:before="360" w:after="0" w:line="240" w:lineRule="auto"/>
    </w:pPr>
    <w:rPr>
      <w:rFonts w:asciiTheme="majorHAnsi" w:eastAsia="Times New Roman" w:hAnsiTheme="majorHAnsi" w:cs="Times New Roman"/>
      <w:b/>
      <w:bCs/>
      <w:caps/>
      <w:sz w:val="24"/>
      <w:szCs w:val="24"/>
      <w:lang w:val="es-ES" w:eastAsia="es-ES"/>
    </w:rPr>
  </w:style>
  <w:style w:type="character" w:customStyle="1" w:styleId="TextonotapieCar1">
    <w:name w:val="Texto nota pie Car1"/>
    <w:uiPriority w:val="99"/>
    <w:semiHidden/>
    <w:rsid w:val="001654F3"/>
    <w:rPr>
      <w:rFonts w:ascii="Times New Roman" w:eastAsia="Times New Roman" w:hAnsi="Times New Roman" w:cs="Times New Roman"/>
      <w:sz w:val="20"/>
      <w:szCs w:val="20"/>
      <w:lang w:val="x-none" w:eastAsia="x-none"/>
    </w:rPr>
  </w:style>
  <w:style w:type="character" w:styleId="Refdecomentario">
    <w:name w:val="annotation reference"/>
    <w:basedOn w:val="Fuentedeprrafopredeter"/>
    <w:uiPriority w:val="99"/>
    <w:semiHidden/>
    <w:unhideWhenUsed/>
    <w:rsid w:val="0021173A"/>
    <w:rPr>
      <w:sz w:val="16"/>
      <w:szCs w:val="16"/>
    </w:rPr>
  </w:style>
  <w:style w:type="paragraph" w:styleId="Textocomentario">
    <w:name w:val="annotation text"/>
    <w:basedOn w:val="Normal"/>
    <w:link w:val="TextocomentarioCar"/>
    <w:uiPriority w:val="99"/>
    <w:semiHidden/>
    <w:unhideWhenUsed/>
    <w:rsid w:val="0021173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1173A"/>
    <w:rPr>
      <w:sz w:val="20"/>
      <w:szCs w:val="20"/>
    </w:rPr>
  </w:style>
  <w:style w:type="paragraph" w:styleId="Asuntodelcomentario">
    <w:name w:val="annotation subject"/>
    <w:basedOn w:val="Textocomentario"/>
    <w:next w:val="Textocomentario"/>
    <w:link w:val="AsuntodelcomentarioCar"/>
    <w:uiPriority w:val="99"/>
    <w:semiHidden/>
    <w:unhideWhenUsed/>
    <w:rsid w:val="0021173A"/>
    <w:rPr>
      <w:b/>
      <w:bCs/>
    </w:rPr>
  </w:style>
  <w:style w:type="character" w:customStyle="1" w:styleId="AsuntodelcomentarioCar">
    <w:name w:val="Asunto del comentario Car"/>
    <w:basedOn w:val="TextocomentarioCar"/>
    <w:link w:val="Asuntodelcomentario"/>
    <w:uiPriority w:val="99"/>
    <w:semiHidden/>
    <w:rsid w:val="0021173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3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B2A7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B2A76"/>
    <w:rPr>
      <w:rFonts w:ascii="Tahoma" w:hAnsi="Tahoma" w:cs="Tahoma"/>
      <w:sz w:val="16"/>
      <w:szCs w:val="16"/>
    </w:rPr>
  </w:style>
  <w:style w:type="paragraph" w:styleId="Encabezado">
    <w:name w:val="header"/>
    <w:basedOn w:val="Normal"/>
    <w:link w:val="EncabezadoCar"/>
    <w:uiPriority w:val="99"/>
    <w:unhideWhenUsed/>
    <w:rsid w:val="008B2A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B2A76"/>
  </w:style>
  <w:style w:type="paragraph" w:styleId="Piedepgina">
    <w:name w:val="footer"/>
    <w:basedOn w:val="Normal"/>
    <w:link w:val="PiedepginaCar"/>
    <w:uiPriority w:val="99"/>
    <w:unhideWhenUsed/>
    <w:rsid w:val="008B2A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2A76"/>
  </w:style>
  <w:style w:type="paragraph" w:styleId="Prrafodelista">
    <w:name w:val="List Paragraph"/>
    <w:basedOn w:val="Normal"/>
    <w:uiPriority w:val="34"/>
    <w:qFormat/>
    <w:rsid w:val="00FD2285"/>
    <w:pPr>
      <w:ind w:left="720"/>
      <w:contextualSpacing/>
    </w:pPr>
  </w:style>
  <w:style w:type="table" w:styleId="Tablaconcuadrcula">
    <w:name w:val="Table Grid"/>
    <w:basedOn w:val="Tablanormal"/>
    <w:uiPriority w:val="59"/>
    <w:rsid w:val="007C26D0"/>
    <w:pPr>
      <w:spacing w:after="0" w:line="240" w:lineRule="auto"/>
    </w:pPr>
    <w:rPr>
      <w:rFonts w:ascii="Calibri" w:eastAsia="Calibri" w:hAnsi="Calibri"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pgrafe">
    <w:name w:val="caption"/>
    <w:basedOn w:val="Normal"/>
    <w:next w:val="Normal"/>
    <w:uiPriority w:val="35"/>
    <w:unhideWhenUsed/>
    <w:qFormat/>
    <w:rsid w:val="007C26D0"/>
    <w:pPr>
      <w:spacing w:line="240" w:lineRule="auto"/>
    </w:pPr>
    <w:rPr>
      <w:b/>
      <w:bCs/>
      <w:color w:val="4F81BD" w:themeColor="accent1"/>
      <w:sz w:val="18"/>
      <w:szCs w:val="18"/>
    </w:rPr>
  </w:style>
  <w:style w:type="paragraph" w:customStyle="1" w:styleId="Default">
    <w:name w:val="Default"/>
    <w:rsid w:val="007C26D0"/>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semiHidden/>
    <w:unhideWhenUsed/>
    <w:rsid w:val="0003412A"/>
    <w:rPr>
      <w:color w:val="0000FF"/>
      <w:u w:val="single"/>
    </w:rPr>
  </w:style>
  <w:style w:type="character" w:styleId="Hipervnculovisitado">
    <w:name w:val="FollowedHyperlink"/>
    <w:basedOn w:val="Fuentedeprrafopredeter"/>
    <w:uiPriority w:val="99"/>
    <w:semiHidden/>
    <w:unhideWhenUsed/>
    <w:rsid w:val="0003412A"/>
    <w:rPr>
      <w:color w:val="800080"/>
      <w:u w:val="single"/>
    </w:rPr>
  </w:style>
  <w:style w:type="paragraph" w:customStyle="1" w:styleId="xl63">
    <w:name w:val="xl63"/>
    <w:basedOn w:val="Normal"/>
    <w:rsid w:val="0003412A"/>
    <w:pPr>
      <w:spacing w:before="100" w:beforeAutospacing="1" w:after="100" w:afterAutospacing="1" w:line="240" w:lineRule="auto"/>
    </w:pPr>
    <w:rPr>
      <w:rFonts w:ascii="Arial" w:eastAsia="Times New Roman" w:hAnsi="Arial" w:cs="Arial"/>
      <w:sz w:val="20"/>
      <w:szCs w:val="20"/>
      <w:lang w:eastAsia="es-CO"/>
    </w:rPr>
  </w:style>
  <w:style w:type="paragraph" w:customStyle="1" w:styleId="xl64">
    <w:name w:val="xl64"/>
    <w:basedOn w:val="Normal"/>
    <w:rsid w:val="0003412A"/>
    <w:pPr>
      <w:spacing w:before="100" w:beforeAutospacing="1" w:after="100" w:afterAutospacing="1" w:line="240" w:lineRule="auto"/>
    </w:pPr>
    <w:rPr>
      <w:rFonts w:ascii="Arial" w:eastAsia="Times New Roman" w:hAnsi="Arial" w:cs="Arial"/>
      <w:b/>
      <w:bCs/>
      <w:sz w:val="20"/>
      <w:szCs w:val="20"/>
      <w:lang w:eastAsia="es-CO"/>
    </w:rPr>
  </w:style>
  <w:style w:type="paragraph" w:customStyle="1" w:styleId="xl65">
    <w:name w:val="xl65"/>
    <w:basedOn w:val="Normal"/>
    <w:rsid w:val="000341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es-CO"/>
    </w:rPr>
  </w:style>
  <w:style w:type="paragraph" w:customStyle="1" w:styleId="xl66">
    <w:name w:val="xl66"/>
    <w:basedOn w:val="Normal"/>
    <w:rsid w:val="0003412A"/>
    <w:pPr>
      <w:spacing w:before="100" w:beforeAutospacing="1" w:after="100" w:afterAutospacing="1" w:line="240" w:lineRule="auto"/>
      <w:textAlignment w:val="center"/>
    </w:pPr>
    <w:rPr>
      <w:rFonts w:ascii="Arial" w:eastAsia="Times New Roman" w:hAnsi="Arial" w:cs="Arial"/>
      <w:color w:val="000000"/>
      <w:sz w:val="16"/>
      <w:szCs w:val="16"/>
      <w:lang w:eastAsia="es-CO"/>
    </w:rPr>
  </w:style>
  <w:style w:type="paragraph" w:customStyle="1" w:styleId="xl67">
    <w:name w:val="xl67"/>
    <w:basedOn w:val="Normal"/>
    <w:rsid w:val="0003412A"/>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Arial" w:eastAsia="Times New Roman" w:hAnsi="Arial" w:cs="Arial"/>
      <w:b/>
      <w:bCs/>
      <w:sz w:val="20"/>
      <w:szCs w:val="20"/>
      <w:lang w:eastAsia="es-CO"/>
    </w:rPr>
  </w:style>
  <w:style w:type="paragraph" w:customStyle="1" w:styleId="xl68">
    <w:name w:val="xl68"/>
    <w:basedOn w:val="Normal"/>
    <w:rsid w:val="000341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es-CO"/>
    </w:rPr>
  </w:style>
  <w:style w:type="paragraph" w:customStyle="1" w:styleId="xl69">
    <w:name w:val="xl69"/>
    <w:basedOn w:val="Normal"/>
    <w:rsid w:val="0003412A"/>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pPr>
    <w:rPr>
      <w:rFonts w:ascii="Arial" w:eastAsia="Times New Roman" w:hAnsi="Arial" w:cs="Arial"/>
      <w:b/>
      <w:bCs/>
      <w:sz w:val="20"/>
      <w:szCs w:val="20"/>
      <w:lang w:eastAsia="es-CO"/>
    </w:rPr>
  </w:style>
  <w:style w:type="paragraph" w:customStyle="1" w:styleId="xl70">
    <w:name w:val="xl70"/>
    <w:basedOn w:val="Normal"/>
    <w:rsid w:val="0003412A"/>
    <w:pPr>
      <w:pBdr>
        <w:top w:val="single" w:sz="4" w:space="0" w:color="auto"/>
        <w:left w:val="single" w:sz="4" w:space="0" w:color="auto"/>
        <w:bottom w:val="single" w:sz="4" w:space="0" w:color="auto"/>
        <w:right w:val="single" w:sz="4" w:space="0" w:color="auto"/>
      </w:pBdr>
      <w:shd w:val="clear" w:color="DCE6F1" w:fill="D8E4BC"/>
      <w:spacing w:before="100" w:beforeAutospacing="1" w:after="100" w:afterAutospacing="1" w:line="240" w:lineRule="auto"/>
      <w:jc w:val="center"/>
    </w:pPr>
    <w:rPr>
      <w:rFonts w:ascii="Arial" w:eastAsia="Times New Roman" w:hAnsi="Arial" w:cs="Arial"/>
      <w:b/>
      <w:bCs/>
      <w:sz w:val="20"/>
      <w:szCs w:val="20"/>
      <w:lang w:eastAsia="es-CO"/>
    </w:rPr>
  </w:style>
  <w:style w:type="paragraph" w:customStyle="1" w:styleId="xl71">
    <w:name w:val="xl71"/>
    <w:basedOn w:val="Normal"/>
    <w:rsid w:val="0003412A"/>
    <w:pPr>
      <w:pBdr>
        <w:top w:val="single" w:sz="4" w:space="0" w:color="auto"/>
        <w:left w:val="single" w:sz="4" w:space="0" w:color="auto"/>
        <w:bottom w:val="single" w:sz="4" w:space="0" w:color="auto"/>
        <w:right w:val="single" w:sz="4" w:space="0" w:color="auto"/>
      </w:pBdr>
      <w:shd w:val="clear" w:color="DCE6F1" w:fill="D8E4BC"/>
      <w:spacing w:before="100" w:beforeAutospacing="1" w:after="100" w:afterAutospacing="1" w:line="240" w:lineRule="auto"/>
    </w:pPr>
    <w:rPr>
      <w:rFonts w:ascii="Arial" w:eastAsia="Times New Roman" w:hAnsi="Arial" w:cs="Arial"/>
      <w:b/>
      <w:bCs/>
      <w:sz w:val="20"/>
      <w:szCs w:val="20"/>
      <w:lang w:eastAsia="es-CO"/>
    </w:rPr>
  </w:style>
  <w:style w:type="paragraph" w:customStyle="1" w:styleId="xl72">
    <w:name w:val="xl72"/>
    <w:basedOn w:val="Normal"/>
    <w:rsid w:val="0003412A"/>
    <w:pPr>
      <w:pBdr>
        <w:top w:val="single" w:sz="4" w:space="0" w:color="auto"/>
        <w:left w:val="single" w:sz="4" w:space="0" w:color="auto"/>
        <w:bottom w:val="single" w:sz="4" w:space="0" w:color="auto"/>
        <w:right w:val="single" w:sz="4" w:space="0" w:color="auto"/>
      </w:pBdr>
      <w:shd w:val="clear" w:color="DCE6F1" w:fill="D8E4BC"/>
      <w:spacing w:before="100" w:beforeAutospacing="1" w:after="100" w:afterAutospacing="1" w:line="240" w:lineRule="auto"/>
    </w:pPr>
    <w:rPr>
      <w:rFonts w:ascii="Arial" w:eastAsia="Times New Roman" w:hAnsi="Arial" w:cs="Arial"/>
      <w:b/>
      <w:bCs/>
      <w:sz w:val="24"/>
      <w:szCs w:val="24"/>
      <w:lang w:eastAsia="es-CO"/>
    </w:rPr>
  </w:style>
  <w:style w:type="paragraph" w:styleId="NormalWeb">
    <w:name w:val="Normal (Web)"/>
    <w:basedOn w:val="Normal"/>
    <w:uiPriority w:val="99"/>
    <w:unhideWhenUsed/>
    <w:rsid w:val="00A65A9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3">
    <w:name w:val="xl73"/>
    <w:basedOn w:val="Normal"/>
    <w:rsid w:val="006E27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es-CO"/>
    </w:rPr>
  </w:style>
  <w:style w:type="paragraph" w:styleId="Textonotapie">
    <w:name w:val="footnote text"/>
    <w:basedOn w:val="Normal"/>
    <w:link w:val="TextonotapieCar"/>
    <w:uiPriority w:val="99"/>
    <w:semiHidden/>
    <w:unhideWhenUsed/>
    <w:rsid w:val="00C8331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83312"/>
    <w:rPr>
      <w:sz w:val="20"/>
      <w:szCs w:val="20"/>
    </w:rPr>
  </w:style>
  <w:style w:type="character" w:styleId="Refdenotaalpie">
    <w:name w:val="footnote reference"/>
    <w:basedOn w:val="Fuentedeprrafopredeter"/>
    <w:uiPriority w:val="99"/>
    <w:unhideWhenUsed/>
    <w:rsid w:val="00C83312"/>
    <w:rPr>
      <w:vertAlign w:val="superscript"/>
    </w:rPr>
  </w:style>
  <w:style w:type="paragraph" w:styleId="Sinespaciado">
    <w:name w:val="No Spacing"/>
    <w:uiPriority w:val="1"/>
    <w:qFormat/>
    <w:rsid w:val="008137F1"/>
    <w:pPr>
      <w:spacing w:after="0" w:line="240" w:lineRule="auto"/>
    </w:pPr>
  </w:style>
  <w:style w:type="paragraph" w:styleId="TDC1">
    <w:name w:val="toc 1"/>
    <w:basedOn w:val="Normal"/>
    <w:next w:val="Normal"/>
    <w:autoRedefine/>
    <w:uiPriority w:val="39"/>
    <w:rsid w:val="009E7C43"/>
    <w:pPr>
      <w:spacing w:before="360" w:after="0" w:line="240" w:lineRule="auto"/>
    </w:pPr>
    <w:rPr>
      <w:rFonts w:asciiTheme="majorHAnsi" w:eastAsia="Times New Roman" w:hAnsiTheme="majorHAnsi" w:cs="Times New Roman"/>
      <w:b/>
      <w:bCs/>
      <w:caps/>
      <w:sz w:val="24"/>
      <w:szCs w:val="24"/>
      <w:lang w:val="es-ES" w:eastAsia="es-ES"/>
    </w:rPr>
  </w:style>
  <w:style w:type="character" w:customStyle="1" w:styleId="TextonotapieCar1">
    <w:name w:val="Texto nota pie Car1"/>
    <w:uiPriority w:val="99"/>
    <w:semiHidden/>
    <w:rsid w:val="001654F3"/>
    <w:rPr>
      <w:rFonts w:ascii="Times New Roman" w:eastAsia="Times New Roman" w:hAnsi="Times New Roman" w:cs="Times New Roman"/>
      <w:sz w:val="20"/>
      <w:szCs w:val="20"/>
      <w:lang w:val="x-none" w:eastAsia="x-none"/>
    </w:rPr>
  </w:style>
  <w:style w:type="character" w:styleId="Refdecomentario">
    <w:name w:val="annotation reference"/>
    <w:basedOn w:val="Fuentedeprrafopredeter"/>
    <w:uiPriority w:val="99"/>
    <w:semiHidden/>
    <w:unhideWhenUsed/>
    <w:rsid w:val="0021173A"/>
    <w:rPr>
      <w:sz w:val="16"/>
      <w:szCs w:val="16"/>
    </w:rPr>
  </w:style>
  <w:style w:type="paragraph" w:styleId="Textocomentario">
    <w:name w:val="annotation text"/>
    <w:basedOn w:val="Normal"/>
    <w:link w:val="TextocomentarioCar"/>
    <w:uiPriority w:val="99"/>
    <w:semiHidden/>
    <w:unhideWhenUsed/>
    <w:rsid w:val="0021173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1173A"/>
    <w:rPr>
      <w:sz w:val="20"/>
      <w:szCs w:val="20"/>
    </w:rPr>
  </w:style>
  <w:style w:type="paragraph" w:styleId="Asuntodelcomentario">
    <w:name w:val="annotation subject"/>
    <w:basedOn w:val="Textocomentario"/>
    <w:next w:val="Textocomentario"/>
    <w:link w:val="AsuntodelcomentarioCar"/>
    <w:uiPriority w:val="99"/>
    <w:semiHidden/>
    <w:unhideWhenUsed/>
    <w:rsid w:val="0021173A"/>
    <w:rPr>
      <w:b/>
      <w:bCs/>
    </w:rPr>
  </w:style>
  <w:style w:type="character" w:customStyle="1" w:styleId="AsuntodelcomentarioCar">
    <w:name w:val="Asunto del comentario Car"/>
    <w:basedOn w:val="TextocomentarioCar"/>
    <w:link w:val="Asuntodelcomentario"/>
    <w:uiPriority w:val="99"/>
    <w:semiHidden/>
    <w:rsid w:val="002117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75680">
      <w:bodyDiv w:val="1"/>
      <w:marLeft w:val="0"/>
      <w:marRight w:val="0"/>
      <w:marTop w:val="0"/>
      <w:marBottom w:val="0"/>
      <w:divBdr>
        <w:top w:val="none" w:sz="0" w:space="0" w:color="auto"/>
        <w:left w:val="none" w:sz="0" w:space="0" w:color="auto"/>
        <w:bottom w:val="none" w:sz="0" w:space="0" w:color="auto"/>
        <w:right w:val="none" w:sz="0" w:space="0" w:color="auto"/>
      </w:divBdr>
    </w:div>
    <w:div w:id="184288319">
      <w:bodyDiv w:val="1"/>
      <w:marLeft w:val="0"/>
      <w:marRight w:val="0"/>
      <w:marTop w:val="0"/>
      <w:marBottom w:val="0"/>
      <w:divBdr>
        <w:top w:val="none" w:sz="0" w:space="0" w:color="auto"/>
        <w:left w:val="none" w:sz="0" w:space="0" w:color="auto"/>
        <w:bottom w:val="none" w:sz="0" w:space="0" w:color="auto"/>
        <w:right w:val="none" w:sz="0" w:space="0" w:color="auto"/>
      </w:divBdr>
    </w:div>
    <w:div w:id="203756394">
      <w:bodyDiv w:val="1"/>
      <w:marLeft w:val="0"/>
      <w:marRight w:val="0"/>
      <w:marTop w:val="0"/>
      <w:marBottom w:val="0"/>
      <w:divBdr>
        <w:top w:val="none" w:sz="0" w:space="0" w:color="auto"/>
        <w:left w:val="none" w:sz="0" w:space="0" w:color="auto"/>
        <w:bottom w:val="none" w:sz="0" w:space="0" w:color="auto"/>
        <w:right w:val="none" w:sz="0" w:space="0" w:color="auto"/>
      </w:divBdr>
    </w:div>
    <w:div w:id="233126915">
      <w:bodyDiv w:val="1"/>
      <w:marLeft w:val="0"/>
      <w:marRight w:val="0"/>
      <w:marTop w:val="0"/>
      <w:marBottom w:val="0"/>
      <w:divBdr>
        <w:top w:val="none" w:sz="0" w:space="0" w:color="auto"/>
        <w:left w:val="none" w:sz="0" w:space="0" w:color="auto"/>
        <w:bottom w:val="none" w:sz="0" w:space="0" w:color="auto"/>
        <w:right w:val="none" w:sz="0" w:space="0" w:color="auto"/>
      </w:divBdr>
    </w:div>
    <w:div w:id="293218186">
      <w:bodyDiv w:val="1"/>
      <w:marLeft w:val="0"/>
      <w:marRight w:val="0"/>
      <w:marTop w:val="0"/>
      <w:marBottom w:val="0"/>
      <w:divBdr>
        <w:top w:val="none" w:sz="0" w:space="0" w:color="auto"/>
        <w:left w:val="none" w:sz="0" w:space="0" w:color="auto"/>
        <w:bottom w:val="none" w:sz="0" w:space="0" w:color="auto"/>
        <w:right w:val="none" w:sz="0" w:space="0" w:color="auto"/>
      </w:divBdr>
    </w:div>
    <w:div w:id="311374741">
      <w:bodyDiv w:val="1"/>
      <w:marLeft w:val="0"/>
      <w:marRight w:val="0"/>
      <w:marTop w:val="0"/>
      <w:marBottom w:val="0"/>
      <w:divBdr>
        <w:top w:val="none" w:sz="0" w:space="0" w:color="auto"/>
        <w:left w:val="none" w:sz="0" w:space="0" w:color="auto"/>
        <w:bottom w:val="none" w:sz="0" w:space="0" w:color="auto"/>
        <w:right w:val="none" w:sz="0" w:space="0" w:color="auto"/>
      </w:divBdr>
    </w:div>
    <w:div w:id="328411204">
      <w:bodyDiv w:val="1"/>
      <w:marLeft w:val="0"/>
      <w:marRight w:val="0"/>
      <w:marTop w:val="0"/>
      <w:marBottom w:val="0"/>
      <w:divBdr>
        <w:top w:val="none" w:sz="0" w:space="0" w:color="auto"/>
        <w:left w:val="none" w:sz="0" w:space="0" w:color="auto"/>
        <w:bottom w:val="none" w:sz="0" w:space="0" w:color="auto"/>
        <w:right w:val="none" w:sz="0" w:space="0" w:color="auto"/>
      </w:divBdr>
    </w:div>
    <w:div w:id="420877258">
      <w:bodyDiv w:val="1"/>
      <w:marLeft w:val="0"/>
      <w:marRight w:val="0"/>
      <w:marTop w:val="0"/>
      <w:marBottom w:val="0"/>
      <w:divBdr>
        <w:top w:val="none" w:sz="0" w:space="0" w:color="auto"/>
        <w:left w:val="none" w:sz="0" w:space="0" w:color="auto"/>
        <w:bottom w:val="none" w:sz="0" w:space="0" w:color="auto"/>
        <w:right w:val="none" w:sz="0" w:space="0" w:color="auto"/>
      </w:divBdr>
    </w:div>
    <w:div w:id="457182673">
      <w:bodyDiv w:val="1"/>
      <w:marLeft w:val="0"/>
      <w:marRight w:val="0"/>
      <w:marTop w:val="0"/>
      <w:marBottom w:val="0"/>
      <w:divBdr>
        <w:top w:val="none" w:sz="0" w:space="0" w:color="auto"/>
        <w:left w:val="none" w:sz="0" w:space="0" w:color="auto"/>
        <w:bottom w:val="none" w:sz="0" w:space="0" w:color="auto"/>
        <w:right w:val="none" w:sz="0" w:space="0" w:color="auto"/>
      </w:divBdr>
    </w:div>
    <w:div w:id="476382911">
      <w:bodyDiv w:val="1"/>
      <w:marLeft w:val="0"/>
      <w:marRight w:val="0"/>
      <w:marTop w:val="0"/>
      <w:marBottom w:val="0"/>
      <w:divBdr>
        <w:top w:val="none" w:sz="0" w:space="0" w:color="auto"/>
        <w:left w:val="none" w:sz="0" w:space="0" w:color="auto"/>
        <w:bottom w:val="none" w:sz="0" w:space="0" w:color="auto"/>
        <w:right w:val="none" w:sz="0" w:space="0" w:color="auto"/>
      </w:divBdr>
    </w:div>
    <w:div w:id="499009529">
      <w:bodyDiv w:val="1"/>
      <w:marLeft w:val="0"/>
      <w:marRight w:val="0"/>
      <w:marTop w:val="0"/>
      <w:marBottom w:val="0"/>
      <w:divBdr>
        <w:top w:val="none" w:sz="0" w:space="0" w:color="auto"/>
        <w:left w:val="none" w:sz="0" w:space="0" w:color="auto"/>
        <w:bottom w:val="none" w:sz="0" w:space="0" w:color="auto"/>
        <w:right w:val="none" w:sz="0" w:space="0" w:color="auto"/>
      </w:divBdr>
    </w:div>
    <w:div w:id="591746613">
      <w:bodyDiv w:val="1"/>
      <w:marLeft w:val="0"/>
      <w:marRight w:val="0"/>
      <w:marTop w:val="0"/>
      <w:marBottom w:val="0"/>
      <w:divBdr>
        <w:top w:val="none" w:sz="0" w:space="0" w:color="auto"/>
        <w:left w:val="none" w:sz="0" w:space="0" w:color="auto"/>
        <w:bottom w:val="none" w:sz="0" w:space="0" w:color="auto"/>
        <w:right w:val="none" w:sz="0" w:space="0" w:color="auto"/>
      </w:divBdr>
    </w:div>
    <w:div w:id="655493849">
      <w:bodyDiv w:val="1"/>
      <w:marLeft w:val="0"/>
      <w:marRight w:val="0"/>
      <w:marTop w:val="0"/>
      <w:marBottom w:val="0"/>
      <w:divBdr>
        <w:top w:val="none" w:sz="0" w:space="0" w:color="auto"/>
        <w:left w:val="none" w:sz="0" w:space="0" w:color="auto"/>
        <w:bottom w:val="none" w:sz="0" w:space="0" w:color="auto"/>
        <w:right w:val="none" w:sz="0" w:space="0" w:color="auto"/>
      </w:divBdr>
    </w:div>
    <w:div w:id="725879696">
      <w:bodyDiv w:val="1"/>
      <w:marLeft w:val="0"/>
      <w:marRight w:val="0"/>
      <w:marTop w:val="0"/>
      <w:marBottom w:val="0"/>
      <w:divBdr>
        <w:top w:val="none" w:sz="0" w:space="0" w:color="auto"/>
        <w:left w:val="none" w:sz="0" w:space="0" w:color="auto"/>
        <w:bottom w:val="none" w:sz="0" w:space="0" w:color="auto"/>
        <w:right w:val="none" w:sz="0" w:space="0" w:color="auto"/>
      </w:divBdr>
    </w:div>
    <w:div w:id="749959867">
      <w:bodyDiv w:val="1"/>
      <w:marLeft w:val="0"/>
      <w:marRight w:val="0"/>
      <w:marTop w:val="0"/>
      <w:marBottom w:val="0"/>
      <w:divBdr>
        <w:top w:val="none" w:sz="0" w:space="0" w:color="auto"/>
        <w:left w:val="none" w:sz="0" w:space="0" w:color="auto"/>
        <w:bottom w:val="none" w:sz="0" w:space="0" w:color="auto"/>
        <w:right w:val="none" w:sz="0" w:space="0" w:color="auto"/>
      </w:divBdr>
    </w:div>
    <w:div w:id="840661308">
      <w:bodyDiv w:val="1"/>
      <w:marLeft w:val="0"/>
      <w:marRight w:val="0"/>
      <w:marTop w:val="0"/>
      <w:marBottom w:val="0"/>
      <w:divBdr>
        <w:top w:val="none" w:sz="0" w:space="0" w:color="auto"/>
        <w:left w:val="none" w:sz="0" w:space="0" w:color="auto"/>
        <w:bottom w:val="none" w:sz="0" w:space="0" w:color="auto"/>
        <w:right w:val="none" w:sz="0" w:space="0" w:color="auto"/>
      </w:divBdr>
    </w:div>
    <w:div w:id="921111434">
      <w:bodyDiv w:val="1"/>
      <w:marLeft w:val="0"/>
      <w:marRight w:val="0"/>
      <w:marTop w:val="0"/>
      <w:marBottom w:val="0"/>
      <w:divBdr>
        <w:top w:val="none" w:sz="0" w:space="0" w:color="auto"/>
        <w:left w:val="none" w:sz="0" w:space="0" w:color="auto"/>
        <w:bottom w:val="none" w:sz="0" w:space="0" w:color="auto"/>
        <w:right w:val="none" w:sz="0" w:space="0" w:color="auto"/>
      </w:divBdr>
    </w:div>
    <w:div w:id="1202280346">
      <w:bodyDiv w:val="1"/>
      <w:marLeft w:val="0"/>
      <w:marRight w:val="0"/>
      <w:marTop w:val="0"/>
      <w:marBottom w:val="0"/>
      <w:divBdr>
        <w:top w:val="none" w:sz="0" w:space="0" w:color="auto"/>
        <w:left w:val="none" w:sz="0" w:space="0" w:color="auto"/>
        <w:bottom w:val="none" w:sz="0" w:space="0" w:color="auto"/>
        <w:right w:val="none" w:sz="0" w:space="0" w:color="auto"/>
      </w:divBdr>
    </w:div>
    <w:div w:id="1284922437">
      <w:bodyDiv w:val="1"/>
      <w:marLeft w:val="0"/>
      <w:marRight w:val="0"/>
      <w:marTop w:val="0"/>
      <w:marBottom w:val="0"/>
      <w:divBdr>
        <w:top w:val="none" w:sz="0" w:space="0" w:color="auto"/>
        <w:left w:val="none" w:sz="0" w:space="0" w:color="auto"/>
        <w:bottom w:val="none" w:sz="0" w:space="0" w:color="auto"/>
        <w:right w:val="none" w:sz="0" w:space="0" w:color="auto"/>
      </w:divBdr>
    </w:div>
    <w:div w:id="1330600010">
      <w:bodyDiv w:val="1"/>
      <w:marLeft w:val="0"/>
      <w:marRight w:val="0"/>
      <w:marTop w:val="0"/>
      <w:marBottom w:val="0"/>
      <w:divBdr>
        <w:top w:val="none" w:sz="0" w:space="0" w:color="auto"/>
        <w:left w:val="none" w:sz="0" w:space="0" w:color="auto"/>
        <w:bottom w:val="none" w:sz="0" w:space="0" w:color="auto"/>
        <w:right w:val="none" w:sz="0" w:space="0" w:color="auto"/>
      </w:divBdr>
    </w:div>
    <w:div w:id="1500803172">
      <w:bodyDiv w:val="1"/>
      <w:marLeft w:val="0"/>
      <w:marRight w:val="0"/>
      <w:marTop w:val="0"/>
      <w:marBottom w:val="0"/>
      <w:divBdr>
        <w:top w:val="none" w:sz="0" w:space="0" w:color="auto"/>
        <w:left w:val="none" w:sz="0" w:space="0" w:color="auto"/>
        <w:bottom w:val="none" w:sz="0" w:space="0" w:color="auto"/>
        <w:right w:val="none" w:sz="0" w:space="0" w:color="auto"/>
      </w:divBdr>
    </w:div>
    <w:div w:id="1518501755">
      <w:bodyDiv w:val="1"/>
      <w:marLeft w:val="0"/>
      <w:marRight w:val="0"/>
      <w:marTop w:val="0"/>
      <w:marBottom w:val="0"/>
      <w:divBdr>
        <w:top w:val="none" w:sz="0" w:space="0" w:color="auto"/>
        <w:left w:val="none" w:sz="0" w:space="0" w:color="auto"/>
        <w:bottom w:val="none" w:sz="0" w:space="0" w:color="auto"/>
        <w:right w:val="none" w:sz="0" w:space="0" w:color="auto"/>
      </w:divBdr>
    </w:div>
    <w:div w:id="1599755658">
      <w:bodyDiv w:val="1"/>
      <w:marLeft w:val="0"/>
      <w:marRight w:val="0"/>
      <w:marTop w:val="0"/>
      <w:marBottom w:val="0"/>
      <w:divBdr>
        <w:top w:val="none" w:sz="0" w:space="0" w:color="auto"/>
        <w:left w:val="none" w:sz="0" w:space="0" w:color="auto"/>
        <w:bottom w:val="none" w:sz="0" w:space="0" w:color="auto"/>
        <w:right w:val="none" w:sz="0" w:space="0" w:color="auto"/>
      </w:divBdr>
    </w:div>
    <w:div w:id="1706712724">
      <w:bodyDiv w:val="1"/>
      <w:marLeft w:val="0"/>
      <w:marRight w:val="0"/>
      <w:marTop w:val="0"/>
      <w:marBottom w:val="0"/>
      <w:divBdr>
        <w:top w:val="none" w:sz="0" w:space="0" w:color="auto"/>
        <w:left w:val="none" w:sz="0" w:space="0" w:color="auto"/>
        <w:bottom w:val="none" w:sz="0" w:space="0" w:color="auto"/>
        <w:right w:val="none" w:sz="0" w:space="0" w:color="auto"/>
      </w:divBdr>
    </w:div>
    <w:div w:id="1969361959">
      <w:bodyDiv w:val="1"/>
      <w:marLeft w:val="0"/>
      <w:marRight w:val="0"/>
      <w:marTop w:val="0"/>
      <w:marBottom w:val="0"/>
      <w:divBdr>
        <w:top w:val="none" w:sz="0" w:space="0" w:color="auto"/>
        <w:left w:val="none" w:sz="0" w:space="0" w:color="auto"/>
        <w:bottom w:val="none" w:sz="0" w:space="0" w:color="auto"/>
        <w:right w:val="none" w:sz="0" w:space="0" w:color="auto"/>
      </w:divBdr>
    </w:div>
    <w:div w:id="1981155750">
      <w:bodyDiv w:val="1"/>
      <w:marLeft w:val="0"/>
      <w:marRight w:val="0"/>
      <w:marTop w:val="0"/>
      <w:marBottom w:val="0"/>
      <w:divBdr>
        <w:top w:val="none" w:sz="0" w:space="0" w:color="auto"/>
        <w:left w:val="none" w:sz="0" w:space="0" w:color="auto"/>
        <w:bottom w:val="none" w:sz="0" w:space="0" w:color="auto"/>
        <w:right w:val="none" w:sz="0" w:space="0" w:color="auto"/>
      </w:divBdr>
    </w:div>
    <w:div w:id="1993754391">
      <w:bodyDiv w:val="1"/>
      <w:marLeft w:val="0"/>
      <w:marRight w:val="0"/>
      <w:marTop w:val="0"/>
      <w:marBottom w:val="0"/>
      <w:divBdr>
        <w:top w:val="none" w:sz="0" w:space="0" w:color="auto"/>
        <w:left w:val="none" w:sz="0" w:space="0" w:color="auto"/>
        <w:bottom w:val="none" w:sz="0" w:space="0" w:color="auto"/>
        <w:right w:val="none" w:sz="0" w:space="0" w:color="auto"/>
      </w:divBdr>
    </w:div>
    <w:div w:id="2029020335">
      <w:bodyDiv w:val="1"/>
      <w:marLeft w:val="0"/>
      <w:marRight w:val="0"/>
      <w:marTop w:val="0"/>
      <w:marBottom w:val="0"/>
      <w:divBdr>
        <w:top w:val="none" w:sz="0" w:space="0" w:color="auto"/>
        <w:left w:val="none" w:sz="0" w:space="0" w:color="auto"/>
        <w:bottom w:val="none" w:sz="0" w:space="0" w:color="auto"/>
        <w:right w:val="none" w:sz="0" w:space="0" w:color="auto"/>
      </w:divBdr>
    </w:div>
    <w:div w:id="2101557181">
      <w:bodyDiv w:val="1"/>
      <w:marLeft w:val="0"/>
      <w:marRight w:val="0"/>
      <w:marTop w:val="0"/>
      <w:marBottom w:val="0"/>
      <w:divBdr>
        <w:top w:val="none" w:sz="0" w:space="0" w:color="auto"/>
        <w:left w:val="none" w:sz="0" w:space="0" w:color="auto"/>
        <w:bottom w:val="none" w:sz="0" w:space="0" w:color="auto"/>
        <w:right w:val="none" w:sz="0" w:space="0" w:color="auto"/>
      </w:divBdr>
    </w:div>
    <w:div w:id="2107454549">
      <w:bodyDiv w:val="1"/>
      <w:marLeft w:val="0"/>
      <w:marRight w:val="0"/>
      <w:marTop w:val="0"/>
      <w:marBottom w:val="0"/>
      <w:divBdr>
        <w:top w:val="none" w:sz="0" w:space="0" w:color="auto"/>
        <w:left w:val="none" w:sz="0" w:space="0" w:color="auto"/>
        <w:bottom w:val="none" w:sz="0" w:space="0" w:color="auto"/>
        <w:right w:val="none" w:sz="0" w:space="0" w:color="auto"/>
      </w:divBdr>
    </w:div>
    <w:div w:id="212965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adriana.forero\Desktop\MARTHA%20YOLIMA%20PASACHOA%20backup%20entrega%20agosto%2027\INFORME%20FINANCIERO%20PUBLICA%20Y%20PRIVADA\PUBLICAS%202002%202012\INGRESOS2011%202012%20INF%20POR%20DPTODEF.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riana.forero\Desktop\MARTHA%20YOLIMA%20PASACHOA%20backup%20entrega%20agosto%2027\INFORME%20FINANCIERO%20PUBLICA%20Y%20PRIVADA\PUBLICAS%202002%202012\GASTOS2011_2012%20INF%20POR%20DPTODEF.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9715529308836396"/>
          <c:y val="2.8252405949256341E-2"/>
          <c:w val="0.79437379702537181"/>
          <c:h val="0.76780475357247013"/>
        </c:manualLayout>
      </c:layout>
      <c:bar3DChart>
        <c:barDir val="col"/>
        <c:grouping val="clustered"/>
        <c:varyColors val="0"/>
        <c:ser>
          <c:idx val="0"/>
          <c:order val="0"/>
          <c:tx>
            <c:strRef>
              <c:f>'TABLA DIN marcela'!$C$40</c:f>
              <c:strCache>
                <c:ptCount val="1"/>
                <c:pt idx="0">
                  <c:v>DEFINITIVO</c:v>
                </c:pt>
              </c:strCache>
            </c:strRef>
          </c:tx>
          <c:invertIfNegative val="0"/>
          <c:dLbls>
            <c:dLbl>
              <c:idx val="0"/>
              <c:layout>
                <c:manualLayout>
                  <c:x val="1.1111111111111112E-2"/>
                  <c:y val="0.44444444444444442"/>
                </c:manualLayout>
              </c:layout>
              <c:showLegendKey val="0"/>
              <c:showVal val="1"/>
              <c:showCatName val="0"/>
              <c:showSerName val="0"/>
              <c:showPercent val="0"/>
              <c:showBubbleSize val="0"/>
            </c:dLbl>
            <c:dLbl>
              <c:idx val="1"/>
              <c:layout>
                <c:manualLayout>
                  <c:x val="5.5555958730965083E-3"/>
                  <c:y val="0.44907423777859351"/>
                </c:manualLayout>
              </c:layout>
              <c:showLegendKey val="0"/>
              <c:showVal val="1"/>
              <c:showCatName val="0"/>
              <c:showSerName val="0"/>
              <c:showPercent val="0"/>
              <c:showBubbleSize val="0"/>
            </c:dLbl>
            <c:dLbl>
              <c:idx val="2"/>
              <c:layout>
                <c:manualLayout>
                  <c:x val="5.5555555555555558E-3"/>
                  <c:y val="0.43981481481481483"/>
                </c:manualLayout>
              </c:layout>
              <c:showLegendKey val="0"/>
              <c:showVal val="1"/>
              <c:showCatName val="0"/>
              <c:showSerName val="0"/>
              <c:showPercent val="0"/>
              <c:showBubbleSize val="0"/>
            </c:dLbl>
            <c:txPr>
              <a:bodyPr rot="-5400000" vert="horz"/>
              <a:lstStyle/>
              <a:p>
                <a:pPr>
                  <a:defRPr/>
                </a:pPr>
                <a:endParaRPr lang="es-CO"/>
              </a:p>
            </c:txPr>
            <c:showLegendKey val="0"/>
            <c:showVal val="1"/>
            <c:showCatName val="0"/>
            <c:showSerName val="0"/>
            <c:showPercent val="0"/>
            <c:showBubbleSize val="0"/>
            <c:showLeaderLines val="0"/>
          </c:dLbls>
          <c:cat>
            <c:numRef>
              <c:f>'TABLA DIN marcela'!$B$41:$B$42</c:f>
              <c:numCache>
                <c:formatCode>#,##0_);\(#,##0\)</c:formatCode>
                <c:ptCount val="2"/>
                <c:pt idx="0">
                  <c:v>2011</c:v>
                </c:pt>
                <c:pt idx="1">
                  <c:v>2012</c:v>
                </c:pt>
              </c:numCache>
            </c:numRef>
          </c:cat>
          <c:val>
            <c:numRef>
              <c:f>'TABLA DIN marcela'!$C$41:$C$42</c:f>
              <c:numCache>
                <c:formatCode>_(* #,##0_);_(* \(#,##0\);_(* "-"??_);_(@_)</c:formatCode>
                <c:ptCount val="2"/>
                <c:pt idx="0">
                  <c:v>176208686.27000001</c:v>
                </c:pt>
                <c:pt idx="1">
                  <c:v>196328788.03100002</c:v>
                </c:pt>
              </c:numCache>
            </c:numRef>
          </c:val>
        </c:ser>
        <c:ser>
          <c:idx val="1"/>
          <c:order val="1"/>
          <c:tx>
            <c:strRef>
              <c:f>'TABLA DIN marcela'!$D$40</c:f>
              <c:strCache>
                <c:ptCount val="1"/>
                <c:pt idx="0">
                  <c:v>RECAUDADO</c:v>
                </c:pt>
              </c:strCache>
            </c:strRef>
          </c:tx>
          <c:spPr>
            <a:solidFill>
              <a:schemeClr val="accent3">
                <a:lumMod val="40000"/>
                <a:lumOff val="60000"/>
              </a:schemeClr>
            </a:solidFill>
          </c:spPr>
          <c:invertIfNegative val="0"/>
          <c:dLbls>
            <c:dLbl>
              <c:idx val="0"/>
              <c:layout>
                <c:manualLayout>
                  <c:x val="1.1111191746193017E-2"/>
                  <c:y val="0.41666681855745791"/>
                </c:manualLayout>
              </c:layout>
              <c:showLegendKey val="0"/>
              <c:showVal val="1"/>
              <c:showCatName val="0"/>
              <c:showSerName val="0"/>
              <c:showPercent val="0"/>
              <c:showBubbleSize val="0"/>
            </c:dLbl>
            <c:dLbl>
              <c:idx val="1"/>
              <c:layout>
                <c:manualLayout>
                  <c:x val="1.3888888888888888E-2"/>
                  <c:y val="0.36574074074074076"/>
                </c:manualLayout>
              </c:layout>
              <c:showLegendKey val="0"/>
              <c:showVal val="1"/>
              <c:showCatName val="0"/>
              <c:showSerName val="0"/>
              <c:showPercent val="0"/>
              <c:showBubbleSize val="0"/>
            </c:dLbl>
            <c:dLbl>
              <c:idx val="2"/>
              <c:layout>
                <c:manualLayout>
                  <c:x val="1.3888888888888888E-2"/>
                  <c:y val="0.44907407407407407"/>
                </c:manualLayout>
              </c:layout>
              <c:showLegendKey val="0"/>
              <c:showVal val="1"/>
              <c:showCatName val="0"/>
              <c:showSerName val="0"/>
              <c:showPercent val="0"/>
              <c:showBubbleSize val="0"/>
            </c:dLbl>
            <c:txPr>
              <a:bodyPr rot="-5400000" vert="horz"/>
              <a:lstStyle/>
              <a:p>
                <a:pPr>
                  <a:defRPr/>
                </a:pPr>
                <a:endParaRPr lang="es-CO"/>
              </a:p>
            </c:txPr>
            <c:showLegendKey val="0"/>
            <c:showVal val="1"/>
            <c:showCatName val="0"/>
            <c:showSerName val="0"/>
            <c:showPercent val="0"/>
            <c:showBubbleSize val="0"/>
            <c:showLeaderLines val="0"/>
          </c:dLbls>
          <c:cat>
            <c:numRef>
              <c:f>'TABLA DIN marcela'!$B$41:$B$42</c:f>
              <c:numCache>
                <c:formatCode>#,##0_);\(#,##0\)</c:formatCode>
                <c:ptCount val="2"/>
                <c:pt idx="0">
                  <c:v>2011</c:v>
                </c:pt>
                <c:pt idx="1">
                  <c:v>2012</c:v>
                </c:pt>
              </c:numCache>
            </c:numRef>
          </c:cat>
          <c:val>
            <c:numRef>
              <c:f>'TABLA DIN marcela'!$D$41:$D$42</c:f>
              <c:numCache>
                <c:formatCode>_(* #,##0_);_(* \(#,##0\);_(* "-"??_);_(@_)</c:formatCode>
                <c:ptCount val="2"/>
                <c:pt idx="0">
                  <c:v>130284714.56099999</c:v>
                </c:pt>
                <c:pt idx="1">
                  <c:v>117681976.36499999</c:v>
                </c:pt>
              </c:numCache>
            </c:numRef>
          </c:val>
        </c:ser>
        <c:ser>
          <c:idx val="2"/>
          <c:order val="2"/>
          <c:tx>
            <c:strRef>
              <c:f>'TABLA DIN marcela'!$E$40</c:f>
              <c:strCache>
                <c:ptCount val="1"/>
                <c:pt idx="0">
                  <c:v>RECONOCIDO</c:v>
                </c:pt>
              </c:strCache>
            </c:strRef>
          </c:tx>
          <c:spPr>
            <a:solidFill>
              <a:schemeClr val="accent2">
                <a:lumMod val="40000"/>
                <a:lumOff val="60000"/>
              </a:schemeClr>
            </a:solidFill>
          </c:spPr>
          <c:invertIfNegative val="0"/>
          <c:dLbls>
            <c:dLbl>
              <c:idx val="0"/>
              <c:layout>
                <c:manualLayout>
                  <c:x val="1.2288786482334925E-2"/>
                  <c:y val="0.44907423777859351"/>
                </c:manualLayout>
              </c:layout>
              <c:showLegendKey val="0"/>
              <c:showVal val="1"/>
              <c:showCatName val="0"/>
              <c:showSerName val="0"/>
              <c:showPercent val="0"/>
              <c:showBubbleSize val="0"/>
            </c:dLbl>
            <c:dLbl>
              <c:idx val="1"/>
              <c:layout>
                <c:manualLayout>
                  <c:x val="1.2288544577089154E-2"/>
                  <c:y val="0.46296313173050879"/>
                </c:manualLayout>
              </c:layout>
              <c:showLegendKey val="0"/>
              <c:showVal val="1"/>
              <c:showCatName val="0"/>
              <c:showSerName val="0"/>
              <c:showPercent val="0"/>
              <c:showBubbleSize val="0"/>
            </c:dLbl>
            <c:txPr>
              <a:bodyPr rot="-5400000" vert="horz"/>
              <a:lstStyle/>
              <a:p>
                <a:pPr>
                  <a:defRPr/>
                </a:pPr>
                <a:endParaRPr lang="es-CO"/>
              </a:p>
            </c:txPr>
            <c:showLegendKey val="0"/>
            <c:showVal val="1"/>
            <c:showCatName val="0"/>
            <c:showSerName val="0"/>
            <c:showPercent val="0"/>
            <c:showBubbleSize val="0"/>
            <c:showLeaderLines val="0"/>
          </c:dLbls>
          <c:cat>
            <c:numRef>
              <c:f>'TABLA DIN marcela'!$B$41:$B$42</c:f>
              <c:numCache>
                <c:formatCode>#,##0_);\(#,##0\)</c:formatCode>
                <c:ptCount val="2"/>
                <c:pt idx="0">
                  <c:v>2011</c:v>
                </c:pt>
                <c:pt idx="1">
                  <c:v>2012</c:v>
                </c:pt>
              </c:numCache>
            </c:numRef>
          </c:cat>
          <c:val>
            <c:numRef>
              <c:f>'TABLA DIN marcela'!$E$41:$E$42</c:f>
              <c:numCache>
                <c:formatCode>_(* #,##0_);_(* \(#,##0\);_(* "-"??_);_(@_)</c:formatCode>
                <c:ptCount val="2"/>
                <c:pt idx="0">
                  <c:v>163993716.65900001</c:v>
                </c:pt>
                <c:pt idx="1">
                  <c:v>183797709.18500003</c:v>
                </c:pt>
              </c:numCache>
            </c:numRef>
          </c:val>
        </c:ser>
        <c:dLbls>
          <c:showLegendKey val="0"/>
          <c:showVal val="0"/>
          <c:showCatName val="0"/>
          <c:showSerName val="0"/>
          <c:showPercent val="0"/>
          <c:showBubbleSize val="0"/>
        </c:dLbls>
        <c:gapWidth val="150"/>
        <c:shape val="cylinder"/>
        <c:axId val="115020160"/>
        <c:axId val="115021696"/>
        <c:axId val="0"/>
      </c:bar3DChart>
      <c:catAx>
        <c:axId val="115020160"/>
        <c:scaling>
          <c:orientation val="minMax"/>
        </c:scaling>
        <c:delete val="0"/>
        <c:axPos val="b"/>
        <c:numFmt formatCode="#,##0_);\(#,##0\)" sourceLinked="1"/>
        <c:majorTickMark val="out"/>
        <c:minorTickMark val="none"/>
        <c:tickLblPos val="nextTo"/>
        <c:crossAx val="115021696"/>
        <c:crosses val="autoZero"/>
        <c:auto val="1"/>
        <c:lblAlgn val="ctr"/>
        <c:lblOffset val="100"/>
        <c:noMultiLvlLbl val="0"/>
      </c:catAx>
      <c:valAx>
        <c:axId val="115021696"/>
        <c:scaling>
          <c:orientation val="minMax"/>
        </c:scaling>
        <c:delete val="0"/>
        <c:axPos val="l"/>
        <c:majorGridlines>
          <c:spPr>
            <a:ln>
              <a:solidFill>
                <a:schemeClr val="bg1">
                  <a:lumMod val="95000"/>
                </a:schemeClr>
              </a:solidFill>
            </a:ln>
          </c:spPr>
        </c:majorGridlines>
        <c:numFmt formatCode="_(* #,##0_);_(* \(#,##0\);_(* &quot;-&quot;??_);_(@_)" sourceLinked="1"/>
        <c:majorTickMark val="out"/>
        <c:minorTickMark val="none"/>
        <c:tickLblPos val="nextTo"/>
        <c:crossAx val="115020160"/>
        <c:crosses val="autoZero"/>
        <c:crossBetween val="between"/>
      </c:valAx>
    </c:plotArea>
    <c:legend>
      <c:legendPos val="r"/>
      <c:layout>
        <c:manualLayout>
          <c:xMode val="edge"/>
          <c:yMode val="edge"/>
          <c:x val="1.3751312335958006E-2"/>
          <c:y val="0.9116531787693205"/>
          <c:w val="0.96958202099737534"/>
          <c:h val="8.4101049868766389E-2"/>
        </c:manualLayout>
      </c:layout>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3385466326246004"/>
          <c:y val="3.5829022265261613E-2"/>
          <c:w val="0.8612091227016242"/>
          <c:h val="0.79942181417807989"/>
        </c:manualLayout>
      </c:layout>
      <c:bar3DChart>
        <c:barDir val="col"/>
        <c:grouping val="clustered"/>
        <c:varyColors val="0"/>
        <c:ser>
          <c:idx val="0"/>
          <c:order val="0"/>
          <c:tx>
            <c:strRef>
              <c:f>'tabla din MARCELA'!$C$38</c:f>
              <c:strCache>
                <c:ptCount val="1"/>
                <c:pt idx="0">
                  <c:v>DEFINITIVO</c:v>
                </c:pt>
              </c:strCache>
            </c:strRef>
          </c:tx>
          <c:invertIfNegative val="0"/>
          <c:dLbls>
            <c:dLbl>
              <c:idx val="0"/>
              <c:layout>
                <c:manualLayout>
                  <c:x val="6.5395644988820844E-3"/>
                  <c:y val="0.43847567990171443"/>
                </c:manualLayout>
              </c:layout>
              <c:showLegendKey val="0"/>
              <c:showVal val="1"/>
              <c:showCatName val="0"/>
              <c:showSerName val="0"/>
              <c:showPercent val="0"/>
              <c:showBubbleSize val="0"/>
            </c:dLbl>
            <c:dLbl>
              <c:idx val="1"/>
              <c:layout>
                <c:manualLayout>
                  <c:x val="1.3356177700009721E-2"/>
                  <c:y val="0.44757513821410622"/>
                </c:manualLayout>
              </c:layout>
              <c:showLegendKey val="0"/>
              <c:showVal val="1"/>
              <c:showCatName val="0"/>
              <c:showSerName val="0"/>
              <c:showPercent val="0"/>
              <c:showBubbleSize val="0"/>
            </c:dLbl>
            <c:dLbl>
              <c:idx val="2"/>
              <c:layout>
                <c:manualLayout>
                  <c:x val="1.0899182561307902E-2"/>
                  <c:y val="0.3420733732393525"/>
                </c:manualLayout>
              </c:layout>
              <c:showLegendKey val="0"/>
              <c:showVal val="1"/>
              <c:showCatName val="0"/>
              <c:showSerName val="0"/>
              <c:showPercent val="0"/>
              <c:showBubbleSize val="0"/>
            </c:dLbl>
            <c:txPr>
              <a:bodyPr rot="-5400000" vert="horz"/>
              <a:lstStyle/>
              <a:p>
                <a:pPr>
                  <a:defRPr/>
                </a:pPr>
                <a:endParaRPr lang="es-CO"/>
              </a:p>
            </c:txPr>
            <c:showLegendKey val="0"/>
            <c:showVal val="1"/>
            <c:showCatName val="0"/>
            <c:showSerName val="0"/>
            <c:showPercent val="0"/>
            <c:showBubbleSize val="0"/>
            <c:showLeaderLines val="0"/>
          </c:dLbls>
          <c:cat>
            <c:numRef>
              <c:f>'tabla din MARCELA'!$D$37:$E$37</c:f>
              <c:numCache>
                <c:formatCode>General</c:formatCode>
                <c:ptCount val="2"/>
                <c:pt idx="0">
                  <c:v>2011</c:v>
                </c:pt>
                <c:pt idx="1">
                  <c:v>2012</c:v>
                </c:pt>
              </c:numCache>
            </c:numRef>
          </c:cat>
          <c:val>
            <c:numRef>
              <c:f>'tabla din MARCELA'!$D$38:$E$38</c:f>
              <c:numCache>
                <c:formatCode>_(* #,##0_);_(* \(#,##0\);_(* "-"??_);_(@_)</c:formatCode>
                <c:ptCount val="2"/>
                <c:pt idx="0">
                  <c:v>137780153.62400001</c:v>
                </c:pt>
                <c:pt idx="1">
                  <c:v>159597226.81200001</c:v>
                </c:pt>
              </c:numCache>
            </c:numRef>
          </c:val>
        </c:ser>
        <c:ser>
          <c:idx val="1"/>
          <c:order val="1"/>
          <c:tx>
            <c:strRef>
              <c:f>'tabla din MARCELA'!$C$39</c:f>
              <c:strCache>
                <c:ptCount val="1"/>
                <c:pt idx="0">
                  <c:v>COMPROMISO</c:v>
                </c:pt>
              </c:strCache>
            </c:strRef>
          </c:tx>
          <c:spPr>
            <a:solidFill>
              <a:schemeClr val="accent3">
                <a:lumMod val="40000"/>
                <a:lumOff val="60000"/>
              </a:schemeClr>
            </a:solidFill>
          </c:spPr>
          <c:invertIfNegative val="0"/>
          <c:dLbls>
            <c:dLbl>
              <c:idx val="0"/>
              <c:layout>
                <c:manualLayout>
                  <c:x val="1.0621901428988043E-2"/>
                  <c:y val="0.45924029709052328"/>
                </c:manualLayout>
              </c:layout>
              <c:showLegendKey val="0"/>
              <c:showVal val="1"/>
              <c:showCatName val="0"/>
              <c:showSerName val="0"/>
              <c:showPercent val="0"/>
              <c:showBubbleSize val="0"/>
            </c:dLbl>
            <c:dLbl>
              <c:idx val="1"/>
              <c:layout>
                <c:manualLayout>
                  <c:x val="1.5258855585831142E-2"/>
                  <c:y val="0.44211369937538958"/>
                </c:manualLayout>
              </c:layout>
              <c:showLegendKey val="0"/>
              <c:showVal val="1"/>
              <c:showCatName val="0"/>
              <c:showSerName val="0"/>
              <c:showPercent val="0"/>
              <c:showBubbleSize val="0"/>
            </c:dLbl>
            <c:dLbl>
              <c:idx val="2"/>
              <c:layout>
                <c:manualLayout>
                  <c:x val="1.3079019073569483E-2"/>
                  <c:y val="0.29043965652397857"/>
                </c:manualLayout>
              </c:layout>
              <c:showLegendKey val="0"/>
              <c:showVal val="1"/>
              <c:showCatName val="0"/>
              <c:showSerName val="0"/>
              <c:showPercent val="0"/>
              <c:showBubbleSize val="0"/>
            </c:dLbl>
            <c:txPr>
              <a:bodyPr rot="-5400000" vert="horz"/>
              <a:lstStyle/>
              <a:p>
                <a:pPr>
                  <a:defRPr/>
                </a:pPr>
                <a:endParaRPr lang="es-CO"/>
              </a:p>
            </c:txPr>
            <c:showLegendKey val="0"/>
            <c:showVal val="1"/>
            <c:showCatName val="0"/>
            <c:showSerName val="0"/>
            <c:showPercent val="0"/>
            <c:showBubbleSize val="0"/>
            <c:showLeaderLines val="0"/>
          </c:dLbls>
          <c:cat>
            <c:numRef>
              <c:f>'tabla din MARCELA'!$D$37:$E$37</c:f>
              <c:numCache>
                <c:formatCode>General</c:formatCode>
                <c:ptCount val="2"/>
                <c:pt idx="0">
                  <c:v>2011</c:v>
                </c:pt>
                <c:pt idx="1">
                  <c:v>2012</c:v>
                </c:pt>
              </c:numCache>
            </c:numRef>
          </c:cat>
          <c:val>
            <c:numRef>
              <c:f>'tabla din MARCELA'!$D$39:$E$39</c:f>
              <c:numCache>
                <c:formatCode>_(* #,##0_);_(* \(#,##0\);_(* "-"??_);_(@_)</c:formatCode>
                <c:ptCount val="2"/>
                <c:pt idx="0">
                  <c:v>102056400.058</c:v>
                </c:pt>
                <c:pt idx="1">
                  <c:v>107120961.14099999</c:v>
                </c:pt>
              </c:numCache>
            </c:numRef>
          </c:val>
        </c:ser>
        <c:ser>
          <c:idx val="2"/>
          <c:order val="2"/>
          <c:tx>
            <c:strRef>
              <c:f>'tabla din MARCELA'!$C$40</c:f>
              <c:strCache>
                <c:ptCount val="1"/>
                <c:pt idx="0">
                  <c:v>PAGO</c:v>
                </c:pt>
              </c:strCache>
            </c:strRef>
          </c:tx>
          <c:spPr>
            <a:solidFill>
              <a:schemeClr val="accent2">
                <a:lumMod val="40000"/>
                <a:lumOff val="60000"/>
              </a:schemeClr>
            </a:solidFill>
          </c:spPr>
          <c:invertIfNegative val="0"/>
          <c:dLbls>
            <c:dLbl>
              <c:idx val="0"/>
              <c:layout>
                <c:manualLayout>
                  <c:x val="1.47419072615923E-2"/>
                  <c:y val="0.37288881443011113"/>
                </c:manualLayout>
              </c:layout>
              <c:showLegendKey val="0"/>
              <c:showVal val="1"/>
              <c:showCatName val="0"/>
              <c:showSerName val="0"/>
              <c:showPercent val="0"/>
              <c:showBubbleSize val="0"/>
            </c:dLbl>
            <c:dLbl>
              <c:idx val="1"/>
              <c:layout>
                <c:manualLayout>
                  <c:x val="1.7199134830368425E-2"/>
                  <c:y val="0.31402021555816162"/>
                </c:manualLayout>
              </c:layout>
              <c:showLegendKey val="0"/>
              <c:showVal val="1"/>
              <c:showCatName val="0"/>
              <c:showSerName val="0"/>
              <c:showPercent val="0"/>
              <c:showBubbleSize val="0"/>
            </c:dLbl>
            <c:txPr>
              <a:bodyPr rot="-5400000" vert="horz"/>
              <a:lstStyle/>
              <a:p>
                <a:pPr>
                  <a:defRPr/>
                </a:pPr>
                <a:endParaRPr lang="es-CO"/>
              </a:p>
            </c:txPr>
            <c:showLegendKey val="0"/>
            <c:showVal val="1"/>
            <c:showCatName val="0"/>
            <c:showSerName val="0"/>
            <c:showPercent val="0"/>
            <c:showBubbleSize val="0"/>
            <c:showLeaderLines val="0"/>
          </c:dLbls>
          <c:cat>
            <c:numRef>
              <c:f>'tabla din MARCELA'!$D$37:$E$37</c:f>
              <c:numCache>
                <c:formatCode>General</c:formatCode>
                <c:ptCount val="2"/>
                <c:pt idx="0">
                  <c:v>2011</c:v>
                </c:pt>
                <c:pt idx="1">
                  <c:v>2012</c:v>
                </c:pt>
              </c:numCache>
            </c:numRef>
          </c:cat>
          <c:val>
            <c:numRef>
              <c:f>'tabla din MARCELA'!$D$40:$E$40</c:f>
              <c:numCache>
                <c:formatCode>_(* #,##0_);_(* \(#,##0\);_(* "-"??_);_(@_)</c:formatCode>
                <c:ptCount val="2"/>
                <c:pt idx="0">
                  <c:v>86059699.95099999</c:v>
                </c:pt>
                <c:pt idx="1">
                  <c:v>72875493.449000001</c:v>
                </c:pt>
              </c:numCache>
            </c:numRef>
          </c:val>
        </c:ser>
        <c:dLbls>
          <c:showLegendKey val="0"/>
          <c:showVal val="0"/>
          <c:showCatName val="0"/>
          <c:showSerName val="0"/>
          <c:showPercent val="0"/>
          <c:showBubbleSize val="0"/>
        </c:dLbls>
        <c:gapWidth val="150"/>
        <c:shape val="cylinder"/>
        <c:axId val="115045504"/>
        <c:axId val="115047040"/>
        <c:axId val="0"/>
      </c:bar3DChart>
      <c:catAx>
        <c:axId val="115045504"/>
        <c:scaling>
          <c:orientation val="minMax"/>
        </c:scaling>
        <c:delete val="0"/>
        <c:axPos val="b"/>
        <c:numFmt formatCode="General" sourceLinked="1"/>
        <c:majorTickMark val="out"/>
        <c:minorTickMark val="none"/>
        <c:tickLblPos val="nextTo"/>
        <c:crossAx val="115047040"/>
        <c:crosses val="autoZero"/>
        <c:auto val="1"/>
        <c:lblAlgn val="ctr"/>
        <c:lblOffset val="100"/>
        <c:noMultiLvlLbl val="0"/>
      </c:catAx>
      <c:valAx>
        <c:axId val="115047040"/>
        <c:scaling>
          <c:orientation val="minMax"/>
        </c:scaling>
        <c:delete val="0"/>
        <c:axPos val="l"/>
        <c:majorGridlines>
          <c:spPr>
            <a:ln>
              <a:solidFill>
                <a:schemeClr val="bg1">
                  <a:lumMod val="95000"/>
                </a:schemeClr>
              </a:solidFill>
            </a:ln>
          </c:spPr>
        </c:majorGridlines>
        <c:numFmt formatCode="_(* #,##0_);_(* \(#,##0\);_(* &quot;-&quot;??_);_(@_)" sourceLinked="1"/>
        <c:majorTickMark val="out"/>
        <c:minorTickMark val="none"/>
        <c:tickLblPos val="nextTo"/>
        <c:crossAx val="115045504"/>
        <c:crosses val="autoZero"/>
        <c:crossBetween val="between"/>
      </c:valAx>
    </c:plotArea>
    <c:legend>
      <c:legendPos val="r"/>
      <c:layout>
        <c:manualLayout>
          <c:xMode val="edge"/>
          <c:yMode val="edge"/>
          <c:x val="7.5978459095882769E-3"/>
          <c:y val="0.88053096333218395"/>
          <c:w val="0.97932313501684221"/>
          <c:h val="0.11671100339405292"/>
        </c:manualLayout>
      </c:layout>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B5F37-3C24-46CE-91FB-7CD39B13B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4998</Words>
  <Characters>27489</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Guillermo Libreros</dc:creator>
  <cp:lastModifiedBy>Myriam Guerrero</cp:lastModifiedBy>
  <cp:revision>2</cp:revision>
  <cp:lastPrinted>2013-10-03T21:51:00Z</cp:lastPrinted>
  <dcterms:created xsi:type="dcterms:W3CDTF">2013-10-07T14:52:00Z</dcterms:created>
  <dcterms:modified xsi:type="dcterms:W3CDTF">2013-10-07T14:52:00Z</dcterms:modified>
</cp:coreProperties>
</file>