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84" w:rsidRPr="004630C1" w:rsidRDefault="00C52184" w:rsidP="00C52184">
      <w:pPr>
        <w:widowControl w:val="0"/>
        <w:autoSpaceDE w:val="0"/>
        <w:autoSpaceDN w:val="0"/>
        <w:adjustRightInd w:val="0"/>
        <w:spacing w:after="0" w:line="240" w:lineRule="auto"/>
        <w:jc w:val="center"/>
        <w:rPr>
          <w:rFonts w:ascii="Arial" w:hAnsi="Arial" w:cs="Arial"/>
          <w:b/>
          <w:color w:val="000000"/>
          <w:sz w:val="28"/>
          <w:lang w:eastAsia="es-CO"/>
        </w:rPr>
      </w:pPr>
      <w:r w:rsidRPr="004630C1">
        <w:rPr>
          <w:rFonts w:ascii="Arial" w:hAnsi="Arial" w:cs="Arial"/>
          <w:b/>
          <w:color w:val="000000"/>
          <w:sz w:val="28"/>
          <w:lang w:eastAsia="es-CO"/>
        </w:rPr>
        <w:t>DOCUMENTO ANEXO</w:t>
      </w:r>
    </w:p>
    <w:p w:rsidR="00C52184" w:rsidRPr="004630C1" w:rsidRDefault="00C52184" w:rsidP="00C52184">
      <w:pPr>
        <w:widowControl w:val="0"/>
        <w:autoSpaceDE w:val="0"/>
        <w:autoSpaceDN w:val="0"/>
        <w:adjustRightInd w:val="0"/>
        <w:spacing w:after="0" w:line="240" w:lineRule="auto"/>
        <w:jc w:val="center"/>
        <w:rPr>
          <w:rFonts w:ascii="Arial" w:hAnsi="Arial" w:cs="Arial"/>
          <w:b/>
          <w:color w:val="000000"/>
          <w:lang w:eastAsia="es-CO"/>
        </w:rPr>
      </w:pPr>
    </w:p>
    <w:p w:rsidR="00C52184" w:rsidRPr="004630C1" w:rsidRDefault="00C52184" w:rsidP="00C52184">
      <w:pPr>
        <w:widowControl w:val="0"/>
        <w:autoSpaceDE w:val="0"/>
        <w:autoSpaceDN w:val="0"/>
        <w:adjustRightInd w:val="0"/>
        <w:spacing w:after="0" w:line="240" w:lineRule="auto"/>
        <w:jc w:val="both"/>
        <w:rPr>
          <w:rFonts w:ascii="Arial" w:hAnsi="Arial" w:cs="Arial"/>
          <w:color w:val="000000"/>
          <w:lang w:eastAsia="es-CO"/>
        </w:rPr>
      </w:pPr>
    </w:p>
    <w:p w:rsidR="00C52184" w:rsidRPr="004630C1" w:rsidRDefault="00C52184" w:rsidP="00C52184">
      <w:pPr>
        <w:widowControl w:val="0"/>
        <w:autoSpaceDE w:val="0"/>
        <w:autoSpaceDN w:val="0"/>
        <w:adjustRightInd w:val="0"/>
        <w:spacing w:after="0" w:line="240" w:lineRule="auto"/>
        <w:jc w:val="center"/>
        <w:rPr>
          <w:rFonts w:ascii="Arial" w:hAnsi="Arial" w:cs="Arial"/>
          <w:b/>
          <w:bCs/>
          <w:i/>
          <w:iCs/>
          <w:color w:val="000000"/>
          <w:sz w:val="28"/>
        </w:rPr>
      </w:pPr>
      <w:r w:rsidRPr="004630C1">
        <w:rPr>
          <w:rFonts w:ascii="Arial" w:hAnsi="Arial" w:cs="Arial"/>
          <w:b/>
          <w:color w:val="000000"/>
          <w:sz w:val="28"/>
          <w:lang w:eastAsia="es-CO"/>
        </w:rPr>
        <w:t>RESPUESTA SOLICITUD INFORMACIÓN</w:t>
      </w:r>
    </w:p>
    <w:p w:rsidR="00C05958" w:rsidRPr="00603DBE" w:rsidRDefault="00C05958" w:rsidP="00E62892">
      <w:pPr>
        <w:jc w:val="both"/>
        <w:rPr>
          <w:rFonts w:ascii="Arial" w:hAnsi="Arial" w:cs="Arial"/>
        </w:rPr>
      </w:pPr>
    </w:p>
    <w:p w:rsidR="00C52184" w:rsidRPr="00C52184" w:rsidRDefault="00C52184" w:rsidP="00C52184">
      <w:pPr>
        <w:widowControl w:val="0"/>
        <w:autoSpaceDE w:val="0"/>
        <w:autoSpaceDN w:val="0"/>
        <w:adjustRightInd w:val="0"/>
        <w:spacing w:after="0" w:line="240" w:lineRule="auto"/>
        <w:jc w:val="center"/>
        <w:rPr>
          <w:rFonts w:ascii="Arial" w:hAnsi="Arial" w:cs="Arial"/>
          <w:b/>
          <w:sz w:val="24"/>
        </w:rPr>
      </w:pPr>
      <w:r w:rsidRPr="00C52184">
        <w:rPr>
          <w:rFonts w:ascii="Arial" w:hAnsi="Arial" w:cs="Arial"/>
          <w:b/>
          <w:sz w:val="24"/>
        </w:rPr>
        <w:t>SITUACIÓN DE FLUJO DE RECURSOS EN LA RED HOSPITALARIA PÚBLICA Y PRIVADA DEL PAÍS</w:t>
      </w:r>
    </w:p>
    <w:p w:rsidR="00C52184" w:rsidRDefault="00C52184" w:rsidP="00541954">
      <w:pPr>
        <w:widowControl w:val="0"/>
        <w:autoSpaceDE w:val="0"/>
        <w:autoSpaceDN w:val="0"/>
        <w:adjustRightInd w:val="0"/>
        <w:spacing w:after="0" w:line="240" w:lineRule="auto"/>
        <w:jc w:val="both"/>
        <w:rPr>
          <w:rFonts w:ascii="Arial" w:hAnsi="Arial" w:cs="Arial"/>
        </w:rPr>
      </w:pPr>
    </w:p>
    <w:p w:rsidR="00541954" w:rsidRPr="00603DBE" w:rsidRDefault="00541954" w:rsidP="007F7339">
      <w:pPr>
        <w:widowControl w:val="0"/>
        <w:autoSpaceDE w:val="0"/>
        <w:autoSpaceDN w:val="0"/>
        <w:adjustRightInd w:val="0"/>
        <w:spacing w:after="0" w:line="240" w:lineRule="auto"/>
        <w:ind w:left="337" w:hanging="360"/>
        <w:jc w:val="both"/>
        <w:rPr>
          <w:rFonts w:ascii="Arial" w:hAnsi="Arial" w:cs="Arial"/>
          <w:b/>
          <w:bCs/>
          <w:color w:val="000000"/>
        </w:rPr>
      </w:pPr>
    </w:p>
    <w:p w:rsidR="00541954" w:rsidRPr="00603DBE" w:rsidRDefault="00541954" w:rsidP="007F7339">
      <w:pPr>
        <w:widowControl w:val="0"/>
        <w:autoSpaceDE w:val="0"/>
        <w:autoSpaceDN w:val="0"/>
        <w:adjustRightInd w:val="0"/>
        <w:spacing w:after="0" w:line="240" w:lineRule="auto"/>
        <w:ind w:left="337" w:hanging="360"/>
        <w:jc w:val="both"/>
        <w:rPr>
          <w:rFonts w:ascii="Arial" w:hAnsi="Arial" w:cs="Arial"/>
          <w:b/>
          <w:bCs/>
          <w:color w:val="000000"/>
        </w:rPr>
      </w:pPr>
      <w:r w:rsidRPr="00603DBE">
        <w:rPr>
          <w:rFonts w:ascii="Arial" w:hAnsi="Arial" w:cs="Arial"/>
          <w:b/>
          <w:bCs/>
          <w:color w:val="000000"/>
        </w:rPr>
        <w:t>I.</w:t>
      </w:r>
      <w:r w:rsidRPr="00603DBE">
        <w:rPr>
          <w:rFonts w:ascii="Arial" w:hAnsi="Arial" w:cs="Arial"/>
          <w:b/>
          <w:bCs/>
          <w:color w:val="000000"/>
        </w:rPr>
        <w:tab/>
        <w:t>Marco Legal Superintendencia Nacional de Salud</w:t>
      </w: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r w:rsidRPr="00603DBE">
        <w:rPr>
          <w:rFonts w:ascii="Arial" w:hAnsi="Arial" w:cs="Arial"/>
          <w:color w:val="000000"/>
        </w:rPr>
        <w:t>La Constitución Política de Colombia, en el artículo 48, establece que la Seguridad Social es un servicio público de carácter obligatorio que se prestará bajo la dirección, coordinación y control del Estado, en sujeción a los principios de eficiencia, universalidad y solidaridad, en los términos que establezca la ley.</w:t>
      </w: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r w:rsidRPr="00603DBE">
        <w:rPr>
          <w:rFonts w:ascii="Arial" w:hAnsi="Arial" w:cs="Arial"/>
          <w:color w:val="000000"/>
        </w:rPr>
        <w:t xml:space="preserve">Los artículos 154, 180, 181, 230 y 233 de la Ley 100 de 1993, estipulados que le corresponden a la Superintendencia Nacional de Salud las peticiones de Inspección, Vigilancia y Control respecto de las Entidades Promotoras de Salud, cualquiera sea su naturaleza  jurídica. </w:t>
      </w: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r w:rsidRPr="00603DBE">
        <w:rPr>
          <w:rFonts w:ascii="Arial" w:hAnsi="Arial" w:cs="Arial"/>
          <w:color w:val="000000"/>
        </w:rPr>
        <w:t xml:space="preserve">La Ley 715 de 2001 en el artículo 68 determina que la Superintendencia Nacional de Salud tiene la facultad de realizar la Inspección, Vigilancia y Control del cumplimiento de las normas constitucionales y legales del sector salud y de los recursos del mismo. </w:t>
      </w: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r w:rsidRPr="00603DBE">
        <w:rPr>
          <w:rFonts w:ascii="Arial" w:hAnsi="Arial" w:cs="Arial"/>
          <w:color w:val="000000"/>
        </w:rPr>
        <w:t>La Ley 1122 de 2007 en su artículo 35, adopta las definiciones de Inspección, Vigilancia y Control, determinando que son funciones de inspección entre otras las visitas, la revisión de documentos, el seguimiento de peticiones de interés general o particular y la práctica de investigaciones administrativas.</w:t>
      </w: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r w:rsidRPr="00603DBE">
        <w:rPr>
          <w:rFonts w:ascii="Arial" w:hAnsi="Arial" w:cs="Arial"/>
          <w:color w:val="000000"/>
        </w:rPr>
        <w:t>El literal a) del artículo 40 de la Ley 1122 del 2007, establece que es competencia de la Superintendencia Nacional de Salud adelantar funciones de inspección, vigilancia y control al Fondo de Solidaridad y Garantía, FOSYGA, y demás actores del sistema, incluidos los regímenes especiales y exceptuados contemplados en la Ley 100 de 1993, en concordancia con el numeral 36 del artículo  6° y numeral 2° del artículo 16 del Decreto 1018 de 2007.</w:t>
      </w: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r w:rsidRPr="00603DBE">
        <w:rPr>
          <w:rFonts w:ascii="Arial" w:hAnsi="Arial" w:cs="Arial"/>
          <w:color w:val="000000"/>
        </w:rPr>
        <w:t>El artículo 4º del Decreto 1018 de 2007, en el numeral 6, define que a la Superintendencia Nacional de Salud, le corresponde la Inspección, Vigilancia y Control, de las Entidades Administradoras de Planes de Beneficios de Salud (EAPB) de cualquier naturaleza.</w:t>
      </w: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r w:rsidRPr="00603DBE">
        <w:rPr>
          <w:rFonts w:ascii="Arial" w:hAnsi="Arial" w:cs="Arial"/>
          <w:color w:val="000000"/>
        </w:rPr>
        <w:t>Por su parte el Decreto 1018 de 2007, en su artículo 6 numeral 13, establece que dentro de las funciones de la Superintendencia Nacional de Salud, está la de ejercer la inspección, vigilancia y control del Sistema Obligatorio de Garantía de la Calidad de las EAPB y demás instituciones que presten servicios en el Sistema General de Seguridad Social en Salud, conforme a los requisitos definidos por el Gobierno Nacional.</w:t>
      </w: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r w:rsidRPr="00603DBE">
        <w:rPr>
          <w:rFonts w:ascii="Arial" w:hAnsi="Arial" w:cs="Arial"/>
          <w:color w:val="000000"/>
        </w:rPr>
        <w:t>De otra parte, en el marco de lo establecido en la Ley 1438 de 2011, artículo 121, le corresponde a la Superintendencia Nacional de Salud la Inspección, Vigilancia y Control, entre otros, de las Entidades Promotoras de Salud del Régimen Contributivo y Subsidiado, las Empresas Solidarias, las Asociaciones Mutuales en sus actividades de Salud, las Cajas de Compensación Familiar en sus actividades de salud, las actividades de salud que realizan las aseguradoras, las Entidades que administren planes adicionales de salud, las entidades obligadas a compensar, las entidades adaptadas de Salud, las administradoras de riesgos profesionales en sus actividades de salud.</w:t>
      </w:r>
    </w:p>
    <w:p w:rsidR="00541954" w:rsidRDefault="00541954" w:rsidP="007F7339">
      <w:pPr>
        <w:widowControl w:val="0"/>
        <w:autoSpaceDE w:val="0"/>
        <w:autoSpaceDN w:val="0"/>
        <w:adjustRightInd w:val="0"/>
        <w:spacing w:after="0" w:line="240" w:lineRule="auto"/>
        <w:jc w:val="both"/>
        <w:rPr>
          <w:rFonts w:ascii="Arial" w:hAnsi="Arial" w:cs="Arial"/>
          <w:color w:val="000000"/>
        </w:rPr>
      </w:pPr>
    </w:p>
    <w:p w:rsidR="00CE7E77" w:rsidRPr="00603DBE" w:rsidRDefault="00CE7E77" w:rsidP="007F7339">
      <w:pPr>
        <w:widowControl w:val="0"/>
        <w:autoSpaceDE w:val="0"/>
        <w:autoSpaceDN w:val="0"/>
        <w:adjustRightInd w:val="0"/>
        <w:spacing w:after="0" w:line="240" w:lineRule="auto"/>
        <w:jc w:val="both"/>
        <w:rPr>
          <w:rFonts w:ascii="Arial" w:hAnsi="Arial" w:cs="Arial"/>
          <w:color w:val="000000"/>
        </w:rPr>
      </w:pPr>
    </w:p>
    <w:p w:rsidR="00541954" w:rsidRPr="00603DBE" w:rsidRDefault="00541954" w:rsidP="007F7339">
      <w:pPr>
        <w:widowControl w:val="0"/>
        <w:autoSpaceDE w:val="0"/>
        <w:autoSpaceDN w:val="0"/>
        <w:adjustRightInd w:val="0"/>
        <w:spacing w:after="0" w:line="240" w:lineRule="auto"/>
        <w:ind w:left="337" w:hanging="360"/>
        <w:jc w:val="both"/>
        <w:rPr>
          <w:rFonts w:ascii="Arial" w:hAnsi="Arial" w:cs="Arial"/>
          <w:b/>
          <w:bCs/>
          <w:color w:val="000000"/>
        </w:rPr>
      </w:pPr>
      <w:r w:rsidRPr="00603DBE">
        <w:rPr>
          <w:rFonts w:ascii="Arial" w:hAnsi="Arial" w:cs="Arial"/>
          <w:b/>
          <w:bCs/>
          <w:color w:val="000000"/>
        </w:rPr>
        <w:t>II.</w:t>
      </w:r>
      <w:r w:rsidRPr="00603DBE">
        <w:rPr>
          <w:rFonts w:ascii="Arial" w:hAnsi="Arial" w:cs="Arial"/>
          <w:b/>
          <w:bCs/>
          <w:color w:val="000000"/>
        </w:rPr>
        <w:tab/>
        <w:t>RESPUESTA CUESTIONARIO</w:t>
      </w: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p>
    <w:p w:rsidR="00541954" w:rsidRPr="00603DBE" w:rsidRDefault="00541954" w:rsidP="007F7339">
      <w:pPr>
        <w:widowControl w:val="0"/>
        <w:autoSpaceDE w:val="0"/>
        <w:autoSpaceDN w:val="0"/>
        <w:adjustRightInd w:val="0"/>
        <w:spacing w:after="0" w:line="240" w:lineRule="auto"/>
        <w:jc w:val="both"/>
        <w:rPr>
          <w:rFonts w:ascii="Arial" w:hAnsi="Arial" w:cs="Arial"/>
          <w:color w:val="000000"/>
        </w:rPr>
      </w:pPr>
      <w:r w:rsidRPr="00603DBE">
        <w:rPr>
          <w:rFonts w:ascii="Arial" w:hAnsi="Arial" w:cs="Arial"/>
          <w:color w:val="000000"/>
        </w:rPr>
        <w:t xml:space="preserve">Se procede a dar respuesta </w:t>
      </w:r>
      <w:r w:rsidR="001848BE">
        <w:rPr>
          <w:rFonts w:ascii="Arial" w:hAnsi="Arial" w:cs="Arial"/>
          <w:color w:val="000000"/>
        </w:rPr>
        <w:t xml:space="preserve">al </w:t>
      </w:r>
      <w:r w:rsidRPr="00603DBE">
        <w:rPr>
          <w:rFonts w:ascii="Arial" w:hAnsi="Arial" w:cs="Arial"/>
          <w:color w:val="000000"/>
        </w:rPr>
        <w:t xml:space="preserve"> cuestionario en el mismo orden en que fueron formuladas, de acuerdo </w:t>
      </w:r>
      <w:r w:rsidR="001848BE">
        <w:rPr>
          <w:rFonts w:ascii="Arial" w:hAnsi="Arial" w:cs="Arial"/>
          <w:color w:val="000000"/>
        </w:rPr>
        <w:t xml:space="preserve">con </w:t>
      </w:r>
      <w:r w:rsidRPr="00603DBE">
        <w:rPr>
          <w:rFonts w:ascii="Arial" w:hAnsi="Arial" w:cs="Arial"/>
          <w:color w:val="000000"/>
        </w:rPr>
        <w:t xml:space="preserve"> la competencia de la Superintendencia Nacional de Salud.</w:t>
      </w:r>
    </w:p>
    <w:p w:rsidR="002765B4" w:rsidRPr="00603DBE" w:rsidRDefault="002765B4" w:rsidP="007F7339">
      <w:pPr>
        <w:widowControl w:val="0"/>
        <w:autoSpaceDE w:val="0"/>
        <w:autoSpaceDN w:val="0"/>
        <w:adjustRightInd w:val="0"/>
        <w:spacing w:after="0" w:line="240" w:lineRule="auto"/>
        <w:jc w:val="both"/>
        <w:rPr>
          <w:rFonts w:ascii="Arial" w:hAnsi="Arial" w:cs="Arial"/>
          <w:color w:val="000000"/>
        </w:rPr>
      </w:pPr>
    </w:p>
    <w:p w:rsidR="007D4D78" w:rsidRPr="007F7339" w:rsidRDefault="007D4D78" w:rsidP="007F7339">
      <w:pPr>
        <w:pStyle w:val="Prrafodelista"/>
        <w:widowControl w:val="0"/>
        <w:numPr>
          <w:ilvl w:val="0"/>
          <w:numId w:val="5"/>
        </w:numPr>
        <w:spacing w:after="0" w:line="240" w:lineRule="auto"/>
        <w:ind w:left="426" w:hanging="426"/>
        <w:jc w:val="both"/>
        <w:rPr>
          <w:rFonts w:ascii="Arial" w:hAnsi="Arial" w:cs="Arial"/>
          <w:b/>
          <w:i/>
        </w:rPr>
      </w:pPr>
      <w:r w:rsidRPr="007F7339">
        <w:rPr>
          <w:rFonts w:ascii="Arial" w:hAnsi="Arial" w:cs="Arial"/>
          <w:b/>
          <w:i/>
        </w:rPr>
        <w:lastRenderedPageBreak/>
        <w:t>Cual</w:t>
      </w:r>
      <w:r w:rsidR="00A3367A" w:rsidRPr="007F7339">
        <w:rPr>
          <w:rFonts w:ascii="Arial" w:hAnsi="Arial" w:cs="Arial"/>
          <w:b/>
          <w:i/>
        </w:rPr>
        <w:t>es EPS han cumplido con el envío</w:t>
      </w:r>
      <w:r w:rsidRPr="007F7339">
        <w:rPr>
          <w:rFonts w:ascii="Arial" w:hAnsi="Arial" w:cs="Arial"/>
          <w:b/>
          <w:i/>
        </w:rPr>
        <w:t xml:space="preserve"> oportuno de la información, cuales no lo han hecho y cuál es su comportamiento regular.</w:t>
      </w:r>
      <w:r w:rsidR="00B13728" w:rsidRPr="007F7339">
        <w:rPr>
          <w:rFonts w:ascii="Arial" w:eastAsia="Times New Roman" w:hAnsi="Arial" w:cs="Arial"/>
          <w:b/>
          <w:bCs/>
          <w:i/>
          <w:color w:val="000000"/>
          <w:sz w:val="24"/>
          <w:szCs w:val="24"/>
          <w:lang w:eastAsia="es-CO"/>
        </w:rPr>
        <w:t xml:space="preserve"> </w:t>
      </w:r>
    </w:p>
    <w:p w:rsidR="007F7339" w:rsidRDefault="007F7339" w:rsidP="007F7339">
      <w:pPr>
        <w:widowControl w:val="0"/>
        <w:spacing w:after="0" w:line="240" w:lineRule="auto"/>
        <w:jc w:val="both"/>
        <w:rPr>
          <w:rFonts w:ascii="Arial" w:hAnsi="Arial" w:cs="Arial"/>
        </w:rPr>
      </w:pPr>
    </w:p>
    <w:p w:rsidR="006C1049" w:rsidRPr="00B940CB" w:rsidRDefault="006C1049" w:rsidP="00B940CB">
      <w:pPr>
        <w:pStyle w:val="Prrafodelista"/>
        <w:widowControl w:val="0"/>
        <w:numPr>
          <w:ilvl w:val="0"/>
          <w:numId w:val="10"/>
        </w:numPr>
        <w:spacing w:after="0" w:line="240" w:lineRule="auto"/>
        <w:jc w:val="both"/>
        <w:rPr>
          <w:rFonts w:ascii="Arial" w:eastAsia="Times New Roman" w:hAnsi="Arial" w:cs="Arial"/>
          <w:b/>
          <w:bCs/>
          <w:color w:val="000000"/>
          <w:sz w:val="24"/>
          <w:szCs w:val="24"/>
          <w:lang w:eastAsia="es-CO"/>
        </w:rPr>
      </w:pPr>
      <w:r w:rsidRPr="00B940CB">
        <w:rPr>
          <w:rFonts w:ascii="Arial" w:eastAsia="Times New Roman" w:hAnsi="Arial" w:cs="Arial"/>
          <w:b/>
          <w:bCs/>
          <w:color w:val="000000"/>
          <w:sz w:val="24"/>
          <w:szCs w:val="24"/>
          <w:lang w:eastAsia="es-CO"/>
        </w:rPr>
        <w:t>RÉGIMEN CONTRIBUTIVO</w:t>
      </w:r>
    </w:p>
    <w:p w:rsidR="006C1049" w:rsidRDefault="006C1049" w:rsidP="007F7339">
      <w:pPr>
        <w:widowControl w:val="0"/>
        <w:spacing w:after="0" w:line="240" w:lineRule="auto"/>
        <w:jc w:val="both"/>
        <w:rPr>
          <w:rFonts w:ascii="Arial" w:hAnsi="Arial" w:cs="Arial"/>
        </w:rPr>
      </w:pPr>
    </w:p>
    <w:p w:rsidR="0019412E" w:rsidRDefault="00B13728" w:rsidP="007F7339">
      <w:pPr>
        <w:widowControl w:val="0"/>
        <w:spacing w:after="0" w:line="240" w:lineRule="auto"/>
        <w:jc w:val="both"/>
        <w:rPr>
          <w:rFonts w:ascii="Arial" w:hAnsi="Arial" w:cs="Arial"/>
        </w:rPr>
      </w:pPr>
      <w:r>
        <w:rPr>
          <w:rFonts w:ascii="Arial" w:hAnsi="Arial" w:cs="Arial"/>
        </w:rPr>
        <w:t xml:space="preserve">El universo de </w:t>
      </w:r>
      <w:r w:rsidR="005A4343">
        <w:rPr>
          <w:rFonts w:ascii="Arial" w:hAnsi="Arial" w:cs="Arial"/>
        </w:rPr>
        <w:t xml:space="preserve">reporte de información de </w:t>
      </w:r>
      <w:r>
        <w:rPr>
          <w:rFonts w:ascii="Arial" w:hAnsi="Arial" w:cs="Arial"/>
        </w:rPr>
        <w:t>l</w:t>
      </w:r>
      <w:r w:rsidR="000522B4" w:rsidRPr="00603DBE">
        <w:rPr>
          <w:rFonts w:ascii="Arial" w:hAnsi="Arial" w:cs="Arial"/>
        </w:rPr>
        <w:t>as</w:t>
      </w:r>
      <w:r w:rsidR="002765B4" w:rsidRPr="00603DBE">
        <w:rPr>
          <w:rFonts w:ascii="Arial" w:hAnsi="Arial" w:cs="Arial"/>
        </w:rPr>
        <w:t xml:space="preserve"> EPS del Régimen Contributivo</w:t>
      </w:r>
      <w:r w:rsidR="000522B4" w:rsidRPr="00603DBE">
        <w:rPr>
          <w:rFonts w:ascii="Arial" w:hAnsi="Arial" w:cs="Arial"/>
        </w:rPr>
        <w:t xml:space="preserve">, </w:t>
      </w:r>
      <w:r w:rsidR="005A4343">
        <w:rPr>
          <w:rFonts w:ascii="Arial" w:hAnsi="Arial" w:cs="Arial"/>
        </w:rPr>
        <w:t xml:space="preserve">son </w:t>
      </w:r>
      <w:r>
        <w:rPr>
          <w:rFonts w:ascii="Arial" w:hAnsi="Arial" w:cs="Arial"/>
        </w:rPr>
        <w:t xml:space="preserve">22 </w:t>
      </w:r>
      <w:r w:rsidR="002765B4" w:rsidRPr="00603DBE">
        <w:rPr>
          <w:rFonts w:ascii="Arial" w:hAnsi="Arial" w:cs="Arial"/>
        </w:rPr>
        <w:t xml:space="preserve">EPS y </w:t>
      </w:r>
      <w:r>
        <w:rPr>
          <w:rFonts w:ascii="Arial" w:hAnsi="Arial" w:cs="Arial"/>
        </w:rPr>
        <w:t xml:space="preserve">2 </w:t>
      </w:r>
      <w:r w:rsidR="002765B4" w:rsidRPr="00603DBE">
        <w:rPr>
          <w:rFonts w:ascii="Arial" w:hAnsi="Arial" w:cs="Arial"/>
        </w:rPr>
        <w:t xml:space="preserve"> Adaptadas</w:t>
      </w:r>
      <w:r w:rsidR="005A4343">
        <w:rPr>
          <w:rFonts w:ascii="Arial" w:hAnsi="Arial" w:cs="Arial"/>
        </w:rPr>
        <w:t>, así:</w:t>
      </w:r>
    </w:p>
    <w:p w:rsidR="008E3197" w:rsidRDefault="008E3197" w:rsidP="007F7339">
      <w:pPr>
        <w:widowControl w:val="0"/>
        <w:spacing w:after="0" w:line="240" w:lineRule="auto"/>
        <w:jc w:val="both"/>
        <w:rPr>
          <w:rFonts w:ascii="Arial" w:eastAsia="Times New Roman" w:hAnsi="Arial" w:cs="Arial"/>
          <w:b/>
          <w:bCs/>
          <w:color w:val="000000"/>
          <w:lang w:eastAsia="es-CO"/>
        </w:rPr>
      </w:pPr>
    </w:p>
    <w:p w:rsidR="0019412E" w:rsidRPr="0019412E" w:rsidRDefault="0019412E" w:rsidP="007F7339">
      <w:pPr>
        <w:widowControl w:val="0"/>
        <w:spacing w:after="0" w:line="240" w:lineRule="auto"/>
        <w:rPr>
          <w:rFonts w:ascii="Arial" w:eastAsia="Times New Roman" w:hAnsi="Arial" w:cs="Arial"/>
          <w:b/>
          <w:bCs/>
          <w:color w:val="000000"/>
          <w:lang w:eastAsia="es-CO"/>
        </w:rPr>
      </w:pPr>
    </w:p>
    <w:tbl>
      <w:tblPr>
        <w:tblW w:w="9498" w:type="dxa"/>
        <w:tblInd w:w="70" w:type="dxa"/>
        <w:tblLayout w:type="fixed"/>
        <w:tblCellMar>
          <w:left w:w="70" w:type="dxa"/>
          <w:right w:w="70" w:type="dxa"/>
        </w:tblCellMar>
        <w:tblLook w:val="04A0" w:firstRow="1" w:lastRow="0" w:firstColumn="1" w:lastColumn="0" w:noHBand="0" w:noVBand="1"/>
      </w:tblPr>
      <w:tblGrid>
        <w:gridCol w:w="1560"/>
        <w:gridCol w:w="1984"/>
        <w:gridCol w:w="1134"/>
        <w:gridCol w:w="850"/>
        <w:gridCol w:w="709"/>
        <w:gridCol w:w="850"/>
        <w:gridCol w:w="1135"/>
        <w:gridCol w:w="1276"/>
      </w:tblGrid>
      <w:tr w:rsidR="000948B9" w:rsidRPr="00B13728" w:rsidTr="008E3197">
        <w:trPr>
          <w:trHeight w:val="330"/>
          <w:tblHeader/>
        </w:trPr>
        <w:tc>
          <w:tcPr>
            <w:tcW w:w="156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0948B9" w:rsidRPr="00B13728" w:rsidRDefault="000948B9" w:rsidP="007F7339">
            <w:pPr>
              <w:widowControl w:val="0"/>
              <w:spacing w:after="0" w:line="240" w:lineRule="auto"/>
              <w:jc w:val="center"/>
              <w:rPr>
                <w:rFonts w:ascii="Arial" w:eastAsia="Times New Roman" w:hAnsi="Arial" w:cs="Arial"/>
                <w:b/>
                <w:bCs/>
                <w:color w:val="000000"/>
                <w:sz w:val="18"/>
                <w:szCs w:val="18"/>
                <w:lang w:eastAsia="es-CO"/>
              </w:rPr>
            </w:pPr>
            <w:r w:rsidRPr="00B13728">
              <w:rPr>
                <w:rFonts w:ascii="Arial" w:eastAsia="Times New Roman" w:hAnsi="Arial" w:cs="Arial"/>
                <w:b/>
                <w:bCs/>
                <w:color w:val="000000"/>
                <w:sz w:val="18"/>
                <w:szCs w:val="18"/>
                <w:lang w:eastAsia="es-CO"/>
              </w:rPr>
              <w:t>REGIMEN CONTRIBUTIVO</w:t>
            </w:r>
          </w:p>
        </w:tc>
        <w:tc>
          <w:tcPr>
            <w:tcW w:w="1984"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948B9" w:rsidRPr="00B13728" w:rsidRDefault="000948B9" w:rsidP="007F7339">
            <w:pPr>
              <w:widowControl w:val="0"/>
              <w:spacing w:after="0" w:line="240" w:lineRule="auto"/>
              <w:jc w:val="center"/>
              <w:rPr>
                <w:rFonts w:ascii="Arial" w:eastAsia="Times New Roman" w:hAnsi="Arial" w:cs="Arial"/>
                <w:b/>
                <w:bCs/>
                <w:color w:val="000000"/>
                <w:sz w:val="18"/>
                <w:szCs w:val="18"/>
                <w:lang w:eastAsia="es-CO"/>
              </w:rPr>
            </w:pPr>
            <w:r w:rsidRPr="00B13728">
              <w:rPr>
                <w:rFonts w:ascii="Arial" w:eastAsia="Times New Roman" w:hAnsi="Arial" w:cs="Arial"/>
                <w:b/>
                <w:bCs/>
                <w:color w:val="000000"/>
                <w:sz w:val="18"/>
                <w:szCs w:val="18"/>
                <w:lang w:eastAsia="es-CO"/>
              </w:rPr>
              <w:t>ENTIDAD</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0948B9" w:rsidRPr="00B13728" w:rsidRDefault="000948B9" w:rsidP="007F7339">
            <w:pPr>
              <w:widowControl w:val="0"/>
              <w:spacing w:after="0" w:line="240" w:lineRule="auto"/>
              <w:jc w:val="center"/>
              <w:rPr>
                <w:rFonts w:ascii="Arial" w:eastAsia="Times New Roman" w:hAnsi="Arial" w:cs="Arial"/>
                <w:b/>
                <w:bCs/>
                <w:color w:val="000000"/>
                <w:sz w:val="18"/>
                <w:szCs w:val="18"/>
                <w:lang w:eastAsia="es-CO"/>
              </w:rPr>
            </w:pPr>
            <w:r w:rsidRPr="00B13728">
              <w:rPr>
                <w:rFonts w:ascii="Arial" w:eastAsia="Times New Roman" w:hAnsi="Arial" w:cs="Arial"/>
                <w:b/>
                <w:bCs/>
                <w:color w:val="000000"/>
                <w:sz w:val="18"/>
                <w:szCs w:val="18"/>
                <w:lang w:eastAsia="es-CO"/>
              </w:rPr>
              <w:t>REPORTE</w:t>
            </w:r>
          </w:p>
        </w:tc>
        <w:tc>
          <w:tcPr>
            <w:tcW w:w="2409" w:type="dxa"/>
            <w:gridSpan w:val="3"/>
            <w:tcBorders>
              <w:top w:val="single" w:sz="8" w:space="0" w:color="auto"/>
              <w:left w:val="nil"/>
              <w:bottom w:val="single" w:sz="4" w:space="0" w:color="auto"/>
              <w:right w:val="single" w:sz="4" w:space="0" w:color="auto"/>
            </w:tcBorders>
            <w:shd w:val="clear" w:color="auto" w:fill="auto"/>
            <w:noWrap/>
            <w:vAlign w:val="center"/>
            <w:hideMark/>
          </w:tcPr>
          <w:p w:rsidR="000948B9" w:rsidRPr="00B13728" w:rsidRDefault="000948B9" w:rsidP="007F7339">
            <w:pPr>
              <w:widowControl w:val="0"/>
              <w:spacing w:after="0" w:line="240" w:lineRule="auto"/>
              <w:jc w:val="center"/>
              <w:rPr>
                <w:rFonts w:ascii="Arial" w:eastAsia="Times New Roman" w:hAnsi="Arial" w:cs="Arial"/>
                <w:b/>
                <w:bCs/>
                <w:color w:val="000000"/>
                <w:sz w:val="18"/>
                <w:szCs w:val="18"/>
                <w:lang w:eastAsia="es-CO"/>
              </w:rPr>
            </w:pPr>
            <w:r w:rsidRPr="00B13728">
              <w:rPr>
                <w:rFonts w:ascii="Arial" w:eastAsia="Times New Roman" w:hAnsi="Arial" w:cs="Arial"/>
                <w:b/>
                <w:bCs/>
                <w:color w:val="000000"/>
                <w:sz w:val="18"/>
                <w:szCs w:val="18"/>
                <w:lang w:eastAsia="es-CO"/>
              </w:rPr>
              <w:t>DIAS DE EXTEMPORANEIDAD</w:t>
            </w:r>
          </w:p>
        </w:tc>
        <w:tc>
          <w:tcPr>
            <w:tcW w:w="2411" w:type="dxa"/>
            <w:gridSpan w:val="2"/>
            <w:tcBorders>
              <w:top w:val="single" w:sz="8" w:space="0" w:color="auto"/>
              <w:left w:val="nil"/>
              <w:bottom w:val="single" w:sz="4" w:space="0" w:color="auto"/>
              <w:right w:val="single" w:sz="8" w:space="0" w:color="000000"/>
            </w:tcBorders>
            <w:shd w:val="clear" w:color="auto" w:fill="auto"/>
            <w:vAlign w:val="center"/>
            <w:hideMark/>
          </w:tcPr>
          <w:p w:rsidR="000948B9" w:rsidRPr="00B13728" w:rsidRDefault="000948B9" w:rsidP="007F7339">
            <w:pPr>
              <w:widowControl w:val="0"/>
              <w:spacing w:after="0" w:line="240" w:lineRule="auto"/>
              <w:jc w:val="center"/>
              <w:rPr>
                <w:rFonts w:ascii="Arial" w:eastAsia="Times New Roman" w:hAnsi="Arial" w:cs="Arial"/>
                <w:b/>
                <w:bCs/>
                <w:color w:val="000000"/>
                <w:sz w:val="18"/>
                <w:szCs w:val="18"/>
                <w:lang w:eastAsia="es-CO"/>
              </w:rPr>
            </w:pPr>
            <w:r w:rsidRPr="00B13728">
              <w:rPr>
                <w:rFonts w:ascii="Arial" w:eastAsia="Times New Roman" w:hAnsi="Arial" w:cs="Arial"/>
                <w:b/>
                <w:bCs/>
                <w:color w:val="000000"/>
                <w:sz w:val="18"/>
                <w:szCs w:val="18"/>
                <w:lang w:eastAsia="es-CO"/>
              </w:rPr>
              <w:t>CALIDAD INFORMACION</w:t>
            </w:r>
          </w:p>
        </w:tc>
      </w:tr>
      <w:tr w:rsidR="00B13728" w:rsidRPr="00B13728" w:rsidTr="008E3197">
        <w:trPr>
          <w:trHeight w:val="300"/>
          <w:tblHeader/>
        </w:trPr>
        <w:tc>
          <w:tcPr>
            <w:tcW w:w="1560" w:type="dxa"/>
            <w:vMerge/>
            <w:tcBorders>
              <w:top w:val="single" w:sz="4" w:space="0" w:color="auto"/>
              <w:left w:val="single" w:sz="4" w:space="0" w:color="auto"/>
              <w:bottom w:val="single" w:sz="4" w:space="0" w:color="auto"/>
              <w:right w:val="nil"/>
            </w:tcBorders>
            <w:vAlign w:val="center"/>
            <w:hideMark/>
          </w:tcPr>
          <w:p w:rsidR="00B13728" w:rsidRPr="00B13728" w:rsidRDefault="00B13728" w:rsidP="007F7339">
            <w:pPr>
              <w:widowControl w:val="0"/>
              <w:spacing w:after="0" w:line="240" w:lineRule="auto"/>
              <w:rPr>
                <w:rFonts w:ascii="Arial" w:eastAsia="Times New Roman" w:hAnsi="Arial" w:cs="Arial"/>
                <w:b/>
                <w:bCs/>
                <w:color w:val="000000"/>
                <w:sz w:val="18"/>
                <w:szCs w:val="18"/>
                <w:lang w:eastAsia="es-CO"/>
              </w:rPr>
            </w:pPr>
          </w:p>
        </w:tc>
        <w:tc>
          <w:tcPr>
            <w:tcW w:w="1984" w:type="dxa"/>
            <w:vMerge/>
            <w:tcBorders>
              <w:top w:val="single" w:sz="8" w:space="0" w:color="auto"/>
              <w:left w:val="single" w:sz="8" w:space="0" w:color="auto"/>
              <w:bottom w:val="single" w:sz="4" w:space="0" w:color="auto"/>
              <w:right w:val="single" w:sz="4" w:space="0" w:color="auto"/>
            </w:tcBorders>
            <w:vAlign w:val="center"/>
            <w:hideMark/>
          </w:tcPr>
          <w:p w:rsidR="00B13728" w:rsidRPr="00B13728" w:rsidRDefault="00B13728" w:rsidP="007F7339">
            <w:pPr>
              <w:widowControl w:val="0"/>
              <w:spacing w:after="0" w:line="240" w:lineRule="auto"/>
              <w:rPr>
                <w:rFonts w:ascii="Arial" w:eastAsia="Times New Roman" w:hAnsi="Arial" w:cs="Arial"/>
                <w:b/>
                <w:bCs/>
                <w:color w:val="000000"/>
                <w:sz w:val="18"/>
                <w:szCs w:val="18"/>
                <w:lang w:eastAsia="es-CO"/>
              </w:rPr>
            </w:pPr>
          </w:p>
        </w:tc>
        <w:tc>
          <w:tcPr>
            <w:tcW w:w="1134" w:type="dxa"/>
            <w:tcBorders>
              <w:top w:val="nil"/>
              <w:left w:val="nil"/>
              <w:bottom w:val="single" w:sz="4" w:space="0" w:color="auto"/>
              <w:right w:val="single" w:sz="4" w:space="0" w:color="auto"/>
            </w:tcBorders>
            <w:shd w:val="clear" w:color="auto" w:fill="auto"/>
            <w:noWrap/>
            <w:vAlign w:val="center"/>
            <w:hideMark/>
          </w:tcPr>
          <w:p w:rsidR="00B13728" w:rsidRPr="00B13728" w:rsidRDefault="00B13728" w:rsidP="007F7339">
            <w:pPr>
              <w:widowControl w:val="0"/>
              <w:spacing w:after="0" w:line="240" w:lineRule="auto"/>
              <w:jc w:val="center"/>
              <w:rPr>
                <w:rFonts w:ascii="Arial" w:eastAsia="Times New Roman" w:hAnsi="Arial" w:cs="Arial"/>
                <w:b/>
                <w:bCs/>
                <w:color w:val="000000"/>
                <w:sz w:val="18"/>
                <w:szCs w:val="18"/>
                <w:lang w:eastAsia="es-CO"/>
              </w:rPr>
            </w:pPr>
            <w:r w:rsidRPr="00B13728">
              <w:rPr>
                <w:rFonts w:ascii="Arial" w:eastAsia="Times New Roman" w:hAnsi="Arial" w:cs="Arial"/>
                <w:b/>
                <w:bCs/>
                <w:color w:val="000000"/>
                <w:sz w:val="18"/>
                <w:szCs w:val="18"/>
                <w:lang w:eastAsia="es-CO"/>
              </w:rPr>
              <w:t>J</w:t>
            </w:r>
            <w:r w:rsidR="00351925">
              <w:rPr>
                <w:rFonts w:ascii="Arial" w:eastAsia="Times New Roman" w:hAnsi="Arial" w:cs="Arial"/>
                <w:b/>
                <w:bCs/>
                <w:color w:val="000000"/>
                <w:sz w:val="18"/>
                <w:szCs w:val="18"/>
                <w:lang w:eastAsia="es-CO"/>
              </w:rPr>
              <w:t xml:space="preserve">un - </w:t>
            </w:r>
            <w:r w:rsidRPr="00B13728">
              <w:rPr>
                <w:rFonts w:ascii="Arial" w:eastAsia="Times New Roman" w:hAnsi="Arial" w:cs="Arial"/>
                <w:b/>
                <w:bCs/>
                <w:color w:val="000000"/>
                <w:sz w:val="18"/>
                <w:szCs w:val="18"/>
                <w:lang w:eastAsia="es-CO"/>
              </w:rPr>
              <w:t>2011</w:t>
            </w:r>
          </w:p>
        </w:tc>
        <w:tc>
          <w:tcPr>
            <w:tcW w:w="850" w:type="dxa"/>
            <w:tcBorders>
              <w:top w:val="nil"/>
              <w:left w:val="nil"/>
              <w:bottom w:val="single" w:sz="4" w:space="0" w:color="auto"/>
              <w:right w:val="single" w:sz="4" w:space="0" w:color="auto"/>
            </w:tcBorders>
            <w:shd w:val="clear" w:color="auto" w:fill="auto"/>
            <w:noWrap/>
            <w:vAlign w:val="bottom"/>
            <w:hideMark/>
          </w:tcPr>
          <w:p w:rsidR="00B13728" w:rsidRPr="00B13728" w:rsidRDefault="00B13728" w:rsidP="007F7339">
            <w:pPr>
              <w:widowControl w:val="0"/>
              <w:spacing w:after="0" w:line="240" w:lineRule="auto"/>
              <w:jc w:val="center"/>
              <w:rPr>
                <w:rFonts w:ascii="Arial" w:eastAsia="Times New Roman" w:hAnsi="Arial" w:cs="Arial"/>
                <w:b/>
                <w:bCs/>
                <w:color w:val="000000"/>
                <w:sz w:val="18"/>
                <w:szCs w:val="18"/>
                <w:lang w:eastAsia="es-CO"/>
              </w:rPr>
            </w:pPr>
            <w:r w:rsidRPr="00B13728">
              <w:rPr>
                <w:rFonts w:ascii="Arial" w:eastAsia="Times New Roman" w:hAnsi="Arial" w:cs="Arial"/>
                <w:b/>
                <w:bCs/>
                <w:color w:val="000000"/>
                <w:sz w:val="18"/>
                <w:szCs w:val="18"/>
                <w:lang w:eastAsia="es-CO"/>
              </w:rPr>
              <w:t>Dic- 2010</w:t>
            </w:r>
          </w:p>
        </w:tc>
        <w:tc>
          <w:tcPr>
            <w:tcW w:w="709" w:type="dxa"/>
            <w:tcBorders>
              <w:top w:val="nil"/>
              <w:left w:val="nil"/>
              <w:bottom w:val="single" w:sz="4" w:space="0" w:color="auto"/>
              <w:right w:val="single" w:sz="4" w:space="0" w:color="auto"/>
            </w:tcBorders>
            <w:shd w:val="clear" w:color="auto" w:fill="auto"/>
            <w:noWrap/>
            <w:vAlign w:val="center"/>
            <w:hideMark/>
          </w:tcPr>
          <w:p w:rsidR="00B13728" w:rsidRPr="000948B9" w:rsidRDefault="00B13728" w:rsidP="007F7339">
            <w:pPr>
              <w:widowControl w:val="0"/>
              <w:spacing w:after="0" w:line="240" w:lineRule="auto"/>
              <w:rPr>
                <w:rFonts w:ascii="Arial" w:eastAsia="Times New Roman" w:hAnsi="Arial" w:cs="Arial"/>
                <w:b/>
                <w:bCs/>
                <w:color w:val="000000"/>
                <w:sz w:val="18"/>
                <w:szCs w:val="18"/>
                <w:lang w:eastAsia="es-CO"/>
              </w:rPr>
            </w:pPr>
            <w:r w:rsidRPr="000948B9">
              <w:rPr>
                <w:rFonts w:ascii="Arial" w:eastAsia="Times New Roman" w:hAnsi="Arial" w:cs="Arial"/>
                <w:b/>
                <w:bCs/>
                <w:color w:val="000000"/>
                <w:sz w:val="18"/>
                <w:szCs w:val="18"/>
                <w:lang w:eastAsia="es-CO"/>
              </w:rPr>
              <w:t>M</w:t>
            </w:r>
            <w:r>
              <w:rPr>
                <w:rFonts w:ascii="Arial" w:eastAsia="Times New Roman" w:hAnsi="Arial" w:cs="Arial"/>
                <w:b/>
                <w:bCs/>
                <w:color w:val="000000"/>
                <w:sz w:val="18"/>
                <w:szCs w:val="18"/>
                <w:lang w:eastAsia="es-CO"/>
              </w:rPr>
              <w:t>ar-</w:t>
            </w:r>
            <w:r w:rsidRPr="000948B9">
              <w:rPr>
                <w:rFonts w:ascii="Arial" w:eastAsia="Times New Roman" w:hAnsi="Arial" w:cs="Arial"/>
                <w:b/>
                <w:bCs/>
                <w:color w:val="000000"/>
                <w:sz w:val="18"/>
                <w:szCs w:val="18"/>
                <w:lang w:eastAsia="es-CO"/>
              </w:rPr>
              <w:t xml:space="preserve"> 2011</w:t>
            </w:r>
          </w:p>
        </w:tc>
        <w:tc>
          <w:tcPr>
            <w:tcW w:w="850" w:type="dxa"/>
            <w:tcBorders>
              <w:top w:val="nil"/>
              <w:left w:val="nil"/>
              <w:bottom w:val="single" w:sz="4" w:space="0" w:color="auto"/>
              <w:right w:val="single" w:sz="4" w:space="0" w:color="auto"/>
            </w:tcBorders>
            <w:shd w:val="clear" w:color="auto" w:fill="auto"/>
            <w:noWrap/>
            <w:vAlign w:val="center"/>
            <w:hideMark/>
          </w:tcPr>
          <w:p w:rsidR="00B13728" w:rsidRPr="000948B9" w:rsidRDefault="00B13728" w:rsidP="007F7339">
            <w:pPr>
              <w:widowControl w:val="0"/>
              <w:spacing w:after="0" w:line="240" w:lineRule="auto"/>
              <w:jc w:val="center"/>
              <w:rPr>
                <w:rFonts w:ascii="Arial" w:eastAsia="Times New Roman" w:hAnsi="Arial" w:cs="Arial"/>
                <w:b/>
                <w:bCs/>
                <w:color w:val="000000"/>
                <w:sz w:val="18"/>
                <w:szCs w:val="18"/>
                <w:lang w:eastAsia="es-CO"/>
              </w:rPr>
            </w:pPr>
            <w:r w:rsidRPr="000948B9">
              <w:rPr>
                <w:rFonts w:ascii="Arial" w:eastAsia="Times New Roman" w:hAnsi="Arial" w:cs="Arial"/>
                <w:b/>
                <w:bCs/>
                <w:color w:val="000000"/>
                <w:sz w:val="18"/>
                <w:szCs w:val="18"/>
                <w:lang w:eastAsia="es-CO"/>
              </w:rPr>
              <w:t>J</w:t>
            </w:r>
            <w:r>
              <w:rPr>
                <w:rFonts w:ascii="Arial" w:eastAsia="Times New Roman" w:hAnsi="Arial" w:cs="Arial"/>
                <w:b/>
                <w:bCs/>
                <w:color w:val="000000"/>
                <w:sz w:val="18"/>
                <w:szCs w:val="18"/>
                <w:lang w:eastAsia="es-CO"/>
              </w:rPr>
              <w:t xml:space="preserve">un - </w:t>
            </w:r>
            <w:r w:rsidRPr="000948B9">
              <w:rPr>
                <w:rFonts w:ascii="Arial" w:eastAsia="Times New Roman" w:hAnsi="Arial" w:cs="Arial"/>
                <w:b/>
                <w:bCs/>
                <w:color w:val="000000"/>
                <w:sz w:val="18"/>
                <w:szCs w:val="18"/>
                <w:lang w:eastAsia="es-CO"/>
              </w:rPr>
              <w:t xml:space="preserve"> 2011</w:t>
            </w:r>
          </w:p>
        </w:tc>
        <w:tc>
          <w:tcPr>
            <w:tcW w:w="1135" w:type="dxa"/>
            <w:tcBorders>
              <w:top w:val="nil"/>
              <w:left w:val="nil"/>
              <w:bottom w:val="single" w:sz="4" w:space="0" w:color="auto"/>
              <w:right w:val="single" w:sz="4" w:space="0" w:color="auto"/>
            </w:tcBorders>
            <w:shd w:val="clear" w:color="auto" w:fill="auto"/>
            <w:noWrap/>
            <w:vAlign w:val="center"/>
            <w:hideMark/>
          </w:tcPr>
          <w:p w:rsidR="00B13728" w:rsidRPr="000948B9" w:rsidRDefault="00B13728" w:rsidP="007F7339">
            <w:pPr>
              <w:widowControl w:val="0"/>
              <w:spacing w:after="0" w:line="240" w:lineRule="auto"/>
              <w:rPr>
                <w:rFonts w:ascii="Arial" w:eastAsia="Times New Roman" w:hAnsi="Arial" w:cs="Arial"/>
                <w:b/>
                <w:bCs/>
                <w:color w:val="000000"/>
                <w:sz w:val="18"/>
                <w:szCs w:val="18"/>
                <w:lang w:eastAsia="es-CO"/>
              </w:rPr>
            </w:pPr>
            <w:r w:rsidRPr="000948B9">
              <w:rPr>
                <w:rFonts w:ascii="Arial" w:eastAsia="Times New Roman" w:hAnsi="Arial" w:cs="Arial"/>
                <w:b/>
                <w:bCs/>
                <w:color w:val="000000"/>
                <w:sz w:val="18"/>
                <w:szCs w:val="18"/>
                <w:lang w:eastAsia="es-CO"/>
              </w:rPr>
              <w:t>M</w:t>
            </w:r>
            <w:r>
              <w:rPr>
                <w:rFonts w:ascii="Arial" w:eastAsia="Times New Roman" w:hAnsi="Arial" w:cs="Arial"/>
                <w:b/>
                <w:bCs/>
                <w:color w:val="000000"/>
                <w:sz w:val="18"/>
                <w:szCs w:val="18"/>
                <w:lang w:eastAsia="es-CO"/>
              </w:rPr>
              <w:t>ar-</w:t>
            </w:r>
            <w:r w:rsidRPr="000948B9">
              <w:rPr>
                <w:rFonts w:ascii="Arial" w:eastAsia="Times New Roman" w:hAnsi="Arial" w:cs="Arial"/>
                <w:b/>
                <w:bCs/>
                <w:color w:val="000000"/>
                <w:sz w:val="18"/>
                <w:szCs w:val="18"/>
                <w:lang w:eastAsia="es-CO"/>
              </w:rPr>
              <w:t xml:space="preserve"> 2011</w:t>
            </w:r>
          </w:p>
        </w:tc>
        <w:tc>
          <w:tcPr>
            <w:tcW w:w="1276" w:type="dxa"/>
            <w:tcBorders>
              <w:top w:val="nil"/>
              <w:left w:val="nil"/>
              <w:bottom w:val="single" w:sz="4" w:space="0" w:color="auto"/>
              <w:right w:val="single" w:sz="8" w:space="0" w:color="auto"/>
            </w:tcBorders>
            <w:shd w:val="clear" w:color="auto" w:fill="auto"/>
            <w:noWrap/>
            <w:vAlign w:val="center"/>
            <w:hideMark/>
          </w:tcPr>
          <w:p w:rsidR="00B13728" w:rsidRPr="000948B9" w:rsidRDefault="00B13728" w:rsidP="007F7339">
            <w:pPr>
              <w:widowControl w:val="0"/>
              <w:spacing w:after="0" w:line="240" w:lineRule="auto"/>
              <w:jc w:val="center"/>
              <w:rPr>
                <w:rFonts w:ascii="Arial" w:eastAsia="Times New Roman" w:hAnsi="Arial" w:cs="Arial"/>
                <w:b/>
                <w:bCs/>
                <w:color w:val="000000"/>
                <w:sz w:val="18"/>
                <w:szCs w:val="18"/>
                <w:lang w:eastAsia="es-CO"/>
              </w:rPr>
            </w:pPr>
            <w:r w:rsidRPr="000948B9">
              <w:rPr>
                <w:rFonts w:ascii="Arial" w:eastAsia="Times New Roman" w:hAnsi="Arial" w:cs="Arial"/>
                <w:b/>
                <w:bCs/>
                <w:color w:val="000000"/>
                <w:sz w:val="18"/>
                <w:szCs w:val="18"/>
                <w:lang w:eastAsia="es-CO"/>
              </w:rPr>
              <w:t>J</w:t>
            </w:r>
            <w:r>
              <w:rPr>
                <w:rFonts w:ascii="Arial" w:eastAsia="Times New Roman" w:hAnsi="Arial" w:cs="Arial"/>
                <w:b/>
                <w:bCs/>
                <w:color w:val="000000"/>
                <w:sz w:val="18"/>
                <w:szCs w:val="18"/>
                <w:lang w:eastAsia="es-CO"/>
              </w:rPr>
              <w:t xml:space="preserve">un - </w:t>
            </w:r>
            <w:r w:rsidRPr="000948B9">
              <w:rPr>
                <w:rFonts w:ascii="Arial" w:eastAsia="Times New Roman" w:hAnsi="Arial" w:cs="Arial"/>
                <w:b/>
                <w:bCs/>
                <w:color w:val="000000"/>
                <w:sz w:val="18"/>
                <w:szCs w:val="18"/>
                <w:lang w:eastAsia="es-CO"/>
              </w:rPr>
              <w:t xml:space="preserve"> 2011</w:t>
            </w:r>
          </w:p>
        </w:tc>
      </w:tr>
      <w:tr w:rsidR="000948B9" w:rsidRPr="000948B9" w:rsidTr="008E3197">
        <w:trPr>
          <w:trHeight w:val="300"/>
        </w:trPr>
        <w:tc>
          <w:tcPr>
            <w:tcW w:w="1560" w:type="dxa"/>
            <w:vMerge w:val="restart"/>
            <w:tcBorders>
              <w:top w:val="nil"/>
              <w:left w:val="single" w:sz="4" w:space="0" w:color="auto"/>
              <w:bottom w:val="single" w:sz="4" w:space="0" w:color="auto"/>
              <w:right w:val="nil"/>
            </w:tcBorders>
            <w:shd w:val="clear" w:color="auto" w:fill="auto"/>
            <w:noWrap/>
            <w:vAlign w:val="center"/>
            <w:hideMark/>
          </w:tcPr>
          <w:p w:rsidR="000948B9" w:rsidRPr="00351925" w:rsidRDefault="00B13728" w:rsidP="007F7339">
            <w:pPr>
              <w:widowControl w:val="0"/>
              <w:spacing w:after="0" w:line="240" w:lineRule="auto"/>
              <w:jc w:val="center"/>
              <w:rPr>
                <w:rFonts w:ascii="Arial" w:eastAsia="Times New Roman" w:hAnsi="Arial" w:cs="Arial"/>
                <w:b/>
                <w:bCs/>
                <w:color w:val="000000"/>
                <w:sz w:val="18"/>
                <w:szCs w:val="18"/>
                <w:lang w:eastAsia="es-CO"/>
              </w:rPr>
            </w:pPr>
            <w:r w:rsidRPr="00351925">
              <w:rPr>
                <w:rFonts w:ascii="Arial" w:eastAsia="Times New Roman" w:hAnsi="Arial" w:cs="Arial"/>
                <w:b/>
                <w:bCs/>
                <w:color w:val="000000"/>
                <w:sz w:val="18"/>
                <w:szCs w:val="18"/>
                <w:lang w:eastAsia="es-CO"/>
              </w:rPr>
              <w:t>C</w:t>
            </w:r>
            <w:r w:rsidR="000948B9" w:rsidRPr="00351925">
              <w:rPr>
                <w:rFonts w:ascii="Arial" w:eastAsia="Times New Roman" w:hAnsi="Arial" w:cs="Arial"/>
                <w:b/>
                <w:bCs/>
                <w:color w:val="000000"/>
                <w:sz w:val="18"/>
                <w:szCs w:val="18"/>
                <w:lang w:eastAsia="es-CO"/>
              </w:rPr>
              <w:t>ONTRIBUTIVO</w:t>
            </w: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ALIANSALUD</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4</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1</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CAFESALUD</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11</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9</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45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COMFENALCO VALLE</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7</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Reporta mal el formato 151-MS</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COMPENSAR</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7</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1125"/>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COOMEVA</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12</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inconsistencias en la sumatoria de las cuentas del Gasto-Reporta mal el Formato 151 MS</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CRUZ BLANCA</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10</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9</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735"/>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COMFENALCO ANTIOQUIA</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11</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2</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1</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Presenta errores en el formato 151MS al cruzarlo con catalogo.</w:t>
            </w:r>
            <w:r w:rsidR="00B13728" w:rsidRPr="00351925">
              <w:rPr>
                <w:rFonts w:ascii="Arial" w:eastAsia="Times New Roman" w:hAnsi="Arial" w:cs="Arial"/>
                <w:color w:val="000000"/>
                <w:sz w:val="18"/>
                <w:szCs w:val="18"/>
                <w:lang w:eastAsia="es-CO"/>
              </w:rPr>
              <w:t xml:space="preserve"> </w:t>
            </w:r>
            <w:r w:rsidRPr="00351925">
              <w:rPr>
                <w:rFonts w:ascii="Arial" w:eastAsia="Times New Roman" w:hAnsi="Arial" w:cs="Arial"/>
                <w:color w:val="000000"/>
                <w:sz w:val="18"/>
                <w:szCs w:val="18"/>
                <w:lang w:eastAsia="es-CO"/>
              </w:rPr>
              <w:t>No reporta La reserva legal</w:t>
            </w:r>
          </w:p>
        </w:tc>
      </w:tr>
      <w:tr w:rsidR="000948B9" w:rsidRPr="000948B9" w:rsidTr="008E3197">
        <w:trPr>
          <w:trHeight w:val="675"/>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SURA</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inconsistencias en la sumatoria de las cuentas del Gasto</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FAMISARA - CAFAM-COLSUBSIDIO</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11</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2</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GOLDEN GROUP</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12</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17</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1</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675"/>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HUMAN HEART</w:t>
            </w:r>
          </w:p>
        </w:tc>
        <w:tc>
          <w:tcPr>
            <w:tcW w:w="1134"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b/>
                <w:bCs/>
                <w:color w:val="000000"/>
                <w:sz w:val="18"/>
                <w:szCs w:val="18"/>
                <w:lang w:eastAsia="es-CO"/>
              </w:rPr>
            </w:pPr>
            <w:r w:rsidRPr="00351925">
              <w:rPr>
                <w:rFonts w:ascii="Arial" w:eastAsia="Times New Roman" w:hAnsi="Arial" w:cs="Arial"/>
                <w:b/>
                <w:bCs/>
                <w:color w:val="000000"/>
                <w:sz w:val="18"/>
                <w:szCs w:val="18"/>
                <w:lang w:eastAsia="es-CO"/>
              </w:rPr>
              <w:t>X</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48</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39</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135" w:type="dxa"/>
            <w:tcBorders>
              <w:top w:val="nil"/>
              <w:left w:val="nil"/>
              <w:bottom w:val="single" w:sz="4" w:space="0" w:color="auto"/>
              <w:right w:val="single" w:sz="4" w:space="0" w:color="auto"/>
            </w:tcBorders>
            <w:shd w:val="clear" w:color="auto" w:fill="auto"/>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Reporta información incompleta</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675"/>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MULTIMEDICAS</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13</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inconsistencias en la sumatoria de las cuentas del Gasto</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NUEVA EPS</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11</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000000" w:fill="A5A5A5"/>
            <w:noWrap/>
            <w:vAlign w:val="bottom"/>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r w:rsidRPr="00351925">
              <w:rPr>
                <w:rFonts w:ascii="Arial" w:eastAsia="Times New Roman" w:hAnsi="Arial" w:cs="Arial"/>
                <w:b/>
                <w:bCs/>
                <w:color w:val="000000"/>
                <w:sz w:val="18"/>
                <w:szCs w:val="18"/>
                <w:lang w:eastAsia="es-CO"/>
              </w:rPr>
              <w:t>RED SALUD* LIQUIDACIÓN VOLUNTARIA</w:t>
            </w:r>
          </w:p>
        </w:tc>
        <w:tc>
          <w:tcPr>
            <w:tcW w:w="1134" w:type="dxa"/>
            <w:tcBorders>
              <w:top w:val="nil"/>
              <w:left w:val="nil"/>
              <w:bottom w:val="single" w:sz="4" w:space="0" w:color="auto"/>
              <w:right w:val="single" w:sz="4" w:space="0" w:color="auto"/>
            </w:tcBorders>
            <w:shd w:val="clear" w:color="auto" w:fill="auto"/>
            <w:noWrap/>
            <w:vAlign w:val="center"/>
            <w:hideMark/>
          </w:tcPr>
          <w:p w:rsidR="000948B9" w:rsidRPr="00351925" w:rsidRDefault="00351925" w:rsidP="007F7339">
            <w:pPr>
              <w:widowControl w:val="0"/>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X</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11</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9</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color w:val="FFFFFF"/>
                <w:sz w:val="18"/>
                <w:szCs w:val="18"/>
                <w:lang w:eastAsia="es-CO"/>
              </w:rPr>
            </w:pPr>
            <w:r w:rsidRPr="00351925">
              <w:rPr>
                <w:rFonts w:ascii="Verdana" w:eastAsia="Times New Roman" w:hAnsi="Verdana" w:cs="Times New Roman"/>
                <w:color w:val="FFFFFF"/>
                <w:sz w:val="18"/>
                <w:szCs w:val="18"/>
                <w:lang w:eastAsia="es-CO"/>
              </w:rPr>
              <w:t>-</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r w:rsidR="00351925">
              <w:rPr>
                <w:rFonts w:ascii="Arial" w:eastAsia="Times New Roman" w:hAnsi="Arial" w:cs="Arial"/>
                <w:color w:val="000000"/>
                <w:sz w:val="18"/>
                <w:szCs w:val="18"/>
                <w:lang w:eastAsia="es-CO"/>
              </w:rPr>
              <w:t>Reporto a la Delegada de Medidas Especiales</w:t>
            </w:r>
          </w:p>
        </w:tc>
      </w:tr>
      <w:tr w:rsidR="000948B9" w:rsidRPr="000948B9" w:rsidTr="008E3197">
        <w:trPr>
          <w:trHeight w:val="675"/>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SALUD COLPATRIA</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5</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1</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inconsistencias en la sumatoria de las cuentas del Gasto</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000000" w:fill="A5A5A5"/>
            <w:noWrap/>
            <w:vAlign w:val="bottom"/>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r w:rsidRPr="00351925">
              <w:rPr>
                <w:rFonts w:ascii="Arial" w:eastAsia="Times New Roman" w:hAnsi="Arial" w:cs="Arial"/>
                <w:b/>
                <w:bCs/>
                <w:color w:val="000000"/>
                <w:sz w:val="18"/>
                <w:szCs w:val="18"/>
                <w:lang w:eastAsia="es-CO"/>
              </w:rPr>
              <w:t>SALUD COLOMBIA*LIQUIDACION</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r w:rsidRPr="00351925">
              <w:rPr>
                <w:rFonts w:ascii="Arial" w:eastAsia="Times New Roman" w:hAnsi="Arial" w:cs="Arial"/>
                <w:b/>
                <w:bCs/>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11</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xml:space="preserve">SALUD TOTAL </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9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000000" w:fill="A5A5A5"/>
            <w:noWrap/>
            <w:vAlign w:val="bottom"/>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r w:rsidRPr="00351925">
              <w:rPr>
                <w:rFonts w:ascii="Arial" w:eastAsia="Times New Roman" w:hAnsi="Arial" w:cs="Arial"/>
                <w:b/>
                <w:bCs/>
                <w:color w:val="000000"/>
                <w:sz w:val="18"/>
                <w:szCs w:val="18"/>
                <w:lang w:eastAsia="es-CO"/>
              </w:rPr>
              <w:t>SALUDCOOP* INTERVENIDA</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r w:rsidRPr="00351925">
              <w:rPr>
                <w:rFonts w:ascii="Arial" w:eastAsia="Times New Roman" w:hAnsi="Arial" w:cs="Arial"/>
                <w:b/>
                <w:bCs/>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11</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3</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Reporta negativo la cuenta 3205,prima en colocación de acciones</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SALUDVIDA</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12</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675"/>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SANITAS</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7</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inconsistencias en la sumatoria de las cuentas del Gasto</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S.O.S</w:t>
            </w:r>
          </w:p>
        </w:tc>
        <w:tc>
          <w:tcPr>
            <w:tcW w:w="1134"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11</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300"/>
        </w:trPr>
        <w:tc>
          <w:tcPr>
            <w:tcW w:w="1560" w:type="dxa"/>
            <w:vMerge/>
            <w:tcBorders>
              <w:top w:val="nil"/>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nil"/>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SOLSALLUD</w:t>
            </w:r>
          </w:p>
        </w:tc>
        <w:tc>
          <w:tcPr>
            <w:tcW w:w="1134" w:type="dxa"/>
            <w:tcBorders>
              <w:top w:val="nil"/>
              <w:left w:val="nil"/>
              <w:bottom w:val="nil"/>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12</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2</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Verdana" w:eastAsia="Times New Roman" w:hAnsi="Verdana" w:cs="Times New Roman"/>
                <w:sz w:val="18"/>
                <w:szCs w:val="18"/>
                <w:lang w:eastAsia="es-CO"/>
              </w:rPr>
            </w:pPr>
            <w:r w:rsidRPr="00351925">
              <w:rPr>
                <w:rFonts w:ascii="Verdana" w:eastAsia="Times New Roman" w:hAnsi="Verdana" w:cs="Times New Roman"/>
                <w:sz w:val="18"/>
                <w:szCs w:val="18"/>
                <w:lang w:eastAsia="es-CO"/>
              </w:rPr>
              <w:t>0</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300"/>
        </w:trPr>
        <w:tc>
          <w:tcPr>
            <w:tcW w:w="156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b/>
                <w:bCs/>
                <w:color w:val="000000"/>
                <w:sz w:val="18"/>
                <w:szCs w:val="18"/>
                <w:lang w:eastAsia="es-CO"/>
              </w:rPr>
            </w:pPr>
            <w:r w:rsidRPr="00351925">
              <w:rPr>
                <w:rFonts w:ascii="Arial" w:eastAsia="Times New Roman" w:hAnsi="Arial" w:cs="Arial"/>
                <w:b/>
                <w:bCs/>
                <w:color w:val="000000"/>
                <w:sz w:val="18"/>
                <w:szCs w:val="18"/>
                <w:lang w:eastAsia="es-CO"/>
              </w:rPr>
              <w:t>ADAPTADAS</w:t>
            </w:r>
          </w:p>
        </w:tc>
        <w:tc>
          <w:tcPr>
            <w:tcW w:w="19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EMPRESAS PUBLICAS DE MEDELLIN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b/>
                <w:bCs/>
                <w:color w:val="000000"/>
                <w:sz w:val="18"/>
                <w:szCs w:val="18"/>
                <w:lang w:eastAsia="es-CO"/>
              </w:rPr>
            </w:pPr>
            <w:r w:rsidRPr="00351925">
              <w:rPr>
                <w:rFonts w:ascii="Arial" w:eastAsia="Times New Roman" w:hAnsi="Arial" w:cs="Arial"/>
                <w:b/>
                <w:bCs/>
                <w:color w:val="000000"/>
                <w:sz w:val="18"/>
                <w:szCs w:val="18"/>
                <w:lang w:eastAsia="es-CO"/>
              </w:rPr>
              <w:t>X</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709"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135" w:type="dxa"/>
            <w:tcBorders>
              <w:top w:val="nil"/>
              <w:left w:val="nil"/>
              <w:bottom w:val="single" w:sz="4"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4"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r w:rsidR="000948B9" w:rsidRPr="000948B9" w:rsidTr="008E3197">
        <w:trPr>
          <w:trHeight w:val="315"/>
        </w:trPr>
        <w:tc>
          <w:tcPr>
            <w:tcW w:w="1560" w:type="dxa"/>
            <w:vMerge/>
            <w:tcBorders>
              <w:top w:val="single" w:sz="4" w:space="0" w:color="auto"/>
              <w:left w:val="single" w:sz="4" w:space="0" w:color="auto"/>
              <w:bottom w:val="single" w:sz="4" w:space="0" w:color="auto"/>
              <w:right w:val="nil"/>
            </w:tcBorders>
            <w:vAlign w:val="center"/>
            <w:hideMark/>
          </w:tcPr>
          <w:p w:rsidR="000948B9" w:rsidRPr="00351925" w:rsidRDefault="000948B9" w:rsidP="007F7339">
            <w:pPr>
              <w:widowControl w:val="0"/>
              <w:spacing w:after="0" w:line="240" w:lineRule="auto"/>
              <w:rPr>
                <w:rFonts w:ascii="Arial" w:eastAsia="Times New Roman" w:hAnsi="Arial" w:cs="Arial"/>
                <w:b/>
                <w:bCs/>
                <w:color w:val="000000"/>
                <w:sz w:val="18"/>
                <w:szCs w:val="18"/>
                <w:lang w:eastAsia="es-CO"/>
              </w:rPr>
            </w:pPr>
          </w:p>
        </w:tc>
        <w:tc>
          <w:tcPr>
            <w:tcW w:w="1984" w:type="dxa"/>
            <w:tcBorders>
              <w:top w:val="nil"/>
              <w:left w:val="single" w:sz="8" w:space="0" w:color="auto"/>
              <w:bottom w:val="single" w:sz="8"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xml:space="preserve">FERROCARRILES </w:t>
            </w:r>
          </w:p>
        </w:tc>
        <w:tc>
          <w:tcPr>
            <w:tcW w:w="1134" w:type="dxa"/>
            <w:tcBorders>
              <w:top w:val="nil"/>
              <w:left w:val="nil"/>
              <w:bottom w:val="single" w:sz="8"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850" w:type="dxa"/>
            <w:tcBorders>
              <w:top w:val="nil"/>
              <w:left w:val="nil"/>
              <w:bottom w:val="single" w:sz="8"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3</w:t>
            </w:r>
          </w:p>
        </w:tc>
        <w:tc>
          <w:tcPr>
            <w:tcW w:w="709" w:type="dxa"/>
            <w:tcBorders>
              <w:top w:val="nil"/>
              <w:left w:val="nil"/>
              <w:bottom w:val="single" w:sz="8"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0</w:t>
            </w:r>
          </w:p>
        </w:tc>
        <w:tc>
          <w:tcPr>
            <w:tcW w:w="850" w:type="dxa"/>
            <w:tcBorders>
              <w:top w:val="nil"/>
              <w:left w:val="nil"/>
              <w:bottom w:val="single" w:sz="8" w:space="0" w:color="auto"/>
              <w:right w:val="single" w:sz="4" w:space="0" w:color="auto"/>
            </w:tcBorders>
            <w:shd w:val="clear" w:color="auto" w:fill="auto"/>
            <w:noWrap/>
            <w:vAlign w:val="center"/>
            <w:hideMark/>
          </w:tcPr>
          <w:p w:rsidR="000948B9" w:rsidRPr="00351925" w:rsidRDefault="000948B9" w:rsidP="007F7339">
            <w:pPr>
              <w:widowControl w:val="0"/>
              <w:spacing w:after="0" w:line="240" w:lineRule="auto"/>
              <w:jc w:val="center"/>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1</w:t>
            </w:r>
          </w:p>
        </w:tc>
        <w:tc>
          <w:tcPr>
            <w:tcW w:w="1135" w:type="dxa"/>
            <w:tcBorders>
              <w:top w:val="nil"/>
              <w:left w:val="nil"/>
              <w:bottom w:val="single" w:sz="8" w:space="0" w:color="auto"/>
              <w:right w:val="single" w:sz="4"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rsidR="000948B9" w:rsidRPr="00351925" w:rsidRDefault="000948B9" w:rsidP="007F7339">
            <w:pPr>
              <w:widowControl w:val="0"/>
              <w:spacing w:after="0" w:line="240" w:lineRule="auto"/>
              <w:rPr>
                <w:rFonts w:ascii="Arial" w:eastAsia="Times New Roman" w:hAnsi="Arial" w:cs="Arial"/>
                <w:color w:val="000000"/>
                <w:sz w:val="18"/>
                <w:szCs w:val="18"/>
                <w:lang w:eastAsia="es-CO"/>
              </w:rPr>
            </w:pPr>
            <w:r w:rsidRPr="00351925">
              <w:rPr>
                <w:rFonts w:ascii="Arial" w:eastAsia="Times New Roman" w:hAnsi="Arial" w:cs="Arial"/>
                <w:color w:val="000000"/>
                <w:sz w:val="18"/>
                <w:szCs w:val="18"/>
                <w:lang w:eastAsia="es-CO"/>
              </w:rPr>
              <w:t> </w:t>
            </w:r>
          </w:p>
        </w:tc>
      </w:tr>
    </w:tbl>
    <w:p w:rsidR="00B13728" w:rsidRPr="007F7339" w:rsidRDefault="00B13728" w:rsidP="007F7339">
      <w:pPr>
        <w:widowControl w:val="0"/>
        <w:spacing w:after="0" w:line="240" w:lineRule="auto"/>
        <w:jc w:val="both"/>
        <w:rPr>
          <w:rFonts w:ascii="Arial" w:hAnsi="Arial" w:cs="Arial"/>
          <w:sz w:val="20"/>
        </w:rPr>
      </w:pPr>
      <w:r w:rsidRPr="007F7339">
        <w:rPr>
          <w:rFonts w:ascii="Arial" w:eastAsia="Times New Roman" w:hAnsi="Arial" w:cs="Arial"/>
          <w:b/>
          <w:color w:val="000000"/>
          <w:sz w:val="20"/>
          <w:lang w:eastAsia="es-CO"/>
        </w:rPr>
        <w:t>FUENTE:</w:t>
      </w:r>
      <w:r w:rsidRPr="007F7339">
        <w:rPr>
          <w:rFonts w:ascii="Arial" w:eastAsia="Times New Roman" w:hAnsi="Arial" w:cs="Arial"/>
          <w:color w:val="000000"/>
          <w:sz w:val="20"/>
          <w:lang w:eastAsia="es-CO"/>
        </w:rPr>
        <w:t xml:space="preserve"> Estados Financieros- Circular Única</w:t>
      </w:r>
    </w:p>
    <w:p w:rsidR="007F7339" w:rsidRDefault="007F7339" w:rsidP="007F7339">
      <w:pPr>
        <w:pStyle w:val="Prrafodelista"/>
        <w:widowControl w:val="0"/>
        <w:spacing w:after="0" w:line="240" w:lineRule="auto"/>
        <w:ind w:left="0"/>
        <w:jc w:val="both"/>
        <w:rPr>
          <w:rFonts w:ascii="Arial" w:hAnsi="Arial" w:cs="Arial"/>
        </w:rPr>
      </w:pPr>
    </w:p>
    <w:p w:rsidR="00303DD4" w:rsidRDefault="00303DD4" w:rsidP="007F7339">
      <w:pPr>
        <w:pStyle w:val="Prrafodelista"/>
        <w:widowControl w:val="0"/>
        <w:spacing w:after="0" w:line="240" w:lineRule="auto"/>
        <w:ind w:left="0"/>
        <w:jc w:val="both"/>
        <w:rPr>
          <w:rFonts w:ascii="Arial" w:hAnsi="Arial" w:cs="Arial"/>
        </w:rPr>
      </w:pPr>
    </w:p>
    <w:p w:rsidR="005A4343" w:rsidRDefault="00ED1E72" w:rsidP="007F7339">
      <w:pPr>
        <w:pStyle w:val="Prrafodelista"/>
        <w:widowControl w:val="0"/>
        <w:spacing w:after="0" w:line="240" w:lineRule="auto"/>
        <w:ind w:left="0"/>
        <w:jc w:val="both"/>
        <w:rPr>
          <w:rFonts w:ascii="Arial" w:hAnsi="Arial" w:cs="Arial"/>
        </w:rPr>
      </w:pPr>
      <w:r w:rsidRPr="00603DBE">
        <w:rPr>
          <w:rFonts w:ascii="Arial" w:hAnsi="Arial" w:cs="Arial"/>
        </w:rPr>
        <w:t>Del total de 24 EPS que administran el régimen contributivo, para los cortes en diciembre de 2010 y marzo de 2011, todas han reportado la información financiera de que trata la Circular Única.</w:t>
      </w:r>
      <w:r w:rsidR="005A4343">
        <w:rPr>
          <w:rFonts w:ascii="Arial" w:hAnsi="Arial" w:cs="Arial"/>
        </w:rPr>
        <w:t xml:space="preserve">  Se aclara que el reporte de Humana Vivir fue extemporáneo en 48 y 39 días respectivamente.</w:t>
      </w:r>
    </w:p>
    <w:p w:rsidR="007F7339" w:rsidRDefault="007F7339" w:rsidP="007F7339">
      <w:pPr>
        <w:widowControl w:val="0"/>
        <w:autoSpaceDE w:val="0"/>
        <w:autoSpaceDN w:val="0"/>
        <w:adjustRightInd w:val="0"/>
        <w:spacing w:after="0" w:line="240" w:lineRule="auto"/>
        <w:jc w:val="both"/>
        <w:rPr>
          <w:rFonts w:ascii="Arial" w:hAnsi="Arial" w:cs="Arial"/>
          <w:color w:val="000000"/>
        </w:rPr>
      </w:pPr>
    </w:p>
    <w:p w:rsidR="005A4343" w:rsidRDefault="005A4343" w:rsidP="007F7339">
      <w:pPr>
        <w:widowControl w:val="0"/>
        <w:autoSpaceDE w:val="0"/>
        <w:autoSpaceDN w:val="0"/>
        <w:adjustRightInd w:val="0"/>
        <w:spacing w:after="0" w:line="240" w:lineRule="auto"/>
        <w:jc w:val="both"/>
        <w:rPr>
          <w:rFonts w:ascii="Arial" w:hAnsi="Arial" w:cs="Arial"/>
          <w:color w:val="000000"/>
        </w:rPr>
      </w:pPr>
      <w:r w:rsidRPr="00074781">
        <w:rPr>
          <w:rFonts w:ascii="Arial" w:hAnsi="Arial" w:cs="Arial"/>
          <w:color w:val="000000"/>
        </w:rPr>
        <w:t xml:space="preserve">La extemporaneidad que se presentó en el envío de la información del corte a diciembre de 2010 fue ocasionada por </w:t>
      </w:r>
      <w:r w:rsidR="00074781" w:rsidRPr="00074781">
        <w:rPr>
          <w:rFonts w:ascii="Arial" w:hAnsi="Arial" w:cs="Arial"/>
          <w:color w:val="000000"/>
        </w:rPr>
        <w:t xml:space="preserve">la </w:t>
      </w:r>
      <w:r w:rsidR="00074781">
        <w:rPr>
          <w:rFonts w:ascii="Arial" w:hAnsi="Arial" w:cs="Arial"/>
          <w:color w:val="000000"/>
        </w:rPr>
        <w:t xml:space="preserve">puesta en marcha, </w:t>
      </w:r>
      <w:r w:rsidRPr="005F18E6">
        <w:rPr>
          <w:rFonts w:ascii="Arial" w:hAnsi="Arial" w:cs="Arial"/>
          <w:color w:val="000000"/>
        </w:rPr>
        <w:t xml:space="preserve">operación </w:t>
      </w:r>
      <w:r>
        <w:rPr>
          <w:rFonts w:ascii="Arial" w:hAnsi="Arial" w:cs="Arial"/>
          <w:color w:val="000000"/>
        </w:rPr>
        <w:t xml:space="preserve">y </w:t>
      </w:r>
      <w:r w:rsidRPr="005F18E6">
        <w:rPr>
          <w:rFonts w:ascii="Arial" w:hAnsi="Arial" w:cs="Arial"/>
          <w:color w:val="000000"/>
        </w:rPr>
        <w:t>actualización del Sistema de Recepción, Validación y Cargue (RVCC) a través del cual los vigilados reportan la información establecida por la circular única</w:t>
      </w:r>
      <w:r>
        <w:rPr>
          <w:rFonts w:ascii="Arial" w:hAnsi="Arial" w:cs="Arial"/>
          <w:color w:val="000000"/>
        </w:rPr>
        <w:t>.</w:t>
      </w:r>
    </w:p>
    <w:p w:rsidR="005A4343" w:rsidRDefault="005A4343" w:rsidP="007F7339">
      <w:pPr>
        <w:widowControl w:val="0"/>
        <w:autoSpaceDE w:val="0"/>
        <w:autoSpaceDN w:val="0"/>
        <w:adjustRightInd w:val="0"/>
        <w:spacing w:after="0" w:line="240" w:lineRule="auto"/>
        <w:jc w:val="both"/>
        <w:rPr>
          <w:rFonts w:ascii="Arial" w:hAnsi="Arial" w:cs="Arial"/>
          <w:color w:val="000000"/>
        </w:rPr>
      </w:pPr>
    </w:p>
    <w:p w:rsidR="005A4343" w:rsidRDefault="005A4343" w:rsidP="007F733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w:t>
      </w:r>
      <w:r w:rsidRPr="005F18E6">
        <w:rPr>
          <w:rFonts w:ascii="Arial" w:hAnsi="Arial" w:cs="Arial"/>
          <w:color w:val="000000"/>
        </w:rPr>
        <w:t xml:space="preserve">ste sistema de información se instaló sobre servidores más robustos aplicando escalabilidad en el sistema operativo y en el motor  de base de datos, fortaleciendo las seguridades a través de las bondades que ofrece dicha infraestructura. </w:t>
      </w:r>
    </w:p>
    <w:p w:rsidR="005A4343" w:rsidRDefault="005A4343" w:rsidP="007F7339">
      <w:pPr>
        <w:widowControl w:val="0"/>
        <w:autoSpaceDE w:val="0"/>
        <w:autoSpaceDN w:val="0"/>
        <w:adjustRightInd w:val="0"/>
        <w:spacing w:after="0" w:line="240" w:lineRule="auto"/>
        <w:jc w:val="both"/>
        <w:rPr>
          <w:rFonts w:ascii="Arial" w:hAnsi="Arial" w:cs="Arial"/>
          <w:color w:val="000000"/>
        </w:rPr>
      </w:pPr>
    </w:p>
    <w:p w:rsidR="005A4343" w:rsidRDefault="005A4343" w:rsidP="007F7339">
      <w:pPr>
        <w:widowControl w:val="0"/>
        <w:autoSpaceDE w:val="0"/>
        <w:autoSpaceDN w:val="0"/>
        <w:adjustRightInd w:val="0"/>
        <w:spacing w:after="0" w:line="240" w:lineRule="auto"/>
        <w:jc w:val="both"/>
        <w:rPr>
          <w:rFonts w:ascii="Arial" w:hAnsi="Arial" w:cs="Arial"/>
          <w:color w:val="000000"/>
        </w:rPr>
      </w:pPr>
      <w:r w:rsidRPr="005F18E6">
        <w:rPr>
          <w:rFonts w:ascii="Arial" w:hAnsi="Arial" w:cs="Arial"/>
          <w:color w:val="000000"/>
        </w:rPr>
        <w:t xml:space="preserve">Adicionalmente, como mecanismo de monitoreo y control, se implementó el “log de transacciones” de la base de datos el cual permite identificar el usuario, el equipo y la fecha de cualquier acción </w:t>
      </w:r>
      <w:r>
        <w:rPr>
          <w:rFonts w:ascii="Arial" w:hAnsi="Arial" w:cs="Arial"/>
          <w:color w:val="000000"/>
        </w:rPr>
        <w:t>que se realice sobre la misma.</w:t>
      </w:r>
    </w:p>
    <w:p w:rsidR="005A4343" w:rsidRDefault="005A4343" w:rsidP="007F7339">
      <w:pPr>
        <w:widowControl w:val="0"/>
        <w:autoSpaceDE w:val="0"/>
        <w:autoSpaceDN w:val="0"/>
        <w:adjustRightInd w:val="0"/>
        <w:spacing w:after="0" w:line="240" w:lineRule="auto"/>
        <w:jc w:val="both"/>
        <w:rPr>
          <w:rFonts w:ascii="Arial" w:hAnsi="Arial" w:cs="Arial"/>
          <w:color w:val="000000"/>
        </w:rPr>
      </w:pPr>
    </w:p>
    <w:p w:rsidR="005A4343" w:rsidRPr="0000468A" w:rsidRDefault="005A4343" w:rsidP="007F7339">
      <w:pPr>
        <w:widowControl w:val="0"/>
        <w:autoSpaceDE w:val="0"/>
        <w:autoSpaceDN w:val="0"/>
        <w:adjustRightInd w:val="0"/>
        <w:spacing w:after="0" w:line="240" w:lineRule="auto"/>
        <w:jc w:val="both"/>
        <w:rPr>
          <w:rFonts w:ascii="Arial" w:hAnsi="Arial" w:cs="Arial"/>
          <w:color w:val="000000"/>
        </w:rPr>
      </w:pPr>
      <w:r w:rsidRPr="0000468A">
        <w:rPr>
          <w:rFonts w:ascii="Arial" w:hAnsi="Arial" w:cs="Arial"/>
          <w:color w:val="000000"/>
        </w:rPr>
        <w:t xml:space="preserve">Como mecanismo de seguridad en el envío de los archivos por parte de los vigilados a través de la página Web, la circular estableció la utilización de la firma digital (certificado expedido por entidades autorizadas por la Superintendencia de Industria y Comercio) para garantizar la confiabilidad, veracidad y no repudio de la información. </w:t>
      </w:r>
    </w:p>
    <w:p w:rsidR="005A4343" w:rsidRDefault="005A4343" w:rsidP="007F7339">
      <w:pPr>
        <w:widowControl w:val="0"/>
        <w:autoSpaceDE w:val="0"/>
        <w:autoSpaceDN w:val="0"/>
        <w:adjustRightInd w:val="0"/>
        <w:spacing w:after="0" w:line="240" w:lineRule="auto"/>
        <w:jc w:val="both"/>
        <w:rPr>
          <w:rFonts w:ascii="Arial" w:hAnsi="Arial" w:cs="Arial"/>
          <w:color w:val="000000"/>
        </w:rPr>
      </w:pPr>
    </w:p>
    <w:p w:rsidR="00297C0C" w:rsidRPr="00D842B0" w:rsidRDefault="00ED1E72" w:rsidP="007F7339">
      <w:pPr>
        <w:widowControl w:val="0"/>
        <w:autoSpaceDE w:val="0"/>
        <w:autoSpaceDN w:val="0"/>
        <w:adjustRightInd w:val="0"/>
        <w:spacing w:after="0" w:line="240" w:lineRule="auto"/>
        <w:jc w:val="both"/>
        <w:rPr>
          <w:rFonts w:ascii="Arial" w:hAnsi="Arial" w:cs="Arial"/>
          <w:color w:val="000000"/>
        </w:rPr>
      </w:pPr>
      <w:r w:rsidRPr="00D842B0">
        <w:rPr>
          <w:rFonts w:ascii="Arial" w:hAnsi="Arial" w:cs="Arial"/>
          <w:color w:val="000000"/>
        </w:rPr>
        <w:t xml:space="preserve">Para el corte </w:t>
      </w:r>
      <w:r w:rsidR="00D842B0">
        <w:rPr>
          <w:rFonts w:ascii="Arial" w:hAnsi="Arial" w:cs="Arial"/>
          <w:color w:val="000000"/>
        </w:rPr>
        <w:t xml:space="preserve">a </w:t>
      </w:r>
      <w:r w:rsidRPr="00D842B0">
        <w:rPr>
          <w:rFonts w:ascii="Arial" w:hAnsi="Arial" w:cs="Arial"/>
          <w:color w:val="000000"/>
        </w:rPr>
        <w:t xml:space="preserve">junio de 2011, </w:t>
      </w:r>
      <w:r w:rsidR="00EA3063" w:rsidRPr="00D842B0">
        <w:rPr>
          <w:rFonts w:ascii="Arial" w:hAnsi="Arial" w:cs="Arial"/>
          <w:color w:val="000000"/>
        </w:rPr>
        <w:t xml:space="preserve">3 </w:t>
      </w:r>
      <w:r w:rsidR="00D842B0">
        <w:rPr>
          <w:rFonts w:ascii="Arial" w:hAnsi="Arial" w:cs="Arial"/>
          <w:color w:val="000000"/>
        </w:rPr>
        <w:t xml:space="preserve">EPS </w:t>
      </w:r>
      <w:r w:rsidRPr="00D842B0">
        <w:rPr>
          <w:rFonts w:ascii="Arial" w:hAnsi="Arial" w:cs="Arial"/>
          <w:color w:val="000000"/>
        </w:rPr>
        <w:t>han omitido el reporte de la información</w:t>
      </w:r>
      <w:r w:rsidR="00D842B0">
        <w:rPr>
          <w:rFonts w:ascii="Arial" w:hAnsi="Arial" w:cs="Arial"/>
          <w:color w:val="000000"/>
        </w:rPr>
        <w:t xml:space="preserve">: </w:t>
      </w:r>
      <w:r w:rsidR="00351925" w:rsidRPr="00D842B0">
        <w:rPr>
          <w:rFonts w:ascii="Arial" w:hAnsi="Arial" w:cs="Arial"/>
          <w:color w:val="000000"/>
        </w:rPr>
        <w:t xml:space="preserve">Human </w:t>
      </w:r>
      <w:proofErr w:type="spellStart"/>
      <w:r w:rsidR="00351925" w:rsidRPr="00D842B0">
        <w:rPr>
          <w:rFonts w:ascii="Arial" w:hAnsi="Arial" w:cs="Arial"/>
          <w:color w:val="000000"/>
        </w:rPr>
        <w:t>Heart</w:t>
      </w:r>
      <w:proofErr w:type="spellEnd"/>
      <w:r w:rsidR="00351925" w:rsidRPr="00D842B0">
        <w:rPr>
          <w:rFonts w:ascii="Arial" w:hAnsi="Arial" w:cs="Arial"/>
          <w:color w:val="000000"/>
        </w:rPr>
        <w:t xml:space="preserve">  (Humana</w:t>
      </w:r>
      <w:r w:rsidR="00EA3063" w:rsidRPr="00D842B0">
        <w:rPr>
          <w:rFonts w:ascii="Arial" w:hAnsi="Arial" w:cs="Arial"/>
          <w:color w:val="000000"/>
        </w:rPr>
        <w:t xml:space="preserve"> Vivir),  Empresas Públicas de Medellín y Red Salud en Liquidación Voluntaria.</w:t>
      </w:r>
    </w:p>
    <w:p w:rsidR="00D842B0" w:rsidRDefault="00D842B0" w:rsidP="007F7339">
      <w:pPr>
        <w:widowControl w:val="0"/>
        <w:autoSpaceDE w:val="0"/>
        <w:autoSpaceDN w:val="0"/>
        <w:adjustRightInd w:val="0"/>
        <w:spacing w:after="0" w:line="240" w:lineRule="auto"/>
        <w:jc w:val="both"/>
        <w:rPr>
          <w:rFonts w:ascii="Arial" w:hAnsi="Arial" w:cs="Arial"/>
          <w:color w:val="000000"/>
        </w:rPr>
      </w:pPr>
    </w:p>
    <w:p w:rsidR="006C1049" w:rsidRDefault="006C1049" w:rsidP="007F7339">
      <w:pPr>
        <w:widowControl w:val="0"/>
        <w:autoSpaceDE w:val="0"/>
        <w:autoSpaceDN w:val="0"/>
        <w:adjustRightInd w:val="0"/>
        <w:spacing w:after="0" w:line="240" w:lineRule="auto"/>
        <w:jc w:val="both"/>
        <w:rPr>
          <w:rFonts w:ascii="Arial" w:hAnsi="Arial" w:cs="Arial"/>
          <w:color w:val="000000"/>
        </w:rPr>
      </w:pPr>
    </w:p>
    <w:p w:rsidR="00351925" w:rsidRDefault="00351925" w:rsidP="00B940CB">
      <w:pPr>
        <w:pStyle w:val="Prrafodelista"/>
        <w:widowControl w:val="0"/>
        <w:numPr>
          <w:ilvl w:val="0"/>
          <w:numId w:val="10"/>
        </w:numPr>
        <w:spacing w:after="0" w:line="240" w:lineRule="auto"/>
        <w:jc w:val="both"/>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R</w:t>
      </w:r>
      <w:r w:rsidR="007F7339">
        <w:rPr>
          <w:rFonts w:ascii="Arial" w:eastAsia="Times New Roman" w:hAnsi="Arial" w:cs="Arial"/>
          <w:b/>
          <w:bCs/>
          <w:color w:val="000000"/>
          <w:sz w:val="24"/>
          <w:szCs w:val="24"/>
          <w:lang w:eastAsia="es-CO"/>
        </w:rPr>
        <w:t>É</w:t>
      </w:r>
      <w:r>
        <w:rPr>
          <w:rFonts w:ascii="Arial" w:eastAsia="Times New Roman" w:hAnsi="Arial" w:cs="Arial"/>
          <w:b/>
          <w:bCs/>
          <w:color w:val="000000"/>
          <w:sz w:val="24"/>
          <w:szCs w:val="24"/>
          <w:lang w:eastAsia="es-CO"/>
        </w:rPr>
        <w:t>GIMEN SUBSIDIADO</w:t>
      </w:r>
    </w:p>
    <w:p w:rsidR="007F7339" w:rsidRDefault="007F7339" w:rsidP="007F7339">
      <w:pPr>
        <w:widowControl w:val="0"/>
        <w:spacing w:after="0" w:line="240" w:lineRule="auto"/>
        <w:jc w:val="both"/>
        <w:rPr>
          <w:rFonts w:ascii="Arial" w:hAnsi="Arial" w:cs="Arial"/>
        </w:rPr>
      </w:pPr>
    </w:p>
    <w:p w:rsidR="00D842B0" w:rsidRDefault="00004AA5" w:rsidP="007F7339">
      <w:pPr>
        <w:widowControl w:val="0"/>
        <w:spacing w:after="0" w:line="240" w:lineRule="auto"/>
        <w:jc w:val="both"/>
        <w:rPr>
          <w:rFonts w:ascii="Arial" w:hAnsi="Arial" w:cs="Arial"/>
        </w:rPr>
      </w:pPr>
      <w:r>
        <w:rPr>
          <w:rFonts w:ascii="Arial" w:hAnsi="Arial" w:cs="Arial"/>
        </w:rPr>
        <w:t xml:space="preserve">El </w:t>
      </w:r>
      <w:r w:rsidRPr="00603DBE">
        <w:rPr>
          <w:rFonts w:ascii="Arial" w:hAnsi="Arial" w:cs="Arial"/>
        </w:rPr>
        <w:t xml:space="preserve"> </w:t>
      </w:r>
      <w:r w:rsidR="00C838B8">
        <w:rPr>
          <w:rFonts w:ascii="Arial" w:hAnsi="Arial" w:cs="Arial"/>
        </w:rPr>
        <w:t>universo de reporte de información de l</w:t>
      </w:r>
      <w:r w:rsidR="00C838B8" w:rsidRPr="00603DBE">
        <w:rPr>
          <w:rFonts w:ascii="Arial" w:hAnsi="Arial" w:cs="Arial"/>
        </w:rPr>
        <w:t xml:space="preserve">as EPS del Régimen </w:t>
      </w:r>
      <w:r>
        <w:rPr>
          <w:rFonts w:ascii="Arial" w:hAnsi="Arial" w:cs="Arial"/>
        </w:rPr>
        <w:t>Subsidiado es de 4</w:t>
      </w:r>
      <w:r w:rsidR="00C838B8">
        <w:rPr>
          <w:rFonts w:ascii="Arial" w:hAnsi="Arial" w:cs="Arial"/>
        </w:rPr>
        <w:t>8</w:t>
      </w:r>
      <w:r>
        <w:rPr>
          <w:rFonts w:ascii="Arial" w:hAnsi="Arial" w:cs="Arial"/>
        </w:rPr>
        <w:t xml:space="preserve"> entidades, clasificadas como se presenta en el siguiente cuadro:</w:t>
      </w:r>
    </w:p>
    <w:p w:rsidR="008E3197" w:rsidRDefault="008E3197" w:rsidP="007F7339">
      <w:pPr>
        <w:widowControl w:val="0"/>
        <w:spacing w:after="0" w:line="240" w:lineRule="auto"/>
        <w:jc w:val="both"/>
        <w:rPr>
          <w:rFonts w:ascii="Arial" w:hAnsi="Arial" w:cs="Arial"/>
        </w:rPr>
      </w:pPr>
    </w:p>
    <w:p w:rsidR="007F7339" w:rsidRDefault="007F7339" w:rsidP="007F7339">
      <w:pPr>
        <w:widowControl w:val="0"/>
        <w:spacing w:after="0" w:line="240" w:lineRule="auto"/>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1456"/>
        <w:gridCol w:w="661"/>
        <w:gridCol w:w="626"/>
        <w:gridCol w:w="597"/>
        <w:gridCol w:w="661"/>
        <w:gridCol w:w="939"/>
        <w:gridCol w:w="872"/>
        <w:gridCol w:w="1134"/>
        <w:gridCol w:w="1134"/>
      </w:tblGrid>
      <w:tr w:rsidR="000731FF" w:rsidRPr="000731FF" w:rsidTr="008E3197">
        <w:trPr>
          <w:trHeight w:val="480"/>
          <w:tblHeader/>
        </w:trPr>
        <w:tc>
          <w:tcPr>
            <w:tcW w:w="1276" w:type="dxa"/>
            <w:vMerge w:val="restart"/>
            <w:shd w:val="clear" w:color="auto" w:fill="auto"/>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REGIMEN SUBSIDIADO</w:t>
            </w:r>
          </w:p>
        </w:tc>
        <w:tc>
          <w:tcPr>
            <w:tcW w:w="1456" w:type="dxa"/>
            <w:vMerge w:val="restart"/>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ENTIDAD</w:t>
            </w:r>
          </w:p>
        </w:tc>
        <w:tc>
          <w:tcPr>
            <w:tcW w:w="1884" w:type="dxa"/>
            <w:gridSpan w:val="3"/>
            <w:shd w:val="clear" w:color="auto" w:fill="auto"/>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NO REPORTE</w:t>
            </w:r>
          </w:p>
        </w:tc>
        <w:tc>
          <w:tcPr>
            <w:tcW w:w="2472" w:type="dxa"/>
            <w:gridSpan w:val="3"/>
            <w:shd w:val="clear" w:color="auto" w:fill="auto"/>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DIAS DE EXTEMPORANEIDAD</w:t>
            </w:r>
          </w:p>
        </w:tc>
        <w:tc>
          <w:tcPr>
            <w:tcW w:w="2268" w:type="dxa"/>
            <w:gridSpan w:val="2"/>
            <w:shd w:val="clear" w:color="auto" w:fill="auto"/>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CALIDAD INFORMACION</w:t>
            </w:r>
          </w:p>
        </w:tc>
      </w:tr>
      <w:tr w:rsidR="000731FF" w:rsidRPr="000731FF" w:rsidTr="008E3197">
        <w:trPr>
          <w:trHeight w:val="315"/>
          <w:tblHeader/>
        </w:trPr>
        <w:tc>
          <w:tcPr>
            <w:tcW w:w="1276" w:type="dxa"/>
            <w:vMerge/>
            <w:vAlign w:val="center"/>
            <w:hideMark/>
          </w:tcPr>
          <w:p w:rsidR="000731FF" w:rsidRPr="000731FF" w:rsidRDefault="000731FF" w:rsidP="007F7339">
            <w:pPr>
              <w:widowControl w:val="0"/>
              <w:spacing w:after="0" w:line="240" w:lineRule="auto"/>
              <w:rPr>
                <w:rFonts w:ascii="Arial" w:eastAsia="Times New Roman" w:hAnsi="Arial" w:cs="Arial"/>
                <w:b/>
                <w:bCs/>
                <w:color w:val="000000"/>
                <w:sz w:val="18"/>
                <w:szCs w:val="18"/>
                <w:lang w:eastAsia="es-CO"/>
              </w:rPr>
            </w:pPr>
          </w:p>
        </w:tc>
        <w:tc>
          <w:tcPr>
            <w:tcW w:w="1456" w:type="dxa"/>
            <w:vMerge/>
            <w:vAlign w:val="center"/>
            <w:hideMark/>
          </w:tcPr>
          <w:p w:rsidR="000731FF" w:rsidRPr="000731FF" w:rsidRDefault="000731FF" w:rsidP="007F7339">
            <w:pPr>
              <w:widowControl w:val="0"/>
              <w:spacing w:after="0" w:line="240" w:lineRule="auto"/>
              <w:rPr>
                <w:rFonts w:ascii="Arial" w:eastAsia="Times New Roman" w:hAnsi="Arial" w:cs="Arial"/>
                <w:b/>
                <w:bCs/>
                <w:color w:val="000000"/>
                <w:sz w:val="18"/>
                <w:szCs w:val="18"/>
                <w:lang w:eastAsia="es-CO"/>
              </w:rPr>
            </w:pPr>
          </w:p>
        </w:tc>
        <w:tc>
          <w:tcPr>
            <w:tcW w:w="661" w:type="dxa"/>
            <w:shd w:val="clear" w:color="auto" w:fill="auto"/>
            <w:noWrap/>
            <w:vAlign w:val="center"/>
            <w:hideMark/>
          </w:tcPr>
          <w:p w:rsidR="000731FF" w:rsidRPr="000731FF" w:rsidRDefault="000731FF" w:rsidP="007F7339">
            <w:pPr>
              <w:widowControl w:val="0"/>
              <w:spacing w:after="0" w:line="240" w:lineRule="auto"/>
              <w:jc w:val="center"/>
              <w:rPr>
                <w:rFonts w:ascii="Arial" w:eastAsia="Times New Roman" w:hAnsi="Arial" w:cs="Arial"/>
                <w:b/>
                <w:bCs/>
                <w:color w:val="000000"/>
                <w:sz w:val="18"/>
                <w:szCs w:val="18"/>
                <w:lang w:eastAsia="es-CO"/>
              </w:rPr>
            </w:pPr>
            <w:proofErr w:type="spellStart"/>
            <w:r w:rsidRPr="000731FF">
              <w:rPr>
                <w:rFonts w:ascii="Arial" w:eastAsia="Times New Roman" w:hAnsi="Arial" w:cs="Arial"/>
                <w:b/>
                <w:bCs/>
                <w:color w:val="000000"/>
                <w:sz w:val="18"/>
                <w:szCs w:val="18"/>
                <w:lang w:eastAsia="es-CO"/>
              </w:rPr>
              <w:t>DIic</w:t>
            </w:r>
            <w:proofErr w:type="spellEnd"/>
            <w:r w:rsidRPr="000731FF">
              <w:rPr>
                <w:rFonts w:ascii="Arial" w:eastAsia="Times New Roman" w:hAnsi="Arial" w:cs="Arial"/>
                <w:b/>
                <w:bCs/>
                <w:color w:val="000000"/>
                <w:sz w:val="18"/>
                <w:szCs w:val="18"/>
                <w:lang w:eastAsia="es-CO"/>
              </w:rPr>
              <w:t xml:space="preserve"> - 2010</w:t>
            </w:r>
          </w:p>
        </w:tc>
        <w:tc>
          <w:tcPr>
            <w:tcW w:w="626" w:type="dxa"/>
            <w:shd w:val="clear" w:color="auto" w:fill="auto"/>
            <w:noWrap/>
            <w:vAlign w:val="center"/>
            <w:hideMark/>
          </w:tcPr>
          <w:p w:rsidR="000731FF" w:rsidRPr="000731FF" w:rsidRDefault="000731FF"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Mar- 2011</w:t>
            </w:r>
          </w:p>
        </w:tc>
        <w:tc>
          <w:tcPr>
            <w:tcW w:w="597" w:type="dxa"/>
            <w:shd w:val="clear" w:color="auto" w:fill="auto"/>
            <w:noWrap/>
            <w:vAlign w:val="center"/>
            <w:hideMark/>
          </w:tcPr>
          <w:p w:rsidR="000731FF" w:rsidRPr="000731FF" w:rsidRDefault="000731FF"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Jun-2011</w:t>
            </w:r>
          </w:p>
        </w:tc>
        <w:tc>
          <w:tcPr>
            <w:tcW w:w="661" w:type="dxa"/>
            <w:shd w:val="clear" w:color="auto" w:fill="auto"/>
            <w:noWrap/>
            <w:vAlign w:val="center"/>
            <w:hideMark/>
          </w:tcPr>
          <w:p w:rsidR="000731FF" w:rsidRPr="000731FF" w:rsidRDefault="000731FF"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D</w:t>
            </w:r>
            <w:r>
              <w:rPr>
                <w:rFonts w:ascii="Arial" w:eastAsia="Times New Roman" w:hAnsi="Arial" w:cs="Arial"/>
                <w:b/>
                <w:bCs/>
                <w:color w:val="000000"/>
                <w:sz w:val="18"/>
                <w:szCs w:val="18"/>
                <w:lang w:eastAsia="es-CO"/>
              </w:rPr>
              <w:t>ic-</w:t>
            </w:r>
            <w:r w:rsidRPr="000731FF">
              <w:rPr>
                <w:rFonts w:ascii="Arial" w:eastAsia="Times New Roman" w:hAnsi="Arial" w:cs="Arial"/>
                <w:b/>
                <w:bCs/>
                <w:color w:val="000000"/>
                <w:sz w:val="18"/>
                <w:szCs w:val="18"/>
                <w:lang w:eastAsia="es-CO"/>
              </w:rPr>
              <w:t xml:space="preserve"> 2010</w:t>
            </w:r>
          </w:p>
        </w:tc>
        <w:tc>
          <w:tcPr>
            <w:tcW w:w="939" w:type="dxa"/>
            <w:shd w:val="clear" w:color="auto" w:fill="auto"/>
            <w:noWrap/>
            <w:vAlign w:val="center"/>
            <w:hideMark/>
          </w:tcPr>
          <w:p w:rsidR="000731FF" w:rsidRPr="000731FF" w:rsidRDefault="000731FF"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M</w:t>
            </w:r>
            <w:r>
              <w:rPr>
                <w:rFonts w:ascii="Arial" w:eastAsia="Times New Roman" w:hAnsi="Arial" w:cs="Arial"/>
                <w:b/>
                <w:bCs/>
                <w:color w:val="000000"/>
                <w:sz w:val="18"/>
                <w:szCs w:val="18"/>
                <w:lang w:eastAsia="es-CO"/>
              </w:rPr>
              <w:t>ar -</w:t>
            </w:r>
            <w:r w:rsidRPr="000731FF">
              <w:rPr>
                <w:rFonts w:ascii="Arial" w:eastAsia="Times New Roman" w:hAnsi="Arial" w:cs="Arial"/>
                <w:b/>
                <w:bCs/>
                <w:color w:val="000000"/>
                <w:sz w:val="18"/>
                <w:szCs w:val="18"/>
                <w:lang w:eastAsia="es-CO"/>
              </w:rPr>
              <w:t xml:space="preserve"> 2011</w:t>
            </w:r>
          </w:p>
        </w:tc>
        <w:tc>
          <w:tcPr>
            <w:tcW w:w="872" w:type="dxa"/>
            <w:shd w:val="clear" w:color="auto" w:fill="auto"/>
            <w:noWrap/>
            <w:vAlign w:val="center"/>
            <w:hideMark/>
          </w:tcPr>
          <w:p w:rsidR="000731FF" w:rsidRPr="000731FF" w:rsidRDefault="000731FF"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J</w:t>
            </w:r>
            <w:r>
              <w:rPr>
                <w:rFonts w:ascii="Arial" w:eastAsia="Times New Roman" w:hAnsi="Arial" w:cs="Arial"/>
                <w:b/>
                <w:bCs/>
                <w:color w:val="000000"/>
                <w:sz w:val="18"/>
                <w:szCs w:val="18"/>
                <w:lang w:eastAsia="es-CO"/>
              </w:rPr>
              <w:t>un -</w:t>
            </w:r>
            <w:r w:rsidRPr="000731FF">
              <w:rPr>
                <w:rFonts w:ascii="Arial" w:eastAsia="Times New Roman" w:hAnsi="Arial" w:cs="Arial"/>
                <w:b/>
                <w:bCs/>
                <w:color w:val="000000"/>
                <w:sz w:val="18"/>
                <w:szCs w:val="18"/>
                <w:lang w:eastAsia="es-CO"/>
              </w:rPr>
              <w:t xml:space="preserve"> 2011</w:t>
            </w:r>
          </w:p>
        </w:tc>
        <w:tc>
          <w:tcPr>
            <w:tcW w:w="1134" w:type="dxa"/>
            <w:shd w:val="clear" w:color="auto" w:fill="auto"/>
            <w:noWrap/>
            <w:vAlign w:val="center"/>
            <w:hideMark/>
          </w:tcPr>
          <w:p w:rsidR="000731FF" w:rsidRPr="000731FF" w:rsidRDefault="000731FF"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M</w:t>
            </w:r>
            <w:r>
              <w:rPr>
                <w:rFonts w:ascii="Arial" w:eastAsia="Times New Roman" w:hAnsi="Arial" w:cs="Arial"/>
                <w:b/>
                <w:bCs/>
                <w:color w:val="000000"/>
                <w:sz w:val="18"/>
                <w:szCs w:val="18"/>
                <w:lang w:eastAsia="es-CO"/>
              </w:rPr>
              <w:t>ar -</w:t>
            </w:r>
            <w:r w:rsidRPr="000731FF">
              <w:rPr>
                <w:rFonts w:ascii="Arial" w:eastAsia="Times New Roman" w:hAnsi="Arial" w:cs="Arial"/>
                <w:b/>
                <w:bCs/>
                <w:color w:val="000000"/>
                <w:sz w:val="18"/>
                <w:szCs w:val="18"/>
                <w:lang w:eastAsia="es-CO"/>
              </w:rPr>
              <w:t xml:space="preserve"> 2011</w:t>
            </w:r>
          </w:p>
        </w:tc>
        <w:tc>
          <w:tcPr>
            <w:tcW w:w="1134" w:type="dxa"/>
            <w:shd w:val="clear" w:color="auto" w:fill="auto"/>
            <w:noWrap/>
            <w:vAlign w:val="center"/>
            <w:hideMark/>
          </w:tcPr>
          <w:p w:rsidR="000731FF" w:rsidRPr="000731FF" w:rsidRDefault="000731FF"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J</w:t>
            </w:r>
            <w:r>
              <w:rPr>
                <w:rFonts w:ascii="Arial" w:eastAsia="Times New Roman" w:hAnsi="Arial" w:cs="Arial"/>
                <w:b/>
                <w:bCs/>
                <w:color w:val="000000"/>
                <w:sz w:val="18"/>
                <w:szCs w:val="18"/>
                <w:lang w:eastAsia="es-CO"/>
              </w:rPr>
              <w:t>un -</w:t>
            </w:r>
            <w:r w:rsidRPr="000731FF">
              <w:rPr>
                <w:rFonts w:ascii="Arial" w:eastAsia="Times New Roman" w:hAnsi="Arial" w:cs="Arial"/>
                <w:b/>
                <w:bCs/>
                <w:color w:val="000000"/>
                <w:sz w:val="18"/>
                <w:szCs w:val="18"/>
                <w:lang w:eastAsia="es-CO"/>
              </w:rPr>
              <w:t xml:space="preserve"> 2011</w:t>
            </w:r>
          </w:p>
        </w:tc>
      </w:tr>
      <w:tr w:rsidR="000731FF" w:rsidRPr="000731FF" w:rsidTr="008E3197">
        <w:trPr>
          <w:trHeight w:val="510"/>
        </w:trPr>
        <w:tc>
          <w:tcPr>
            <w:tcW w:w="1276" w:type="dxa"/>
            <w:vMerge w:val="restart"/>
            <w:shd w:val="clear" w:color="auto" w:fill="auto"/>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lastRenderedPageBreak/>
              <w:t xml:space="preserve">ENTIDADES PROMOTORAS DE SALUD </w:t>
            </w: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SALUD TOTAL</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11</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p>
        </w:tc>
      </w:tr>
      <w:tr w:rsidR="000731FF" w:rsidRPr="000731FF" w:rsidTr="008E3197">
        <w:trPr>
          <w:trHeight w:val="51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SALUD VIDA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12</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Inconsistencias en la información</w:t>
            </w:r>
          </w:p>
        </w:tc>
      </w:tr>
      <w:tr w:rsidR="000731FF" w:rsidRPr="000731FF" w:rsidTr="008E3197">
        <w:trPr>
          <w:trHeight w:val="69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HUMANA VIVIR</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48</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39</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xml:space="preserve">Reporta </w:t>
            </w:r>
            <w:r w:rsidR="008E3197" w:rsidRPr="000731FF">
              <w:rPr>
                <w:rFonts w:ascii="Arial" w:eastAsia="Times New Roman" w:hAnsi="Arial" w:cs="Arial"/>
                <w:color w:val="000000"/>
                <w:sz w:val="18"/>
                <w:szCs w:val="18"/>
                <w:lang w:eastAsia="es-CO"/>
              </w:rPr>
              <w:t>información</w:t>
            </w:r>
            <w:r w:rsidRPr="000731FF">
              <w:rPr>
                <w:rFonts w:ascii="Arial" w:eastAsia="Times New Roman" w:hAnsi="Arial" w:cs="Arial"/>
                <w:color w:val="000000"/>
                <w:sz w:val="18"/>
                <w:szCs w:val="18"/>
                <w:lang w:eastAsia="es-CO"/>
              </w:rPr>
              <w:t xml:space="preserve"> insuficiente</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CAFESALUD</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11</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9</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43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000000" w:fill="A5A5A5"/>
            <w:noWrap/>
            <w:vAlign w:val="bottom"/>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CAPRESOCA*INTERVENIDA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12</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27</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Inconsistencias en la información</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CONVIDA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13</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000000" w:fill="A5A5A5"/>
            <w:noWrap/>
            <w:vAlign w:val="bottom"/>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SELVASALUD*INTERVENIDA</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CAPRECOM</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10</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4</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000000" w:fill="A5A5A5"/>
            <w:noWrap/>
            <w:vAlign w:val="bottom"/>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CONDOR*INTERVENIDA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14</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3</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Reporta en pesos</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SOLSALUD</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939"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restart"/>
            <w:shd w:val="clear" w:color="auto" w:fill="auto"/>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EMPRESAS SOLIDARIAS DE SALUD</w:t>
            </w: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COMPARTA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21</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14</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17</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COOSALUD</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4</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ECOOPSOS</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6</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EMSANAR</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4</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AMBUQ</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10</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xml:space="preserve">ASMET SALUD </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10</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000000" w:fill="A5A5A5"/>
            <w:noWrap/>
            <w:vAlign w:val="bottom"/>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EMDISALUD*INTERVENIDA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MUTUAL SER</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5</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restart"/>
            <w:shd w:val="clear" w:color="auto" w:fill="auto"/>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ENTIDADES PROMOTORAS DE SALUD INDIGENA</w:t>
            </w: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MANEXKA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52</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39</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AIC</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8</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26</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9</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DUSAKAWI</w:t>
            </w:r>
          </w:p>
        </w:tc>
        <w:tc>
          <w:tcPr>
            <w:tcW w:w="661" w:type="dxa"/>
            <w:shd w:val="clear" w:color="auto" w:fill="auto"/>
            <w:noWrap/>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Con Auto</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ANAS WAYUU</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11</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139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MALLAMAS</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10</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Reporta en pesos. Inconsistencias en la información de archivo 017 y 018 no cruza con el catalogo</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PIJAO SALUD</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11</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300"/>
        </w:trPr>
        <w:tc>
          <w:tcPr>
            <w:tcW w:w="1276" w:type="dxa"/>
            <w:vMerge w:val="restart"/>
            <w:shd w:val="clear" w:color="auto" w:fill="auto"/>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CAJAS DE COMPENSACION FAMILIAR</w:t>
            </w: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COLSUDSIDIO</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5</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CAFAM</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12</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000000" w:fill="A5A5A5"/>
            <w:noWrap/>
            <w:vAlign w:val="bottom"/>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CAJACOPI * INTERVENIDA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7</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3</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000000" w:fill="A5A5A5"/>
            <w:noWrap/>
            <w:vAlign w:val="bottom"/>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CAMACOL*LIQUIDACIÓN</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18</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4</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COMFAMA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6</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480"/>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CAFABA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11</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Inconsistencias en la información</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COMFABOY</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12</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CCF CARTAGENA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12</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CCF COMFACOR</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20</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CCF COMFACUNDI</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5</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CCF COMFENALCO TOLIMA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11</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CCF COMFAMILIAR HUILA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13</w:t>
            </w:r>
          </w:p>
        </w:tc>
        <w:tc>
          <w:tcPr>
            <w:tcW w:w="939"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17</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94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xml:space="preserve">CCF GUAJIRA </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939"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9F3730" w:rsidRDefault="00351925" w:rsidP="007F7339">
            <w:pPr>
              <w:widowControl w:val="0"/>
              <w:spacing w:after="0" w:line="240" w:lineRule="auto"/>
              <w:jc w:val="both"/>
              <w:rPr>
                <w:rFonts w:ascii="Arial" w:eastAsia="Times New Roman" w:hAnsi="Arial" w:cs="Arial"/>
                <w:color w:val="000000"/>
                <w:sz w:val="16"/>
                <w:szCs w:val="16"/>
                <w:lang w:eastAsia="es-CO"/>
              </w:rPr>
            </w:pPr>
            <w:r w:rsidRPr="009F3730">
              <w:rPr>
                <w:rFonts w:ascii="Arial" w:eastAsia="Times New Roman" w:hAnsi="Arial" w:cs="Arial"/>
                <w:color w:val="000000"/>
                <w:sz w:val="16"/>
                <w:szCs w:val="16"/>
                <w:lang w:eastAsia="es-CO"/>
              </w:rPr>
              <w:t xml:space="preserve">Reporta </w:t>
            </w:r>
            <w:r w:rsidR="008E3197" w:rsidRPr="009F3730">
              <w:rPr>
                <w:rFonts w:ascii="Arial" w:eastAsia="Times New Roman" w:hAnsi="Arial" w:cs="Arial"/>
                <w:color w:val="000000"/>
                <w:sz w:val="16"/>
                <w:szCs w:val="16"/>
                <w:lang w:eastAsia="es-CO"/>
              </w:rPr>
              <w:t>información</w:t>
            </w:r>
            <w:r w:rsidRPr="009F3730">
              <w:rPr>
                <w:rFonts w:ascii="Arial" w:eastAsia="Times New Roman" w:hAnsi="Arial" w:cs="Arial"/>
                <w:color w:val="000000"/>
                <w:sz w:val="16"/>
                <w:szCs w:val="16"/>
                <w:lang w:eastAsia="es-CO"/>
              </w:rPr>
              <w:t xml:space="preserve"> insuficiente y por catalogo Público</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CCF NARIÑO</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10</w:t>
            </w:r>
          </w:p>
        </w:tc>
        <w:tc>
          <w:tcPr>
            <w:tcW w:w="939"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3</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CCF SUCRE</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5</w:t>
            </w:r>
          </w:p>
        </w:tc>
        <w:tc>
          <w:tcPr>
            <w:tcW w:w="939"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000000" w:fill="A5A5A5"/>
            <w:noWrap/>
            <w:vAlign w:val="bottom"/>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CCF COMFACA*LIQUIDACION</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11</w:t>
            </w:r>
          </w:p>
        </w:tc>
        <w:tc>
          <w:tcPr>
            <w:tcW w:w="939"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CCF COMFANORTE</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10</w:t>
            </w:r>
          </w:p>
        </w:tc>
        <w:tc>
          <w:tcPr>
            <w:tcW w:w="939"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CCF ORIENTE</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 </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11</w:t>
            </w:r>
          </w:p>
        </w:tc>
        <w:tc>
          <w:tcPr>
            <w:tcW w:w="939"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COMFENALCO SANTANDER</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11</w:t>
            </w:r>
          </w:p>
        </w:tc>
        <w:tc>
          <w:tcPr>
            <w:tcW w:w="939"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COMFACHOCO</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939"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CCF CAJASAN</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5</w:t>
            </w:r>
          </w:p>
        </w:tc>
        <w:tc>
          <w:tcPr>
            <w:tcW w:w="939"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0</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000000" w:fill="A5A5A5"/>
            <w:noWrap/>
            <w:vAlign w:val="bottom"/>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CCF QUINDIO*LIQUIDACION</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626"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597" w:type="dxa"/>
            <w:shd w:val="clear" w:color="auto" w:fill="auto"/>
            <w:vAlign w:val="center"/>
            <w:hideMark/>
          </w:tcPr>
          <w:p w:rsidR="00351925" w:rsidRPr="000731FF" w:rsidRDefault="00351925" w:rsidP="007F7339">
            <w:pPr>
              <w:widowControl w:val="0"/>
              <w:spacing w:after="0" w:line="240" w:lineRule="auto"/>
              <w:jc w:val="center"/>
              <w:rPr>
                <w:rFonts w:ascii="Arial" w:eastAsia="Times New Roman" w:hAnsi="Arial" w:cs="Arial"/>
                <w:b/>
                <w:bCs/>
                <w:color w:val="000000"/>
                <w:sz w:val="18"/>
                <w:szCs w:val="18"/>
                <w:lang w:eastAsia="es-CO"/>
              </w:rPr>
            </w:pPr>
            <w:r w:rsidRPr="000731FF">
              <w:rPr>
                <w:rFonts w:ascii="Arial" w:eastAsia="Times New Roman" w:hAnsi="Arial" w:cs="Arial"/>
                <w:b/>
                <w:bCs/>
                <w:color w:val="000000"/>
                <w:sz w:val="18"/>
                <w:szCs w:val="18"/>
                <w:lang w:eastAsia="es-CO"/>
              </w:rPr>
              <w:t>X</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939"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872" w:type="dxa"/>
            <w:shd w:val="clear" w:color="auto" w:fill="auto"/>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r w:rsidR="000731FF" w:rsidRPr="000731FF" w:rsidTr="008E3197">
        <w:trPr>
          <w:trHeight w:val="285"/>
        </w:trPr>
        <w:tc>
          <w:tcPr>
            <w:tcW w:w="1276" w:type="dxa"/>
            <w:vMerge/>
            <w:vAlign w:val="center"/>
            <w:hideMark/>
          </w:tcPr>
          <w:p w:rsidR="00351925" w:rsidRPr="000731FF" w:rsidRDefault="00351925" w:rsidP="007F7339">
            <w:pPr>
              <w:widowControl w:val="0"/>
              <w:spacing w:after="0" w:line="240" w:lineRule="auto"/>
              <w:rPr>
                <w:rFonts w:ascii="Arial" w:eastAsia="Times New Roman" w:hAnsi="Arial" w:cs="Arial"/>
                <w:b/>
                <w:bCs/>
                <w:color w:val="000000"/>
                <w:sz w:val="18"/>
                <w:szCs w:val="18"/>
                <w:lang w:eastAsia="es-CO"/>
              </w:rPr>
            </w:pPr>
          </w:p>
        </w:tc>
        <w:tc>
          <w:tcPr>
            <w:tcW w:w="1456"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COMFENALCO ANTIOQUIA</w:t>
            </w:r>
          </w:p>
        </w:tc>
        <w:tc>
          <w:tcPr>
            <w:tcW w:w="661"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26"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597" w:type="dxa"/>
            <w:shd w:val="clear" w:color="auto" w:fill="auto"/>
            <w:noWrap/>
            <w:vAlign w:val="bottom"/>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661"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11</w:t>
            </w:r>
          </w:p>
        </w:tc>
        <w:tc>
          <w:tcPr>
            <w:tcW w:w="939"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2</w:t>
            </w:r>
          </w:p>
        </w:tc>
        <w:tc>
          <w:tcPr>
            <w:tcW w:w="872" w:type="dxa"/>
            <w:shd w:val="clear" w:color="auto" w:fill="auto"/>
            <w:noWrap/>
            <w:vAlign w:val="center"/>
            <w:hideMark/>
          </w:tcPr>
          <w:p w:rsidR="00351925" w:rsidRPr="000731FF" w:rsidRDefault="00351925" w:rsidP="007F7339">
            <w:pPr>
              <w:widowControl w:val="0"/>
              <w:spacing w:after="0" w:line="240" w:lineRule="auto"/>
              <w:jc w:val="center"/>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1</w:t>
            </w:r>
          </w:p>
        </w:tc>
        <w:tc>
          <w:tcPr>
            <w:tcW w:w="1134" w:type="dxa"/>
            <w:shd w:val="clear" w:color="auto" w:fill="auto"/>
            <w:vAlign w:val="center"/>
            <w:hideMark/>
          </w:tcPr>
          <w:p w:rsidR="00351925" w:rsidRPr="000731FF" w:rsidRDefault="00351925" w:rsidP="007F7339">
            <w:pPr>
              <w:widowControl w:val="0"/>
              <w:spacing w:after="0" w:line="240" w:lineRule="auto"/>
              <w:jc w:val="both"/>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c>
          <w:tcPr>
            <w:tcW w:w="1134" w:type="dxa"/>
            <w:shd w:val="clear" w:color="auto" w:fill="auto"/>
            <w:noWrap/>
            <w:vAlign w:val="bottom"/>
            <w:hideMark/>
          </w:tcPr>
          <w:p w:rsidR="00351925" w:rsidRPr="000731FF" w:rsidRDefault="00351925" w:rsidP="007F7339">
            <w:pPr>
              <w:widowControl w:val="0"/>
              <w:spacing w:after="0" w:line="240" w:lineRule="auto"/>
              <w:rPr>
                <w:rFonts w:ascii="Arial" w:eastAsia="Times New Roman" w:hAnsi="Arial" w:cs="Arial"/>
                <w:color w:val="000000"/>
                <w:sz w:val="18"/>
                <w:szCs w:val="18"/>
                <w:lang w:eastAsia="es-CO"/>
              </w:rPr>
            </w:pPr>
            <w:r w:rsidRPr="000731FF">
              <w:rPr>
                <w:rFonts w:ascii="Arial" w:eastAsia="Times New Roman" w:hAnsi="Arial" w:cs="Arial"/>
                <w:color w:val="000000"/>
                <w:sz w:val="18"/>
                <w:szCs w:val="18"/>
                <w:lang w:eastAsia="es-CO"/>
              </w:rPr>
              <w:t> </w:t>
            </w:r>
          </w:p>
        </w:tc>
      </w:tr>
    </w:tbl>
    <w:p w:rsidR="00F42E2E" w:rsidRPr="00B940CB" w:rsidRDefault="000A3E33" w:rsidP="007F7339">
      <w:pPr>
        <w:pStyle w:val="Prrafodelista"/>
        <w:widowControl w:val="0"/>
        <w:spacing w:after="0" w:line="240" w:lineRule="auto"/>
        <w:ind w:hanging="720"/>
        <w:jc w:val="both"/>
        <w:rPr>
          <w:rFonts w:ascii="Arial" w:eastAsia="Times New Roman" w:hAnsi="Arial" w:cs="Arial"/>
          <w:color w:val="000000"/>
          <w:sz w:val="20"/>
          <w:lang w:eastAsia="es-CO"/>
        </w:rPr>
      </w:pPr>
      <w:r w:rsidRPr="00B940CB">
        <w:rPr>
          <w:rFonts w:ascii="Arial" w:eastAsia="Times New Roman" w:hAnsi="Arial" w:cs="Arial"/>
          <w:color w:val="000000"/>
          <w:sz w:val="20"/>
          <w:lang w:eastAsia="es-CO"/>
        </w:rPr>
        <w:t>Fuente: Estados Financieros - Circular Única</w:t>
      </w:r>
    </w:p>
    <w:p w:rsidR="000A3E33" w:rsidRPr="00603DBE" w:rsidRDefault="000A3E33" w:rsidP="007F7339">
      <w:pPr>
        <w:pStyle w:val="Prrafodelista"/>
        <w:widowControl w:val="0"/>
        <w:spacing w:after="0" w:line="240" w:lineRule="auto"/>
        <w:ind w:hanging="720"/>
        <w:jc w:val="both"/>
        <w:rPr>
          <w:rFonts w:ascii="Arial" w:hAnsi="Arial" w:cs="Arial"/>
        </w:rPr>
      </w:pPr>
    </w:p>
    <w:p w:rsidR="00603DBE" w:rsidRDefault="00B73B93" w:rsidP="007F7339">
      <w:pPr>
        <w:pStyle w:val="Prrafodelista"/>
        <w:widowControl w:val="0"/>
        <w:spacing w:after="0" w:line="240" w:lineRule="auto"/>
        <w:ind w:left="0"/>
        <w:jc w:val="both"/>
        <w:rPr>
          <w:rFonts w:ascii="Arial" w:hAnsi="Arial" w:cs="Arial"/>
        </w:rPr>
      </w:pPr>
      <w:r>
        <w:rPr>
          <w:rFonts w:ascii="Arial" w:hAnsi="Arial" w:cs="Arial"/>
        </w:rPr>
        <w:t xml:space="preserve">Del total de </w:t>
      </w:r>
      <w:r w:rsidR="00B27AF0" w:rsidRPr="00603DBE">
        <w:rPr>
          <w:rFonts w:ascii="Arial" w:hAnsi="Arial" w:cs="Arial"/>
        </w:rPr>
        <w:t xml:space="preserve"> 4</w:t>
      </w:r>
      <w:r>
        <w:rPr>
          <w:rFonts w:ascii="Arial" w:hAnsi="Arial" w:cs="Arial"/>
        </w:rPr>
        <w:t xml:space="preserve">8 </w:t>
      </w:r>
      <w:r w:rsidR="00603DBE">
        <w:rPr>
          <w:rFonts w:ascii="Arial" w:hAnsi="Arial" w:cs="Arial"/>
        </w:rPr>
        <w:t xml:space="preserve"> EPS </w:t>
      </w:r>
      <w:r>
        <w:rPr>
          <w:rFonts w:ascii="Arial" w:hAnsi="Arial" w:cs="Arial"/>
        </w:rPr>
        <w:t>autorizadas para  administrar</w:t>
      </w:r>
      <w:r w:rsidR="00603DBE">
        <w:rPr>
          <w:rFonts w:ascii="Arial" w:hAnsi="Arial" w:cs="Arial"/>
        </w:rPr>
        <w:t xml:space="preserve"> el R</w:t>
      </w:r>
      <w:r w:rsidR="00B27AF0" w:rsidRPr="00603DBE">
        <w:rPr>
          <w:rFonts w:ascii="Arial" w:hAnsi="Arial" w:cs="Arial"/>
        </w:rPr>
        <w:t>égimen</w:t>
      </w:r>
      <w:r w:rsidR="00603DBE">
        <w:rPr>
          <w:rFonts w:ascii="Arial" w:hAnsi="Arial" w:cs="Arial"/>
        </w:rPr>
        <w:t xml:space="preserve"> S</w:t>
      </w:r>
      <w:r w:rsidR="00B27AF0" w:rsidRPr="00603DBE">
        <w:rPr>
          <w:rFonts w:ascii="Arial" w:hAnsi="Arial" w:cs="Arial"/>
        </w:rPr>
        <w:t xml:space="preserve">ubsidiado, </w:t>
      </w:r>
      <w:r>
        <w:rPr>
          <w:rFonts w:ascii="Arial" w:hAnsi="Arial" w:cs="Arial"/>
        </w:rPr>
        <w:t xml:space="preserve">no reportaron en el corte en diciembre de 2010 </w:t>
      </w:r>
      <w:r w:rsidR="00B27AF0" w:rsidRPr="00603DBE">
        <w:rPr>
          <w:rFonts w:ascii="Arial" w:hAnsi="Arial" w:cs="Arial"/>
        </w:rPr>
        <w:t xml:space="preserve"> </w:t>
      </w:r>
      <w:r w:rsidR="001A3B97">
        <w:rPr>
          <w:rFonts w:ascii="Arial" w:hAnsi="Arial" w:cs="Arial"/>
        </w:rPr>
        <w:t xml:space="preserve">tres; a </w:t>
      </w:r>
      <w:r w:rsidR="00B27AF0" w:rsidRPr="00603DBE">
        <w:rPr>
          <w:rFonts w:ascii="Arial" w:hAnsi="Arial" w:cs="Arial"/>
        </w:rPr>
        <w:t xml:space="preserve"> marzo </w:t>
      </w:r>
      <w:r w:rsidRPr="00603DBE">
        <w:rPr>
          <w:rFonts w:ascii="Arial" w:hAnsi="Arial" w:cs="Arial"/>
        </w:rPr>
        <w:t>de 2011</w:t>
      </w:r>
      <w:r w:rsidR="001A3B97">
        <w:rPr>
          <w:rFonts w:ascii="Arial" w:hAnsi="Arial" w:cs="Arial"/>
        </w:rPr>
        <w:t xml:space="preserve"> dos </w:t>
      </w:r>
      <w:r w:rsidR="00B27AF0" w:rsidRPr="00603DBE">
        <w:rPr>
          <w:rFonts w:ascii="Arial" w:hAnsi="Arial" w:cs="Arial"/>
        </w:rPr>
        <w:t xml:space="preserve">y </w:t>
      </w:r>
      <w:r w:rsidR="001A3B97">
        <w:rPr>
          <w:rFonts w:ascii="Arial" w:hAnsi="Arial" w:cs="Arial"/>
        </w:rPr>
        <w:t xml:space="preserve">a </w:t>
      </w:r>
      <w:r w:rsidR="00B27AF0" w:rsidRPr="00603DBE">
        <w:rPr>
          <w:rFonts w:ascii="Arial" w:hAnsi="Arial" w:cs="Arial"/>
        </w:rPr>
        <w:t xml:space="preserve">junio </w:t>
      </w:r>
      <w:r w:rsidR="001A3B97" w:rsidRPr="00603DBE">
        <w:rPr>
          <w:rFonts w:ascii="Arial" w:hAnsi="Arial" w:cs="Arial"/>
        </w:rPr>
        <w:t>de 2011</w:t>
      </w:r>
      <w:r w:rsidR="001A3B97">
        <w:rPr>
          <w:rFonts w:ascii="Arial" w:hAnsi="Arial" w:cs="Arial"/>
        </w:rPr>
        <w:t xml:space="preserve"> siete</w:t>
      </w:r>
      <w:r w:rsidR="00BB0122">
        <w:rPr>
          <w:rFonts w:ascii="Arial" w:hAnsi="Arial" w:cs="Arial"/>
        </w:rPr>
        <w:t>.</w:t>
      </w:r>
    </w:p>
    <w:p w:rsidR="00BB0122" w:rsidRDefault="00BB0122" w:rsidP="007F7339">
      <w:pPr>
        <w:pStyle w:val="Prrafodelista"/>
        <w:widowControl w:val="0"/>
        <w:spacing w:after="0" w:line="240" w:lineRule="auto"/>
        <w:ind w:left="0"/>
        <w:jc w:val="both"/>
        <w:rPr>
          <w:rFonts w:ascii="Arial" w:hAnsi="Arial" w:cs="Arial"/>
        </w:rPr>
      </w:pPr>
    </w:p>
    <w:p w:rsidR="003B0574" w:rsidRDefault="003B0574" w:rsidP="007F7339">
      <w:pPr>
        <w:pStyle w:val="Prrafodelista"/>
        <w:widowControl w:val="0"/>
        <w:spacing w:after="0" w:line="240" w:lineRule="auto"/>
        <w:ind w:left="0"/>
        <w:jc w:val="both"/>
        <w:rPr>
          <w:rFonts w:ascii="Arial" w:hAnsi="Arial" w:cs="Arial"/>
          <w:color w:val="000000"/>
        </w:rPr>
      </w:pPr>
      <w:r>
        <w:rPr>
          <w:rFonts w:ascii="Arial" w:hAnsi="Arial" w:cs="Arial"/>
        </w:rPr>
        <w:t>Al igual que las EPS del Régimen Contributivo, l</w:t>
      </w:r>
      <w:r w:rsidRPr="00074781">
        <w:rPr>
          <w:rFonts w:ascii="Arial" w:hAnsi="Arial" w:cs="Arial"/>
          <w:color w:val="000000"/>
        </w:rPr>
        <w:t xml:space="preserve">a extemporaneidad que se presentó en el envío de la información del corte a diciembre de 2010 fue ocasionada por la </w:t>
      </w:r>
      <w:r>
        <w:rPr>
          <w:rFonts w:ascii="Arial" w:hAnsi="Arial" w:cs="Arial"/>
          <w:color w:val="000000"/>
        </w:rPr>
        <w:t xml:space="preserve">puesta en marcha, </w:t>
      </w:r>
      <w:r w:rsidRPr="005F18E6">
        <w:rPr>
          <w:rFonts w:ascii="Arial" w:hAnsi="Arial" w:cs="Arial"/>
          <w:color w:val="000000"/>
        </w:rPr>
        <w:t xml:space="preserve">operación </w:t>
      </w:r>
      <w:r>
        <w:rPr>
          <w:rFonts w:ascii="Arial" w:hAnsi="Arial" w:cs="Arial"/>
          <w:color w:val="000000"/>
        </w:rPr>
        <w:t xml:space="preserve">y </w:t>
      </w:r>
      <w:r w:rsidRPr="005F18E6">
        <w:rPr>
          <w:rFonts w:ascii="Arial" w:hAnsi="Arial" w:cs="Arial"/>
          <w:color w:val="000000"/>
        </w:rPr>
        <w:t>actualización del Sistema de Recepción, Validación y Cargue (RVCC) a través del cual los vigilados reportan la información establecida por la circular única</w:t>
      </w:r>
      <w:r>
        <w:rPr>
          <w:rFonts w:ascii="Arial" w:hAnsi="Arial" w:cs="Arial"/>
          <w:color w:val="000000"/>
        </w:rPr>
        <w:t>.</w:t>
      </w:r>
    </w:p>
    <w:p w:rsidR="00B940CB" w:rsidRDefault="00B940CB" w:rsidP="007F7339">
      <w:pPr>
        <w:pStyle w:val="Prrafodelista"/>
        <w:widowControl w:val="0"/>
        <w:spacing w:after="0" w:line="240" w:lineRule="auto"/>
        <w:ind w:left="0"/>
        <w:jc w:val="both"/>
        <w:rPr>
          <w:rFonts w:ascii="Arial" w:hAnsi="Arial" w:cs="Arial"/>
          <w:color w:val="000000"/>
        </w:rPr>
      </w:pPr>
    </w:p>
    <w:p w:rsidR="00567C5C" w:rsidRPr="00D842B0" w:rsidRDefault="00567C5C" w:rsidP="007F7339">
      <w:pPr>
        <w:widowControl w:val="0"/>
        <w:autoSpaceDE w:val="0"/>
        <w:autoSpaceDN w:val="0"/>
        <w:adjustRightInd w:val="0"/>
        <w:spacing w:after="0" w:line="240" w:lineRule="auto"/>
        <w:jc w:val="both"/>
        <w:rPr>
          <w:rFonts w:ascii="Arial" w:hAnsi="Arial" w:cs="Arial"/>
          <w:color w:val="000000"/>
        </w:rPr>
      </w:pPr>
      <w:r w:rsidRPr="00D842B0">
        <w:rPr>
          <w:rFonts w:ascii="Arial" w:hAnsi="Arial" w:cs="Arial"/>
          <w:color w:val="000000"/>
        </w:rPr>
        <w:t xml:space="preserve">La Superintendencia Nacional de Salud en el marco de las funciones de inspección, vigilancia y control y una vez verificados los periodos de incumplimiento, adelanta las actuaciones administrativas, por el incumplimiento en </w:t>
      </w:r>
      <w:r w:rsidR="00930E48">
        <w:rPr>
          <w:rFonts w:ascii="Arial" w:hAnsi="Arial" w:cs="Arial"/>
          <w:color w:val="000000"/>
        </w:rPr>
        <w:t xml:space="preserve">el reporte de </w:t>
      </w:r>
      <w:r w:rsidRPr="00D842B0">
        <w:rPr>
          <w:rFonts w:ascii="Arial" w:hAnsi="Arial" w:cs="Arial"/>
          <w:color w:val="000000"/>
        </w:rPr>
        <w:t>la información dentro de los términos establecidos en la Circular Única</w:t>
      </w:r>
      <w:r w:rsidR="00930E48">
        <w:rPr>
          <w:rFonts w:ascii="Arial" w:hAnsi="Arial" w:cs="Arial"/>
          <w:color w:val="000000"/>
        </w:rPr>
        <w:t xml:space="preserve"> que es </w:t>
      </w:r>
      <w:r w:rsidR="00AB25B8">
        <w:rPr>
          <w:rFonts w:ascii="Arial" w:hAnsi="Arial" w:cs="Arial"/>
          <w:color w:val="000000"/>
        </w:rPr>
        <w:t xml:space="preserve">el </w:t>
      </w:r>
      <w:r w:rsidR="00930E48">
        <w:rPr>
          <w:rFonts w:ascii="Arial" w:hAnsi="Arial" w:cs="Arial"/>
          <w:color w:val="000000"/>
        </w:rPr>
        <w:t>último día hábil del mes siguiente al trimestre que se analiza.</w:t>
      </w:r>
    </w:p>
    <w:p w:rsidR="00BB0122" w:rsidRDefault="00BB0122" w:rsidP="007F7339">
      <w:pPr>
        <w:pStyle w:val="Prrafodelista"/>
        <w:widowControl w:val="0"/>
        <w:spacing w:after="0" w:line="240" w:lineRule="auto"/>
        <w:ind w:left="0"/>
        <w:jc w:val="both"/>
        <w:rPr>
          <w:rFonts w:ascii="Arial" w:hAnsi="Arial" w:cs="Arial"/>
        </w:rPr>
      </w:pPr>
    </w:p>
    <w:p w:rsidR="00A3367A" w:rsidRPr="00603DBE" w:rsidRDefault="00A3367A" w:rsidP="007F7339">
      <w:pPr>
        <w:pStyle w:val="Prrafodelista"/>
        <w:widowControl w:val="0"/>
        <w:spacing w:after="0" w:line="240" w:lineRule="auto"/>
        <w:jc w:val="both"/>
        <w:rPr>
          <w:rFonts w:ascii="Arial" w:hAnsi="Arial" w:cs="Arial"/>
        </w:rPr>
      </w:pPr>
    </w:p>
    <w:p w:rsidR="007D4D78" w:rsidRPr="00B940CB" w:rsidRDefault="002E21A0" w:rsidP="007F7339">
      <w:pPr>
        <w:pStyle w:val="Prrafodelista"/>
        <w:widowControl w:val="0"/>
        <w:numPr>
          <w:ilvl w:val="0"/>
          <w:numId w:val="5"/>
        </w:numPr>
        <w:spacing w:after="0" w:line="240" w:lineRule="auto"/>
        <w:ind w:left="426" w:hanging="426"/>
        <w:jc w:val="both"/>
        <w:rPr>
          <w:rFonts w:ascii="Arial" w:hAnsi="Arial" w:cs="Arial"/>
          <w:b/>
          <w:i/>
        </w:rPr>
      </w:pPr>
      <w:r w:rsidRPr="00B940CB">
        <w:rPr>
          <w:rFonts w:ascii="Arial" w:hAnsi="Arial" w:cs="Arial"/>
          <w:b/>
          <w:i/>
        </w:rPr>
        <w:t>En el Régimen Contributivo, cuáles</w:t>
      </w:r>
      <w:r w:rsidR="007D4D78" w:rsidRPr="00B940CB">
        <w:rPr>
          <w:rFonts w:ascii="Arial" w:hAnsi="Arial" w:cs="Arial"/>
          <w:b/>
          <w:i/>
        </w:rPr>
        <w:t xml:space="preserve"> ha</w:t>
      </w:r>
      <w:r w:rsidR="00E82D8A" w:rsidRPr="00B940CB">
        <w:rPr>
          <w:rFonts w:ascii="Arial" w:hAnsi="Arial" w:cs="Arial"/>
          <w:b/>
          <w:i/>
        </w:rPr>
        <w:t>n</w:t>
      </w:r>
      <w:r w:rsidR="007D4D78" w:rsidRPr="00B940CB">
        <w:rPr>
          <w:rFonts w:ascii="Arial" w:hAnsi="Arial" w:cs="Arial"/>
          <w:b/>
          <w:i/>
        </w:rPr>
        <w:t xml:space="preserve"> sido los ingresos compensados UPC de las EPS, cual el balance frente al número de afiliados que reportan.</w:t>
      </w:r>
    </w:p>
    <w:p w:rsidR="00B940CB" w:rsidRDefault="00B940CB" w:rsidP="007F7339">
      <w:pPr>
        <w:pStyle w:val="NormalWeb"/>
        <w:widowControl w:val="0"/>
        <w:spacing w:before="0" w:beforeAutospacing="0" w:after="0" w:afterAutospacing="0"/>
        <w:jc w:val="both"/>
        <w:rPr>
          <w:rFonts w:ascii="Arial" w:eastAsia="Calibri" w:hAnsi="Arial" w:cs="Arial"/>
          <w:color w:val="auto"/>
          <w:sz w:val="22"/>
          <w:szCs w:val="22"/>
          <w:lang w:eastAsia="en-US"/>
        </w:rPr>
      </w:pPr>
    </w:p>
    <w:p w:rsidR="005B2FBC" w:rsidRDefault="005B2FBC" w:rsidP="007F7339">
      <w:pPr>
        <w:pStyle w:val="NormalWeb"/>
        <w:widowControl w:val="0"/>
        <w:spacing w:before="0" w:beforeAutospacing="0" w:after="0" w:afterAutospacing="0"/>
        <w:jc w:val="both"/>
        <w:rPr>
          <w:rFonts w:ascii="Arial" w:eastAsia="Calibri" w:hAnsi="Arial" w:cs="Arial"/>
          <w:color w:val="auto"/>
          <w:sz w:val="22"/>
          <w:szCs w:val="22"/>
          <w:lang w:eastAsia="en-US"/>
        </w:rPr>
      </w:pPr>
      <w:r w:rsidRPr="000A31A1">
        <w:rPr>
          <w:rFonts w:ascii="Arial" w:eastAsia="Calibri" w:hAnsi="Arial" w:cs="Arial"/>
          <w:color w:val="auto"/>
          <w:sz w:val="22"/>
          <w:szCs w:val="22"/>
          <w:lang w:eastAsia="en-US"/>
        </w:rPr>
        <w:t>Los recursos de la UPC se financian con los aportes de los afiliados al régimen contributivo, equivalentes al 12,5% de los cuales se descuenta el porcentaje de solidaridad. Adicionalmente, se deben incluir los recursos de licencias de maternidad e incapacidades. Estos recursos se compensan mensualmente y son girados por FOSYGA garantizando el flujo efectivo de los recursos.</w:t>
      </w:r>
    </w:p>
    <w:p w:rsidR="009E12DB" w:rsidRDefault="009E12DB" w:rsidP="007F7339">
      <w:pPr>
        <w:pStyle w:val="NormalWeb"/>
        <w:widowControl w:val="0"/>
        <w:spacing w:before="0" w:beforeAutospacing="0" w:after="0" w:afterAutospacing="0"/>
        <w:jc w:val="both"/>
        <w:rPr>
          <w:rFonts w:ascii="Arial" w:eastAsia="Calibri" w:hAnsi="Arial" w:cs="Arial"/>
          <w:color w:val="auto"/>
          <w:sz w:val="22"/>
          <w:szCs w:val="22"/>
          <w:lang w:eastAsia="en-US"/>
        </w:rPr>
      </w:pPr>
    </w:p>
    <w:p w:rsidR="003C2A5A" w:rsidRDefault="003C2A5A" w:rsidP="007F7339">
      <w:pPr>
        <w:widowControl w:val="0"/>
        <w:spacing w:after="0" w:line="240" w:lineRule="auto"/>
        <w:jc w:val="both"/>
        <w:rPr>
          <w:rFonts w:ascii="Arial" w:hAnsi="Arial" w:cs="Arial"/>
        </w:rPr>
      </w:pPr>
      <w:r w:rsidRPr="00603DBE">
        <w:rPr>
          <w:rFonts w:ascii="Arial" w:hAnsi="Arial" w:cs="Arial"/>
        </w:rPr>
        <w:t>El  comportamiento de los ingreso</w:t>
      </w:r>
      <w:r>
        <w:rPr>
          <w:rFonts w:ascii="Arial" w:hAnsi="Arial" w:cs="Arial"/>
        </w:rPr>
        <w:t>s consolidados de las EPS del Régimen C</w:t>
      </w:r>
      <w:r w:rsidRPr="00603DBE">
        <w:rPr>
          <w:rFonts w:ascii="Arial" w:hAnsi="Arial" w:cs="Arial"/>
        </w:rPr>
        <w:t>ontributivo, por concepto  de UPC apropiación directa, durante el período comprendido entre los años 2008 a 2009, ha mostrado un incremento porcentual del 17%</w:t>
      </w:r>
      <w:r w:rsidR="00DE51E3">
        <w:rPr>
          <w:rFonts w:ascii="Arial" w:hAnsi="Arial" w:cs="Arial"/>
        </w:rPr>
        <w:t xml:space="preserve"> y </w:t>
      </w:r>
      <w:r w:rsidRPr="00603DBE">
        <w:rPr>
          <w:rFonts w:ascii="Arial" w:hAnsi="Arial" w:cs="Arial"/>
        </w:rPr>
        <w:t>del 2009 a 2010 del 1</w:t>
      </w:r>
      <w:r>
        <w:rPr>
          <w:rFonts w:ascii="Arial" w:hAnsi="Arial" w:cs="Arial"/>
        </w:rPr>
        <w:t xml:space="preserve">0%, </w:t>
      </w:r>
      <w:r w:rsidR="00DE51E3">
        <w:rPr>
          <w:rFonts w:ascii="Arial" w:hAnsi="Arial" w:cs="Arial"/>
        </w:rPr>
        <w:t>creciendo por encima de la inflación</w:t>
      </w:r>
      <w:r w:rsidR="00D837E4">
        <w:rPr>
          <w:rFonts w:ascii="Arial" w:hAnsi="Arial" w:cs="Arial"/>
        </w:rPr>
        <w:t xml:space="preserve">, </w:t>
      </w:r>
      <w:r>
        <w:rPr>
          <w:rFonts w:ascii="Arial" w:hAnsi="Arial" w:cs="Arial"/>
        </w:rPr>
        <w:t>tal como se muestra en el siguiente cuadro:</w:t>
      </w:r>
    </w:p>
    <w:p w:rsidR="00E979B5" w:rsidRDefault="00E979B5" w:rsidP="007F7339">
      <w:pPr>
        <w:pStyle w:val="NormalWeb"/>
        <w:widowControl w:val="0"/>
        <w:spacing w:before="0" w:beforeAutospacing="0" w:after="0" w:afterAutospacing="0"/>
        <w:jc w:val="both"/>
        <w:rPr>
          <w:rFonts w:ascii="Arial" w:eastAsia="Calibri" w:hAnsi="Arial" w:cs="Arial"/>
          <w:color w:val="auto"/>
          <w:sz w:val="22"/>
          <w:szCs w:val="22"/>
          <w:lang w:eastAsia="en-US"/>
        </w:rPr>
      </w:pPr>
    </w:p>
    <w:p w:rsidR="007F35D5" w:rsidRPr="00303DD4" w:rsidRDefault="00303DD4" w:rsidP="00303DD4">
      <w:pPr>
        <w:pStyle w:val="NormalWeb"/>
        <w:widowControl w:val="0"/>
        <w:spacing w:before="0" w:beforeAutospacing="0" w:after="0" w:afterAutospacing="0"/>
        <w:ind w:right="332"/>
        <w:jc w:val="right"/>
        <w:rPr>
          <w:rFonts w:ascii="Arial" w:eastAsia="Calibri" w:hAnsi="Arial" w:cs="Arial"/>
          <w:color w:val="auto"/>
          <w:sz w:val="20"/>
          <w:szCs w:val="22"/>
          <w:lang w:eastAsia="en-US"/>
        </w:rPr>
      </w:pPr>
      <w:r w:rsidRPr="00303DD4">
        <w:rPr>
          <w:rFonts w:ascii="Arial" w:eastAsia="Calibri" w:hAnsi="Arial" w:cs="Arial"/>
          <w:color w:val="auto"/>
          <w:sz w:val="20"/>
          <w:szCs w:val="22"/>
          <w:lang w:eastAsia="en-US"/>
        </w:rPr>
        <w:t>Cifras en millones</w:t>
      </w:r>
    </w:p>
    <w:tbl>
      <w:tblPr>
        <w:tblW w:w="8804" w:type="dxa"/>
        <w:jc w:val="center"/>
        <w:tblInd w:w="55" w:type="dxa"/>
        <w:tblLayout w:type="fixed"/>
        <w:tblCellMar>
          <w:left w:w="70" w:type="dxa"/>
          <w:right w:w="70" w:type="dxa"/>
        </w:tblCellMar>
        <w:tblLook w:val="04A0" w:firstRow="1" w:lastRow="0" w:firstColumn="1" w:lastColumn="0" w:noHBand="0" w:noVBand="1"/>
      </w:tblPr>
      <w:tblGrid>
        <w:gridCol w:w="2096"/>
        <w:gridCol w:w="1118"/>
        <w:gridCol w:w="1118"/>
        <w:gridCol w:w="1118"/>
        <w:gridCol w:w="1118"/>
        <w:gridCol w:w="1118"/>
        <w:gridCol w:w="1118"/>
      </w:tblGrid>
      <w:tr w:rsidR="007F35D5" w:rsidRPr="007F35D5" w:rsidTr="00303DD4">
        <w:trPr>
          <w:trHeight w:val="300"/>
          <w:jc w:val="center"/>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D5" w:rsidRPr="007F35D5" w:rsidRDefault="007F35D5" w:rsidP="007F7339">
            <w:pPr>
              <w:widowControl w:val="0"/>
              <w:spacing w:after="0" w:line="240" w:lineRule="auto"/>
              <w:jc w:val="center"/>
              <w:rPr>
                <w:rFonts w:ascii="Calibri" w:eastAsia="Times New Roman" w:hAnsi="Calibri" w:cs="Times New Roman"/>
                <w:b/>
                <w:bCs/>
                <w:color w:val="000000"/>
                <w:lang w:eastAsia="es-CO"/>
              </w:rPr>
            </w:pPr>
            <w:r w:rsidRPr="007F35D5">
              <w:rPr>
                <w:rFonts w:ascii="Calibri" w:eastAsia="Times New Roman" w:hAnsi="Calibri" w:cs="Times New Roman"/>
                <w:b/>
                <w:bCs/>
                <w:color w:val="000000"/>
                <w:lang w:eastAsia="es-CO"/>
              </w:rPr>
              <w:lastRenderedPageBreak/>
              <w:t>CONCEPTO</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center"/>
              <w:rPr>
                <w:rFonts w:ascii="Calibri" w:eastAsia="Times New Roman" w:hAnsi="Calibri" w:cs="Times New Roman"/>
                <w:b/>
                <w:bCs/>
                <w:color w:val="000000"/>
                <w:lang w:eastAsia="es-CO"/>
              </w:rPr>
            </w:pPr>
            <w:r w:rsidRPr="007F35D5">
              <w:rPr>
                <w:rFonts w:ascii="Calibri" w:eastAsia="Times New Roman" w:hAnsi="Calibri" w:cs="Times New Roman"/>
                <w:b/>
                <w:bCs/>
                <w:color w:val="000000"/>
                <w:lang w:eastAsia="es-CO"/>
              </w:rPr>
              <w:t>2008</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center"/>
              <w:rPr>
                <w:rFonts w:ascii="Calibri" w:eastAsia="Times New Roman" w:hAnsi="Calibri" w:cs="Times New Roman"/>
                <w:b/>
                <w:bCs/>
                <w:color w:val="000000"/>
                <w:lang w:eastAsia="es-CO"/>
              </w:rPr>
            </w:pPr>
            <w:r w:rsidRPr="007F35D5">
              <w:rPr>
                <w:rFonts w:ascii="Calibri" w:eastAsia="Times New Roman" w:hAnsi="Calibri" w:cs="Times New Roman"/>
                <w:b/>
                <w:bCs/>
                <w:color w:val="000000"/>
                <w:lang w:eastAsia="es-CO"/>
              </w:rPr>
              <w:t>2009</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center"/>
              <w:rPr>
                <w:rFonts w:ascii="Calibri" w:eastAsia="Times New Roman" w:hAnsi="Calibri" w:cs="Times New Roman"/>
                <w:b/>
                <w:bCs/>
                <w:color w:val="000000"/>
                <w:lang w:eastAsia="es-CO"/>
              </w:rPr>
            </w:pPr>
            <w:proofErr w:type="spellStart"/>
            <w:r w:rsidRPr="007F35D5">
              <w:rPr>
                <w:rFonts w:ascii="Calibri" w:eastAsia="Times New Roman" w:hAnsi="Calibri" w:cs="Times New Roman"/>
                <w:b/>
                <w:bCs/>
                <w:color w:val="000000"/>
                <w:lang w:eastAsia="es-CO"/>
              </w:rPr>
              <w:t>Variac</w:t>
            </w:r>
            <w:proofErr w:type="spellEnd"/>
            <w:r w:rsidRPr="007F35D5">
              <w:rPr>
                <w:rFonts w:ascii="Calibri" w:eastAsia="Times New Roman" w:hAnsi="Calibri" w:cs="Times New Roman"/>
                <w:b/>
                <w:bCs/>
                <w:color w:val="000000"/>
                <w:lang w:eastAsia="es-CO"/>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center"/>
              <w:rPr>
                <w:rFonts w:ascii="Calibri" w:eastAsia="Times New Roman" w:hAnsi="Calibri" w:cs="Times New Roman"/>
                <w:b/>
                <w:bCs/>
                <w:color w:val="000000"/>
                <w:lang w:eastAsia="es-CO"/>
              </w:rPr>
            </w:pPr>
            <w:r w:rsidRPr="007F35D5">
              <w:rPr>
                <w:rFonts w:ascii="Calibri" w:eastAsia="Times New Roman" w:hAnsi="Calibri" w:cs="Times New Roman"/>
                <w:b/>
                <w:bCs/>
                <w:color w:val="000000"/>
                <w:lang w:eastAsia="es-CO"/>
              </w:rPr>
              <w:t>2010</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center"/>
              <w:rPr>
                <w:rFonts w:ascii="Calibri" w:eastAsia="Times New Roman" w:hAnsi="Calibri" w:cs="Times New Roman"/>
                <w:b/>
                <w:bCs/>
                <w:color w:val="000000"/>
                <w:lang w:eastAsia="es-CO"/>
              </w:rPr>
            </w:pPr>
            <w:proofErr w:type="spellStart"/>
            <w:r w:rsidRPr="007F35D5">
              <w:rPr>
                <w:rFonts w:ascii="Calibri" w:eastAsia="Times New Roman" w:hAnsi="Calibri" w:cs="Times New Roman"/>
                <w:b/>
                <w:bCs/>
                <w:color w:val="000000"/>
                <w:lang w:eastAsia="es-CO"/>
              </w:rPr>
              <w:t>Variac</w:t>
            </w:r>
            <w:proofErr w:type="spellEnd"/>
            <w:r w:rsidRPr="007F35D5">
              <w:rPr>
                <w:rFonts w:ascii="Calibri" w:eastAsia="Times New Roman" w:hAnsi="Calibri" w:cs="Times New Roman"/>
                <w:b/>
                <w:bCs/>
                <w:color w:val="000000"/>
                <w:lang w:eastAsia="es-CO"/>
              </w:rPr>
              <w:t xml:space="preserve">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center"/>
              <w:rPr>
                <w:rFonts w:ascii="Calibri" w:eastAsia="Times New Roman" w:hAnsi="Calibri" w:cs="Times New Roman"/>
                <w:b/>
                <w:bCs/>
                <w:color w:val="000000"/>
                <w:lang w:eastAsia="es-CO"/>
              </w:rPr>
            </w:pPr>
            <w:r w:rsidRPr="007F35D5">
              <w:rPr>
                <w:rFonts w:ascii="Calibri" w:eastAsia="Times New Roman" w:hAnsi="Calibri" w:cs="Times New Roman"/>
                <w:b/>
                <w:bCs/>
                <w:color w:val="000000"/>
                <w:lang w:eastAsia="es-CO"/>
              </w:rPr>
              <w:t xml:space="preserve">Julio de 2011 </w:t>
            </w:r>
          </w:p>
        </w:tc>
      </w:tr>
      <w:tr w:rsidR="007F35D5" w:rsidRPr="007F35D5" w:rsidTr="00303DD4">
        <w:trPr>
          <w:trHeight w:val="600"/>
          <w:jc w:val="center"/>
        </w:trPr>
        <w:tc>
          <w:tcPr>
            <w:tcW w:w="2096" w:type="dxa"/>
            <w:tcBorders>
              <w:top w:val="nil"/>
              <w:left w:val="single" w:sz="4" w:space="0" w:color="auto"/>
              <w:bottom w:val="single" w:sz="4" w:space="0" w:color="auto"/>
              <w:right w:val="single" w:sz="4" w:space="0" w:color="auto"/>
            </w:tcBorders>
            <w:shd w:val="clear" w:color="auto" w:fill="auto"/>
            <w:vAlign w:val="center"/>
            <w:hideMark/>
          </w:tcPr>
          <w:p w:rsidR="007F35D5" w:rsidRPr="007F35D5" w:rsidRDefault="007F35D5" w:rsidP="007F7339">
            <w:pPr>
              <w:widowControl w:val="0"/>
              <w:spacing w:after="0" w:line="240" w:lineRule="auto"/>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UPC APROPIACION DIRECTA</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 xml:space="preserve">6.500.526 </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 xml:space="preserve">7.594.048 </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17%</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 xml:space="preserve">8.327.174 </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10%</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 xml:space="preserve">5.288.562 </w:t>
            </w:r>
          </w:p>
        </w:tc>
      </w:tr>
      <w:tr w:rsidR="007F35D5" w:rsidRPr="007F35D5" w:rsidTr="00303DD4">
        <w:trPr>
          <w:trHeight w:val="600"/>
          <w:jc w:val="center"/>
        </w:trPr>
        <w:tc>
          <w:tcPr>
            <w:tcW w:w="2096" w:type="dxa"/>
            <w:tcBorders>
              <w:top w:val="nil"/>
              <w:left w:val="single" w:sz="4" w:space="0" w:color="auto"/>
              <w:bottom w:val="single" w:sz="4" w:space="0" w:color="auto"/>
              <w:right w:val="single" w:sz="4" w:space="0" w:color="auto"/>
            </w:tcBorders>
            <w:shd w:val="clear" w:color="auto" w:fill="auto"/>
            <w:vAlign w:val="center"/>
            <w:hideMark/>
          </w:tcPr>
          <w:p w:rsidR="007F35D5" w:rsidRPr="007F35D5" w:rsidRDefault="007F35D5" w:rsidP="007F7339">
            <w:pPr>
              <w:widowControl w:val="0"/>
              <w:spacing w:after="0" w:line="240" w:lineRule="auto"/>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DEFICIT PROCESO DE COMPENSACION</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 xml:space="preserve">1.322.354 </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 xml:space="preserve">1.461.370 </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11%</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 xml:space="preserve">1.003.873 </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-31%</w:t>
            </w:r>
          </w:p>
        </w:tc>
        <w:tc>
          <w:tcPr>
            <w:tcW w:w="1118" w:type="dxa"/>
            <w:tcBorders>
              <w:top w:val="nil"/>
              <w:left w:val="nil"/>
              <w:bottom w:val="single" w:sz="4" w:space="0" w:color="auto"/>
              <w:right w:val="single" w:sz="4" w:space="0" w:color="auto"/>
            </w:tcBorders>
            <w:shd w:val="clear" w:color="auto" w:fill="auto"/>
            <w:noWrap/>
            <w:vAlign w:val="center"/>
            <w:hideMark/>
          </w:tcPr>
          <w:p w:rsidR="007F35D5" w:rsidRPr="007F35D5" w:rsidRDefault="007F35D5" w:rsidP="007F7339">
            <w:pPr>
              <w:widowControl w:val="0"/>
              <w:spacing w:after="0" w:line="240" w:lineRule="auto"/>
              <w:jc w:val="right"/>
              <w:rPr>
                <w:rFonts w:ascii="Calibri" w:eastAsia="Times New Roman" w:hAnsi="Calibri" w:cs="Times New Roman"/>
                <w:color w:val="000000"/>
                <w:lang w:eastAsia="es-CO"/>
              </w:rPr>
            </w:pPr>
            <w:r w:rsidRPr="007F35D5">
              <w:rPr>
                <w:rFonts w:ascii="Calibri" w:eastAsia="Times New Roman" w:hAnsi="Calibri" w:cs="Times New Roman"/>
                <w:color w:val="000000"/>
                <w:lang w:eastAsia="es-CO"/>
              </w:rPr>
              <w:t xml:space="preserve">409.400 </w:t>
            </w:r>
          </w:p>
        </w:tc>
      </w:tr>
    </w:tbl>
    <w:p w:rsidR="007F35D5" w:rsidRPr="00303DD4" w:rsidRDefault="00E979B5" w:rsidP="00303DD4">
      <w:pPr>
        <w:pStyle w:val="NormalWeb"/>
        <w:widowControl w:val="0"/>
        <w:spacing w:before="0" w:beforeAutospacing="0" w:after="0" w:afterAutospacing="0"/>
        <w:ind w:left="284"/>
        <w:jc w:val="both"/>
        <w:rPr>
          <w:rFonts w:ascii="Arial" w:eastAsia="Calibri" w:hAnsi="Arial" w:cs="Arial"/>
          <w:color w:val="auto"/>
          <w:sz w:val="20"/>
          <w:szCs w:val="22"/>
          <w:lang w:eastAsia="en-US"/>
        </w:rPr>
      </w:pPr>
      <w:r w:rsidRPr="00303DD4">
        <w:rPr>
          <w:rFonts w:ascii="Arial" w:eastAsia="Calibri" w:hAnsi="Arial" w:cs="Arial"/>
          <w:color w:val="auto"/>
          <w:sz w:val="20"/>
          <w:szCs w:val="22"/>
          <w:lang w:eastAsia="en-US"/>
        </w:rPr>
        <w:t xml:space="preserve">Fuente: </w:t>
      </w:r>
      <w:r w:rsidR="009E12DB" w:rsidRPr="00303DD4">
        <w:rPr>
          <w:rFonts w:ascii="Arial" w:eastAsia="Calibri" w:hAnsi="Arial" w:cs="Arial"/>
          <w:color w:val="auto"/>
          <w:sz w:val="20"/>
          <w:szCs w:val="22"/>
          <w:lang w:eastAsia="en-US"/>
        </w:rPr>
        <w:t xml:space="preserve">Informes </w:t>
      </w:r>
      <w:r w:rsidRPr="00303DD4">
        <w:rPr>
          <w:rFonts w:ascii="Arial" w:eastAsia="Calibri" w:hAnsi="Arial" w:cs="Arial"/>
          <w:color w:val="auto"/>
          <w:sz w:val="20"/>
          <w:szCs w:val="22"/>
          <w:lang w:eastAsia="en-US"/>
        </w:rPr>
        <w:t>FOSYGA</w:t>
      </w:r>
    </w:p>
    <w:p w:rsidR="007F35D5" w:rsidRDefault="007F35D5" w:rsidP="007F7339">
      <w:pPr>
        <w:pStyle w:val="NormalWeb"/>
        <w:widowControl w:val="0"/>
        <w:spacing w:before="0" w:beforeAutospacing="0" w:after="0" w:afterAutospacing="0"/>
        <w:jc w:val="both"/>
        <w:rPr>
          <w:rFonts w:ascii="Arial" w:eastAsia="Calibri" w:hAnsi="Arial" w:cs="Arial"/>
          <w:color w:val="auto"/>
          <w:sz w:val="22"/>
          <w:szCs w:val="22"/>
          <w:lang w:eastAsia="en-US"/>
        </w:rPr>
      </w:pPr>
    </w:p>
    <w:p w:rsidR="008E293B" w:rsidRPr="00603DBE" w:rsidRDefault="008E293B" w:rsidP="007F7339">
      <w:pPr>
        <w:widowControl w:val="0"/>
        <w:spacing w:after="0" w:line="240" w:lineRule="auto"/>
        <w:jc w:val="both"/>
        <w:rPr>
          <w:rFonts w:ascii="Arial" w:hAnsi="Arial" w:cs="Arial"/>
        </w:rPr>
      </w:pPr>
      <w:r w:rsidRPr="00603DBE">
        <w:rPr>
          <w:rFonts w:ascii="Arial" w:hAnsi="Arial" w:cs="Arial"/>
        </w:rPr>
        <w:t xml:space="preserve">Evaluando los mismos periodos, en lo </w:t>
      </w:r>
      <w:r w:rsidR="00D837E4">
        <w:rPr>
          <w:rFonts w:ascii="Arial" w:hAnsi="Arial" w:cs="Arial"/>
        </w:rPr>
        <w:t xml:space="preserve">referente </w:t>
      </w:r>
      <w:r w:rsidRPr="00603DBE">
        <w:rPr>
          <w:rFonts w:ascii="Arial" w:hAnsi="Arial" w:cs="Arial"/>
        </w:rPr>
        <w:t xml:space="preserve">al déficit </w:t>
      </w:r>
      <w:r w:rsidR="00D837E4">
        <w:rPr>
          <w:rFonts w:ascii="Arial" w:hAnsi="Arial" w:cs="Arial"/>
        </w:rPr>
        <w:t xml:space="preserve">del </w:t>
      </w:r>
      <w:r w:rsidRPr="00603DBE">
        <w:rPr>
          <w:rFonts w:ascii="Arial" w:hAnsi="Arial" w:cs="Arial"/>
        </w:rPr>
        <w:t xml:space="preserve">proceso de compensación, en el primer periodo se observa un incremento del 11% y en el segundo </w:t>
      </w:r>
      <w:r>
        <w:rPr>
          <w:rFonts w:ascii="Arial" w:hAnsi="Arial" w:cs="Arial"/>
        </w:rPr>
        <w:t xml:space="preserve">un decrecimiento del </w:t>
      </w:r>
      <w:r w:rsidRPr="00603DBE">
        <w:rPr>
          <w:rFonts w:ascii="Arial" w:hAnsi="Arial" w:cs="Arial"/>
        </w:rPr>
        <w:t>31</w:t>
      </w:r>
      <w:r w:rsidR="00D837E4">
        <w:rPr>
          <w:rFonts w:ascii="Arial" w:hAnsi="Arial" w:cs="Arial"/>
        </w:rPr>
        <w:t>%, explicado por la reactivación de la economía, en relación con el empleo aumentando los afiliados y el Ingreso Base de Cotización.</w:t>
      </w:r>
    </w:p>
    <w:p w:rsidR="008E293B" w:rsidRDefault="008E293B" w:rsidP="007F7339">
      <w:pPr>
        <w:widowControl w:val="0"/>
        <w:spacing w:after="0" w:line="240" w:lineRule="auto"/>
        <w:jc w:val="both"/>
        <w:rPr>
          <w:rFonts w:ascii="Arial" w:hAnsi="Arial" w:cs="Arial"/>
        </w:rPr>
      </w:pPr>
    </w:p>
    <w:tbl>
      <w:tblPr>
        <w:tblW w:w="8804" w:type="dxa"/>
        <w:jc w:val="center"/>
        <w:tblInd w:w="55" w:type="dxa"/>
        <w:tblLayout w:type="fixed"/>
        <w:tblCellMar>
          <w:left w:w="70" w:type="dxa"/>
          <w:right w:w="70" w:type="dxa"/>
        </w:tblCellMar>
        <w:tblLook w:val="04A0" w:firstRow="1" w:lastRow="0" w:firstColumn="1" w:lastColumn="0" w:noHBand="0" w:noVBand="1"/>
      </w:tblPr>
      <w:tblGrid>
        <w:gridCol w:w="1375"/>
        <w:gridCol w:w="1475"/>
        <w:gridCol w:w="1276"/>
        <w:gridCol w:w="922"/>
        <w:gridCol w:w="1488"/>
        <w:gridCol w:w="922"/>
        <w:gridCol w:w="1346"/>
      </w:tblGrid>
      <w:tr w:rsidR="00FB2357" w:rsidRPr="001875FA" w:rsidTr="00CE7E77">
        <w:trPr>
          <w:trHeight w:val="300"/>
          <w:jc w:val="center"/>
        </w:trPr>
        <w:tc>
          <w:tcPr>
            <w:tcW w:w="137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2357" w:rsidRPr="001875FA" w:rsidRDefault="00FB2357" w:rsidP="007F7339">
            <w:pPr>
              <w:widowControl w:val="0"/>
              <w:spacing w:after="0" w:line="240" w:lineRule="auto"/>
              <w:jc w:val="center"/>
              <w:rPr>
                <w:rFonts w:ascii="Calibri" w:eastAsia="Times New Roman" w:hAnsi="Calibri" w:cs="Times New Roman"/>
                <w:b/>
                <w:bCs/>
                <w:color w:val="000000"/>
                <w:lang w:eastAsia="es-CO"/>
              </w:rPr>
            </w:pPr>
            <w:r w:rsidRPr="001875FA">
              <w:rPr>
                <w:rFonts w:ascii="Calibri" w:eastAsia="Times New Roman" w:hAnsi="Calibri" w:cs="Times New Roman"/>
                <w:b/>
                <w:bCs/>
                <w:color w:val="000000"/>
                <w:lang w:eastAsia="es-CO"/>
              </w:rPr>
              <w:t>CONCEPTO</w:t>
            </w:r>
          </w:p>
        </w:tc>
        <w:tc>
          <w:tcPr>
            <w:tcW w:w="1475" w:type="dxa"/>
            <w:tcBorders>
              <w:top w:val="single" w:sz="8" w:space="0" w:color="auto"/>
              <w:left w:val="nil"/>
              <w:bottom w:val="single" w:sz="4"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center"/>
              <w:rPr>
                <w:rFonts w:ascii="Calibri" w:eastAsia="Times New Roman" w:hAnsi="Calibri" w:cs="Times New Roman"/>
                <w:b/>
                <w:bCs/>
                <w:color w:val="000000"/>
                <w:lang w:eastAsia="es-CO"/>
              </w:rPr>
            </w:pPr>
            <w:r w:rsidRPr="001875FA">
              <w:rPr>
                <w:rFonts w:ascii="Calibri" w:eastAsia="Times New Roman" w:hAnsi="Calibri" w:cs="Times New Roman"/>
                <w:b/>
                <w:bCs/>
                <w:color w:val="000000"/>
                <w:lang w:eastAsia="es-CO"/>
              </w:rPr>
              <w:t>2008</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center"/>
              <w:rPr>
                <w:rFonts w:ascii="Calibri" w:eastAsia="Times New Roman" w:hAnsi="Calibri" w:cs="Times New Roman"/>
                <w:b/>
                <w:bCs/>
                <w:color w:val="000000"/>
                <w:lang w:eastAsia="es-CO"/>
              </w:rPr>
            </w:pPr>
            <w:r w:rsidRPr="001875FA">
              <w:rPr>
                <w:rFonts w:ascii="Calibri" w:eastAsia="Times New Roman" w:hAnsi="Calibri" w:cs="Times New Roman"/>
                <w:b/>
                <w:bCs/>
                <w:color w:val="000000"/>
                <w:lang w:eastAsia="es-CO"/>
              </w:rPr>
              <w:t>2009</w:t>
            </w:r>
          </w:p>
        </w:tc>
        <w:tc>
          <w:tcPr>
            <w:tcW w:w="922" w:type="dxa"/>
            <w:tcBorders>
              <w:top w:val="single" w:sz="8" w:space="0" w:color="auto"/>
              <w:left w:val="nil"/>
              <w:bottom w:val="single" w:sz="4"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center"/>
              <w:rPr>
                <w:rFonts w:ascii="Calibri" w:eastAsia="Times New Roman" w:hAnsi="Calibri" w:cs="Times New Roman"/>
                <w:b/>
                <w:bCs/>
                <w:color w:val="000000"/>
                <w:lang w:eastAsia="es-CO"/>
              </w:rPr>
            </w:pPr>
            <w:proofErr w:type="spellStart"/>
            <w:r w:rsidRPr="001875FA">
              <w:rPr>
                <w:rFonts w:ascii="Calibri" w:eastAsia="Times New Roman" w:hAnsi="Calibri" w:cs="Times New Roman"/>
                <w:b/>
                <w:bCs/>
                <w:color w:val="000000"/>
                <w:lang w:eastAsia="es-CO"/>
              </w:rPr>
              <w:t>Variac</w:t>
            </w:r>
            <w:proofErr w:type="spellEnd"/>
            <w:r w:rsidRPr="001875FA">
              <w:rPr>
                <w:rFonts w:ascii="Calibri" w:eastAsia="Times New Roman" w:hAnsi="Calibri" w:cs="Times New Roman"/>
                <w:b/>
                <w:bCs/>
                <w:color w:val="000000"/>
                <w:lang w:eastAsia="es-CO"/>
              </w:rPr>
              <w:t xml:space="preserve"> %</w:t>
            </w:r>
          </w:p>
        </w:tc>
        <w:tc>
          <w:tcPr>
            <w:tcW w:w="1488" w:type="dxa"/>
            <w:tcBorders>
              <w:top w:val="single" w:sz="8" w:space="0" w:color="auto"/>
              <w:left w:val="nil"/>
              <w:bottom w:val="single" w:sz="4"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center"/>
              <w:rPr>
                <w:rFonts w:ascii="Calibri" w:eastAsia="Times New Roman" w:hAnsi="Calibri" w:cs="Times New Roman"/>
                <w:b/>
                <w:bCs/>
                <w:color w:val="000000"/>
                <w:lang w:eastAsia="es-CO"/>
              </w:rPr>
            </w:pPr>
            <w:r w:rsidRPr="001875FA">
              <w:rPr>
                <w:rFonts w:ascii="Calibri" w:eastAsia="Times New Roman" w:hAnsi="Calibri" w:cs="Times New Roman"/>
                <w:b/>
                <w:bCs/>
                <w:color w:val="000000"/>
                <w:lang w:eastAsia="es-CO"/>
              </w:rPr>
              <w:t>2010</w:t>
            </w:r>
          </w:p>
        </w:tc>
        <w:tc>
          <w:tcPr>
            <w:tcW w:w="922" w:type="dxa"/>
            <w:tcBorders>
              <w:top w:val="single" w:sz="8" w:space="0" w:color="auto"/>
              <w:left w:val="nil"/>
              <w:bottom w:val="single" w:sz="4"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center"/>
              <w:rPr>
                <w:rFonts w:ascii="Calibri" w:eastAsia="Times New Roman" w:hAnsi="Calibri" w:cs="Times New Roman"/>
                <w:b/>
                <w:bCs/>
                <w:color w:val="000000"/>
                <w:lang w:eastAsia="es-CO"/>
              </w:rPr>
            </w:pPr>
            <w:proofErr w:type="spellStart"/>
            <w:r w:rsidRPr="001875FA">
              <w:rPr>
                <w:rFonts w:ascii="Calibri" w:eastAsia="Times New Roman" w:hAnsi="Calibri" w:cs="Times New Roman"/>
                <w:b/>
                <w:bCs/>
                <w:color w:val="000000"/>
                <w:lang w:eastAsia="es-CO"/>
              </w:rPr>
              <w:t>Variac</w:t>
            </w:r>
            <w:proofErr w:type="spellEnd"/>
            <w:r w:rsidRPr="001875FA">
              <w:rPr>
                <w:rFonts w:ascii="Calibri" w:eastAsia="Times New Roman" w:hAnsi="Calibri" w:cs="Times New Roman"/>
                <w:b/>
                <w:bCs/>
                <w:color w:val="000000"/>
                <w:lang w:eastAsia="es-CO"/>
              </w:rPr>
              <w:t xml:space="preserve"> %</w:t>
            </w:r>
          </w:p>
        </w:tc>
        <w:tc>
          <w:tcPr>
            <w:tcW w:w="1346" w:type="dxa"/>
            <w:tcBorders>
              <w:top w:val="single" w:sz="8" w:space="0" w:color="auto"/>
              <w:left w:val="nil"/>
              <w:bottom w:val="single" w:sz="4" w:space="0" w:color="auto"/>
              <w:right w:val="single" w:sz="8" w:space="0" w:color="auto"/>
            </w:tcBorders>
            <w:shd w:val="clear" w:color="auto" w:fill="auto"/>
            <w:noWrap/>
            <w:vAlign w:val="center"/>
            <w:hideMark/>
          </w:tcPr>
          <w:p w:rsidR="00FB2357" w:rsidRPr="001875FA" w:rsidRDefault="00FB2357" w:rsidP="007F7339">
            <w:pPr>
              <w:widowControl w:val="0"/>
              <w:spacing w:after="0" w:line="240" w:lineRule="auto"/>
              <w:jc w:val="center"/>
              <w:rPr>
                <w:rFonts w:ascii="Calibri" w:eastAsia="Times New Roman" w:hAnsi="Calibri" w:cs="Times New Roman"/>
                <w:b/>
                <w:bCs/>
                <w:color w:val="000000"/>
                <w:lang w:eastAsia="es-CO"/>
              </w:rPr>
            </w:pPr>
            <w:r w:rsidRPr="001875FA">
              <w:rPr>
                <w:rFonts w:ascii="Calibri" w:eastAsia="Times New Roman" w:hAnsi="Calibri" w:cs="Times New Roman"/>
                <w:b/>
                <w:bCs/>
                <w:color w:val="000000"/>
                <w:lang w:eastAsia="es-CO"/>
              </w:rPr>
              <w:t xml:space="preserve">Julio de 2011 </w:t>
            </w:r>
          </w:p>
        </w:tc>
      </w:tr>
      <w:tr w:rsidR="00FB2357" w:rsidRPr="001875FA" w:rsidTr="00CE7E77">
        <w:trPr>
          <w:trHeight w:val="600"/>
          <w:jc w:val="center"/>
        </w:trPr>
        <w:tc>
          <w:tcPr>
            <w:tcW w:w="1375" w:type="dxa"/>
            <w:tcBorders>
              <w:top w:val="nil"/>
              <w:left w:val="single" w:sz="8" w:space="0" w:color="auto"/>
              <w:bottom w:val="single" w:sz="4" w:space="0" w:color="auto"/>
              <w:right w:val="single" w:sz="4" w:space="0" w:color="auto"/>
            </w:tcBorders>
            <w:shd w:val="clear" w:color="auto" w:fill="auto"/>
            <w:vAlign w:val="center"/>
            <w:hideMark/>
          </w:tcPr>
          <w:p w:rsidR="00FB2357" w:rsidRPr="001875FA" w:rsidRDefault="00FB2357" w:rsidP="007F7339">
            <w:pPr>
              <w:widowControl w:val="0"/>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A</w:t>
            </w:r>
            <w:r w:rsidRPr="001875FA">
              <w:rPr>
                <w:rFonts w:ascii="Calibri" w:eastAsia="Times New Roman" w:hAnsi="Calibri" w:cs="Times New Roman"/>
                <w:color w:val="000000"/>
                <w:lang w:eastAsia="es-CO"/>
              </w:rPr>
              <w:t>filiados compensados año</w:t>
            </w:r>
          </w:p>
        </w:tc>
        <w:tc>
          <w:tcPr>
            <w:tcW w:w="1475" w:type="dxa"/>
            <w:tcBorders>
              <w:top w:val="nil"/>
              <w:left w:val="nil"/>
              <w:bottom w:val="single" w:sz="4"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 xml:space="preserve">216.158.188 </w:t>
            </w:r>
          </w:p>
        </w:tc>
        <w:tc>
          <w:tcPr>
            <w:tcW w:w="1276" w:type="dxa"/>
            <w:tcBorders>
              <w:top w:val="nil"/>
              <w:left w:val="nil"/>
              <w:bottom w:val="single" w:sz="4"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 xml:space="preserve">228.706.413 </w:t>
            </w:r>
          </w:p>
        </w:tc>
        <w:tc>
          <w:tcPr>
            <w:tcW w:w="922" w:type="dxa"/>
            <w:tcBorders>
              <w:top w:val="nil"/>
              <w:left w:val="nil"/>
              <w:bottom w:val="single" w:sz="4"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6%</w:t>
            </w:r>
          </w:p>
        </w:tc>
        <w:tc>
          <w:tcPr>
            <w:tcW w:w="1488" w:type="dxa"/>
            <w:tcBorders>
              <w:top w:val="nil"/>
              <w:left w:val="nil"/>
              <w:bottom w:val="single" w:sz="4"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 xml:space="preserve">226.590.029 </w:t>
            </w:r>
          </w:p>
        </w:tc>
        <w:tc>
          <w:tcPr>
            <w:tcW w:w="922" w:type="dxa"/>
            <w:tcBorders>
              <w:top w:val="nil"/>
              <w:left w:val="nil"/>
              <w:bottom w:val="single" w:sz="4"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-1%</w:t>
            </w:r>
          </w:p>
        </w:tc>
        <w:tc>
          <w:tcPr>
            <w:tcW w:w="1346" w:type="dxa"/>
            <w:tcBorders>
              <w:top w:val="nil"/>
              <w:left w:val="nil"/>
              <w:bottom w:val="single" w:sz="4" w:space="0" w:color="auto"/>
              <w:right w:val="single" w:sz="8"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 xml:space="preserve">136.181.615 </w:t>
            </w:r>
          </w:p>
        </w:tc>
      </w:tr>
      <w:tr w:rsidR="00FB2357" w:rsidRPr="001875FA" w:rsidTr="00CE7E77">
        <w:trPr>
          <w:trHeight w:val="360"/>
          <w:jc w:val="center"/>
        </w:trPr>
        <w:tc>
          <w:tcPr>
            <w:tcW w:w="1375" w:type="dxa"/>
            <w:tcBorders>
              <w:top w:val="nil"/>
              <w:left w:val="single" w:sz="8" w:space="0" w:color="auto"/>
              <w:bottom w:val="single" w:sz="8" w:space="0" w:color="auto"/>
              <w:right w:val="single" w:sz="4" w:space="0" w:color="auto"/>
            </w:tcBorders>
            <w:shd w:val="clear" w:color="auto" w:fill="auto"/>
            <w:vAlign w:val="center"/>
            <w:hideMark/>
          </w:tcPr>
          <w:p w:rsidR="00FB2357" w:rsidRPr="001875FA" w:rsidRDefault="00FB2357" w:rsidP="007F7339">
            <w:pPr>
              <w:widowControl w:val="0"/>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A</w:t>
            </w:r>
            <w:r w:rsidRPr="001875FA">
              <w:rPr>
                <w:rFonts w:ascii="Calibri" w:eastAsia="Times New Roman" w:hAnsi="Calibri" w:cs="Times New Roman"/>
                <w:color w:val="000000"/>
                <w:lang w:eastAsia="es-CO"/>
              </w:rPr>
              <w:t>filiados compensados promedio mes</w:t>
            </w:r>
          </w:p>
        </w:tc>
        <w:tc>
          <w:tcPr>
            <w:tcW w:w="1475" w:type="dxa"/>
            <w:tcBorders>
              <w:top w:val="nil"/>
              <w:left w:val="nil"/>
              <w:bottom w:val="single" w:sz="8"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 xml:space="preserve">18.013.182 </w:t>
            </w:r>
          </w:p>
        </w:tc>
        <w:tc>
          <w:tcPr>
            <w:tcW w:w="1276" w:type="dxa"/>
            <w:tcBorders>
              <w:top w:val="nil"/>
              <w:left w:val="nil"/>
              <w:bottom w:val="single" w:sz="8"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 xml:space="preserve">19.058.868 </w:t>
            </w:r>
          </w:p>
        </w:tc>
        <w:tc>
          <w:tcPr>
            <w:tcW w:w="922" w:type="dxa"/>
            <w:tcBorders>
              <w:top w:val="nil"/>
              <w:left w:val="nil"/>
              <w:bottom w:val="single" w:sz="8"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6%</w:t>
            </w:r>
          </w:p>
        </w:tc>
        <w:tc>
          <w:tcPr>
            <w:tcW w:w="1488" w:type="dxa"/>
            <w:tcBorders>
              <w:top w:val="nil"/>
              <w:left w:val="nil"/>
              <w:bottom w:val="single" w:sz="8"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 xml:space="preserve">18.882.502 </w:t>
            </w:r>
          </w:p>
        </w:tc>
        <w:tc>
          <w:tcPr>
            <w:tcW w:w="922" w:type="dxa"/>
            <w:tcBorders>
              <w:top w:val="nil"/>
              <w:left w:val="nil"/>
              <w:bottom w:val="single" w:sz="8" w:space="0" w:color="auto"/>
              <w:right w:val="single" w:sz="4"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-1%</w:t>
            </w:r>
          </w:p>
        </w:tc>
        <w:tc>
          <w:tcPr>
            <w:tcW w:w="1346" w:type="dxa"/>
            <w:tcBorders>
              <w:top w:val="nil"/>
              <w:left w:val="nil"/>
              <w:bottom w:val="single" w:sz="8" w:space="0" w:color="auto"/>
              <w:right w:val="single" w:sz="8" w:space="0" w:color="auto"/>
            </w:tcBorders>
            <w:shd w:val="clear" w:color="auto" w:fill="auto"/>
            <w:noWrap/>
            <w:vAlign w:val="center"/>
            <w:hideMark/>
          </w:tcPr>
          <w:p w:rsidR="00FB2357" w:rsidRPr="001875FA" w:rsidRDefault="00FB2357" w:rsidP="007F7339">
            <w:pPr>
              <w:widowControl w:val="0"/>
              <w:spacing w:after="0" w:line="240" w:lineRule="auto"/>
              <w:jc w:val="right"/>
              <w:rPr>
                <w:rFonts w:ascii="Calibri" w:eastAsia="Times New Roman" w:hAnsi="Calibri" w:cs="Times New Roman"/>
                <w:color w:val="000000"/>
                <w:lang w:eastAsia="es-CO"/>
              </w:rPr>
            </w:pPr>
            <w:r w:rsidRPr="001875FA">
              <w:rPr>
                <w:rFonts w:ascii="Calibri" w:eastAsia="Times New Roman" w:hAnsi="Calibri" w:cs="Times New Roman"/>
                <w:color w:val="000000"/>
                <w:lang w:eastAsia="es-CO"/>
              </w:rPr>
              <w:t xml:space="preserve">19.454.516 </w:t>
            </w:r>
          </w:p>
        </w:tc>
      </w:tr>
    </w:tbl>
    <w:p w:rsidR="00FB2357" w:rsidRPr="00303DD4" w:rsidRDefault="00FB2357" w:rsidP="00CE7E77">
      <w:pPr>
        <w:pStyle w:val="NormalWeb"/>
        <w:widowControl w:val="0"/>
        <w:spacing w:before="0" w:beforeAutospacing="0" w:after="0" w:afterAutospacing="0"/>
        <w:ind w:left="284"/>
        <w:jc w:val="both"/>
        <w:rPr>
          <w:rFonts w:ascii="Arial" w:eastAsia="Calibri" w:hAnsi="Arial" w:cs="Arial"/>
          <w:color w:val="auto"/>
          <w:sz w:val="20"/>
          <w:szCs w:val="22"/>
          <w:lang w:eastAsia="en-US"/>
        </w:rPr>
      </w:pPr>
      <w:r w:rsidRPr="00303DD4">
        <w:rPr>
          <w:rFonts w:ascii="Arial" w:eastAsia="Calibri" w:hAnsi="Arial" w:cs="Arial"/>
          <w:color w:val="auto"/>
          <w:sz w:val="20"/>
          <w:szCs w:val="22"/>
          <w:lang w:eastAsia="en-US"/>
        </w:rPr>
        <w:t>Fuente: Informes FOSYGA</w:t>
      </w:r>
    </w:p>
    <w:p w:rsidR="00FB2357" w:rsidRDefault="00FB2357" w:rsidP="007F7339">
      <w:pPr>
        <w:widowControl w:val="0"/>
        <w:spacing w:after="0" w:line="240" w:lineRule="auto"/>
        <w:jc w:val="both"/>
        <w:rPr>
          <w:rFonts w:ascii="Arial" w:hAnsi="Arial" w:cs="Arial"/>
        </w:rPr>
      </w:pPr>
    </w:p>
    <w:p w:rsidR="008E293B" w:rsidRPr="00603DBE" w:rsidRDefault="008E293B" w:rsidP="007F7339">
      <w:pPr>
        <w:widowControl w:val="0"/>
        <w:spacing w:after="0" w:line="240" w:lineRule="auto"/>
        <w:jc w:val="both"/>
        <w:rPr>
          <w:rFonts w:ascii="Arial" w:hAnsi="Arial" w:cs="Arial"/>
        </w:rPr>
      </w:pPr>
      <w:r w:rsidRPr="00356F0B">
        <w:rPr>
          <w:rFonts w:ascii="Arial" w:hAnsi="Arial" w:cs="Arial"/>
        </w:rPr>
        <w:t xml:space="preserve">De otra parte, </w:t>
      </w:r>
      <w:proofErr w:type="gramStart"/>
      <w:r w:rsidRPr="00356F0B">
        <w:rPr>
          <w:rFonts w:ascii="Arial" w:hAnsi="Arial" w:cs="Arial"/>
        </w:rPr>
        <w:t xml:space="preserve">los afiliados </w:t>
      </w:r>
      <w:r w:rsidR="00B702EE">
        <w:rPr>
          <w:rFonts w:ascii="Arial" w:hAnsi="Arial" w:cs="Arial"/>
        </w:rPr>
        <w:t>promedio mes</w:t>
      </w:r>
      <w:proofErr w:type="gramEnd"/>
      <w:r w:rsidR="00B702EE">
        <w:rPr>
          <w:rFonts w:ascii="Arial" w:hAnsi="Arial" w:cs="Arial"/>
        </w:rPr>
        <w:t xml:space="preserve"> </w:t>
      </w:r>
      <w:r w:rsidRPr="00356F0B">
        <w:rPr>
          <w:rFonts w:ascii="Arial" w:hAnsi="Arial" w:cs="Arial"/>
        </w:rPr>
        <w:t xml:space="preserve">compensados </w:t>
      </w:r>
      <w:r w:rsidR="00B702EE">
        <w:rPr>
          <w:rFonts w:ascii="Arial" w:hAnsi="Arial" w:cs="Arial"/>
        </w:rPr>
        <w:t xml:space="preserve">en </w:t>
      </w:r>
      <w:r w:rsidRPr="00356F0B">
        <w:rPr>
          <w:rFonts w:ascii="Arial" w:hAnsi="Arial" w:cs="Arial"/>
        </w:rPr>
        <w:t>el año 2008 corresponde</w:t>
      </w:r>
      <w:r w:rsidR="00B702EE">
        <w:rPr>
          <w:rFonts w:ascii="Arial" w:hAnsi="Arial" w:cs="Arial"/>
        </w:rPr>
        <w:t>n</w:t>
      </w:r>
      <w:r w:rsidRPr="00356F0B">
        <w:rPr>
          <w:rFonts w:ascii="Arial" w:hAnsi="Arial" w:cs="Arial"/>
        </w:rPr>
        <w:t xml:space="preserve"> a 18.013.182, </w:t>
      </w:r>
      <w:r w:rsidR="009756EF">
        <w:rPr>
          <w:rFonts w:ascii="Arial" w:hAnsi="Arial" w:cs="Arial"/>
        </w:rPr>
        <w:t>en</w:t>
      </w:r>
      <w:r w:rsidRPr="00356F0B">
        <w:rPr>
          <w:rFonts w:ascii="Arial" w:hAnsi="Arial" w:cs="Arial"/>
        </w:rPr>
        <w:t xml:space="preserve"> el año 2009 a 19.058.868 afiliados, </w:t>
      </w:r>
      <w:r w:rsidR="009756EF">
        <w:rPr>
          <w:rFonts w:ascii="Arial" w:hAnsi="Arial" w:cs="Arial"/>
        </w:rPr>
        <w:t xml:space="preserve">en </w:t>
      </w:r>
      <w:r w:rsidRPr="00356F0B">
        <w:rPr>
          <w:rFonts w:ascii="Arial" w:hAnsi="Arial" w:cs="Arial"/>
        </w:rPr>
        <w:t xml:space="preserve">el año 2010, 18.882.502 afiliados y para el </w:t>
      </w:r>
      <w:r w:rsidR="009756EF">
        <w:rPr>
          <w:rFonts w:ascii="Arial" w:hAnsi="Arial" w:cs="Arial"/>
        </w:rPr>
        <w:t xml:space="preserve">corte a julio de </w:t>
      </w:r>
      <w:r w:rsidRPr="00356F0B">
        <w:rPr>
          <w:rFonts w:ascii="Arial" w:hAnsi="Arial" w:cs="Arial"/>
        </w:rPr>
        <w:t>2011</w:t>
      </w:r>
      <w:r w:rsidR="009756EF">
        <w:rPr>
          <w:rFonts w:ascii="Arial" w:hAnsi="Arial" w:cs="Arial"/>
        </w:rPr>
        <w:t>, a</w:t>
      </w:r>
      <w:r w:rsidRPr="00356F0B">
        <w:rPr>
          <w:rFonts w:ascii="Arial" w:hAnsi="Arial" w:cs="Arial"/>
        </w:rPr>
        <w:t xml:space="preserve"> 19.454.516 afiliados.  Entre el año 2009 </w:t>
      </w:r>
      <w:r w:rsidR="009756EF">
        <w:rPr>
          <w:rFonts w:ascii="Arial" w:hAnsi="Arial" w:cs="Arial"/>
        </w:rPr>
        <w:t>y el 2008 crece</w:t>
      </w:r>
      <w:r w:rsidR="003C3824">
        <w:rPr>
          <w:rFonts w:ascii="Arial" w:hAnsi="Arial" w:cs="Arial"/>
        </w:rPr>
        <w:t xml:space="preserve"> </w:t>
      </w:r>
      <w:r w:rsidR="009756EF">
        <w:rPr>
          <w:rFonts w:ascii="Arial" w:hAnsi="Arial" w:cs="Arial"/>
        </w:rPr>
        <w:t xml:space="preserve">el </w:t>
      </w:r>
      <w:r w:rsidRPr="00356F0B">
        <w:rPr>
          <w:rFonts w:ascii="Arial" w:hAnsi="Arial" w:cs="Arial"/>
        </w:rPr>
        <w:t>6%</w:t>
      </w:r>
      <w:r w:rsidR="009756EF">
        <w:rPr>
          <w:rFonts w:ascii="Arial" w:hAnsi="Arial" w:cs="Arial"/>
        </w:rPr>
        <w:t>,</w:t>
      </w:r>
      <w:r w:rsidRPr="00356F0B">
        <w:rPr>
          <w:rFonts w:ascii="Arial" w:hAnsi="Arial" w:cs="Arial"/>
        </w:rPr>
        <w:t xml:space="preserve"> y en el año 2010 </w:t>
      </w:r>
      <w:r w:rsidR="003C3824">
        <w:rPr>
          <w:rFonts w:ascii="Arial" w:hAnsi="Arial" w:cs="Arial"/>
        </w:rPr>
        <w:t xml:space="preserve">disminuye el </w:t>
      </w:r>
      <w:r w:rsidRPr="00356F0B">
        <w:rPr>
          <w:rFonts w:ascii="Arial" w:hAnsi="Arial" w:cs="Arial"/>
        </w:rPr>
        <w:t>1% con relación a</w:t>
      </w:r>
      <w:r w:rsidR="003C3824">
        <w:rPr>
          <w:rFonts w:ascii="Arial" w:hAnsi="Arial" w:cs="Arial"/>
        </w:rPr>
        <w:t xml:space="preserve"> 2009, por temas relacionados con la depuración de la Base de Datos Única de Afiliados</w:t>
      </w:r>
      <w:r w:rsidR="00FB2357">
        <w:rPr>
          <w:rFonts w:ascii="Arial" w:hAnsi="Arial" w:cs="Arial"/>
        </w:rPr>
        <w:t>.</w:t>
      </w:r>
    </w:p>
    <w:p w:rsidR="008E293B" w:rsidRDefault="008E293B" w:rsidP="007F7339">
      <w:pPr>
        <w:pStyle w:val="NormalWeb"/>
        <w:widowControl w:val="0"/>
        <w:spacing w:before="0" w:beforeAutospacing="0" w:after="0" w:afterAutospacing="0"/>
        <w:jc w:val="both"/>
        <w:rPr>
          <w:rFonts w:ascii="Arial" w:eastAsiaTheme="minorHAnsi" w:hAnsi="Arial" w:cs="Arial"/>
          <w:color w:val="auto"/>
          <w:sz w:val="22"/>
          <w:szCs w:val="22"/>
          <w:lang w:eastAsia="en-US"/>
        </w:rPr>
      </w:pPr>
    </w:p>
    <w:p w:rsidR="00DA7D6C" w:rsidRDefault="00E2291C" w:rsidP="007F7339">
      <w:pPr>
        <w:widowControl w:val="0"/>
        <w:spacing w:after="0" w:line="240" w:lineRule="auto"/>
        <w:jc w:val="both"/>
        <w:rPr>
          <w:rFonts w:ascii="Arial" w:hAnsi="Arial" w:cs="Arial"/>
        </w:rPr>
      </w:pPr>
      <w:r w:rsidRPr="00F617B3">
        <w:rPr>
          <w:rFonts w:ascii="Arial" w:hAnsi="Arial" w:cs="Arial"/>
        </w:rPr>
        <w:t xml:space="preserve">Con respecto a los Estados Financieros reportados por las EPS, </w:t>
      </w:r>
      <w:r w:rsidR="00DA7D6C">
        <w:rPr>
          <w:rFonts w:ascii="Arial" w:hAnsi="Arial" w:cs="Arial"/>
        </w:rPr>
        <w:t>el comportamiento de los ingresos, es el siguiente:</w:t>
      </w:r>
    </w:p>
    <w:p w:rsidR="00DA7D6C" w:rsidRDefault="00DA7D6C" w:rsidP="007F7339">
      <w:pPr>
        <w:pStyle w:val="NormalWeb"/>
        <w:widowControl w:val="0"/>
        <w:spacing w:before="0" w:beforeAutospacing="0" w:after="0" w:afterAutospacing="0"/>
        <w:jc w:val="both"/>
        <w:rPr>
          <w:rFonts w:ascii="Arial" w:eastAsiaTheme="minorHAnsi" w:hAnsi="Arial" w:cs="Arial"/>
          <w:color w:val="auto"/>
          <w:sz w:val="22"/>
          <w:szCs w:val="22"/>
          <w:lang w:eastAsia="en-US"/>
        </w:rPr>
      </w:pPr>
    </w:p>
    <w:p w:rsidR="00DA7D6C" w:rsidRPr="00BC3C6A" w:rsidRDefault="00DA7D6C" w:rsidP="007F7339">
      <w:pPr>
        <w:pStyle w:val="NormalWeb"/>
        <w:widowControl w:val="0"/>
        <w:spacing w:before="0" w:beforeAutospacing="0" w:after="0" w:afterAutospacing="0"/>
        <w:ind w:right="473"/>
        <w:jc w:val="right"/>
        <w:rPr>
          <w:rFonts w:ascii="Arial" w:eastAsiaTheme="minorHAnsi" w:hAnsi="Arial" w:cs="Arial"/>
          <w:color w:val="auto"/>
          <w:sz w:val="20"/>
          <w:szCs w:val="22"/>
          <w:lang w:eastAsia="en-US"/>
        </w:rPr>
      </w:pPr>
      <w:r w:rsidRPr="00BC3C6A">
        <w:rPr>
          <w:rFonts w:ascii="Arial" w:eastAsiaTheme="minorHAnsi" w:hAnsi="Arial" w:cs="Arial"/>
          <w:color w:val="auto"/>
          <w:sz w:val="20"/>
          <w:szCs w:val="22"/>
          <w:lang w:eastAsia="en-US"/>
        </w:rPr>
        <w:t>Cifras en millones</w:t>
      </w:r>
    </w:p>
    <w:tbl>
      <w:tblPr>
        <w:tblW w:w="8250" w:type="dxa"/>
        <w:jc w:val="center"/>
        <w:tblInd w:w="57" w:type="dxa"/>
        <w:tblCellMar>
          <w:left w:w="70" w:type="dxa"/>
          <w:right w:w="70" w:type="dxa"/>
        </w:tblCellMar>
        <w:tblLook w:val="04A0" w:firstRow="1" w:lastRow="0" w:firstColumn="1" w:lastColumn="0" w:noHBand="0" w:noVBand="1"/>
      </w:tblPr>
      <w:tblGrid>
        <w:gridCol w:w="2980"/>
        <w:gridCol w:w="1499"/>
        <w:gridCol w:w="682"/>
        <w:gridCol w:w="2262"/>
        <w:gridCol w:w="827"/>
      </w:tblGrid>
      <w:tr w:rsidR="00DA7D6C" w:rsidRPr="00BC3C6A" w:rsidTr="00D76B99">
        <w:trPr>
          <w:trHeight w:val="450"/>
          <w:tblHeader/>
          <w:jc w:val="center"/>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rPr>
                <w:rFonts w:ascii="Arial" w:eastAsia="Times New Roman" w:hAnsi="Arial" w:cs="Arial"/>
                <w:b/>
                <w:bCs/>
                <w:color w:val="000000"/>
                <w:sz w:val="20"/>
                <w:szCs w:val="20"/>
                <w:lang w:eastAsia="es-CO"/>
              </w:rPr>
            </w:pPr>
            <w:r w:rsidRPr="00BC3C6A">
              <w:rPr>
                <w:rFonts w:ascii="Arial" w:eastAsia="Times New Roman" w:hAnsi="Arial" w:cs="Arial"/>
                <w:b/>
                <w:bCs/>
                <w:color w:val="000000"/>
                <w:sz w:val="20"/>
                <w:szCs w:val="20"/>
                <w:lang w:val="es-ES" w:eastAsia="es-CO"/>
              </w:rPr>
              <w:t>CUENTA</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center"/>
              <w:rPr>
                <w:rFonts w:ascii="Arial" w:eastAsia="Times New Roman" w:hAnsi="Arial" w:cs="Arial"/>
                <w:b/>
                <w:bCs/>
                <w:color w:val="000000"/>
                <w:sz w:val="20"/>
                <w:szCs w:val="20"/>
                <w:lang w:eastAsia="es-CO"/>
              </w:rPr>
            </w:pPr>
            <w:r w:rsidRPr="00BC3C6A">
              <w:rPr>
                <w:rFonts w:ascii="Arial" w:eastAsia="Times New Roman" w:hAnsi="Arial" w:cs="Arial"/>
                <w:b/>
                <w:bCs/>
                <w:color w:val="000000"/>
                <w:sz w:val="20"/>
                <w:szCs w:val="20"/>
                <w:lang w:val="es-ES" w:eastAsia="es-CO"/>
              </w:rPr>
              <w:t>VIGENCIA 2010</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center"/>
              <w:rPr>
                <w:rFonts w:ascii="Arial" w:eastAsia="Times New Roman" w:hAnsi="Arial" w:cs="Arial"/>
                <w:b/>
                <w:bCs/>
                <w:color w:val="000000"/>
                <w:sz w:val="20"/>
                <w:szCs w:val="20"/>
                <w:lang w:eastAsia="es-CO"/>
              </w:rPr>
            </w:pPr>
            <w:r w:rsidRPr="00BC3C6A">
              <w:rPr>
                <w:rFonts w:ascii="Arial" w:eastAsia="Times New Roman" w:hAnsi="Arial" w:cs="Arial"/>
                <w:b/>
                <w:bCs/>
                <w:color w:val="000000"/>
                <w:sz w:val="20"/>
                <w:szCs w:val="20"/>
                <w:lang w:val="es-ES" w:eastAsia="es-CO"/>
              </w:rPr>
              <w:t>%</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DA7D6C" w:rsidRPr="00BC3C6A" w:rsidRDefault="00DA7D6C" w:rsidP="007F7339">
            <w:pPr>
              <w:widowControl w:val="0"/>
              <w:spacing w:after="0" w:line="240" w:lineRule="auto"/>
              <w:jc w:val="center"/>
              <w:rPr>
                <w:rFonts w:ascii="Arial" w:eastAsia="Times New Roman" w:hAnsi="Arial" w:cs="Arial"/>
                <w:b/>
                <w:bCs/>
                <w:color w:val="000000"/>
                <w:sz w:val="20"/>
                <w:szCs w:val="20"/>
                <w:lang w:eastAsia="es-CO"/>
              </w:rPr>
            </w:pPr>
            <w:r w:rsidRPr="00BC3C6A">
              <w:rPr>
                <w:rFonts w:ascii="Arial" w:eastAsia="Times New Roman" w:hAnsi="Arial" w:cs="Arial"/>
                <w:b/>
                <w:bCs/>
                <w:color w:val="000000"/>
                <w:sz w:val="20"/>
                <w:szCs w:val="20"/>
                <w:lang w:val="es-ES" w:eastAsia="es-CO"/>
              </w:rPr>
              <w:t>EJECUTADO ENERO-JUNIO 2011</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center"/>
              <w:rPr>
                <w:rFonts w:ascii="Arial" w:eastAsia="Times New Roman" w:hAnsi="Arial" w:cs="Arial"/>
                <w:b/>
                <w:bCs/>
                <w:color w:val="000000"/>
                <w:sz w:val="20"/>
                <w:szCs w:val="20"/>
                <w:lang w:eastAsia="es-CO"/>
              </w:rPr>
            </w:pPr>
            <w:r w:rsidRPr="00BC3C6A">
              <w:rPr>
                <w:rFonts w:ascii="Arial" w:eastAsia="Times New Roman" w:hAnsi="Arial" w:cs="Arial"/>
                <w:b/>
                <w:bCs/>
                <w:color w:val="000000"/>
                <w:sz w:val="20"/>
                <w:szCs w:val="20"/>
                <w:lang w:val="es-ES" w:eastAsia="es-CO"/>
              </w:rPr>
              <w:t>%</w:t>
            </w:r>
          </w:p>
        </w:tc>
      </w:tr>
      <w:tr w:rsidR="00DA7D6C" w:rsidRPr="00BC3C6A" w:rsidTr="00D76B99">
        <w:trPr>
          <w:trHeight w:val="300"/>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Ingresos Compensados UPC</w:t>
            </w:r>
          </w:p>
        </w:tc>
        <w:tc>
          <w:tcPr>
            <w:tcW w:w="1499"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9.420.655</w:t>
            </w:r>
          </w:p>
        </w:tc>
        <w:tc>
          <w:tcPr>
            <w:tcW w:w="68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 xml:space="preserve"> </w:t>
            </w:r>
          </w:p>
        </w:tc>
        <w:tc>
          <w:tcPr>
            <w:tcW w:w="226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eastAsia="es-CO"/>
              </w:rPr>
              <w:t>4.896.008</w:t>
            </w:r>
          </w:p>
        </w:tc>
        <w:tc>
          <w:tcPr>
            <w:tcW w:w="827"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eastAsia="es-CO"/>
              </w:rPr>
              <w:t> </w:t>
            </w:r>
          </w:p>
        </w:tc>
      </w:tr>
      <w:tr w:rsidR="00DA7D6C" w:rsidRPr="00BC3C6A" w:rsidTr="00D76B99">
        <w:trPr>
          <w:trHeight w:val="300"/>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Ingresos Adicionales UPC</w:t>
            </w:r>
          </w:p>
        </w:tc>
        <w:tc>
          <w:tcPr>
            <w:tcW w:w="1499"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22.491</w:t>
            </w:r>
          </w:p>
        </w:tc>
        <w:tc>
          <w:tcPr>
            <w:tcW w:w="68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 xml:space="preserve"> </w:t>
            </w:r>
          </w:p>
        </w:tc>
        <w:tc>
          <w:tcPr>
            <w:tcW w:w="226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eastAsia="es-CO"/>
              </w:rPr>
              <w:t>8.636</w:t>
            </w:r>
          </w:p>
        </w:tc>
        <w:tc>
          <w:tcPr>
            <w:tcW w:w="827"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eastAsia="es-CO"/>
              </w:rPr>
              <w:t> </w:t>
            </w:r>
          </w:p>
        </w:tc>
      </w:tr>
      <w:tr w:rsidR="00DA7D6C" w:rsidRPr="00BC3C6A" w:rsidTr="00D76B99">
        <w:trPr>
          <w:trHeight w:val="300"/>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 xml:space="preserve">SUBTOTAL UPC </w:t>
            </w:r>
          </w:p>
        </w:tc>
        <w:tc>
          <w:tcPr>
            <w:tcW w:w="1499"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9.443.146</w:t>
            </w:r>
          </w:p>
        </w:tc>
        <w:tc>
          <w:tcPr>
            <w:tcW w:w="68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70</w:t>
            </w:r>
          </w:p>
        </w:tc>
        <w:tc>
          <w:tcPr>
            <w:tcW w:w="226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4.904.644</w:t>
            </w:r>
          </w:p>
        </w:tc>
        <w:tc>
          <w:tcPr>
            <w:tcW w:w="827"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eastAsia="es-CO"/>
              </w:rPr>
              <w:t>78</w:t>
            </w:r>
          </w:p>
        </w:tc>
      </w:tr>
      <w:tr w:rsidR="00DA7D6C" w:rsidRPr="00BC3C6A" w:rsidTr="00D76B99">
        <w:trPr>
          <w:trHeight w:val="300"/>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Recobros al FOSYGA</w:t>
            </w:r>
          </w:p>
        </w:tc>
        <w:tc>
          <w:tcPr>
            <w:tcW w:w="1499"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1.866.886</w:t>
            </w:r>
          </w:p>
        </w:tc>
        <w:tc>
          <w:tcPr>
            <w:tcW w:w="68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14</w:t>
            </w:r>
          </w:p>
        </w:tc>
        <w:tc>
          <w:tcPr>
            <w:tcW w:w="226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eastAsia="es-CO"/>
              </w:rPr>
              <w:t>1.215.077</w:t>
            </w:r>
          </w:p>
        </w:tc>
        <w:tc>
          <w:tcPr>
            <w:tcW w:w="827"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eastAsia="es-CO"/>
              </w:rPr>
              <w:t>19</w:t>
            </w:r>
          </w:p>
        </w:tc>
      </w:tr>
      <w:tr w:rsidR="00DA7D6C" w:rsidRPr="00BC3C6A" w:rsidTr="00D76B99">
        <w:trPr>
          <w:trHeight w:val="300"/>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SUBTOTAL UPC + RECOBROS</w:t>
            </w:r>
          </w:p>
        </w:tc>
        <w:tc>
          <w:tcPr>
            <w:tcW w:w="1499"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11.310.032</w:t>
            </w:r>
          </w:p>
        </w:tc>
        <w:tc>
          <w:tcPr>
            <w:tcW w:w="68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 xml:space="preserve"> </w:t>
            </w:r>
          </w:p>
        </w:tc>
        <w:tc>
          <w:tcPr>
            <w:tcW w:w="226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6.119.721</w:t>
            </w:r>
          </w:p>
        </w:tc>
        <w:tc>
          <w:tcPr>
            <w:tcW w:w="827"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eastAsia="es-CO"/>
              </w:rPr>
              <w:t> </w:t>
            </w:r>
          </w:p>
        </w:tc>
      </w:tr>
      <w:tr w:rsidR="00DA7D6C" w:rsidRPr="00BC3C6A" w:rsidTr="00D76B99">
        <w:trPr>
          <w:trHeight w:val="300"/>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Otros Ingresos Operacionales</w:t>
            </w:r>
          </w:p>
        </w:tc>
        <w:tc>
          <w:tcPr>
            <w:tcW w:w="1499"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1.866.751</w:t>
            </w:r>
          </w:p>
        </w:tc>
        <w:tc>
          <w:tcPr>
            <w:tcW w:w="68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14</w:t>
            </w:r>
          </w:p>
        </w:tc>
        <w:tc>
          <w:tcPr>
            <w:tcW w:w="226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eastAsia="es-CO"/>
              </w:rPr>
              <w:t>30.802</w:t>
            </w:r>
          </w:p>
        </w:tc>
        <w:tc>
          <w:tcPr>
            <w:tcW w:w="827"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eastAsia="es-CO"/>
              </w:rPr>
              <w:t>1</w:t>
            </w:r>
          </w:p>
        </w:tc>
      </w:tr>
      <w:tr w:rsidR="00DA7D6C" w:rsidRPr="00BC3C6A" w:rsidTr="00D76B99">
        <w:trPr>
          <w:trHeight w:val="300"/>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Ingresos No Operacionales</w:t>
            </w:r>
          </w:p>
        </w:tc>
        <w:tc>
          <w:tcPr>
            <w:tcW w:w="1499"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264.704</w:t>
            </w:r>
          </w:p>
        </w:tc>
        <w:tc>
          <w:tcPr>
            <w:tcW w:w="68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val="es-ES" w:eastAsia="es-CO"/>
              </w:rPr>
              <w:t>2</w:t>
            </w:r>
          </w:p>
        </w:tc>
        <w:tc>
          <w:tcPr>
            <w:tcW w:w="226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eastAsia="es-CO"/>
              </w:rPr>
              <w:t>128.338</w:t>
            </w:r>
          </w:p>
        </w:tc>
        <w:tc>
          <w:tcPr>
            <w:tcW w:w="827"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color w:val="000000"/>
                <w:sz w:val="20"/>
                <w:szCs w:val="20"/>
                <w:lang w:eastAsia="es-CO"/>
              </w:rPr>
            </w:pPr>
            <w:r w:rsidRPr="00BC3C6A">
              <w:rPr>
                <w:rFonts w:ascii="Arial" w:eastAsia="Times New Roman" w:hAnsi="Arial" w:cs="Arial"/>
                <w:color w:val="000000"/>
                <w:sz w:val="20"/>
                <w:szCs w:val="20"/>
                <w:lang w:eastAsia="es-CO"/>
              </w:rPr>
              <w:t>2</w:t>
            </w:r>
          </w:p>
        </w:tc>
      </w:tr>
      <w:tr w:rsidR="00DA7D6C" w:rsidRPr="00BC3C6A" w:rsidTr="00D76B99">
        <w:trPr>
          <w:trHeight w:val="300"/>
          <w:jc w:val="center"/>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TOTAL INGRESOS</w:t>
            </w:r>
          </w:p>
        </w:tc>
        <w:tc>
          <w:tcPr>
            <w:tcW w:w="1499"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13.441.487</w:t>
            </w:r>
          </w:p>
        </w:tc>
        <w:tc>
          <w:tcPr>
            <w:tcW w:w="68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100</w:t>
            </w:r>
          </w:p>
        </w:tc>
        <w:tc>
          <w:tcPr>
            <w:tcW w:w="2262"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val="es-ES" w:eastAsia="es-CO"/>
              </w:rPr>
              <w:t>6.278.861</w:t>
            </w:r>
          </w:p>
        </w:tc>
        <w:tc>
          <w:tcPr>
            <w:tcW w:w="827" w:type="dxa"/>
            <w:tcBorders>
              <w:top w:val="nil"/>
              <w:left w:val="nil"/>
              <w:bottom w:val="single" w:sz="4" w:space="0" w:color="auto"/>
              <w:right w:val="single" w:sz="4" w:space="0" w:color="auto"/>
            </w:tcBorders>
            <w:shd w:val="clear" w:color="auto" w:fill="auto"/>
            <w:noWrap/>
            <w:vAlign w:val="center"/>
            <w:hideMark/>
          </w:tcPr>
          <w:p w:rsidR="00DA7D6C" w:rsidRPr="00BC3C6A" w:rsidRDefault="00DA7D6C" w:rsidP="007F7339">
            <w:pPr>
              <w:widowControl w:val="0"/>
              <w:spacing w:after="0" w:line="240" w:lineRule="auto"/>
              <w:jc w:val="right"/>
              <w:rPr>
                <w:rFonts w:ascii="Arial" w:eastAsia="Times New Roman" w:hAnsi="Arial" w:cs="Arial"/>
                <w:b/>
                <w:color w:val="000000"/>
                <w:sz w:val="20"/>
                <w:szCs w:val="20"/>
                <w:lang w:eastAsia="es-CO"/>
              </w:rPr>
            </w:pPr>
            <w:r w:rsidRPr="00BC3C6A">
              <w:rPr>
                <w:rFonts w:ascii="Arial" w:eastAsia="Times New Roman" w:hAnsi="Arial" w:cs="Arial"/>
                <w:b/>
                <w:color w:val="000000"/>
                <w:sz w:val="20"/>
                <w:szCs w:val="20"/>
                <w:lang w:eastAsia="es-CO"/>
              </w:rPr>
              <w:t>100</w:t>
            </w:r>
          </w:p>
        </w:tc>
      </w:tr>
    </w:tbl>
    <w:p w:rsidR="00DA7D6C" w:rsidRPr="00BC3C6A" w:rsidRDefault="00DA7D6C" w:rsidP="007F7339">
      <w:pPr>
        <w:pStyle w:val="NormalWeb"/>
        <w:widowControl w:val="0"/>
        <w:spacing w:before="0" w:beforeAutospacing="0" w:after="0" w:afterAutospacing="0"/>
        <w:ind w:left="567"/>
        <w:jc w:val="both"/>
        <w:rPr>
          <w:rFonts w:ascii="Arial" w:eastAsiaTheme="minorHAnsi" w:hAnsi="Arial" w:cs="Arial"/>
          <w:color w:val="auto"/>
          <w:szCs w:val="22"/>
          <w:lang w:eastAsia="en-US"/>
        </w:rPr>
      </w:pPr>
      <w:r w:rsidRPr="00BC3C6A">
        <w:rPr>
          <w:rFonts w:ascii="Arial" w:hAnsi="Arial" w:cs="Arial"/>
          <w:b/>
          <w:color w:val="000000"/>
          <w:sz w:val="20"/>
          <w:szCs w:val="18"/>
        </w:rPr>
        <w:t>Fuente:</w:t>
      </w:r>
      <w:r w:rsidRPr="00BC3C6A">
        <w:rPr>
          <w:rFonts w:ascii="Arial" w:hAnsi="Arial" w:cs="Arial"/>
          <w:color w:val="000000"/>
          <w:sz w:val="20"/>
          <w:szCs w:val="18"/>
        </w:rPr>
        <w:t xml:space="preserve"> Estados Financieros Circular Única</w:t>
      </w:r>
    </w:p>
    <w:p w:rsidR="00DA7D6C" w:rsidRDefault="00DA7D6C" w:rsidP="007F7339">
      <w:pPr>
        <w:pStyle w:val="NormalWeb"/>
        <w:widowControl w:val="0"/>
        <w:spacing w:before="0" w:beforeAutospacing="0" w:after="0" w:afterAutospacing="0"/>
        <w:jc w:val="both"/>
        <w:rPr>
          <w:rFonts w:ascii="Arial" w:eastAsiaTheme="minorHAnsi" w:hAnsi="Arial" w:cs="Arial"/>
          <w:color w:val="auto"/>
          <w:sz w:val="22"/>
          <w:szCs w:val="22"/>
          <w:lang w:eastAsia="en-US"/>
        </w:rPr>
      </w:pPr>
    </w:p>
    <w:p w:rsidR="00DA7D6C" w:rsidRDefault="00DA7D6C" w:rsidP="007F7339">
      <w:pPr>
        <w:pStyle w:val="NormalWeb"/>
        <w:widowControl w:val="0"/>
        <w:spacing w:before="0" w:beforeAutospacing="0" w:after="0" w:afterAutospacing="0"/>
        <w:jc w:val="both"/>
        <w:rPr>
          <w:rFonts w:ascii="Arial" w:eastAsiaTheme="minorHAnsi" w:hAnsi="Arial" w:cs="Arial"/>
          <w:color w:val="auto"/>
          <w:sz w:val="22"/>
          <w:szCs w:val="22"/>
          <w:lang w:eastAsia="en-US"/>
        </w:rPr>
      </w:pPr>
      <w:r w:rsidRPr="000A31A1">
        <w:rPr>
          <w:rFonts w:ascii="Arial" w:eastAsia="Calibri" w:hAnsi="Arial" w:cs="Arial"/>
          <w:color w:val="auto"/>
          <w:sz w:val="22"/>
          <w:szCs w:val="22"/>
          <w:lang w:eastAsia="en-US"/>
        </w:rPr>
        <w:t>Los ingresos de las EPS</w:t>
      </w:r>
      <w:r>
        <w:rPr>
          <w:rFonts w:ascii="Arial" w:eastAsiaTheme="minorHAnsi" w:hAnsi="Arial" w:cs="Arial"/>
          <w:color w:val="auto"/>
          <w:sz w:val="22"/>
          <w:szCs w:val="22"/>
          <w:lang w:eastAsia="en-US"/>
        </w:rPr>
        <w:t>, en el 2010,</w:t>
      </w:r>
      <w:r w:rsidRPr="000A31A1">
        <w:rPr>
          <w:rFonts w:ascii="Arial" w:eastAsia="Calibri" w:hAnsi="Arial" w:cs="Arial"/>
          <w:color w:val="auto"/>
          <w:sz w:val="22"/>
          <w:szCs w:val="22"/>
          <w:lang w:eastAsia="en-US"/>
        </w:rPr>
        <w:t xml:space="preserve"> provienen en un 70% de la UPC</w:t>
      </w:r>
      <w:r>
        <w:rPr>
          <w:rFonts w:ascii="Arial" w:eastAsiaTheme="minorHAnsi" w:hAnsi="Arial" w:cs="Arial"/>
          <w:color w:val="auto"/>
          <w:sz w:val="22"/>
          <w:szCs w:val="22"/>
          <w:lang w:eastAsia="en-US"/>
        </w:rPr>
        <w:t>, porcentaje que a junio de 2011 se incrementa al 78%</w:t>
      </w:r>
      <w:r w:rsidRPr="000A31A1">
        <w:rPr>
          <w:rFonts w:ascii="Arial" w:eastAsia="Calibri" w:hAnsi="Arial" w:cs="Arial"/>
          <w:color w:val="auto"/>
          <w:sz w:val="22"/>
          <w:szCs w:val="22"/>
          <w:lang w:eastAsia="en-US"/>
        </w:rPr>
        <w:t xml:space="preserve">. Los </w:t>
      </w:r>
      <w:r>
        <w:rPr>
          <w:rFonts w:ascii="Arial" w:eastAsiaTheme="minorHAnsi" w:hAnsi="Arial" w:cs="Arial"/>
          <w:color w:val="auto"/>
          <w:sz w:val="22"/>
          <w:szCs w:val="22"/>
          <w:lang w:eastAsia="en-US"/>
        </w:rPr>
        <w:t xml:space="preserve">ingresos </w:t>
      </w:r>
      <w:r w:rsidRPr="000A31A1">
        <w:rPr>
          <w:rFonts w:ascii="Arial" w:eastAsia="Calibri" w:hAnsi="Arial" w:cs="Arial"/>
          <w:color w:val="auto"/>
          <w:sz w:val="22"/>
          <w:szCs w:val="22"/>
          <w:lang w:eastAsia="en-US"/>
        </w:rPr>
        <w:t>por concepto de recobros - pago de Medicamentos NO POS y fallos de Tutela-</w:t>
      </w:r>
      <w:r>
        <w:rPr>
          <w:rFonts w:ascii="Arial" w:eastAsiaTheme="minorHAnsi" w:hAnsi="Arial" w:cs="Arial"/>
          <w:color w:val="auto"/>
          <w:sz w:val="22"/>
          <w:szCs w:val="22"/>
          <w:lang w:eastAsia="en-US"/>
        </w:rPr>
        <w:t>, en el 2010,</w:t>
      </w:r>
      <w:r w:rsidRPr="000A31A1">
        <w:rPr>
          <w:rFonts w:ascii="Arial" w:eastAsia="Calibri" w:hAnsi="Arial" w:cs="Arial"/>
          <w:color w:val="auto"/>
          <w:sz w:val="22"/>
          <w:szCs w:val="22"/>
          <w:lang w:eastAsia="en-US"/>
        </w:rPr>
        <w:t xml:space="preserve"> representa</w:t>
      </w:r>
      <w:r>
        <w:rPr>
          <w:rFonts w:ascii="Arial" w:eastAsiaTheme="minorHAnsi" w:hAnsi="Arial" w:cs="Arial"/>
          <w:color w:val="auto"/>
          <w:sz w:val="22"/>
          <w:szCs w:val="22"/>
          <w:lang w:eastAsia="en-US"/>
        </w:rPr>
        <w:t>ro</w:t>
      </w:r>
      <w:r w:rsidRPr="000A31A1">
        <w:rPr>
          <w:rFonts w:ascii="Arial" w:eastAsia="Calibri" w:hAnsi="Arial" w:cs="Arial"/>
          <w:color w:val="auto"/>
          <w:sz w:val="22"/>
          <w:szCs w:val="22"/>
          <w:lang w:eastAsia="en-US"/>
        </w:rPr>
        <w:t>n el 14%</w:t>
      </w:r>
      <w:r>
        <w:rPr>
          <w:rFonts w:ascii="Arial" w:eastAsiaTheme="minorHAnsi" w:hAnsi="Arial" w:cs="Arial"/>
          <w:color w:val="auto"/>
          <w:sz w:val="22"/>
          <w:szCs w:val="22"/>
          <w:lang w:eastAsia="en-US"/>
        </w:rPr>
        <w:t xml:space="preserve"> </w:t>
      </w:r>
      <w:r w:rsidRPr="000A31A1">
        <w:rPr>
          <w:rFonts w:ascii="Arial" w:eastAsia="Calibri" w:hAnsi="Arial" w:cs="Arial"/>
          <w:color w:val="auto"/>
          <w:sz w:val="22"/>
          <w:szCs w:val="22"/>
          <w:lang w:eastAsia="en-US"/>
        </w:rPr>
        <w:t>($1.866.751</w:t>
      </w:r>
      <w:r>
        <w:rPr>
          <w:rFonts w:ascii="Arial" w:eastAsiaTheme="minorHAnsi" w:hAnsi="Arial" w:cs="Arial"/>
          <w:color w:val="auto"/>
          <w:sz w:val="22"/>
          <w:szCs w:val="22"/>
          <w:lang w:eastAsia="en-US"/>
        </w:rPr>
        <w:t xml:space="preserve"> </w:t>
      </w:r>
      <w:r w:rsidRPr="000A31A1">
        <w:rPr>
          <w:rFonts w:ascii="Arial" w:eastAsia="Calibri" w:hAnsi="Arial" w:cs="Arial"/>
          <w:color w:val="auto"/>
          <w:sz w:val="22"/>
          <w:szCs w:val="22"/>
          <w:lang w:eastAsia="en-US"/>
        </w:rPr>
        <w:t>millones)</w:t>
      </w:r>
      <w:r>
        <w:rPr>
          <w:rFonts w:ascii="Arial" w:eastAsiaTheme="minorHAnsi" w:hAnsi="Arial" w:cs="Arial"/>
          <w:color w:val="auto"/>
          <w:sz w:val="22"/>
          <w:szCs w:val="22"/>
          <w:lang w:eastAsia="en-US"/>
        </w:rPr>
        <w:t>, a junio de 2011 el porcentaje se incrementa a 19%.</w:t>
      </w:r>
    </w:p>
    <w:p w:rsidR="00DA7D6C" w:rsidRPr="000A31A1" w:rsidRDefault="00DA7D6C" w:rsidP="007F7339">
      <w:pPr>
        <w:pStyle w:val="NormalWeb"/>
        <w:widowControl w:val="0"/>
        <w:spacing w:before="0" w:beforeAutospacing="0" w:after="0" w:afterAutospacing="0"/>
        <w:jc w:val="both"/>
        <w:rPr>
          <w:rFonts w:ascii="Arial" w:eastAsia="Calibri" w:hAnsi="Arial" w:cs="Arial"/>
          <w:color w:val="auto"/>
          <w:sz w:val="22"/>
          <w:szCs w:val="22"/>
          <w:lang w:eastAsia="en-US"/>
        </w:rPr>
      </w:pPr>
    </w:p>
    <w:p w:rsidR="00DA7D6C" w:rsidRPr="000A31A1" w:rsidRDefault="00DA7D6C" w:rsidP="007F7339">
      <w:pPr>
        <w:pStyle w:val="NormalWeb"/>
        <w:widowControl w:val="0"/>
        <w:spacing w:before="0" w:beforeAutospacing="0" w:after="0" w:afterAutospacing="0"/>
        <w:jc w:val="both"/>
        <w:rPr>
          <w:rFonts w:ascii="Arial" w:eastAsia="Calibri" w:hAnsi="Arial" w:cs="Arial"/>
          <w:color w:val="auto"/>
          <w:sz w:val="22"/>
          <w:szCs w:val="22"/>
          <w:lang w:eastAsia="en-US"/>
        </w:rPr>
      </w:pPr>
      <w:r w:rsidRPr="000A31A1">
        <w:rPr>
          <w:rFonts w:ascii="Arial" w:eastAsia="Calibri" w:hAnsi="Arial" w:cs="Arial"/>
          <w:color w:val="auto"/>
          <w:sz w:val="22"/>
          <w:szCs w:val="22"/>
          <w:lang w:eastAsia="en-US"/>
        </w:rPr>
        <w:t xml:space="preserve">La apropiación de recursos en el FOSYGA - Subcuenta de Compensación en el 2011, para el pago del proceso de compensación asciende a $11.947.306 millones. </w:t>
      </w:r>
    </w:p>
    <w:p w:rsidR="007D4D78" w:rsidRDefault="007D4D78" w:rsidP="007F7339">
      <w:pPr>
        <w:pStyle w:val="Prrafodelista"/>
        <w:widowControl w:val="0"/>
        <w:spacing w:after="0" w:line="240" w:lineRule="auto"/>
        <w:jc w:val="both"/>
        <w:rPr>
          <w:rFonts w:ascii="Arial" w:hAnsi="Arial" w:cs="Arial"/>
        </w:rPr>
      </w:pPr>
    </w:p>
    <w:p w:rsidR="007D4D78" w:rsidRPr="00B71B94" w:rsidRDefault="007D4D78" w:rsidP="007F7339">
      <w:pPr>
        <w:pStyle w:val="Prrafodelista"/>
        <w:widowControl w:val="0"/>
        <w:numPr>
          <w:ilvl w:val="0"/>
          <w:numId w:val="5"/>
        </w:numPr>
        <w:spacing w:after="0" w:line="240" w:lineRule="auto"/>
        <w:ind w:left="426" w:hanging="426"/>
        <w:jc w:val="both"/>
        <w:rPr>
          <w:rFonts w:ascii="Arial" w:hAnsi="Arial" w:cs="Arial"/>
          <w:b/>
          <w:i/>
        </w:rPr>
      </w:pPr>
      <w:r w:rsidRPr="00B71B94">
        <w:rPr>
          <w:rFonts w:ascii="Arial" w:hAnsi="Arial" w:cs="Arial"/>
          <w:b/>
          <w:i/>
        </w:rPr>
        <w:t xml:space="preserve">Cuál es el valor de los ingresos de las EPS Contributivo y Subsidiado, por recobros al </w:t>
      </w:r>
      <w:proofErr w:type="spellStart"/>
      <w:r w:rsidRPr="00B71B94">
        <w:rPr>
          <w:rFonts w:ascii="Arial" w:hAnsi="Arial" w:cs="Arial"/>
          <w:b/>
          <w:i/>
        </w:rPr>
        <w:t>Fosyga</w:t>
      </w:r>
      <w:proofErr w:type="spellEnd"/>
      <w:r w:rsidRPr="00B71B94">
        <w:rPr>
          <w:rFonts w:ascii="Arial" w:hAnsi="Arial" w:cs="Arial"/>
          <w:b/>
          <w:i/>
        </w:rPr>
        <w:t>, y cuántos de ellos están glosados.</w:t>
      </w:r>
    </w:p>
    <w:p w:rsidR="00B71B94" w:rsidRDefault="00B71B94" w:rsidP="007F7339">
      <w:pPr>
        <w:widowControl w:val="0"/>
        <w:spacing w:after="0" w:line="240" w:lineRule="auto"/>
        <w:jc w:val="both"/>
        <w:rPr>
          <w:rFonts w:ascii="Arial" w:hAnsi="Arial" w:cs="Arial"/>
        </w:rPr>
      </w:pPr>
    </w:p>
    <w:p w:rsidR="00BE1433" w:rsidRDefault="00BE1433" w:rsidP="007F7339">
      <w:pPr>
        <w:widowControl w:val="0"/>
        <w:spacing w:after="0" w:line="240" w:lineRule="auto"/>
        <w:jc w:val="both"/>
        <w:rPr>
          <w:rFonts w:ascii="Arial" w:hAnsi="Arial" w:cs="Arial"/>
        </w:rPr>
      </w:pPr>
      <w:r w:rsidRPr="002D7D4B">
        <w:rPr>
          <w:rFonts w:ascii="Arial" w:hAnsi="Arial" w:cs="Arial"/>
        </w:rPr>
        <w:t xml:space="preserve">De acuerdo con la información reportada por  el Consorcio FIDUFOSYGA 2005, el valor de los </w:t>
      </w:r>
      <w:r w:rsidRPr="002D7D4B">
        <w:rPr>
          <w:rFonts w:ascii="Arial" w:hAnsi="Arial" w:cs="Arial"/>
        </w:rPr>
        <w:lastRenderedPageBreak/>
        <w:t>recobros</w:t>
      </w:r>
      <w:r>
        <w:rPr>
          <w:rFonts w:ascii="Arial" w:hAnsi="Arial" w:cs="Arial"/>
        </w:rPr>
        <w:t xml:space="preserve"> presentados por </w:t>
      </w:r>
      <w:r w:rsidRPr="002D7D4B">
        <w:rPr>
          <w:rFonts w:ascii="Arial" w:hAnsi="Arial" w:cs="Arial"/>
        </w:rPr>
        <w:t>las EPS-EOC, por concepto de Medicamentos NO POS y Fallos de Tutela</w:t>
      </w:r>
      <w:r>
        <w:rPr>
          <w:rFonts w:ascii="Arial" w:hAnsi="Arial" w:cs="Arial"/>
        </w:rPr>
        <w:t>,</w:t>
      </w:r>
      <w:r w:rsidRPr="002D7D4B">
        <w:rPr>
          <w:rFonts w:ascii="Arial" w:hAnsi="Arial" w:cs="Arial"/>
        </w:rPr>
        <w:t xml:space="preserve"> en el periodo comprendido entre el año 2008 y a julio de 2011, es el siguiente:</w:t>
      </w:r>
    </w:p>
    <w:p w:rsidR="00BE1433" w:rsidRPr="007D4150" w:rsidRDefault="00BE1433" w:rsidP="007F7339">
      <w:pPr>
        <w:widowControl w:val="0"/>
        <w:spacing w:after="0" w:line="240" w:lineRule="auto"/>
        <w:jc w:val="both"/>
        <w:rPr>
          <w:rFonts w:ascii="Arial" w:hAnsi="Arial" w:cs="Arial"/>
        </w:rPr>
      </w:pPr>
    </w:p>
    <w:p w:rsidR="00BE1433" w:rsidRPr="007D4150" w:rsidRDefault="00BE1433" w:rsidP="007F7339">
      <w:pPr>
        <w:widowControl w:val="0"/>
        <w:spacing w:after="0" w:line="240" w:lineRule="auto"/>
        <w:jc w:val="both"/>
        <w:rPr>
          <w:rFonts w:ascii="Arial" w:eastAsia="Times New Roman" w:hAnsi="Arial" w:cs="Arial"/>
          <w:b/>
          <w:bCs/>
          <w:lang w:eastAsia="es-CO"/>
        </w:rPr>
      </w:pPr>
      <w:r w:rsidRPr="007D4150">
        <w:rPr>
          <w:rFonts w:ascii="Arial" w:eastAsia="Times New Roman" w:hAnsi="Arial" w:cs="Arial"/>
          <w:b/>
          <w:bCs/>
          <w:lang w:eastAsia="es-CO"/>
        </w:rPr>
        <w:t>Consolidado CTC – TUTELA</w:t>
      </w:r>
    </w:p>
    <w:p w:rsidR="00BE1433" w:rsidRPr="00682506" w:rsidRDefault="00BE1433" w:rsidP="007F7339">
      <w:pPr>
        <w:widowControl w:val="0"/>
        <w:spacing w:after="0" w:line="240" w:lineRule="auto"/>
        <w:jc w:val="right"/>
        <w:rPr>
          <w:rFonts w:ascii="Arial" w:hAnsi="Arial" w:cs="Arial"/>
          <w:sz w:val="20"/>
        </w:rPr>
      </w:pPr>
      <w:r w:rsidRPr="00682506">
        <w:rPr>
          <w:rFonts w:ascii="Arial" w:eastAsia="Times New Roman" w:hAnsi="Arial" w:cs="Arial"/>
          <w:bCs/>
          <w:sz w:val="20"/>
          <w:lang w:eastAsia="es-CO"/>
        </w:rPr>
        <w:t>Cifras en millones</w:t>
      </w:r>
    </w:p>
    <w:tbl>
      <w:tblPr>
        <w:tblW w:w="8943"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8"/>
        <w:gridCol w:w="1424"/>
        <w:gridCol w:w="851"/>
        <w:gridCol w:w="1418"/>
        <w:gridCol w:w="992"/>
        <w:gridCol w:w="1134"/>
        <w:gridCol w:w="851"/>
        <w:gridCol w:w="1275"/>
      </w:tblGrid>
      <w:tr w:rsidR="00BE1433" w:rsidRPr="007D4150" w:rsidTr="008E293B">
        <w:trPr>
          <w:trHeight w:val="420"/>
          <w:jc w:val="center"/>
        </w:trPr>
        <w:tc>
          <w:tcPr>
            <w:tcW w:w="998" w:type="dxa"/>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Año</w:t>
            </w:r>
          </w:p>
        </w:tc>
        <w:tc>
          <w:tcPr>
            <w:tcW w:w="1424" w:type="dxa"/>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Vr</w:t>
            </w:r>
            <w:proofErr w:type="spellEnd"/>
            <w:r w:rsidRPr="007D4150">
              <w:rPr>
                <w:rFonts w:ascii="Arial" w:eastAsia="Times New Roman" w:hAnsi="Arial" w:cs="Arial"/>
                <w:b/>
                <w:bCs/>
                <w:sz w:val="18"/>
                <w:szCs w:val="18"/>
                <w:lang w:eastAsia="es-CO"/>
              </w:rPr>
              <w:t xml:space="preserve"> Recobrado</w:t>
            </w:r>
          </w:p>
        </w:tc>
        <w:tc>
          <w:tcPr>
            <w:tcW w:w="851" w:type="dxa"/>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Variac</w:t>
            </w:r>
            <w:proofErr w:type="spellEnd"/>
            <w:r w:rsidRPr="007D4150">
              <w:rPr>
                <w:rFonts w:ascii="Arial" w:eastAsia="Times New Roman" w:hAnsi="Arial" w:cs="Arial"/>
                <w:b/>
                <w:bCs/>
                <w:sz w:val="18"/>
                <w:szCs w:val="18"/>
                <w:lang w:eastAsia="es-CO"/>
              </w:rPr>
              <w:t>. %</w:t>
            </w:r>
          </w:p>
        </w:tc>
        <w:tc>
          <w:tcPr>
            <w:tcW w:w="1418" w:type="dxa"/>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Vr</w:t>
            </w:r>
            <w:proofErr w:type="spellEnd"/>
            <w:r w:rsidRPr="007D4150">
              <w:rPr>
                <w:rFonts w:ascii="Arial" w:eastAsia="Times New Roman" w:hAnsi="Arial" w:cs="Arial"/>
                <w:b/>
                <w:bCs/>
                <w:sz w:val="18"/>
                <w:szCs w:val="18"/>
                <w:lang w:eastAsia="es-CO"/>
              </w:rPr>
              <w:t xml:space="preserve"> Aprobado</w:t>
            </w:r>
          </w:p>
        </w:tc>
        <w:tc>
          <w:tcPr>
            <w:tcW w:w="992" w:type="dxa"/>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Variac</w:t>
            </w:r>
            <w:proofErr w:type="spellEnd"/>
            <w:r w:rsidRPr="007D4150">
              <w:rPr>
                <w:rFonts w:ascii="Arial" w:eastAsia="Times New Roman" w:hAnsi="Arial" w:cs="Arial"/>
                <w:b/>
                <w:bCs/>
                <w:sz w:val="18"/>
                <w:szCs w:val="18"/>
                <w:lang w:eastAsia="es-CO"/>
              </w:rPr>
              <w:t>. %</w:t>
            </w:r>
          </w:p>
        </w:tc>
        <w:tc>
          <w:tcPr>
            <w:tcW w:w="1134" w:type="dxa"/>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Vr</w:t>
            </w:r>
            <w:proofErr w:type="spellEnd"/>
            <w:r w:rsidRPr="007D4150">
              <w:rPr>
                <w:rFonts w:ascii="Arial" w:eastAsia="Times New Roman" w:hAnsi="Arial" w:cs="Arial"/>
                <w:b/>
                <w:bCs/>
                <w:sz w:val="18"/>
                <w:szCs w:val="18"/>
                <w:lang w:eastAsia="es-CO"/>
              </w:rPr>
              <w:t xml:space="preserve"> Glosado</w:t>
            </w:r>
          </w:p>
        </w:tc>
        <w:tc>
          <w:tcPr>
            <w:tcW w:w="851" w:type="dxa"/>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Variac</w:t>
            </w:r>
            <w:proofErr w:type="spellEnd"/>
            <w:r w:rsidRPr="007D4150">
              <w:rPr>
                <w:rFonts w:ascii="Arial" w:eastAsia="Times New Roman" w:hAnsi="Arial" w:cs="Arial"/>
                <w:b/>
                <w:bCs/>
                <w:sz w:val="18"/>
                <w:szCs w:val="18"/>
                <w:lang w:eastAsia="es-CO"/>
              </w:rPr>
              <w:t>. %</w:t>
            </w:r>
          </w:p>
        </w:tc>
        <w:tc>
          <w:tcPr>
            <w:tcW w:w="1275" w:type="dxa"/>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Glosado / Recobrado</w:t>
            </w:r>
          </w:p>
        </w:tc>
      </w:tr>
      <w:tr w:rsidR="00BE1433" w:rsidRPr="007D4150" w:rsidTr="008E293B">
        <w:trPr>
          <w:trHeight w:val="255"/>
          <w:jc w:val="center"/>
        </w:trPr>
        <w:tc>
          <w:tcPr>
            <w:tcW w:w="998" w:type="dxa"/>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2008</w:t>
            </w:r>
          </w:p>
        </w:tc>
        <w:tc>
          <w:tcPr>
            <w:tcW w:w="1424"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1.486.876</w:t>
            </w:r>
          </w:p>
        </w:tc>
        <w:tc>
          <w:tcPr>
            <w:tcW w:w="851" w:type="dxa"/>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418"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1.076.791</w:t>
            </w:r>
          </w:p>
        </w:tc>
        <w:tc>
          <w:tcPr>
            <w:tcW w:w="992" w:type="dxa"/>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134"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409.680</w:t>
            </w:r>
          </w:p>
        </w:tc>
        <w:tc>
          <w:tcPr>
            <w:tcW w:w="851" w:type="dxa"/>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275"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28%</w:t>
            </w:r>
          </w:p>
        </w:tc>
      </w:tr>
      <w:tr w:rsidR="00BE1433" w:rsidRPr="007D4150" w:rsidTr="008E293B">
        <w:trPr>
          <w:trHeight w:val="255"/>
          <w:jc w:val="center"/>
        </w:trPr>
        <w:tc>
          <w:tcPr>
            <w:tcW w:w="998" w:type="dxa"/>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2009</w:t>
            </w:r>
          </w:p>
        </w:tc>
        <w:tc>
          <w:tcPr>
            <w:tcW w:w="1424"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2.287.117</w:t>
            </w:r>
          </w:p>
        </w:tc>
        <w:tc>
          <w:tcPr>
            <w:tcW w:w="851"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54%</w:t>
            </w:r>
          </w:p>
        </w:tc>
        <w:tc>
          <w:tcPr>
            <w:tcW w:w="1418"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1.752.199</w:t>
            </w:r>
          </w:p>
        </w:tc>
        <w:tc>
          <w:tcPr>
            <w:tcW w:w="992"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63%</w:t>
            </w:r>
          </w:p>
        </w:tc>
        <w:tc>
          <w:tcPr>
            <w:tcW w:w="1134"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534.992</w:t>
            </w:r>
          </w:p>
        </w:tc>
        <w:tc>
          <w:tcPr>
            <w:tcW w:w="851"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31%</w:t>
            </w:r>
          </w:p>
        </w:tc>
        <w:tc>
          <w:tcPr>
            <w:tcW w:w="1275"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23%</w:t>
            </w:r>
          </w:p>
        </w:tc>
      </w:tr>
      <w:tr w:rsidR="00BE1433" w:rsidRPr="007D4150" w:rsidTr="008E293B">
        <w:trPr>
          <w:trHeight w:val="255"/>
          <w:jc w:val="center"/>
        </w:trPr>
        <w:tc>
          <w:tcPr>
            <w:tcW w:w="998" w:type="dxa"/>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2010</w:t>
            </w:r>
          </w:p>
        </w:tc>
        <w:tc>
          <w:tcPr>
            <w:tcW w:w="1424"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3.152.758</w:t>
            </w:r>
          </w:p>
        </w:tc>
        <w:tc>
          <w:tcPr>
            <w:tcW w:w="851"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38%</w:t>
            </w:r>
          </w:p>
        </w:tc>
        <w:tc>
          <w:tcPr>
            <w:tcW w:w="1418"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2.296.134</w:t>
            </w:r>
          </w:p>
        </w:tc>
        <w:tc>
          <w:tcPr>
            <w:tcW w:w="992"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31%</w:t>
            </w:r>
          </w:p>
        </w:tc>
        <w:tc>
          <w:tcPr>
            <w:tcW w:w="1134"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851.232</w:t>
            </w:r>
          </w:p>
        </w:tc>
        <w:tc>
          <w:tcPr>
            <w:tcW w:w="851"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59%</w:t>
            </w:r>
          </w:p>
        </w:tc>
        <w:tc>
          <w:tcPr>
            <w:tcW w:w="1275"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27%</w:t>
            </w:r>
          </w:p>
        </w:tc>
      </w:tr>
      <w:tr w:rsidR="00BE1433" w:rsidRPr="007D4150" w:rsidTr="008E293B">
        <w:trPr>
          <w:trHeight w:val="255"/>
          <w:jc w:val="center"/>
        </w:trPr>
        <w:tc>
          <w:tcPr>
            <w:tcW w:w="998" w:type="dxa"/>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Julio de  2011</w:t>
            </w:r>
          </w:p>
        </w:tc>
        <w:tc>
          <w:tcPr>
            <w:tcW w:w="1424" w:type="dxa"/>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2.104.238</w:t>
            </w:r>
          </w:p>
        </w:tc>
        <w:tc>
          <w:tcPr>
            <w:tcW w:w="851" w:type="dxa"/>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418" w:type="dxa"/>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926.539</w:t>
            </w:r>
          </w:p>
        </w:tc>
        <w:tc>
          <w:tcPr>
            <w:tcW w:w="992" w:type="dxa"/>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134" w:type="dxa"/>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475.380</w:t>
            </w:r>
          </w:p>
        </w:tc>
        <w:tc>
          <w:tcPr>
            <w:tcW w:w="851" w:type="dxa"/>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275" w:type="dxa"/>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23%</w:t>
            </w:r>
          </w:p>
        </w:tc>
      </w:tr>
      <w:tr w:rsidR="00BE1433" w:rsidRPr="007D4150" w:rsidTr="008E293B">
        <w:trPr>
          <w:trHeight w:val="270"/>
          <w:jc w:val="center"/>
        </w:trPr>
        <w:tc>
          <w:tcPr>
            <w:tcW w:w="998" w:type="dxa"/>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TOTAL</w:t>
            </w:r>
          </w:p>
        </w:tc>
        <w:tc>
          <w:tcPr>
            <w:tcW w:w="1424"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9.030.989</w:t>
            </w:r>
          </w:p>
        </w:tc>
        <w:tc>
          <w:tcPr>
            <w:tcW w:w="851" w:type="dxa"/>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418"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6.051.663</w:t>
            </w:r>
          </w:p>
        </w:tc>
        <w:tc>
          <w:tcPr>
            <w:tcW w:w="992" w:type="dxa"/>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134" w:type="dxa"/>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2.271.285</w:t>
            </w:r>
          </w:p>
        </w:tc>
        <w:tc>
          <w:tcPr>
            <w:tcW w:w="851" w:type="dxa"/>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275" w:type="dxa"/>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r>
    </w:tbl>
    <w:p w:rsidR="00BE1433" w:rsidRPr="00B87D3F" w:rsidRDefault="00BE1433" w:rsidP="007F7339">
      <w:pPr>
        <w:widowControl w:val="0"/>
        <w:spacing w:after="0" w:line="240" w:lineRule="auto"/>
        <w:jc w:val="both"/>
        <w:rPr>
          <w:rFonts w:ascii="Arial" w:hAnsi="Arial" w:cs="Arial"/>
          <w:sz w:val="18"/>
        </w:rPr>
      </w:pPr>
      <w:r w:rsidRPr="00B87D3F">
        <w:rPr>
          <w:rFonts w:ascii="Arial" w:eastAsia="Times New Roman" w:hAnsi="Arial" w:cs="Arial"/>
          <w:b/>
          <w:bCs/>
          <w:sz w:val="18"/>
          <w:lang w:eastAsia="es-CO"/>
        </w:rPr>
        <w:t>FUENTE:</w:t>
      </w:r>
      <w:r w:rsidRPr="00B87D3F">
        <w:rPr>
          <w:rFonts w:ascii="Arial" w:eastAsia="Times New Roman" w:hAnsi="Arial" w:cs="Arial"/>
          <w:bCs/>
          <w:sz w:val="18"/>
          <w:lang w:eastAsia="es-CO"/>
        </w:rPr>
        <w:t xml:space="preserve"> TABLAS BASES DE DATOS - CONSORCIO FIDUFOSYGA 2005</w:t>
      </w:r>
    </w:p>
    <w:p w:rsidR="002C766D" w:rsidRPr="007D4150" w:rsidRDefault="002C766D" w:rsidP="007F7339">
      <w:pPr>
        <w:widowControl w:val="0"/>
        <w:spacing w:after="0" w:line="240" w:lineRule="auto"/>
        <w:jc w:val="both"/>
        <w:rPr>
          <w:rFonts w:ascii="Arial" w:hAnsi="Arial" w:cs="Arial"/>
        </w:rPr>
      </w:pPr>
    </w:p>
    <w:p w:rsidR="00BE1433" w:rsidRPr="007D4150" w:rsidRDefault="00BE1433" w:rsidP="007F7339">
      <w:pPr>
        <w:widowControl w:val="0"/>
        <w:spacing w:after="0" w:line="240" w:lineRule="auto"/>
        <w:jc w:val="both"/>
        <w:rPr>
          <w:rFonts w:ascii="Arial" w:hAnsi="Arial" w:cs="Arial"/>
        </w:rPr>
      </w:pPr>
      <w:r w:rsidRPr="007D4150">
        <w:rPr>
          <w:rFonts w:ascii="Arial" w:eastAsia="Times New Roman" w:hAnsi="Arial" w:cs="Arial"/>
          <w:b/>
          <w:bCs/>
          <w:lang w:eastAsia="es-CO"/>
        </w:rPr>
        <w:t>Contributivo CTC</w:t>
      </w:r>
    </w:p>
    <w:p w:rsidR="00BE1433" w:rsidRPr="00682506" w:rsidRDefault="00BE1433" w:rsidP="007F7339">
      <w:pPr>
        <w:widowControl w:val="0"/>
        <w:spacing w:after="0" w:line="240" w:lineRule="auto"/>
        <w:jc w:val="right"/>
        <w:rPr>
          <w:rFonts w:ascii="Arial" w:hAnsi="Arial" w:cs="Arial"/>
          <w:sz w:val="20"/>
        </w:rPr>
      </w:pPr>
      <w:r w:rsidRPr="00682506">
        <w:rPr>
          <w:rFonts w:ascii="Arial" w:eastAsia="Times New Roman" w:hAnsi="Arial" w:cs="Arial"/>
          <w:bCs/>
          <w:sz w:val="20"/>
          <w:lang w:eastAsia="es-CO"/>
        </w:rPr>
        <w:t>Cifras en millones</w:t>
      </w:r>
    </w:p>
    <w:tbl>
      <w:tblPr>
        <w:tblW w:w="9193" w:type="dxa"/>
        <w:jc w:val="center"/>
        <w:tblInd w:w="58" w:type="dxa"/>
        <w:tblLayout w:type="fixed"/>
        <w:tblCellMar>
          <w:left w:w="70" w:type="dxa"/>
          <w:right w:w="70" w:type="dxa"/>
        </w:tblCellMar>
        <w:tblLook w:val="04A0" w:firstRow="1" w:lastRow="0" w:firstColumn="1" w:lastColumn="0" w:noHBand="0" w:noVBand="1"/>
      </w:tblPr>
      <w:tblGrid>
        <w:gridCol w:w="1166"/>
        <w:gridCol w:w="1398"/>
        <w:gridCol w:w="850"/>
        <w:gridCol w:w="1532"/>
        <w:gridCol w:w="877"/>
        <w:gridCol w:w="1276"/>
        <w:gridCol w:w="851"/>
        <w:gridCol w:w="1243"/>
      </w:tblGrid>
      <w:tr w:rsidR="00BE1433" w:rsidRPr="007D4150" w:rsidTr="008E293B">
        <w:trPr>
          <w:trHeight w:val="420"/>
          <w:jc w:val="center"/>
        </w:trPr>
        <w:tc>
          <w:tcPr>
            <w:tcW w:w="116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Año</w:t>
            </w:r>
          </w:p>
        </w:tc>
        <w:tc>
          <w:tcPr>
            <w:tcW w:w="1398"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Vr</w:t>
            </w:r>
            <w:proofErr w:type="spellEnd"/>
            <w:r w:rsidRPr="007D4150">
              <w:rPr>
                <w:rFonts w:ascii="Arial" w:eastAsia="Times New Roman" w:hAnsi="Arial" w:cs="Arial"/>
                <w:b/>
                <w:bCs/>
                <w:sz w:val="18"/>
                <w:szCs w:val="18"/>
                <w:lang w:eastAsia="es-CO"/>
              </w:rPr>
              <w:t xml:space="preserve"> Recobrado</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Variac</w:t>
            </w:r>
            <w:proofErr w:type="spellEnd"/>
            <w:r w:rsidRPr="007D4150">
              <w:rPr>
                <w:rFonts w:ascii="Arial" w:eastAsia="Times New Roman" w:hAnsi="Arial" w:cs="Arial"/>
                <w:b/>
                <w:bCs/>
                <w:sz w:val="18"/>
                <w:szCs w:val="18"/>
                <w:lang w:eastAsia="es-CO"/>
              </w:rPr>
              <w:t>. %</w:t>
            </w:r>
          </w:p>
        </w:tc>
        <w:tc>
          <w:tcPr>
            <w:tcW w:w="1532"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Vr</w:t>
            </w:r>
            <w:proofErr w:type="spellEnd"/>
            <w:r w:rsidRPr="007D4150">
              <w:rPr>
                <w:rFonts w:ascii="Arial" w:eastAsia="Times New Roman" w:hAnsi="Arial" w:cs="Arial"/>
                <w:b/>
                <w:bCs/>
                <w:sz w:val="18"/>
                <w:szCs w:val="18"/>
                <w:lang w:eastAsia="es-CO"/>
              </w:rPr>
              <w:t xml:space="preserve"> Aprobado</w:t>
            </w:r>
          </w:p>
        </w:tc>
        <w:tc>
          <w:tcPr>
            <w:tcW w:w="877"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Variac</w:t>
            </w:r>
            <w:proofErr w:type="spellEnd"/>
            <w:r w:rsidRPr="007D4150">
              <w:rPr>
                <w:rFonts w:ascii="Arial" w:eastAsia="Times New Roman" w:hAnsi="Arial" w:cs="Arial"/>
                <w:b/>
                <w:bCs/>
                <w:sz w:val="18"/>
                <w:szCs w:val="18"/>
                <w:lang w:eastAsia="es-CO"/>
              </w:rPr>
              <w:t>. %</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Vr</w:t>
            </w:r>
            <w:proofErr w:type="spellEnd"/>
            <w:r w:rsidRPr="007D4150">
              <w:rPr>
                <w:rFonts w:ascii="Arial" w:eastAsia="Times New Roman" w:hAnsi="Arial" w:cs="Arial"/>
                <w:b/>
                <w:bCs/>
                <w:sz w:val="18"/>
                <w:szCs w:val="18"/>
                <w:lang w:eastAsia="es-CO"/>
              </w:rPr>
              <w:t xml:space="preserve"> Glosado</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Variac</w:t>
            </w:r>
            <w:proofErr w:type="spellEnd"/>
            <w:r w:rsidRPr="007D4150">
              <w:rPr>
                <w:rFonts w:ascii="Arial" w:eastAsia="Times New Roman" w:hAnsi="Arial" w:cs="Arial"/>
                <w:b/>
                <w:bCs/>
                <w:sz w:val="18"/>
                <w:szCs w:val="18"/>
                <w:lang w:eastAsia="es-CO"/>
              </w:rPr>
              <w:t>. %</w:t>
            </w:r>
          </w:p>
        </w:tc>
        <w:tc>
          <w:tcPr>
            <w:tcW w:w="1243" w:type="dxa"/>
            <w:tcBorders>
              <w:top w:val="single" w:sz="8" w:space="0" w:color="auto"/>
              <w:left w:val="nil"/>
              <w:bottom w:val="single" w:sz="4" w:space="0" w:color="auto"/>
              <w:right w:val="single" w:sz="8"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Glosado / Recobrado</w:t>
            </w:r>
          </w:p>
        </w:tc>
      </w:tr>
      <w:tr w:rsidR="00BE1433" w:rsidRPr="007D4150" w:rsidTr="008E293B">
        <w:trPr>
          <w:trHeight w:val="255"/>
          <w:jc w:val="center"/>
        </w:trPr>
        <w:tc>
          <w:tcPr>
            <w:tcW w:w="1166" w:type="dxa"/>
            <w:tcBorders>
              <w:top w:val="nil"/>
              <w:left w:val="single" w:sz="8" w:space="0" w:color="auto"/>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2008</w:t>
            </w:r>
          </w:p>
        </w:tc>
        <w:tc>
          <w:tcPr>
            <w:tcW w:w="1398"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600.487</w:t>
            </w:r>
          </w:p>
        </w:tc>
        <w:tc>
          <w:tcPr>
            <w:tcW w:w="850"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532"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502.446</w:t>
            </w:r>
          </w:p>
        </w:tc>
        <w:tc>
          <w:tcPr>
            <w:tcW w:w="877"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98.041</w:t>
            </w:r>
          </w:p>
        </w:tc>
        <w:tc>
          <w:tcPr>
            <w:tcW w:w="851"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243" w:type="dxa"/>
            <w:tcBorders>
              <w:top w:val="nil"/>
              <w:left w:val="nil"/>
              <w:bottom w:val="single" w:sz="4" w:space="0" w:color="auto"/>
              <w:right w:val="single" w:sz="8"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16%</w:t>
            </w:r>
          </w:p>
        </w:tc>
      </w:tr>
      <w:tr w:rsidR="00BE1433" w:rsidRPr="007D4150" w:rsidTr="008E293B">
        <w:trPr>
          <w:trHeight w:val="255"/>
          <w:jc w:val="center"/>
        </w:trPr>
        <w:tc>
          <w:tcPr>
            <w:tcW w:w="1166" w:type="dxa"/>
            <w:tcBorders>
              <w:top w:val="nil"/>
              <w:left w:val="single" w:sz="8" w:space="0" w:color="auto"/>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2009</w:t>
            </w:r>
          </w:p>
        </w:tc>
        <w:tc>
          <w:tcPr>
            <w:tcW w:w="1398"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1.309.659</w:t>
            </w:r>
          </w:p>
        </w:tc>
        <w:tc>
          <w:tcPr>
            <w:tcW w:w="850"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118%</w:t>
            </w:r>
          </w:p>
        </w:tc>
        <w:tc>
          <w:tcPr>
            <w:tcW w:w="1532"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1.107.806</w:t>
            </w:r>
          </w:p>
        </w:tc>
        <w:tc>
          <w:tcPr>
            <w:tcW w:w="877"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120%</w:t>
            </w:r>
          </w:p>
        </w:tc>
        <w:tc>
          <w:tcPr>
            <w:tcW w:w="1276"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201.834</w:t>
            </w:r>
          </w:p>
        </w:tc>
        <w:tc>
          <w:tcPr>
            <w:tcW w:w="851"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106%</w:t>
            </w:r>
          </w:p>
        </w:tc>
        <w:tc>
          <w:tcPr>
            <w:tcW w:w="1243" w:type="dxa"/>
            <w:tcBorders>
              <w:top w:val="nil"/>
              <w:left w:val="nil"/>
              <w:bottom w:val="single" w:sz="4" w:space="0" w:color="auto"/>
              <w:right w:val="single" w:sz="8"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15%</w:t>
            </w:r>
          </w:p>
        </w:tc>
      </w:tr>
      <w:tr w:rsidR="00BE1433" w:rsidRPr="007D4150" w:rsidTr="008E293B">
        <w:trPr>
          <w:trHeight w:val="255"/>
          <w:jc w:val="center"/>
        </w:trPr>
        <w:tc>
          <w:tcPr>
            <w:tcW w:w="1166" w:type="dxa"/>
            <w:tcBorders>
              <w:top w:val="nil"/>
              <w:left w:val="single" w:sz="8" w:space="0" w:color="auto"/>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2010</w:t>
            </w:r>
          </w:p>
        </w:tc>
        <w:tc>
          <w:tcPr>
            <w:tcW w:w="1398"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2.294.347</w:t>
            </w:r>
          </w:p>
        </w:tc>
        <w:tc>
          <w:tcPr>
            <w:tcW w:w="850"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75%</w:t>
            </w:r>
          </w:p>
        </w:tc>
        <w:tc>
          <w:tcPr>
            <w:tcW w:w="1532"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1.774.568</w:t>
            </w:r>
          </w:p>
        </w:tc>
        <w:tc>
          <w:tcPr>
            <w:tcW w:w="877"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60%</w:t>
            </w:r>
          </w:p>
        </w:tc>
        <w:tc>
          <w:tcPr>
            <w:tcW w:w="1276"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519.655</w:t>
            </w:r>
          </w:p>
        </w:tc>
        <w:tc>
          <w:tcPr>
            <w:tcW w:w="851"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157%</w:t>
            </w:r>
          </w:p>
        </w:tc>
        <w:tc>
          <w:tcPr>
            <w:tcW w:w="1243" w:type="dxa"/>
            <w:tcBorders>
              <w:top w:val="nil"/>
              <w:left w:val="nil"/>
              <w:bottom w:val="single" w:sz="4" w:space="0" w:color="auto"/>
              <w:right w:val="single" w:sz="8"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23%</w:t>
            </w:r>
          </w:p>
        </w:tc>
      </w:tr>
      <w:tr w:rsidR="00BE1433" w:rsidRPr="007D4150" w:rsidTr="008E293B">
        <w:trPr>
          <w:trHeight w:val="255"/>
          <w:jc w:val="center"/>
        </w:trPr>
        <w:tc>
          <w:tcPr>
            <w:tcW w:w="1166" w:type="dxa"/>
            <w:tcBorders>
              <w:top w:val="nil"/>
              <w:left w:val="single" w:sz="8" w:space="0" w:color="auto"/>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Julio de  2011</w:t>
            </w:r>
          </w:p>
        </w:tc>
        <w:tc>
          <w:tcPr>
            <w:tcW w:w="1398" w:type="dxa"/>
            <w:tcBorders>
              <w:top w:val="nil"/>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1.623.818</w:t>
            </w:r>
          </w:p>
        </w:tc>
        <w:tc>
          <w:tcPr>
            <w:tcW w:w="850" w:type="dxa"/>
            <w:tcBorders>
              <w:top w:val="nil"/>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532" w:type="dxa"/>
            <w:tcBorders>
              <w:top w:val="nil"/>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747.906</w:t>
            </w:r>
          </w:p>
        </w:tc>
        <w:tc>
          <w:tcPr>
            <w:tcW w:w="877" w:type="dxa"/>
            <w:tcBorders>
              <w:top w:val="nil"/>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276" w:type="dxa"/>
            <w:tcBorders>
              <w:top w:val="nil"/>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357.046</w:t>
            </w:r>
          </w:p>
        </w:tc>
        <w:tc>
          <w:tcPr>
            <w:tcW w:w="851" w:type="dxa"/>
            <w:tcBorders>
              <w:top w:val="nil"/>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243" w:type="dxa"/>
            <w:tcBorders>
              <w:top w:val="nil"/>
              <w:left w:val="nil"/>
              <w:bottom w:val="single" w:sz="4" w:space="0" w:color="auto"/>
              <w:right w:val="single" w:sz="8"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22%</w:t>
            </w:r>
          </w:p>
        </w:tc>
      </w:tr>
      <w:tr w:rsidR="00BE1433" w:rsidRPr="007D4150" w:rsidTr="008E293B">
        <w:trPr>
          <w:trHeight w:val="270"/>
          <w:jc w:val="center"/>
        </w:trPr>
        <w:tc>
          <w:tcPr>
            <w:tcW w:w="1166" w:type="dxa"/>
            <w:tcBorders>
              <w:top w:val="nil"/>
              <w:left w:val="single" w:sz="8" w:space="0" w:color="auto"/>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TOTAL</w:t>
            </w:r>
          </w:p>
        </w:tc>
        <w:tc>
          <w:tcPr>
            <w:tcW w:w="1398" w:type="dxa"/>
            <w:tcBorders>
              <w:top w:val="nil"/>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5.828.311</w:t>
            </w:r>
          </w:p>
        </w:tc>
        <w:tc>
          <w:tcPr>
            <w:tcW w:w="850" w:type="dxa"/>
            <w:tcBorders>
              <w:top w:val="nil"/>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532" w:type="dxa"/>
            <w:tcBorders>
              <w:top w:val="nil"/>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4.132.725</w:t>
            </w:r>
          </w:p>
        </w:tc>
        <w:tc>
          <w:tcPr>
            <w:tcW w:w="877" w:type="dxa"/>
            <w:tcBorders>
              <w:top w:val="nil"/>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276" w:type="dxa"/>
            <w:tcBorders>
              <w:top w:val="nil"/>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1.176.577</w:t>
            </w:r>
          </w:p>
        </w:tc>
        <w:tc>
          <w:tcPr>
            <w:tcW w:w="851" w:type="dxa"/>
            <w:tcBorders>
              <w:top w:val="nil"/>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243" w:type="dxa"/>
            <w:tcBorders>
              <w:top w:val="nil"/>
              <w:left w:val="nil"/>
              <w:bottom w:val="single" w:sz="8" w:space="0" w:color="auto"/>
              <w:right w:val="single" w:sz="8"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r>
    </w:tbl>
    <w:p w:rsidR="00BE1433" w:rsidRPr="00B87D3F" w:rsidRDefault="00BE1433" w:rsidP="007F7339">
      <w:pPr>
        <w:widowControl w:val="0"/>
        <w:spacing w:after="0" w:line="240" w:lineRule="auto"/>
        <w:jc w:val="both"/>
        <w:rPr>
          <w:rFonts w:ascii="Arial" w:hAnsi="Arial" w:cs="Arial"/>
          <w:sz w:val="18"/>
        </w:rPr>
      </w:pPr>
      <w:r w:rsidRPr="00B87D3F">
        <w:rPr>
          <w:rFonts w:ascii="Arial" w:eastAsia="Times New Roman" w:hAnsi="Arial" w:cs="Arial"/>
          <w:b/>
          <w:bCs/>
          <w:sz w:val="18"/>
          <w:lang w:eastAsia="es-CO"/>
        </w:rPr>
        <w:t>FUENTE:</w:t>
      </w:r>
      <w:r w:rsidRPr="00B87D3F">
        <w:rPr>
          <w:rFonts w:ascii="Arial" w:eastAsia="Times New Roman" w:hAnsi="Arial" w:cs="Arial"/>
          <w:bCs/>
          <w:sz w:val="18"/>
          <w:lang w:eastAsia="es-CO"/>
        </w:rPr>
        <w:t xml:space="preserve"> TABLAS BASES DE DATOS - CONSORCIO FIDUFOSYGA 2005</w:t>
      </w:r>
    </w:p>
    <w:p w:rsidR="00BE1433" w:rsidRPr="00682506" w:rsidRDefault="00BE1433" w:rsidP="007F7339">
      <w:pPr>
        <w:widowControl w:val="0"/>
        <w:spacing w:after="0" w:line="240" w:lineRule="auto"/>
        <w:jc w:val="both"/>
        <w:rPr>
          <w:rFonts w:ascii="Arial" w:hAnsi="Arial" w:cs="Arial"/>
          <w:sz w:val="18"/>
        </w:rPr>
      </w:pPr>
    </w:p>
    <w:p w:rsidR="00BE1433" w:rsidRPr="00D8756C" w:rsidRDefault="00BE1433" w:rsidP="007F7339">
      <w:pPr>
        <w:widowControl w:val="0"/>
        <w:spacing w:after="0" w:line="240" w:lineRule="auto"/>
        <w:jc w:val="both"/>
        <w:rPr>
          <w:rFonts w:ascii="Arial" w:hAnsi="Arial" w:cs="Arial"/>
        </w:rPr>
      </w:pPr>
      <w:r w:rsidRPr="00D8756C">
        <w:rPr>
          <w:rFonts w:ascii="Arial" w:hAnsi="Arial" w:cs="Arial"/>
        </w:rPr>
        <w:t xml:space="preserve">El comportamiento de los recobros del Régimen Contributivo por concepto de Comité Técnico Científico, registra incrementos en los valores recobrados en el periodo comprendido entre los años 2008 a 2009 </w:t>
      </w:r>
      <w:r>
        <w:rPr>
          <w:rFonts w:ascii="Arial" w:hAnsi="Arial" w:cs="Arial"/>
        </w:rPr>
        <w:t xml:space="preserve">equivalente al </w:t>
      </w:r>
      <w:r w:rsidRPr="00D8756C">
        <w:rPr>
          <w:rFonts w:ascii="Arial" w:hAnsi="Arial" w:cs="Arial"/>
        </w:rPr>
        <w:t xml:space="preserve">118% y </w:t>
      </w:r>
      <w:r>
        <w:rPr>
          <w:rFonts w:ascii="Arial" w:hAnsi="Arial" w:cs="Arial"/>
        </w:rPr>
        <w:t xml:space="preserve">de </w:t>
      </w:r>
      <w:r w:rsidRPr="00D8756C">
        <w:rPr>
          <w:rFonts w:ascii="Arial" w:hAnsi="Arial" w:cs="Arial"/>
        </w:rPr>
        <w:t xml:space="preserve">2009 a 2010 </w:t>
      </w:r>
      <w:r>
        <w:rPr>
          <w:rFonts w:ascii="Arial" w:hAnsi="Arial" w:cs="Arial"/>
        </w:rPr>
        <w:t xml:space="preserve">el aumento fue de </w:t>
      </w:r>
      <w:r w:rsidRPr="00D8756C">
        <w:rPr>
          <w:rFonts w:ascii="Arial" w:hAnsi="Arial" w:cs="Arial"/>
        </w:rPr>
        <w:t>75%. Situación similar se presenta con relació</w:t>
      </w:r>
      <w:r w:rsidRPr="00D8756C">
        <w:rPr>
          <w:rFonts w:ascii="Arial" w:hAnsi="Arial" w:cs="Arial" w:hint="eastAsia"/>
        </w:rPr>
        <w:t xml:space="preserve">n a </w:t>
      </w:r>
      <w:r w:rsidRPr="00D8756C">
        <w:rPr>
          <w:rFonts w:ascii="Arial" w:hAnsi="Arial" w:cs="Arial"/>
        </w:rPr>
        <w:t>los valores aprobados con crecimientos porcentuales del 120% y 60%.</w:t>
      </w:r>
    </w:p>
    <w:p w:rsidR="00BE1433" w:rsidRPr="00682506" w:rsidRDefault="00BE1433" w:rsidP="007F7339">
      <w:pPr>
        <w:widowControl w:val="0"/>
        <w:spacing w:after="0" w:line="240" w:lineRule="auto"/>
        <w:jc w:val="both"/>
        <w:rPr>
          <w:rFonts w:ascii="Arial" w:hAnsi="Arial" w:cs="Arial"/>
          <w:sz w:val="18"/>
        </w:rPr>
      </w:pPr>
    </w:p>
    <w:p w:rsidR="00BE1433" w:rsidRDefault="00BE1433" w:rsidP="007F7339">
      <w:pPr>
        <w:widowControl w:val="0"/>
        <w:spacing w:after="0" w:line="240" w:lineRule="auto"/>
        <w:jc w:val="both"/>
        <w:rPr>
          <w:rFonts w:ascii="Arial" w:hAnsi="Arial" w:cs="Arial"/>
        </w:rPr>
      </w:pPr>
      <w:r w:rsidRPr="002D7D4B">
        <w:rPr>
          <w:rFonts w:ascii="Arial" w:hAnsi="Arial" w:cs="Arial"/>
        </w:rPr>
        <w:t xml:space="preserve">De otra parte, los indicadores obtenidos de la relación: Valor </w:t>
      </w:r>
      <w:r>
        <w:rPr>
          <w:rFonts w:ascii="Arial" w:hAnsi="Arial" w:cs="Arial"/>
        </w:rPr>
        <w:t>G</w:t>
      </w:r>
      <w:r w:rsidRPr="002D7D4B">
        <w:rPr>
          <w:rFonts w:ascii="Arial" w:hAnsi="Arial" w:cs="Arial"/>
        </w:rPr>
        <w:t>losado/ Valor Recobrado, muestra que en el año 2008 representaba el 16%, en el 2009 el 15%, en el 2010 el 23% y a julio de 2011, con el 22%.</w:t>
      </w:r>
    </w:p>
    <w:p w:rsidR="002C766D" w:rsidRDefault="002C766D" w:rsidP="007F7339">
      <w:pPr>
        <w:widowControl w:val="0"/>
        <w:spacing w:after="0" w:line="240" w:lineRule="auto"/>
        <w:jc w:val="both"/>
        <w:rPr>
          <w:rFonts w:ascii="Arial" w:hAnsi="Arial" w:cs="Arial"/>
        </w:rPr>
      </w:pPr>
    </w:p>
    <w:p w:rsidR="00BE1433" w:rsidRPr="00682506" w:rsidRDefault="00BE1433" w:rsidP="007F7339">
      <w:pPr>
        <w:widowControl w:val="0"/>
        <w:tabs>
          <w:tab w:val="left" w:pos="1204"/>
          <w:tab w:val="left" w:pos="3877"/>
          <w:tab w:val="left" w:pos="4460"/>
          <w:tab w:val="left" w:pos="5454"/>
          <w:tab w:val="left" w:pos="6037"/>
          <w:tab w:val="left" w:pos="7031"/>
          <w:tab w:val="left" w:pos="7614"/>
        </w:tabs>
        <w:spacing w:after="0" w:line="240" w:lineRule="auto"/>
        <w:ind w:left="58"/>
        <w:rPr>
          <w:rFonts w:ascii="Arial" w:eastAsia="Times New Roman" w:hAnsi="Arial" w:cs="Arial"/>
          <w:b/>
          <w:bCs/>
          <w:sz w:val="18"/>
          <w:lang w:eastAsia="es-CO"/>
        </w:rPr>
      </w:pPr>
    </w:p>
    <w:p w:rsidR="00BE1433" w:rsidRPr="007D4150" w:rsidRDefault="00BE1433" w:rsidP="007F7339">
      <w:pPr>
        <w:widowControl w:val="0"/>
        <w:tabs>
          <w:tab w:val="left" w:pos="1204"/>
          <w:tab w:val="left" w:pos="3877"/>
          <w:tab w:val="left" w:pos="4460"/>
          <w:tab w:val="left" w:pos="5454"/>
          <w:tab w:val="left" w:pos="6037"/>
          <w:tab w:val="left" w:pos="7031"/>
          <w:tab w:val="left" w:pos="7614"/>
        </w:tabs>
        <w:spacing w:after="0" w:line="240" w:lineRule="auto"/>
        <w:ind w:left="58"/>
        <w:rPr>
          <w:rFonts w:ascii="Arial" w:eastAsia="Times New Roman" w:hAnsi="Arial" w:cs="Arial"/>
          <w:lang w:eastAsia="es-CO"/>
        </w:rPr>
      </w:pPr>
      <w:r w:rsidRPr="007D4150">
        <w:rPr>
          <w:rFonts w:ascii="Arial" w:eastAsia="Times New Roman" w:hAnsi="Arial" w:cs="Arial"/>
          <w:b/>
          <w:bCs/>
          <w:lang w:eastAsia="es-CO"/>
        </w:rPr>
        <w:t xml:space="preserve">Contributivo </w:t>
      </w:r>
      <w:r>
        <w:rPr>
          <w:rFonts w:ascii="Arial" w:eastAsia="Times New Roman" w:hAnsi="Arial" w:cs="Arial"/>
          <w:b/>
          <w:bCs/>
          <w:lang w:eastAsia="es-CO"/>
        </w:rPr>
        <w:t xml:space="preserve">Fallos de </w:t>
      </w:r>
      <w:r w:rsidRPr="007D4150">
        <w:rPr>
          <w:rFonts w:ascii="Arial" w:eastAsia="Times New Roman" w:hAnsi="Arial" w:cs="Arial"/>
          <w:b/>
          <w:bCs/>
          <w:lang w:eastAsia="es-CO"/>
        </w:rPr>
        <w:t>Tutela</w:t>
      </w:r>
      <w:r w:rsidRPr="007D4150">
        <w:rPr>
          <w:rFonts w:ascii="Arial" w:eastAsia="Times New Roman" w:hAnsi="Arial" w:cs="Arial"/>
          <w:b/>
          <w:bCs/>
          <w:lang w:eastAsia="es-CO"/>
        </w:rPr>
        <w:tab/>
      </w:r>
      <w:r w:rsidRPr="007D4150">
        <w:rPr>
          <w:rFonts w:ascii="Arial" w:eastAsia="Times New Roman" w:hAnsi="Arial" w:cs="Arial"/>
          <w:lang w:eastAsia="es-CO"/>
        </w:rPr>
        <w:tab/>
      </w:r>
      <w:r w:rsidRPr="007D4150">
        <w:rPr>
          <w:rFonts w:ascii="Arial" w:eastAsia="Times New Roman" w:hAnsi="Arial" w:cs="Arial"/>
          <w:lang w:eastAsia="es-CO"/>
        </w:rPr>
        <w:tab/>
      </w:r>
      <w:r w:rsidRPr="007D4150">
        <w:rPr>
          <w:rFonts w:ascii="Arial" w:eastAsia="Times New Roman" w:hAnsi="Arial" w:cs="Arial"/>
          <w:lang w:eastAsia="es-CO"/>
        </w:rPr>
        <w:tab/>
      </w:r>
      <w:r w:rsidRPr="007D4150">
        <w:rPr>
          <w:rFonts w:ascii="Arial" w:eastAsia="Times New Roman" w:hAnsi="Arial" w:cs="Arial"/>
          <w:lang w:eastAsia="es-CO"/>
        </w:rPr>
        <w:tab/>
      </w:r>
      <w:r w:rsidRPr="007D4150">
        <w:rPr>
          <w:rFonts w:ascii="Arial" w:eastAsia="Times New Roman" w:hAnsi="Arial" w:cs="Arial"/>
          <w:lang w:eastAsia="es-CO"/>
        </w:rPr>
        <w:tab/>
      </w:r>
      <w:r w:rsidRPr="007D4150">
        <w:rPr>
          <w:rFonts w:ascii="Arial" w:eastAsia="Times New Roman" w:hAnsi="Arial" w:cs="Arial"/>
          <w:lang w:eastAsia="es-CO"/>
        </w:rPr>
        <w:tab/>
      </w:r>
    </w:p>
    <w:p w:rsidR="00BE1433" w:rsidRPr="00682506" w:rsidRDefault="00BE1433" w:rsidP="007F7339">
      <w:pPr>
        <w:widowControl w:val="0"/>
        <w:spacing w:after="0" w:line="240" w:lineRule="auto"/>
        <w:jc w:val="right"/>
        <w:rPr>
          <w:rFonts w:ascii="Arial" w:hAnsi="Arial" w:cs="Arial"/>
          <w:sz w:val="20"/>
        </w:rPr>
      </w:pPr>
      <w:r w:rsidRPr="00682506">
        <w:rPr>
          <w:rFonts w:ascii="Arial" w:eastAsia="Times New Roman" w:hAnsi="Arial" w:cs="Arial"/>
          <w:bCs/>
          <w:sz w:val="20"/>
          <w:lang w:eastAsia="es-CO"/>
        </w:rPr>
        <w:t>Cifras en millones</w:t>
      </w:r>
    </w:p>
    <w:tbl>
      <w:tblPr>
        <w:tblW w:w="8991" w:type="dxa"/>
        <w:jc w:val="center"/>
        <w:tblInd w:w="58" w:type="dxa"/>
        <w:tblLayout w:type="fixed"/>
        <w:tblCellMar>
          <w:left w:w="70" w:type="dxa"/>
          <w:right w:w="70" w:type="dxa"/>
        </w:tblCellMar>
        <w:tblLook w:val="04A0" w:firstRow="1" w:lastRow="0" w:firstColumn="1" w:lastColumn="0" w:noHBand="0" w:noVBand="1"/>
      </w:tblPr>
      <w:tblGrid>
        <w:gridCol w:w="1095"/>
        <w:gridCol w:w="1276"/>
        <w:gridCol w:w="851"/>
        <w:gridCol w:w="1417"/>
        <w:gridCol w:w="851"/>
        <w:gridCol w:w="1430"/>
        <w:gridCol w:w="850"/>
        <w:gridCol w:w="1221"/>
      </w:tblGrid>
      <w:tr w:rsidR="00BE1433" w:rsidRPr="007D4150" w:rsidTr="008E293B">
        <w:trPr>
          <w:trHeight w:val="420"/>
          <w:jc w:val="center"/>
        </w:trPr>
        <w:tc>
          <w:tcPr>
            <w:tcW w:w="10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Año</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Vr</w:t>
            </w:r>
            <w:proofErr w:type="spellEnd"/>
            <w:r w:rsidRPr="007D4150">
              <w:rPr>
                <w:rFonts w:ascii="Arial" w:eastAsia="Times New Roman" w:hAnsi="Arial" w:cs="Arial"/>
                <w:b/>
                <w:bCs/>
                <w:sz w:val="18"/>
                <w:szCs w:val="18"/>
                <w:lang w:eastAsia="es-CO"/>
              </w:rPr>
              <w:t xml:space="preserve"> Recobrado</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Variac</w:t>
            </w:r>
            <w:proofErr w:type="spellEnd"/>
            <w:r w:rsidRPr="007D4150">
              <w:rPr>
                <w:rFonts w:ascii="Arial" w:eastAsia="Times New Roman" w:hAnsi="Arial" w:cs="Arial"/>
                <w:b/>
                <w:bCs/>
                <w:sz w:val="18"/>
                <w:szCs w:val="18"/>
                <w:lang w:eastAsia="es-CO"/>
              </w:rPr>
              <w:t>. %</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Vr</w:t>
            </w:r>
            <w:proofErr w:type="spellEnd"/>
            <w:r w:rsidRPr="007D4150">
              <w:rPr>
                <w:rFonts w:ascii="Arial" w:eastAsia="Times New Roman" w:hAnsi="Arial" w:cs="Arial"/>
                <w:b/>
                <w:bCs/>
                <w:sz w:val="18"/>
                <w:szCs w:val="18"/>
                <w:lang w:eastAsia="es-CO"/>
              </w:rPr>
              <w:t xml:space="preserve"> Aprobado</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Variac</w:t>
            </w:r>
            <w:proofErr w:type="spellEnd"/>
            <w:r w:rsidRPr="007D4150">
              <w:rPr>
                <w:rFonts w:ascii="Arial" w:eastAsia="Times New Roman" w:hAnsi="Arial" w:cs="Arial"/>
                <w:b/>
                <w:bCs/>
                <w:sz w:val="18"/>
                <w:szCs w:val="18"/>
                <w:lang w:eastAsia="es-CO"/>
              </w:rPr>
              <w:t>. %</w:t>
            </w:r>
          </w:p>
        </w:tc>
        <w:tc>
          <w:tcPr>
            <w:tcW w:w="1430"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Vr</w:t>
            </w:r>
            <w:proofErr w:type="spellEnd"/>
            <w:r w:rsidRPr="007D4150">
              <w:rPr>
                <w:rFonts w:ascii="Arial" w:eastAsia="Times New Roman" w:hAnsi="Arial" w:cs="Arial"/>
                <w:b/>
                <w:bCs/>
                <w:sz w:val="18"/>
                <w:szCs w:val="18"/>
                <w:lang w:eastAsia="es-CO"/>
              </w:rPr>
              <w:t xml:space="preserve"> Glosado</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proofErr w:type="spellStart"/>
            <w:r w:rsidRPr="007D4150">
              <w:rPr>
                <w:rFonts w:ascii="Arial" w:eastAsia="Times New Roman" w:hAnsi="Arial" w:cs="Arial"/>
                <w:b/>
                <w:bCs/>
                <w:sz w:val="18"/>
                <w:szCs w:val="18"/>
                <w:lang w:eastAsia="es-CO"/>
              </w:rPr>
              <w:t>Variac</w:t>
            </w:r>
            <w:proofErr w:type="spellEnd"/>
            <w:r w:rsidRPr="007D4150">
              <w:rPr>
                <w:rFonts w:ascii="Arial" w:eastAsia="Times New Roman" w:hAnsi="Arial" w:cs="Arial"/>
                <w:b/>
                <w:bCs/>
                <w:sz w:val="18"/>
                <w:szCs w:val="18"/>
                <w:lang w:eastAsia="es-CO"/>
              </w:rPr>
              <w:t>. %</w:t>
            </w:r>
          </w:p>
        </w:tc>
        <w:tc>
          <w:tcPr>
            <w:tcW w:w="1221" w:type="dxa"/>
            <w:tcBorders>
              <w:top w:val="single" w:sz="8" w:space="0" w:color="auto"/>
              <w:left w:val="nil"/>
              <w:bottom w:val="single" w:sz="4" w:space="0" w:color="auto"/>
              <w:right w:val="single" w:sz="8"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Glosado / Recobrado</w:t>
            </w:r>
          </w:p>
        </w:tc>
      </w:tr>
      <w:tr w:rsidR="00BE1433" w:rsidRPr="007D4150" w:rsidTr="008E293B">
        <w:trPr>
          <w:trHeight w:val="255"/>
          <w:jc w:val="center"/>
        </w:trPr>
        <w:tc>
          <w:tcPr>
            <w:tcW w:w="1095" w:type="dxa"/>
            <w:tcBorders>
              <w:top w:val="nil"/>
              <w:left w:val="single" w:sz="8" w:space="0" w:color="auto"/>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2008</w:t>
            </w:r>
          </w:p>
        </w:tc>
        <w:tc>
          <w:tcPr>
            <w:tcW w:w="1276"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886.389</w:t>
            </w:r>
          </w:p>
        </w:tc>
        <w:tc>
          <w:tcPr>
            <w:tcW w:w="851"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417"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574.345</w:t>
            </w:r>
          </w:p>
        </w:tc>
        <w:tc>
          <w:tcPr>
            <w:tcW w:w="851"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430"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11.639</w:t>
            </w:r>
          </w:p>
        </w:tc>
        <w:tc>
          <w:tcPr>
            <w:tcW w:w="850"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221" w:type="dxa"/>
            <w:tcBorders>
              <w:top w:val="nil"/>
              <w:left w:val="nil"/>
              <w:bottom w:val="single" w:sz="4" w:space="0" w:color="auto"/>
              <w:right w:val="single" w:sz="8"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35%</w:t>
            </w:r>
          </w:p>
        </w:tc>
      </w:tr>
      <w:tr w:rsidR="00BE1433" w:rsidRPr="007D4150" w:rsidTr="008E293B">
        <w:trPr>
          <w:trHeight w:val="255"/>
          <w:jc w:val="center"/>
        </w:trPr>
        <w:tc>
          <w:tcPr>
            <w:tcW w:w="1095" w:type="dxa"/>
            <w:tcBorders>
              <w:top w:val="nil"/>
              <w:left w:val="single" w:sz="8" w:space="0" w:color="auto"/>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2009</w:t>
            </w:r>
          </w:p>
        </w:tc>
        <w:tc>
          <w:tcPr>
            <w:tcW w:w="1276"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977.458</w:t>
            </w:r>
          </w:p>
        </w:tc>
        <w:tc>
          <w:tcPr>
            <w:tcW w:w="851"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10%</w:t>
            </w:r>
          </w:p>
        </w:tc>
        <w:tc>
          <w:tcPr>
            <w:tcW w:w="1417"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644.393</w:t>
            </w:r>
          </w:p>
        </w:tc>
        <w:tc>
          <w:tcPr>
            <w:tcW w:w="851"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12%</w:t>
            </w:r>
          </w:p>
        </w:tc>
        <w:tc>
          <w:tcPr>
            <w:tcW w:w="1430"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333.158</w:t>
            </w:r>
          </w:p>
        </w:tc>
        <w:tc>
          <w:tcPr>
            <w:tcW w:w="850"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7%</w:t>
            </w:r>
          </w:p>
        </w:tc>
        <w:tc>
          <w:tcPr>
            <w:tcW w:w="1221" w:type="dxa"/>
            <w:tcBorders>
              <w:top w:val="nil"/>
              <w:left w:val="nil"/>
              <w:bottom w:val="single" w:sz="4" w:space="0" w:color="auto"/>
              <w:right w:val="single" w:sz="8"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34%</w:t>
            </w:r>
          </w:p>
        </w:tc>
      </w:tr>
      <w:tr w:rsidR="00BE1433" w:rsidRPr="007D4150" w:rsidTr="008E293B">
        <w:trPr>
          <w:trHeight w:val="255"/>
          <w:jc w:val="center"/>
        </w:trPr>
        <w:tc>
          <w:tcPr>
            <w:tcW w:w="1095" w:type="dxa"/>
            <w:tcBorders>
              <w:top w:val="nil"/>
              <w:left w:val="single" w:sz="8" w:space="0" w:color="auto"/>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2010</w:t>
            </w:r>
          </w:p>
        </w:tc>
        <w:tc>
          <w:tcPr>
            <w:tcW w:w="1276"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858.411</w:t>
            </w:r>
          </w:p>
        </w:tc>
        <w:tc>
          <w:tcPr>
            <w:tcW w:w="851"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-12%</w:t>
            </w:r>
          </w:p>
        </w:tc>
        <w:tc>
          <w:tcPr>
            <w:tcW w:w="1417"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521.566</w:t>
            </w:r>
          </w:p>
        </w:tc>
        <w:tc>
          <w:tcPr>
            <w:tcW w:w="851"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-19%</w:t>
            </w:r>
          </w:p>
        </w:tc>
        <w:tc>
          <w:tcPr>
            <w:tcW w:w="1430"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331.577</w:t>
            </w:r>
          </w:p>
        </w:tc>
        <w:tc>
          <w:tcPr>
            <w:tcW w:w="850" w:type="dxa"/>
            <w:tcBorders>
              <w:top w:val="nil"/>
              <w:left w:val="nil"/>
              <w:bottom w:val="single" w:sz="4"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-0,5%</w:t>
            </w:r>
          </w:p>
        </w:tc>
        <w:tc>
          <w:tcPr>
            <w:tcW w:w="1221" w:type="dxa"/>
            <w:tcBorders>
              <w:top w:val="nil"/>
              <w:left w:val="nil"/>
              <w:bottom w:val="single" w:sz="4" w:space="0" w:color="auto"/>
              <w:right w:val="single" w:sz="8"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39%</w:t>
            </w:r>
          </w:p>
        </w:tc>
      </w:tr>
      <w:tr w:rsidR="00BE1433" w:rsidRPr="007D4150" w:rsidTr="008E293B">
        <w:trPr>
          <w:trHeight w:val="270"/>
          <w:jc w:val="center"/>
        </w:trPr>
        <w:tc>
          <w:tcPr>
            <w:tcW w:w="1095" w:type="dxa"/>
            <w:tcBorders>
              <w:top w:val="nil"/>
              <w:left w:val="single" w:sz="8" w:space="0" w:color="auto"/>
              <w:bottom w:val="single" w:sz="8"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Julio de  2011</w:t>
            </w:r>
          </w:p>
        </w:tc>
        <w:tc>
          <w:tcPr>
            <w:tcW w:w="1276" w:type="dxa"/>
            <w:tcBorders>
              <w:top w:val="nil"/>
              <w:left w:val="nil"/>
              <w:bottom w:val="single" w:sz="8"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480.420</w:t>
            </w:r>
          </w:p>
        </w:tc>
        <w:tc>
          <w:tcPr>
            <w:tcW w:w="851" w:type="dxa"/>
            <w:tcBorders>
              <w:top w:val="nil"/>
              <w:left w:val="nil"/>
              <w:bottom w:val="single" w:sz="8"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417" w:type="dxa"/>
            <w:tcBorders>
              <w:top w:val="nil"/>
              <w:left w:val="nil"/>
              <w:bottom w:val="single" w:sz="8"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178.634</w:t>
            </w:r>
          </w:p>
        </w:tc>
        <w:tc>
          <w:tcPr>
            <w:tcW w:w="851" w:type="dxa"/>
            <w:tcBorders>
              <w:top w:val="nil"/>
              <w:left w:val="nil"/>
              <w:bottom w:val="single" w:sz="8"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430" w:type="dxa"/>
            <w:tcBorders>
              <w:top w:val="nil"/>
              <w:left w:val="nil"/>
              <w:bottom w:val="single" w:sz="8"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118.335</w:t>
            </w:r>
          </w:p>
        </w:tc>
        <w:tc>
          <w:tcPr>
            <w:tcW w:w="850" w:type="dxa"/>
            <w:tcBorders>
              <w:top w:val="nil"/>
              <w:left w:val="nil"/>
              <w:bottom w:val="single" w:sz="8" w:space="0" w:color="auto"/>
              <w:right w:val="single" w:sz="4"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sz w:val="18"/>
                <w:szCs w:val="18"/>
                <w:lang w:eastAsia="es-CO"/>
              </w:rPr>
            </w:pPr>
            <w:r w:rsidRPr="007D4150">
              <w:rPr>
                <w:rFonts w:ascii="Arial" w:eastAsia="Times New Roman" w:hAnsi="Arial" w:cs="Arial"/>
                <w:sz w:val="18"/>
                <w:szCs w:val="18"/>
                <w:lang w:eastAsia="es-CO"/>
              </w:rPr>
              <w:t> </w:t>
            </w:r>
          </w:p>
        </w:tc>
        <w:tc>
          <w:tcPr>
            <w:tcW w:w="1221" w:type="dxa"/>
            <w:tcBorders>
              <w:top w:val="nil"/>
              <w:left w:val="nil"/>
              <w:bottom w:val="single" w:sz="8" w:space="0" w:color="auto"/>
              <w:right w:val="single" w:sz="8" w:space="0" w:color="auto"/>
            </w:tcBorders>
            <w:shd w:val="clear" w:color="auto" w:fill="auto"/>
            <w:noWrap/>
            <w:vAlign w:val="center"/>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25%</w:t>
            </w:r>
          </w:p>
        </w:tc>
      </w:tr>
      <w:tr w:rsidR="00BE1433" w:rsidRPr="007D4150" w:rsidTr="008E293B">
        <w:trPr>
          <w:trHeight w:val="270"/>
          <w:jc w:val="center"/>
        </w:trPr>
        <w:tc>
          <w:tcPr>
            <w:tcW w:w="109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center"/>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TOTAL</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3.202.678</w:t>
            </w:r>
          </w:p>
        </w:tc>
        <w:tc>
          <w:tcPr>
            <w:tcW w:w="851" w:type="dxa"/>
            <w:tcBorders>
              <w:top w:val="single" w:sz="4" w:space="0" w:color="auto"/>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417" w:type="dxa"/>
            <w:tcBorders>
              <w:top w:val="single" w:sz="4" w:space="0" w:color="auto"/>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1.918.938</w:t>
            </w:r>
          </w:p>
        </w:tc>
        <w:tc>
          <w:tcPr>
            <w:tcW w:w="851" w:type="dxa"/>
            <w:tcBorders>
              <w:top w:val="single" w:sz="4" w:space="0" w:color="auto"/>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430" w:type="dxa"/>
            <w:tcBorders>
              <w:top w:val="single" w:sz="4" w:space="0" w:color="auto"/>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jc w:val="right"/>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1.094.708</w:t>
            </w:r>
          </w:p>
        </w:tc>
        <w:tc>
          <w:tcPr>
            <w:tcW w:w="850" w:type="dxa"/>
            <w:tcBorders>
              <w:top w:val="single" w:sz="4" w:space="0" w:color="auto"/>
              <w:left w:val="nil"/>
              <w:bottom w:val="single" w:sz="8" w:space="0" w:color="auto"/>
              <w:right w:val="single" w:sz="4"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c>
          <w:tcPr>
            <w:tcW w:w="1221" w:type="dxa"/>
            <w:tcBorders>
              <w:top w:val="single" w:sz="4" w:space="0" w:color="auto"/>
              <w:left w:val="nil"/>
              <w:bottom w:val="single" w:sz="8" w:space="0" w:color="auto"/>
              <w:right w:val="single" w:sz="8" w:space="0" w:color="auto"/>
            </w:tcBorders>
            <w:shd w:val="clear" w:color="auto" w:fill="auto"/>
            <w:noWrap/>
            <w:vAlign w:val="bottom"/>
            <w:hideMark/>
          </w:tcPr>
          <w:p w:rsidR="00BE1433" w:rsidRPr="007D4150" w:rsidRDefault="00BE1433" w:rsidP="007F7339">
            <w:pPr>
              <w:widowControl w:val="0"/>
              <w:spacing w:after="0" w:line="240" w:lineRule="auto"/>
              <w:rPr>
                <w:rFonts w:ascii="Arial" w:eastAsia="Times New Roman" w:hAnsi="Arial" w:cs="Arial"/>
                <w:b/>
                <w:bCs/>
                <w:sz w:val="18"/>
                <w:szCs w:val="18"/>
                <w:lang w:eastAsia="es-CO"/>
              </w:rPr>
            </w:pPr>
            <w:r w:rsidRPr="007D4150">
              <w:rPr>
                <w:rFonts w:ascii="Arial" w:eastAsia="Times New Roman" w:hAnsi="Arial" w:cs="Arial"/>
                <w:b/>
                <w:bCs/>
                <w:sz w:val="18"/>
                <w:szCs w:val="18"/>
                <w:lang w:eastAsia="es-CO"/>
              </w:rPr>
              <w:t> </w:t>
            </w:r>
          </w:p>
        </w:tc>
      </w:tr>
    </w:tbl>
    <w:p w:rsidR="00BE1433" w:rsidRPr="00B87D3F" w:rsidRDefault="00BE1433" w:rsidP="007F7339">
      <w:pPr>
        <w:widowControl w:val="0"/>
        <w:spacing w:after="0" w:line="240" w:lineRule="auto"/>
        <w:jc w:val="both"/>
        <w:rPr>
          <w:rFonts w:ascii="Arial" w:hAnsi="Arial" w:cs="Arial"/>
          <w:sz w:val="18"/>
        </w:rPr>
      </w:pPr>
      <w:r w:rsidRPr="00B87D3F">
        <w:rPr>
          <w:rFonts w:ascii="Arial" w:eastAsia="Times New Roman" w:hAnsi="Arial" w:cs="Arial"/>
          <w:b/>
          <w:bCs/>
          <w:sz w:val="18"/>
          <w:lang w:eastAsia="es-CO"/>
        </w:rPr>
        <w:t>FUENTE:</w:t>
      </w:r>
      <w:r w:rsidRPr="00B87D3F">
        <w:rPr>
          <w:rFonts w:ascii="Arial" w:eastAsia="Times New Roman" w:hAnsi="Arial" w:cs="Arial"/>
          <w:bCs/>
          <w:sz w:val="18"/>
          <w:lang w:eastAsia="es-CO"/>
        </w:rPr>
        <w:t xml:space="preserve"> TABLAS BASES DE DATOS - CONSORCIO FIDUFOSYGA 2005</w:t>
      </w:r>
    </w:p>
    <w:p w:rsidR="00BE1433" w:rsidRPr="007D4150" w:rsidRDefault="00BE1433" w:rsidP="007F7339">
      <w:pPr>
        <w:widowControl w:val="0"/>
        <w:spacing w:after="0" w:line="240" w:lineRule="auto"/>
        <w:jc w:val="both"/>
        <w:rPr>
          <w:rFonts w:ascii="Arial" w:hAnsi="Arial" w:cs="Arial"/>
        </w:rPr>
      </w:pPr>
    </w:p>
    <w:p w:rsidR="00BE1433" w:rsidRPr="002D7D4B" w:rsidRDefault="00BE1433" w:rsidP="007F7339">
      <w:pPr>
        <w:widowControl w:val="0"/>
        <w:spacing w:after="0" w:line="240" w:lineRule="auto"/>
        <w:jc w:val="both"/>
        <w:rPr>
          <w:rFonts w:ascii="Arial" w:hAnsi="Arial" w:cs="Arial"/>
        </w:rPr>
      </w:pPr>
      <w:r w:rsidRPr="002D7D4B">
        <w:rPr>
          <w:rFonts w:ascii="Arial" w:hAnsi="Arial" w:cs="Arial"/>
        </w:rPr>
        <w:t xml:space="preserve">El comportamiento de los recobros por </w:t>
      </w:r>
      <w:r>
        <w:rPr>
          <w:rFonts w:ascii="Arial" w:hAnsi="Arial" w:cs="Arial"/>
        </w:rPr>
        <w:t xml:space="preserve">Fallos </w:t>
      </w:r>
      <w:r w:rsidRPr="002D7D4B">
        <w:rPr>
          <w:rFonts w:ascii="Arial" w:hAnsi="Arial" w:cs="Arial"/>
        </w:rPr>
        <w:t xml:space="preserve">de Tutelas, </w:t>
      </w:r>
      <w:r>
        <w:rPr>
          <w:rFonts w:ascii="Arial" w:hAnsi="Arial" w:cs="Arial"/>
        </w:rPr>
        <w:t xml:space="preserve">presenta </w:t>
      </w:r>
      <w:r w:rsidRPr="002D7D4B">
        <w:rPr>
          <w:rFonts w:ascii="Arial" w:hAnsi="Arial" w:cs="Arial"/>
        </w:rPr>
        <w:t xml:space="preserve">incrementos en los valores recobrados en el periodo comprendido entre los años 2008 – 2009 del 10% y una disminución del 12% en los años 2009 a 2010.  Situación similar se </w:t>
      </w:r>
      <w:r>
        <w:rPr>
          <w:rFonts w:ascii="Arial" w:hAnsi="Arial" w:cs="Arial"/>
        </w:rPr>
        <w:t xml:space="preserve">observa </w:t>
      </w:r>
      <w:r w:rsidRPr="002D7D4B">
        <w:rPr>
          <w:rFonts w:ascii="Arial" w:hAnsi="Arial" w:cs="Arial"/>
        </w:rPr>
        <w:t>con relació</w:t>
      </w:r>
      <w:r w:rsidRPr="002D7D4B">
        <w:rPr>
          <w:rFonts w:ascii="Arial" w:hAnsi="Arial" w:cs="Arial" w:hint="eastAsia"/>
        </w:rPr>
        <w:t xml:space="preserve">n a </w:t>
      </w:r>
      <w:r w:rsidRPr="002D7D4B">
        <w:rPr>
          <w:rFonts w:ascii="Arial" w:hAnsi="Arial" w:cs="Arial"/>
        </w:rPr>
        <w:t xml:space="preserve">los valores aprobados con un crecimiento porcentual del 12% </w:t>
      </w:r>
      <w:r>
        <w:rPr>
          <w:rFonts w:ascii="Arial" w:hAnsi="Arial" w:cs="Arial"/>
        </w:rPr>
        <w:t>para los</w:t>
      </w:r>
      <w:r w:rsidRPr="002D7D4B">
        <w:rPr>
          <w:rFonts w:ascii="Arial" w:hAnsi="Arial" w:cs="Arial"/>
        </w:rPr>
        <w:t xml:space="preserve"> años 2008-2009 y un decrecimiento del 19% entre 2009-2010.  </w:t>
      </w:r>
    </w:p>
    <w:p w:rsidR="00BE1433" w:rsidRDefault="00BE1433" w:rsidP="007F7339">
      <w:pPr>
        <w:widowControl w:val="0"/>
        <w:spacing w:after="0" w:line="240" w:lineRule="auto"/>
        <w:jc w:val="both"/>
        <w:rPr>
          <w:rFonts w:ascii="Arial" w:hAnsi="Arial" w:cs="Arial"/>
        </w:rPr>
      </w:pPr>
    </w:p>
    <w:p w:rsidR="00BE1433" w:rsidRDefault="00BE1433" w:rsidP="007F7339">
      <w:pPr>
        <w:widowControl w:val="0"/>
        <w:spacing w:after="0" w:line="240" w:lineRule="auto"/>
        <w:jc w:val="both"/>
        <w:rPr>
          <w:rFonts w:ascii="Arial" w:hAnsi="Arial" w:cs="Arial"/>
        </w:rPr>
      </w:pPr>
      <w:r w:rsidRPr="002D7D4B">
        <w:rPr>
          <w:rFonts w:ascii="Arial" w:hAnsi="Arial" w:cs="Arial"/>
        </w:rPr>
        <w:t xml:space="preserve">De otra parte, </w:t>
      </w:r>
      <w:r>
        <w:rPr>
          <w:rFonts w:ascii="Arial" w:hAnsi="Arial" w:cs="Arial"/>
        </w:rPr>
        <w:t>el v</w:t>
      </w:r>
      <w:r w:rsidRPr="002D7D4B">
        <w:rPr>
          <w:rFonts w:ascii="Arial" w:hAnsi="Arial" w:cs="Arial"/>
        </w:rPr>
        <w:t>alor glosado</w:t>
      </w:r>
      <w:r>
        <w:rPr>
          <w:rFonts w:ascii="Arial" w:hAnsi="Arial" w:cs="Arial"/>
        </w:rPr>
        <w:t xml:space="preserve"> representa el 35% frente al total r</w:t>
      </w:r>
      <w:r w:rsidRPr="002D7D4B">
        <w:rPr>
          <w:rFonts w:ascii="Arial" w:hAnsi="Arial" w:cs="Arial"/>
        </w:rPr>
        <w:t>ecobrado, en  el año 2008</w:t>
      </w:r>
      <w:r>
        <w:rPr>
          <w:rFonts w:ascii="Arial" w:hAnsi="Arial" w:cs="Arial"/>
        </w:rPr>
        <w:t xml:space="preserve">, </w:t>
      </w:r>
      <w:r w:rsidRPr="002D7D4B">
        <w:rPr>
          <w:rFonts w:ascii="Arial" w:hAnsi="Arial" w:cs="Arial"/>
        </w:rPr>
        <w:t xml:space="preserve">en el 2009 </w:t>
      </w:r>
      <w:r>
        <w:rPr>
          <w:rFonts w:ascii="Arial" w:hAnsi="Arial" w:cs="Arial"/>
        </w:rPr>
        <w:t>equivale a</w:t>
      </w:r>
      <w:r w:rsidRPr="002D7D4B">
        <w:rPr>
          <w:rFonts w:ascii="Arial" w:hAnsi="Arial" w:cs="Arial"/>
        </w:rPr>
        <w:t>l 34%, en el 2010 el 39% y a julio de 2011</w:t>
      </w:r>
      <w:r>
        <w:rPr>
          <w:rFonts w:ascii="Arial" w:hAnsi="Arial" w:cs="Arial"/>
        </w:rPr>
        <w:t xml:space="preserve"> es el </w:t>
      </w:r>
      <w:r w:rsidRPr="002D7D4B">
        <w:rPr>
          <w:rFonts w:ascii="Arial" w:hAnsi="Arial" w:cs="Arial"/>
        </w:rPr>
        <w:t>25%.</w:t>
      </w:r>
    </w:p>
    <w:p w:rsidR="00BE1433" w:rsidRDefault="00BE1433" w:rsidP="007F7339">
      <w:pPr>
        <w:widowControl w:val="0"/>
        <w:spacing w:after="0" w:line="240" w:lineRule="auto"/>
        <w:jc w:val="both"/>
        <w:rPr>
          <w:rFonts w:ascii="Arial" w:hAnsi="Arial" w:cs="Arial"/>
        </w:rPr>
      </w:pPr>
    </w:p>
    <w:p w:rsidR="00BE1433" w:rsidRPr="00FF465B" w:rsidRDefault="00BE1433" w:rsidP="007F7339">
      <w:pPr>
        <w:widowControl w:val="0"/>
        <w:autoSpaceDE w:val="0"/>
        <w:autoSpaceDN w:val="0"/>
        <w:adjustRightInd w:val="0"/>
        <w:spacing w:after="0" w:line="240" w:lineRule="auto"/>
        <w:jc w:val="both"/>
        <w:rPr>
          <w:rFonts w:ascii="Arial" w:hAnsi="Arial" w:cs="Arial"/>
          <w:color w:val="000000"/>
        </w:rPr>
      </w:pPr>
      <w:r w:rsidRPr="00FF465B">
        <w:rPr>
          <w:rFonts w:ascii="Arial" w:hAnsi="Arial" w:cs="Arial"/>
          <w:color w:val="000000"/>
        </w:rPr>
        <w:t xml:space="preserve">Actualmente la Superintendencia Nacional de Salud adelanta cerca de 29 investigaciones administrativas a diferentes EPS, con el  objeto de establecer posibles cobros </w:t>
      </w:r>
      <w:r>
        <w:rPr>
          <w:rFonts w:ascii="Arial" w:hAnsi="Arial" w:cs="Arial"/>
          <w:color w:val="000000"/>
        </w:rPr>
        <w:t>o</w:t>
      </w:r>
      <w:r w:rsidRPr="00FF465B">
        <w:rPr>
          <w:rFonts w:ascii="Arial" w:hAnsi="Arial" w:cs="Arial"/>
          <w:color w:val="000000"/>
        </w:rPr>
        <w:t xml:space="preserve"> pagos dobles, a través de la Unidad de Pago por Capitación y por recobro al FOSYGA  o a entidades territoriales,</w:t>
      </w:r>
      <w:r>
        <w:rPr>
          <w:rFonts w:ascii="Arial" w:hAnsi="Arial" w:cs="Arial"/>
          <w:color w:val="000000"/>
        </w:rPr>
        <w:t xml:space="preserve"> durante los últimos seis años.</w:t>
      </w:r>
    </w:p>
    <w:p w:rsidR="00BE1433" w:rsidRPr="00FF465B" w:rsidRDefault="00BE1433" w:rsidP="007F7339">
      <w:pPr>
        <w:widowControl w:val="0"/>
        <w:autoSpaceDE w:val="0"/>
        <w:autoSpaceDN w:val="0"/>
        <w:adjustRightInd w:val="0"/>
        <w:spacing w:after="0" w:line="240" w:lineRule="auto"/>
        <w:jc w:val="both"/>
        <w:rPr>
          <w:rFonts w:ascii="Arial" w:hAnsi="Arial" w:cs="Arial"/>
          <w:color w:val="000000"/>
        </w:rPr>
      </w:pPr>
    </w:p>
    <w:p w:rsidR="00BE1433" w:rsidRPr="00FF465B" w:rsidRDefault="00BE1433" w:rsidP="007F7339">
      <w:pPr>
        <w:widowControl w:val="0"/>
        <w:autoSpaceDE w:val="0"/>
        <w:autoSpaceDN w:val="0"/>
        <w:adjustRightInd w:val="0"/>
        <w:spacing w:after="0" w:line="240" w:lineRule="auto"/>
        <w:jc w:val="both"/>
        <w:rPr>
          <w:rFonts w:ascii="Arial" w:hAnsi="Arial" w:cs="Arial"/>
          <w:color w:val="000000"/>
        </w:rPr>
      </w:pPr>
      <w:r w:rsidRPr="00FF465B">
        <w:rPr>
          <w:rFonts w:ascii="Arial" w:hAnsi="Arial" w:cs="Arial"/>
          <w:color w:val="000000"/>
        </w:rPr>
        <w:t xml:space="preserve">Cabe decir que por estas mismas causas cursan investigaciones en la Contraloría General de la República, la Procuraduría General y la Fiscalía General de la Nación. Asimismo, </w:t>
      </w:r>
      <w:r>
        <w:rPr>
          <w:rFonts w:ascii="Arial" w:hAnsi="Arial" w:cs="Arial"/>
          <w:color w:val="000000"/>
        </w:rPr>
        <w:t>l</w:t>
      </w:r>
      <w:r w:rsidRPr="00FF465B">
        <w:rPr>
          <w:rFonts w:ascii="Arial" w:hAnsi="Arial" w:cs="Arial"/>
          <w:color w:val="000000"/>
        </w:rPr>
        <w:t>a Superintendencia investiga posibles pagos dobles por éste mismo mecanismo en el  Administrador Fiduciario de los Recursos del FOSYGA.</w:t>
      </w:r>
    </w:p>
    <w:p w:rsidR="00BE1433" w:rsidRPr="00FF465B" w:rsidRDefault="00BE1433" w:rsidP="007F7339">
      <w:pPr>
        <w:widowControl w:val="0"/>
        <w:autoSpaceDE w:val="0"/>
        <w:autoSpaceDN w:val="0"/>
        <w:adjustRightInd w:val="0"/>
        <w:spacing w:after="0" w:line="240" w:lineRule="auto"/>
        <w:jc w:val="both"/>
        <w:rPr>
          <w:rFonts w:ascii="Arial" w:hAnsi="Arial" w:cs="Arial"/>
          <w:color w:val="000000"/>
        </w:rPr>
      </w:pPr>
    </w:p>
    <w:p w:rsidR="00BE1433" w:rsidRDefault="00BE1433" w:rsidP="007F7339">
      <w:pPr>
        <w:widowControl w:val="0"/>
        <w:autoSpaceDE w:val="0"/>
        <w:autoSpaceDN w:val="0"/>
        <w:adjustRightInd w:val="0"/>
        <w:spacing w:after="0" w:line="240" w:lineRule="auto"/>
        <w:jc w:val="both"/>
        <w:rPr>
          <w:rFonts w:ascii="Arial" w:hAnsi="Arial" w:cs="Arial"/>
          <w:color w:val="000000"/>
        </w:rPr>
      </w:pPr>
      <w:r w:rsidRPr="00FF465B">
        <w:rPr>
          <w:rFonts w:ascii="Arial" w:hAnsi="Arial" w:cs="Arial"/>
          <w:color w:val="000000"/>
        </w:rPr>
        <w:t xml:space="preserve">Con el objeto de establecer un criterio técnico, transparente y definitivo sobre la materia, </w:t>
      </w:r>
      <w:r>
        <w:rPr>
          <w:rFonts w:ascii="Arial" w:hAnsi="Arial" w:cs="Arial"/>
          <w:color w:val="000000"/>
        </w:rPr>
        <w:t xml:space="preserve">mediante comunicación NURC 2-2011- 060823, se requirió a la </w:t>
      </w:r>
      <w:r w:rsidRPr="00FF465B">
        <w:rPr>
          <w:rFonts w:ascii="Arial" w:hAnsi="Arial" w:cs="Arial"/>
          <w:color w:val="000000"/>
        </w:rPr>
        <w:t xml:space="preserve">Comisión de Regulación en Salud </w:t>
      </w:r>
      <w:r>
        <w:rPr>
          <w:rFonts w:ascii="Arial" w:hAnsi="Arial" w:cs="Arial"/>
          <w:color w:val="000000"/>
        </w:rPr>
        <w:t xml:space="preserve">– </w:t>
      </w:r>
      <w:r w:rsidRPr="00FF465B">
        <w:rPr>
          <w:rFonts w:ascii="Arial" w:hAnsi="Arial" w:cs="Arial"/>
          <w:color w:val="000000"/>
        </w:rPr>
        <w:t>CRES</w:t>
      </w:r>
      <w:r>
        <w:rPr>
          <w:rFonts w:ascii="Arial" w:hAnsi="Arial" w:cs="Arial"/>
          <w:color w:val="000000"/>
        </w:rPr>
        <w:t xml:space="preserve">, </w:t>
      </w:r>
      <w:r w:rsidRPr="00FF465B">
        <w:rPr>
          <w:rFonts w:ascii="Arial" w:hAnsi="Arial" w:cs="Arial"/>
          <w:color w:val="000000"/>
        </w:rPr>
        <w:t>como entidad competente para fijar el valor de la UPC cada año, y determinar los contenidos del POS</w:t>
      </w:r>
      <w:r>
        <w:rPr>
          <w:rFonts w:ascii="Arial" w:hAnsi="Arial" w:cs="Arial"/>
          <w:color w:val="000000"/>
        </w:rPr>
        <w:t>, su</w:t>
      </w:r>
      <w:r w:rsidRPr="00FF465B">
        <w:rPr>
          <w:rFonts w:ascii="Arial" w:hAnsi="Arial" w:cs="Arial"/>
          <w:color w:val="000000"/>
        </w:rPr>
        <w:t xml:space="preserve"> pronunci</w:t>
      </w:r>
      <w:r>
        <w:rPr>
          <w:rFonts w:ascii="Arial" w:hAnsi="Arial" w:cs="Arial"/>
          <w:color w:val="000000"/>
        </w:rPr>
        <w:t>amiento</w:t>
      </w:r>
      <w:r w:rsidRPr="00FF465B">
        <w:rPr>
          <w:rFonts w:ascii="Arial" w:hAnsi="Arial" w:cs="Arial"/>
          <w:color w:val="000000"/>
        </w:rPr>
        <w:t xml:space="preserve">. En particular se </w:t>
      </w:r>
      <w:r>
        <w:rPr>
          <w:rFonts w:ascii="Arial" w:hAnsi="Arial" w:cs="Arial"/>
          <w:color w:val="000000"/>
        </w:rPr>
        <w:t xml:space="preserve">solicitó </w:t>
      </w:r>
      <w:r w:rsidRPr="00FF465B">
        <w:rPr>
          <w:rFonts w:ascii="Arial" w:hAnsi="Arial" w:cs="Arial"/>
          <w:color w:val="000000"/>
        </w:rPr>
        <w:t xml:space="preserve">aclarar </w:t>
      </w:r>
      <w:r>
        <w:rPr>
          <w:rFonts w:ascii="Arial" w:hAnsi="Arial" w:cs="Arial"/>
          <w:color w:val="000000"/>
        </w:rPr>
        <w:t xml:space="preserve">un </w:t>
      </w:r>
      <w:r w:rsidRPr="00FF465B">
        <w:rPr>
          <w:rFonts w:ascii="Arial" w:hAnsi="Arial" w:cs="Arial"/>
          <w:color w:val="000000"/>
        </w:rPr>
        <w:t>lista</w:t>
      </w:r>
      <w:r>
        <w:rPr>
          <w:rFonts w:ascii="Arial" w:hAnsi="Arial" w:cs="Arial"/>
          <w:color w:val="000000"/>
        </w:rPr>
        <w:t>do</w:t>
      </w:r>
      <w:r w:rsidRPr="00FF465B">
        <w:rPr>
          <w:rFonts w:ascii="Arial" w:hAnsi="Arial" w:cs="Arial"/>
          <w:color w:val="000000"/>
        </w:rPr>
        <w:t xml:space="preserve"> </w:t>
      </w:r>
      <w:r>
        <w:rPr>
          <w:rFonts w:ascii="Arial" w:hAnsi="Arial" w:cs="Arial"/>
          <w:color w:val="000000"/>
        </w:rPr>
        <w:t xml:space="preserve">de </w:t>
      </w:r>
      <w:r w:rsidRPr="00FF465B">
        <w:rPr>
          <w:rFonts w:ascii="Arial" w:hAnsi="Arial" w:cs="Arial"/>
          <w:color w:val="000000"/>
        </w:rPr>
        <w:t xml:space="preserve">ítems </w:t>
      </w:r>
      <w:r>
        <w:rPr>
          <w:rFonts w:ascii="Arial" w:hAnsi="Arial" w:cs="Arial"/>
          <w:color w:val="000000"/>
        </w:rPr>
        <w:t xml:space="preserve">para determinar si </w:t>
      </w:r>
      <w:r w:rsidRPr="00FF465B">
        <w:rPr>
          <w:rFonts w:ascii="Arial" w:hAnsi="Arial" w:cs="Arial"/>
          <w:color w:val="000000"/>
        </w:rPr>
        <w:t>están incluidos en el POS y</w:t>
      </w:r>
      <w:r>
        <w:rPr>
          <w:rFonts w:ascii="Arial" w:hAnsi="Arial" w:cs="Arial"/>
          <w:color w:val="000000"/>
        </w:rPr>
        <w:t xml:space="preserve">, en tal caso, </w:t>
      </w:r>
      <w:r w:rsidRPr="00FF465B">
        <w:rPr>
          <w:rFonts w:ascii="Arial" w:hAnsi="Arial" w:cs="Arial"/>
          <w:color w:val="000000"/>
        </w:rPr>
        <w:t xml:space="preserve">como corresponde, debidamente financiados y registrados en la nota actuarial de la UPC, tanto en el Régimen Contributivo como en el Subsidiado. </w:t>
      </w:r>
    </w:p>
    <w:p w:rsidR="00C30498" w:rsidRDefault="00C30498" w:rsidP="007F7339">
      <w:pPr>
        <w:widowControl w:val="0"/>
        <w:autoSpaceDE w:val="0"/>
        <w:autoSpaceDN w:val="0"/>
        <w:adjustRightInd w:val="0"/>
        <w:spacing w:after="0" w:line="240" w:lineRule="auto"/>
        <w:jc w:val="both"/>
        <w:rPr>
          <w:rFonts w:ascii="Arial" w:hAnsi="Arial" w:cs="Arial"/>
          <w:color w:val="000000"/>
        </w:rPr>
      </w:pPr>
    </w:p>
    <w:p w:rsidR="003B1B8E" w:rsidRDefault="003B1B8E" w:rsidP="007F733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Los recobros en el Régimen Subsidiado, presentan el siguiente comportamiento:</w:t>
      </w:r>
    </w:p>
    <w:p w:rsidR="00CC6EFA" w:rsidRDefault="00CC6EFA" w:rsidP="007F7339">
      <w:pPr>
        <w:widowControl w:val="0"/>
        <w:spacing w:after="0" w:line="240" w:lineRule="auto"/>
        <w:jc w:val="both"/>
        <w:rPr>
          <w:rFonts w:ascii="Arial" w:hAnsi="Arial" w:cs="Arial"/>
        </w:rPr>
      </w:pPr>
    </w:p>
    <w:p w:rsidR="00412415" w:rsidRPr="00682506" w:rsidRDefault="00412415" w:rsidP="00AB2B54">
      <w:pPr>
        <w:widowControl w:val="0"/>
        <w:spacing w:after="0" w:line="240" w:lineRule="auto"/>
        <w:ind w:right="473"/>
        <w:jc w:val="right"/>
        <w:rPr>
          <w:rFonts w:ascii="Arial" w:hAnsi="Arial" w:cs="Arial"/>
          <w:sz w:val="20"/>
        </w:rPr>
      </w:pPr>
      <w:r w:rsidRPr="00682506">
        <w:rPr>
          <w:rFonts w:ascii="Arial" w:eastAsia="Times New Roman" w:hAnsi="Arial" w:cs="Arial"/>
          <w:bCs/>
          <w:sz w:val="20"/>
          <w:lang w:eastAsia="es-CO"/>
        </w:rPr>
        <w:t>Cifras en millones</w:t>
      </w:r>
    </w:p>
    <w:tbl>
      <w:tblPr>
        <w:tblW w:w="852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
        <w:gridCol w:w="1081"/>
        <w:gridCol w:w="955"/>
        <w:gridCol w:w="1134"/>
        <w:gridCol w:w="992"/>
        <w:gridCol w:w="992"/>
        <w:gridCol w:w="920"/>
        <w:gridCol w:w="1206"/>
      </w:tblGrid>
      <w:tr w:rsidR="00CC6EFA" w:rsidRPr="00CC6EFA" w:rsidTr="00AB2B54">
        <w:trPr>
          <w:trHeight w:val="480"/>
          <w:jc w:val="center"/>
        </w:trPr>
        <w:tc>
          <w:tcPr>
            <w:tcW w:w="1240" w:type="dxa"/>
            <w:shd w:val="clear" w:color="auto" w:fill="auto"/>
            <w:noWrap/>
            <w:vAlign w:val="center"/>
            <w:hideMark/>
          </w:tcPr>
          <w:p w:rsidR="00CC6EFA" w:rsidRPr="00CC6EFA" w:rsidRDefault="00CC6EFA" w:rsidP="007F7339">
            <w:pPr>
              <w:widowControl w:val="0"/>
              <w:spacing w:after="0" w:line="240" w:lineRule="auto"/>
              <w:jc w:val="center"/>
              <w:rPr>
                <w:rFonts w:ascii="Arial" w:eastAsia="Times New Roman" w:hAnsi="Arial" w:cs="Arial"/>
                <w:b/>
                <w:bCs/>
                <w:color w:val="000000"/>
                <w:sz w:val="18"/>
                <w:szCs w:val="18"/>
                <w:lang w:eastAsia="es-CO"/>
              </w:rPr>
            </w:pPr>
            <w:r w:rsidRPr="00CC6EFA">
              <w:rPr>
                <w:rFonts w:ascii="Arial" w:eastAsia="Times New Roman" w:hAnsi="Arial" w:cs="Arial"/>
                <w:b/>
                <w:bCs/>
                <w:color w:val="000000"/>
                <w:sz w:val="18"/>
                <w:szCs w:val="18"/>
                <w:lang w:eastAsia="es-CO"/>
              </w:rPr>
              <w:t>Año</w:t>
            </w:r>
          </w:p>
        </w:tc>
        <w:tc>
          <w:tcPr>
            <w:tcW w:w="1081" w:type="dxa"/>
            <w:shd w:val="clear" w:color="auto" w:fill="auto"/>
            <w:noWrap/>
            <w:vAlign w:val="center"/>
            <w:hideMark/>
          </w:tcPr>
          <w:p w:rsidR="00CC6EFA" w:rsidRPr="00CC6EFA" w:rsidRDefault="00CC6EFA" w:rsidP="007F7339">
            <w:pPr>
              <w:widowControl w:val="0"/>
              <w:spacing w:after="0" w:line="240" w:lineRule="auto"/>
              <w:jc w:val="center"/>
              <w:rPr>
                <w:rFonts w:ascii="Arial" w:eastAsia="Times New Roman" w:hAnsi="Arial" w:cs="Arial"/>
                <w:b/>
                <w:bCs/>
                <w:color w:val="000000"/>
                <w:sz w:val="18"/>
                <w:szCs w:val="18"/>
                <w:lang w:eastAsia="es-CO"/>
              </w:rPr>
            </w:pPr>
            <w:proofErr w:type="spellStart"/>
            <w:r w:rsidRPr="00CC6EFA">
              <w:rPr>
                <w:rFonts w:ascii="Arial" w:eastAsia="Times New Roman" w:hAnsi="Arial" w:cs="Arial"/>
                <w:b/>
                <w:bCs/>
                <w:color w:val="000000"/>
                <w:sz w:val="18"/>
                <w:szCs w:val="18"/>
                <w:lang w:eastAsia="es-CO"/>
              </w:rPr>
              <w:t>Vr</w:t>
            </w:r>
            <w:proofErr w:type="spellEnd"/>
            <w:r w:rsidRPr="00CC6EFA">
              <w:rPr>
                <w:rFonts w:ascii="Arial" w:eastAsia="Times New Roman" w:hAnsi="Arial" w:cs="Arial"/>
                <w:b/>
                <w:bCs/>
                <w:color w:val="000000"/>
                <w:sz w:val="18"/>
                <w:szCs w:val="18"/>
                <w:lang w:eastAsia="es-CO"/>
              </w:rPr>
              <w:t xml:space="preserve"> Recobrado</w:t>
            </w:r>
          </w:p>
        </w:tc>
        <w:tc>
          <w:tcPr>
            <w:tcW w:w="955" w:type="dxa"/>
            <w:shd w:val="clear" w:color="auto" w:fill="auto"/>
            <w:noWrap/>
            <w:vAlign w:val="center"/>
            <w:hideMark/>
          </w:tcPr>
          <w:p w:rsidR="00CC6EFA" w:rsidRPr="00CC6EFA" w:rsidRDefault="00CC6EFA" w:rsidP="007F7339">
            <w:pPr>
              <w:widowControl w:val="0"/>
              <w:spacing w:after="0" w:line="240" w:lineRule="auto"/>
              <w:jc w:val="center"/>
              <w:rPr>
                <w:rFonts w:ascii="Arial" w:eastAsia="Times New Roman" w:hAnsi="Arial" w:cs="Arial"/>
                <w:b/>
                <w:bCs/>
                <w:color w:val="000000"/>
                <w:sz w:val="18"/>
                <w:szCs w:val="18"/>
                <w:lang w:eastAsia="es-CO"/>
              </w:rPr>
            </w:pPr>
            <w:proofErr w:type="spellStart"/>
            <w:r w:rsidRPr="00CC6EFA">
              <w:rPr>
                <w:rFonts w:ascii="Arial" w:eastAsia="Times New Roman" w:hAnsi="Arial" w:cs="Arial"/>
                <w:b/>
                <w:bCs/>
                <w:color w:val="000000"/>
                <w:sz w:val="18"/>
                <w:szCs w:val="18"/>
                <w:lang w:eastAsia="es-CO"/>
              </w:rPr>
              <w:t>Variac</w:t>
            </w:r>
            <w:proofErr w:type="spellEnd"/>
            <w:r w:rsidRPr="00CC6EFA">
              <w:rPr>
                <w:rFonts w:ascii="Arial" w:eastAsia="Times New Roman" w:hAnsi="Arial" w:cs="Arial"/>
                <w:b/>
                <w:bCs/>
                <w:color w:val="000000"/>
                <w:sz w:val="18"/>
                <w:szCs w:val="18"/>
                <w:lang w:eastAsia="es-CO"/>
              </w:rPr>
              <w:t>. %</w:t>
            </w:r>
          </w:p>
        </w:tc>
        <w:tc>
          <w:tcPr>
            <w:tcW w:w="1134" w:type="dxa"/>
            <w:shd w:val="clear" w:color="auto" w:fill="auto"/>
            <w:noWrap/>
            <w:vAlign w:val="center"/>
            <w:hideMark/>
          </w:tcPr>
          <w:p w:rsidR="00CC6EFA" w:rsidRPr="00CC6EFA" w:rsidRDefault="00CC6EFA" w:rsidP="007F7339">
            <w:pPr>
              <w:widowControl w:val="0"/>
              <w:spacing w:after="0" w:line="240" w:lineRule="auto"/>
              <w:jc w:val="center"/>
              <w:rPr>
                <w:rFonts w:ascii="Arial" w:eastAsia="Times New Roman" w:hAnsi="Arial" w:cs="Arial"/>
                <w:b/>
                <w:bCs/>
                <w:color w:val="000000"/>
                <w:sz w:val="18"/>
                <w:szCs w:val="18"/>
                <w:lang w:eastAsia="es-CO"/>
              </w:rPr>
            </w:pPr>
            <w:proofErr w:type="spellStart"/>
            <w:r w:rsidRPr="00CC6EFA">
              <w:rPr>
                <w:rFonts w:ascii="Arial" w:eastAsia="Times New Roman" w:hAnsi="Arial" w:cs="Arial"/>
                <w:b/>
                <w:bCs/>
                <w:color w:val="000000"/>
                <w:sz w:val="18"/>
                <w:szCs w:val="18"/>
                <w:lang w:eastAsia="es-CO"/>
              </w:rPr>
              <w:t>Vr</w:t>
            </w:r>
            <w:proofErr w:type="spellEnd"/>
            <w:r w:rsidRPr="00CC6EFA">
              <w:rPr>
                <w:rFonts w:ascii="Arial" w:eastAsia="Times New Roman" w:hAnsi="Arial" w:cs="Arial"/>
                <w:b/>
                <w:bCs/>
                <w:color w:val="000000"/>
                <w:sz w:val="18"/>
                <w:szCs w:val="18"/>
                <w:lang w:eastAsia="es-CO"/>
              </w:rPr>
              <w:t xml:space="preserve"> Aprobado</w:t>
            </w:r>
          </w:p>
        </w:tc>
        <w:tc>
          <w:tcPr>
            <w:tcW w:w="992" w:type="dxa"/>
            <w:shd w:val="clear" w:color="auto" w:fill="auto"/>
            <w:noWrap/>
            <w:vAlign w:val="center"/>
            <w:hideMark/>
          </w:tcPr>
          <w:p w:rsidR="00CC6EFA" w:rsidRPr="00CC6EFA" w:rsidRDefault="00CC6EFA" w:rsidP="007F7339">
            <w:pPr>
              <w:widowControl w:val="0"/>
              <w:spacing w:after="0" w:line="240" w:lineRule="auto"/>
              <w:jc w:val="center"/>
              <w:rPr>
                <w:rFonts w:ascii="Arial" w:eastAsia="Times New Roman" w:hAnsi="Arial" w:cs="Arial"/>
                <w:b/>
                <w:bCs/>
                <w:color w:val="000000"/>
                <w:sz w:val="18"/>
                <w:szCs w:val="18"/>
                <w:lang w:eastAsia="es-CO"/>
              </w:rPr>
            </w:pPr>
            <w:proofErr w:type="spellStart"/>
            <w:r w:rsidRPr="00CC6EFA">
              <w:rPr>
                <w:rFonts w:ascii="Arial" w:eastAsia="Times New Roman" w:hAnsi="Arial" w:cs="Arial"/>
                <w:b/>
                <w:bCs/>
                <w:color w:val="000000"/>
                <w:sz w:val="18"/>
                <w:szCs w:val="18"/>
                <w:lang w:eastAsia="es-CO"/>
              </w:rPr>
              <w:t>Variac</w:t>
            </w:r>
            <w:proofErr w:type="spellEnd"/>
            <w:r w:rsidRPr="00CC6EFA">
              <w:rPr>
                <w:rFonts w:ascii="Arial" w:eastAsia="Times New Roman" w:hAnsi="Arial" w:cs="Arial"/>
                <w:b/>
                <w:bCs/>
                <w:color w:val="000000"/>
                <w:sz w:val="18"/>
                <w:szCs w:val="18"/>
                <w:lang w:eastAsia="es-CO"/>
              </w:rPr>
              <w:t>. %</w:t>
            </w:r>
          </w:p>
        </w:tc>
        <w:tc>
          <w:tcPr>
            <w:tcW w:w="992" w:type="dxa"/>
            <w:shd w:val="clear" w:color="auto" w:fill="auto"/>
            <w:noWrap/>
            <w:vAlign w:val="center"/>
            <w:hideMark/>
          </w:tcPr>
          <w:p w:rsidR="00CC6EFA" w:rsidRPr="00CC6EFA" w:rsidRDefault="00CC6EFA" w:rsidP="007F7339">
            <w:pPr>
              <w:widowControl w:val="0"/>
              <w:spacing w:after="0" w:line="240" w:lineRule="auto"/>
              <w:jc w:val="center"/>
              <w:rPr>
                <w:rFonts w:ascii="Arial" w:eastAsia="Times New Roman" w:hAnsi="Arial" w:cs="Arial"/>
                <w:b/>
                <w:bCs/>
                <w:color w:val="000000"/>
                <w:sz w:val="18"/>
                <w:szCs w:val="18"/>
                <w:lang w:eastAsia="es-CO"/>
              </w:rPr>
            </w:pPr>
            <w:proofErr w:type="spellStart"/>
            <w:r w:rsidRPr="00CC6EFA">
              <w:rPr>
                <w:rFonts w:ascii="Arial" w:eastAsia="Times New Roman" w:hAnsi="Arial" w:cs="Arial"/>
                <w:b/>
                <w:bCs/>
                <w:color w:val="000000"/>
                <w:sz w:val="18"/>
                <w:szCs w:val="18"/>
                <w:lang w:eastAsia="es-CO"/>
              </w:rPr>
              <w:t>Vr</w:t>
            </w:r>
            <w:proofErr w:type="spellEnd"/>
            <w:r w:rsidRPr="00CC6EFA">
              <w:rPr>
                <w:rFonts w:ascii="Arial" w:eastAsia="Times New Roman" w:hAnsi="Arial" w:cs="Arial"/>
                <w:b/>
                <w:bCs/>
                <w:color w:val="000000"/>
                <w:sz w:val="18"/>
                <w:szCs w:val="18"/>
                <w:lang w:eastAsia="es-CO"/>
              </w:rPr>
              <w:t xml:space="preserve"> Glosado</w:t>
            </w:r>
          </w:p>
        </w:tc>
        <w:tc>
          <w:tcPr>
            <w:tcW w:w="920" w:type="dxa"/>
            <w:shd w:val="clear" w:color="auto" w:fill="auto"/>
            <w:noWrap/>
            <w:vAlign w:val="center"/>
            <w:hideMark/>
          </w:tcPr>
          <w:p w:rsidR="00CC6EFA" w:rsidRPr="00CC6EFA" w:rsidRDefault="00CC6EFA" w:rsidP="007F7339">
            <w:pPr>
              <w:widowControl w:val="0"/>
              <w:spacing w:after="0" w:line="240" w:lineRule="auto"/>
              <w:jc w:val="center"/>
              <w:rPr>
                <w:rFonts w:ascii="Arial" w:eastAsia="Times New Roman" w:hAnsi="Arial" w:cs="Arial"/>
                <w:b/>
                <w:bCs/>
                <w:color w:val="000000"/>
                <w:sz w:val="18"/>
                <w:szCs w:val="18"/>
                <w:lang w:eastAsia="es-CO"/>
              </w:rPr>
            </w:pPr>
            <w:proofErr w:type="spellStart"/>
            <w:r w:rsidRPr="00CC6EFA">
              <w:rPr>
                <w:rFonts w:ascii="Arial" w:eastAsia="Times New Roman" w:hAnsi="Arial" w:cs="Arial"/>
                <w:b/>
                <w:bCs/>
                <w:color w:val="000000"/>
                <w:sz w:val="18"/>
                <w:szCs w:val="18"/>
                <w:lang w:eastAsia="es-CO"/>
              </w:rPr>
              <w:t>Variac</w:t>
            </w:r>
            <w:proofErr w:type="spellEnd"/>
            <w:r w:rsidRPr="00CC6EFA">
              <w:rPr>
                <w:rFonts w:ascii="Arial" w:eastAsia="Times New Roman" w:hAnsi="Arial" w:cs="Arial"/>
                <w:b/>
                <w:bCs/>
                <w:color w:val="000000"/>
                <w:sz w:val="18"/>
                <w:szCs w:val="18"/>
                <w:lang w:eastAsia="es-CO"/>
              </w:rPr>
              <w:t>. %</w:t>
            </w:r>
          </w:p>
        </w:tc>
        <w:tc>
          <w:tcPr>
            <w:tcW w:w="1206" w:type="dxa"/>
            <w:shd w:val="clear" w:color="auto" w:fill="auto"/>
            <w:vAlign w:val="center"/>
            <w:hideMark/>
          </w:tcPr>
          <w:p w:rsidR="00CC6EFA" w:rsidRPr="00CC6EFA" w:rsidRDefault="00CC6EFA" w:rsidP="007F7339">
            <w:pPr>
              <w:widowControl w:val="0"/>
              <w:spacing w:after="0" w:line="240" w:lineRule="auto"/>
              <w:jc w:val="center"/>
              <w:rPr>
                <w:rFonts w:ascii="Arial" w:eastAsia="Times New Roman" w:hAnsi="Arial" w:cs="Arial"/>
                <w:b/>
                <w:bCs/>
                <w:color w:val="000000"/>
                <w:sz w:val="18"/>
                <w:szCs w:val="18"/>
                <w:lang w:eastAsia="es-CO"/>
              </w:rPr>
            </w:pPr>
            <w:r w:rsidRPr="00CC6EFA">
              <w:rPr>
                <w:rFonts w:ascii="Arial" w:eastAsia="Times New Roman" w:hAnsi="Arial" w:cs="Arial"/>
                <w:b/>
                <w:bCs/>
                <w:color w:val="000000"/>
                <w:sz w:val="18"/>
                <w:szCs w:val="18"/>
                <w:lang w:eastAsia="es-CO"/>
              </w:rPr>
              <w:t>% Glosado / Recobrado</w:t>
            </w:r>
          </w:p>
        </w:tc>
      </w:tr>
      <w:tr w:rsidR="00CC6EFA" w:rsidRPr="00CC6EFA" w:rsidTr="00AB2B54">
        <w:trPr>
          <w:trHeight w:val="300"/>
          <w:jc w:val="center"/>
        </w:trPr>
        <w:tc>
          <w:tcPr>
            <w:tcW w:w="1240" w:type="dxa"/>
            <w:shd w:val="clear" w:color="auto" w:fill="auto"/>
            <w:vAlign w:val="center"/>
            <w:hideMark/>
          </w:tcPr>
          <w:p w:rsidR="00CC6EFA" w:rsidRPr="00CC6EFA" w:rsidRDefault="00CC6EFA" w:rsidP="007F7339">
            <w:pPr>
              <w:widowControl w:val="0"/>
              <w:spacing w:after="0" w:line="240" w:lineRule="auto"/>
              <w:jc w:val="center"/>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2008</w:t>
            </w:r>
          </w:p>
        </w:tc>
        <w:tc>
          <w:tcPr>
            <w:tcW w:w="1081"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111.316 </w:t>
            </w:r>
          </w:p>
        </w:tc>
        <w:tc>
          <w:tcPr>
            <w:tcW w:w="955"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w:t>
            </w:r>
          </w:p>
        </w:tc>
        <w:tc>
          <w:tcPr>
            <w:tcW w:w="1134"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77.312 </w:t>
            </w:r>
          </w:p>
        </w:tc>
        <w:tc>
          <w:tcPr>
            <w:tcW w:w="992"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w:t>
            </w:r>
          </w:p>
        </w:tc>
        <w:tc>
          <w:tcPr>
            <w:tcW w:w="992"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34.003 </w:t>
            </w:r>
          </w:p>
        </w:tc>
        <w:tc>
          <w:tcPr>
            <w:tcW w:w="920"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w:t>
            </w:r>
          </w:p>
        </w:tc>
        <w:tc>
          <w:tcPr>
            <w:tcW w:w="1206"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31%</w:t>
            </w:r>
          </w:p>
        </w:tc>
      </w:tr>
      <w:tr w:rsidR="00CC6EFA" w:rsidRPr="00CC6EFA" w:rsidTr="00AB2B54">
        <w:trPr>
          <w:trHeight w:val="300"/>
          <w:jc w:val="center"/>
        </w:trPr>
        <w:tc>
          <w:tcPr>
            <w:tcW w:w="1240" w:type="dxa"/>
            <w:shd w:val="clear" w:color="auto" w:fill="auto"/>
            <w:vAlign w:val="center"/>
            <w:hideMark/>
          </w:tcPr>
          <w:p w:rsidR="00CC6EFA" w:rsidRPr="00CC6EFA" w:rsidRDefault="00CC6EFA" w:rsidP="007F7339">
            <w:pPr>
              <w:widowControl w:val="0"/>
              <w:spacing w:after="0" w:line="240" w:lineRule="auto"/>
              <w:jc w:val="center"/>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2009</w:t>
            </w:r>
          </w:p>
        </w:tc>
        <w:tc>
          <w:tcPr>
            <w:tcW w:w="1081"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86.658 </w:t>
            </w:r>
          </w:p>
        </w:tc>
        <w:tc>
          <w:tcPr>
            <w:tcW w:w="955"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-2</w:t>
            </w:r>
            <w:r w:rsidR="001A6519">
              <w:rPr>
                <w:rFonts w:ascii="Arial" w:eastAsia="Times New Roman" w:hAnsi="Arial" w:cs="Arial"/>
                <w:color w:val="000000"/>
                <w:sz w:val="18"/>
                <w:szCs w:val="18"/>
                <w:lang w:eastAsia="es-CO"/>
              </w:rPr>
              <w:t>2</w:t>
            </w:r>
            <w:r w:rsidRPr="00CC6EFA">
              <w:rPr>
                <w:rFonts w:ascii="Arial" w:eastAsia="Times New Roman" w:hAnsi="Arial" w:cs="Arial"/>
                <w:color w:val="000000"/>
                <w:sz w:val="18"/>
                <w:szCs w:val="18"/>
                <w:lang w:eastAsia="es-CO"/>
              </w:rPr>
              <w:t>%</w:t>
            </w:r>
          </w:p>
        </w:tc>
        <w:tc>
          <w:tcPr>
            <w:tcW w:w="1134"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49.229 </w:t>
            </w:r>
          </w:p>
        </w:tc>
        <w:tc>
          <w:tcPr>
            <w:tcW w:w="992"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w:t>
            </w:r>
            <w:r w:rsidR="001A6519">
              <w:rPr>
                <w:rFonts w:ascii="Arial" w:eastAsia="Times New Roman" w:hAnsi="Arial" w:cs="Arial"/>
                <w:color w:val="000000"/>
                <w:sz w:val="18"/>
                <w:szCs w:val="18"/>
                <w:lang w:eastAsia="es-CO"/>
              </w:rPr>
              <w:t>36</w:t>
            </w:r>
            <w:r w:rsidRPr="00CC6EFA">
              <w:rPr>
                <w:rFonts w:ascii="Arial" w:eastAsia="Times New Roman" w:hAnsi="Arial" w:cs="Arial"/>
                <w:color w:val="000000"/>
                <w:sz w:val="18"/>
                <w:szCs w:val="18"/>
                <w:lang w:eastAsia="es-CO"/>
              </w:rPr>
              <w:t>%</w:t>
            </w:r>
          </w:p>
        </w:tc>
        <w:tc>
          <w:tcPr>
            <w:tcW w:w="992"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37.429 </w:t>
            </w:r>
          </w:p>
        </w:tc>
        <w:tc>
          <w:tcPr>
            <w:tcW w:w="920" w:type="dxa"/>
            <w:shd w:val="clear" w:color="auto" w:fill="auto"/>
            <w:noWrap/>
            <w:vAlign w:val="center"/>
            <w:hideMark/>
          </w:tcPr>
          <w:p w:rsidR="00CC6EFA" w:rsidRPr="00CC6EFA" w:rsidRDefault="001A6519" w:rsidP="007F7339">
            <w:pPr>
              <w:widowControl w:val="0"/>
              <w:spacing w:after="0" w:line="240" w:lineRule="auto"/>
              <w:jc w:val="right"/>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10</w:t>
            </w:r>
            <w:r w:rsidR="00CC6EFA" w:rsidRPr="00CC6EFA">
              <w:rPr>
                <w:rFonts w:ascii="Arial" w:eastAsia="Times New Roman" w:hAnsi="Arial" w:cs="Arial"/>
                <w:color w:val="000000"/>
                <w:sz w:val="18"/>
                <w:szCs w:val="18"/>
                <w:lang w:eastAsia="es-CO"/>
              </w:rPr>
              <w:t>%</w:t>
            </w:r>
          </w:p>
        </w:tc>
        <w:tc>
          <w:tcPr>
            <w:tcW w:w="1206"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43%</w:t>
            </w:r>
          </w:p>
        </w:tc>
      </w:tr>
      <w:tr w:rsidR="00CC6EFA" w:rsidRPr="00CC6EFA" w:rsidTr="00AB2B54">
        <w:trPr>
          <w:trHeight w:val="300"/>
          <w:jc w:val="center"/>
        </w:trPr>
        <w:tc>
          <w:tcPr>
            <w:tcW w:w="1240" w:type="dxa"/>
            <w:shd w:val="clear" w:color="auto" w:fill="auto"/>
            <w:vAlign w:val="center"/>
            <w:hideMark/>
          </w:tcPr>
          <w:p w:rsidR="00CC6EFA" w:rsidRPr="00CC6EFA" w:rsidRDefault="00CC6EFA" w:rsidP="007F7339">
            <w:pPr>
              <w:widowControl w:val="0"/>
              <w:spacing w:after="0" w:line="240" w:lineRule="auto"/>
              <w:jc w:val="center"/>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2010</w:t>
            </w:r>
          </w:p>
        </w:tc>
        <w:tc>
          <w:tcPr>
            <w:tcW w:w="1081"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60.245 </w:t>
            </w:r>
          </w:p>
        </w:tc>
        <w:tc>
          <w:tcPr>
            <w:tcW w:w="955"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w:t>
            </w:r>
            <w:r w:rsidR="001A6519">
              <w:rPr>
                <w:rFonts w:ascii="Arial" w:eastAsia="Times New Roman" w:hAnsi="Arial" w:cs="Arial"/>
                <w:color w:val="000000"/>
                <w:sz w:val="18"/>
                <w:szCs w:val="18"/>
                <w:lang w:eastAsia="es-CO"/>
              </w:rPr>
              <w:t>30</w:t>
            </w:r>
            <w:r w:rsidRPr="00CC6EFA">
              <w:rPr>
                <w:rFonts w:ascii="Arial" w:eastAsia="Times New Roman" w:hAnsi="Arial" w:cs="Arial"/>
                <w:color w:val="000000"/>
                <w:sz w:val="18"/>
                <w:szCs w:val="18"/>
                <w:lang w:eastAsia="es-CO"/>
              </w:rPr>
              <w:t>%</w:t>
            </w:r>
          </w:p>
        </w:tc>
        <w:tc>
          <w:tcPr>
            <w:tcW w:w="1134"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30.518 </w:t>
            </w:r>
          </w:p>
        </w:tc>
        <w:tc>
          <w:tcPr>
            <w:tcW w:w="992"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w:t>
            </w:r>
            <w:r w:rsidR="001A6519">
              <w:rPr>
                <w:rFonts w:ascii="Arial" w:eastAsia="Times New Roman" w:hAnsi="Arial" w:cs="Arial"/>
                <w:color w:val="000000"/>
                <w:sz w:val="18"/>
                <w:szCs w:val="18"/>
                <w:lang w:eastAsia="es-CO"/>
              </w:rPr>
              <w:t>38</w:t>
            </w:r>
            <w:r w:rsidRPr="00CC6EFA">
              <w:rPr>
                <w:rFonts w:ascii="Arial" w:eastAsia="Times New Roman" w:hAnsi="Arial" w:cs="Arial"/>
                <w:color w:val="000000"/>
                <w:sz w:val="18"/>
                <w:szCs w:val="18"/>
                <w:lang w:eastAsia="es-CO"/>
              </w:rPr>
              <w:t>%</w:t>
            </w:r>
          </w:p>
        </w:tc>
        <w:tc>
          <w:tcPr>
            <w:tcW w:w="992"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29.727 </w:t>
            </w:r>
          </w:p>
        </w:tc>
        <w:tc>
          <w:tcPr>
            <w:tcW w:w="920"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-2</w:t>
            </w:r>
            <w:r w:rsidR="001A6519">
              <w:rPr>
                <w:rFonts w:ascii="Arial" w:eastAsia="Times New Roman" w:hAnsi="Arial" w:cs="Arial"/>
                <w:color w:val="000000"/>
                <w:sz w:val="18"/>
                <w:szCs w:val="18"/>
                <w:lang w:eastAsia="es-CO"/>
              </w:rPr>
              <w:t>1</w:t>
            </w:r>
            <w:r w:rsidRPr="00CC6EFA">
              <w:rPr>
                <w:rFonts w:ascii="Arial" w:eastAsia="Times New Roman" w:hAnsi="Arial" w:cs="Arial"/>
                <w:color w:val="000000"/>
                <w:sz w:val="18"/>
                <w:szCs w:val="18"/>
                <w:lang w:eastAsia="es-CO"/>
              </w:rPr>
              <w:t>%</w:t>
            </w:r>
          </w:p>
        </w:tc>
        <w:tc>
          <w:tcPr>
            <w:tcW w:w="1206"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49%</w:t>
            </w:r>
          </w:p>
        </w:tc>
      </w:tr>
      <w:tr w:rsidR="007F7339" w:rsidRPr="00CC6EFA" w:rsidTr="00AB2B54">
        <w:trPr>
          <w:trHeight w:val="300"/>
          <w:jc w:val="center"/>
        </w:trPr>
        <w:tc>
          <w:tcPr>
            <w:tcW w:w="1240" w:type="dxa"/>
            <w:shd w:val="clear" w:color="auto" w:fill="auto"/>
            <w:vAlign w:val="center"/>
            <w:hideMark/>
          </w:tcPr>
          <w:p w:rsidR="00CC6EFA" w:rsidRPr="00CC6EFA" w:rsidRDefault="005273C2" w:rsidP="007F7339">
            <w:pPr>
              <w:widowControl w:val="0"/>
              <w:spacing w:after="0" w:line="240" w:lineRule="auto"/>
              <w:jc w:val="center"/>
              <w:rPr>
                <w:rFonts w:ascii="Arial" w:eastAsia="Times New Roman" w:hAnsi="Arial" w:cs="Arial"/>
                <w:color w:val="000000"/>
                <w:sz w:val="18"/>
                <w:szCs w:val="18"/>
                <w:lang w:eastAsia="es-CO"/>
              </w:rPr>
            </w:pPr>
            <w:r w:rsidRPr="00511779">
              <w:rPr>
                <w:rFonts w:ascii="Arial" w:eastAsia="Times New Roman" w:hAnsi="Arial" w:cs="Arial"/>
                <w:color w:val="000000"/>
                <w:sz w:val="18"/>
                <w:szCs w:val="18"/>
                <w:lang w:eastAsia="es-CO"/>
              </w:rPr>
              <w:t xml:space="preserve">Julio - </w:t>
            </w:r>
            <w:r w:rsidR="00CC6EFA" w:rsidRPr="00CC6EFA">
              <w:rPr>
                <w:rFonts w:ascii="Arial" w:eastAsia="Times New Roman" w:hAnsi="Arial" w:cs="Arial"/>
                <w:color w:val="000000"/>
                <w:sz w:val="18"/>
                <w:szCs w:val="18"/>
                <w:lang w:eastAsia="es-CO"/>
              </w:rPr>
              <w:t>2011</w:t>
            </w:r>
          </w:p>
        </w:tc>
        <w:tc>
          <w:tcPr>
            <w:tcW w:w="1081"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19.597 </w:t>
            </w:r>
          </w:p>
        </w:tc>
        <w:tc>
          <w:tcPr>
            <w:tcW w:w="955"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w:t>
            </w:r>
          </w:p>
        </w:tc>
        <w:tc>
          <w:tcPr>
            <w:tcW w:w="1134"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5.238 </w:t>
            </w:r>
          </w:p>
        </w:tc>
        <w:tc>
          <w:tcPr>
            <w:tcW w:w="992"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w:t>
            </w:r>
          </w:p>
        </w:tc>
        <w:tc>
          <w:tcPr>
            <w:tcW w:w="992"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xml:space="preserve">14.359 </w:t>
            </w:r>
          </w:p>
        </w:tc>
        <w:tc>
          <w:tcPr>
            <w:tcW w:w="920"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 </w:t>
            </w:r>
          </w:p>
        </w:tc>
        <w:tc>
          <w:tcPr>
            <w:tcW w:w="1206" w:type="dxa"/>
            <w:shd w:val="clear" w:color="auto" w:fill="auto"/>
            <w:noWrap/>
            <w:vAlign w:val="center"/>
            <w:hideMark/>
          </w:tcPr>
          <w:p w:rsidR="00CC6EFA" w:rsidRPr="00CC6EFA" w:rsidRDefault="00CC6EFA" w:rsidP="007F7339">
            <w:pPr>
              <w:widowControl w:val="0"/>
              <w:spacing w:after="0" w:line="240" w:lineRule="auto"/>
              <w:jc w:val="right"/>
              <w:rPr>
                <w:rFonts w:ascii="Arial" w:eastAsia="Times New Roman" w:hAnsi="Arial" w:cs="Arial"/>
                <w:color w:val="000000"/>
                <w:sz w:val="18"/>
                <w:szCs w:val="18"/>
                <w:lang w:eastAsia="es-CO"/>
              </w:rPr>
            </w:pPr>
            <w:r w:rsidRPr="00CC6EFA">
              <w:rPr>
                <w:rFonts w:ascii="Arial" w:eastAsia="Times New Roman" w:hAnsi="Arial" w:cs="Arial"/>
                <w:color w:val="000000"/>
                <w:sz w:val="18"/>
                <w:szCs w:val="18"/>
                <w:lang w:eastAsia="es-CO"/>
              </w:rPr>
              <w:t>73%</w:t>
            </w:r>
          </w:p>
        </w:tc>
      </w:tr>
      <w:tr w:rsidR="00511779" w:rsidRPr="00511779" w:rsidTr="00AB2B54">
        <w:trPr>
          <w:trHeight w:val="162"/>
          <w:jc w:val="center"/>
        </w:trPr>
        <w:tc>
          <w:tcPr>
            <w:tcW w:w="1240" w:type="dxa"/>
            <w:shd w:val="clear" w:color="auto" w:fill="auto"/>
            <w:vAlign w:val="center"/>
          </w:tcPr>
          <w:p w:rsidR="00511779" w:rsidRPr="00511779" w:rsidRDefault="00511779" w:rsidP="007F7339">
            <w:pPr>
              <w:widowControl w:val="0"/>
              <w:spacing w:after="0" w:line="240" w:lineRule="auto"/>
              <w:rPr>
                <w:rFonts w:ascii="Arial" w:eastAsia="Times New Roman" w:hAnsi="Arial" w:cs="Arial"/>
                <w:b/>
                <w:color w:val="000000"/>
                <w:sz w:val="18"/>
                <w:szCs w:val="18"/>
                <w:lang w:eastAsia="es-CO"/>
              </w:rPr>
            </w:pPr>
            <w:r w:rsidRPr="00511779">
              <w:rPr>
                <w:rFonts w:ascii="Arial" w:eastAsia="Times New Roman" w:hAnsi="Arial" w:cs="Arial"/>
                <w:b/>
                <w:color w:val="000000"/>
                <w:sz w:val="18"/>
                <w:szCs w:val="18"/>
                <w:lang w:eastAsia="es-CO"/>
              </w:rPr>
              <w:t>TOTALES</w:t>
            </w:r>
          </w:p>
        </w:tc>
        <w:tc>
          <w:tcPr>
            <w:tcW w:w="1081" w:type="dxa"/>
            <w:shd w:val="clear" w:color="auto" w:fill="auto"/>
            <w:noWrap/>
            <w:vAlign w:val="center"/>
          </w:tcPr>
          <w:p w:rsidR="00511779" w:rsidRPr="00511779" w:rsidRDefault="00511779" w:rsidP="007F7339">
            <w:pPr>
              <w:widowControl w:val="0"/>
              <w:spacing w:after="0" w:line="240" w:lineRule="auto"/>
              <w:jc w:val="right"/>
              <w:rPr>
                <w:rFonts w:ascii="Calibri" w:hAnsi="Calibri"/>
                <w:b/>
                <w:color w:val="000000"/>
              </w:rPr>
            </w:pPr>
            <w:r w:rsidRPr="00511779">
              <w:rPr>
                <w:rFonts w:ascii="Calibri" w:hAnsi="Calibri"/>
                <w:b/>
                <w:color w:val="000000"/>
              </w:rPr>
              <w:t>277.816</w:t>
            </w:r>
          </w:p>
        </w:tc>
        <w:tc>
          <w:tcPr>
            <w:tcW w:w="955" w:type="dxa"/>
            <w:shd w:val="clear" w:color="auto" w:fill="auto"/>
            <w:noWrap/>
            <w:vAlign w:val="center"/>
          </w:tcPr>
          <w:p w:rsidR="00511779" w:rsidRPr="00511779" w:rsidRDefault="00511779" w:rsidP="007F7339">
            <w:pPr>
              <w:widowControl w:val="0"/>
              <w:spacing w:after="0" w:line="240" w:lineRule="auto"/>
              <w:jc w:val="right"/>
              <w:rPr>
                <w:rFonts w:ascii="Calibri" w:hAnsi="Calibri"/>
                <w:b/>
                <w:color w:val="000000"/>
              </w:rPr>
            </w:pPr>
          </w:p>
        </w:tc>
        <w:tc>
          <w:tcPr>
            <w:tcW w:w="1134" w:type="dxa"/>
            <w:shd w:val="clear" w:color="auto" w:fill="auto"/>
            <w:noWrap/>
            <w:vAlign w:val="center"/>
          </w:tcPr>
          <w:p w:rsidR="00511779" w:rsidRPr="00511779" w:rsidRDefault="00511779" w:rsidP="007F7339">
            <w:pPr>
              <w:widowControl w:val="0"/>
              <w:spacing w:after="0" w:line="240" w:lineRule="auto"/>
              <w:jc w:val="right"/>
              <w:rPr>
                <w:rFonts w:ascii="Calibri" w:hAnsi="Calibri"/>
                <w:b/>
                <w:color w:val="000000"/>
              </w:rPr>
            </w:pPr>
            <w:r w:rsidRPr="00511779">
              <w:rPr>
                <w:rFonts w:ascii="Calibri" w:hAnsi="Calibri"/>
                <w:b/>
                <w:color w:val="000000"/>
              </w:rPr>
              <w:t>162.298</w:t>
            </w:r>
          </w:p>
        </w:tc>
        <w:tc>
          <w:tcPr>
            <w:tcW w:w="992" w:type="dxa"/>
            <w:shd w:val="clear" w:color="auto" w:fill="auto"/>
            <w:noWrap/>
            <w:vAlign w:val="center"/>
          </w:tcPr>
          <w:p w:rsidR="00511779" w:rsidRPr="00511779" w:rsidRDefault="00511779" w:rsidP="007F7339">
            <w:pPr>
              <w:widowControl w:val="0"/>
              <w:spacing w:after="0" w:line="240" w:lineRule="auto"/>
              <w:jc w:val="right"/>
              <w:rPr>
                <w:rFonts w:ascii="Calibri" w:hAnsi="Calibri"/>
                <w:b/>
                <w:color w:val="000000"/>
              </w:rPr>
            </w:pPr>
          </w:p>
        </w:tc>
        <w:tc>
          <w:tcPr>
            <w:tcW w:w="992" w:type="dxa"/>
            <w:shd w:val="clear" w:color="auto" w:fill="auto"/>
            <w:noWrap/>
            <w:vAlign w:val="center"/>
          </w:tcPr>
          <w:p w:rsidR="00511779" w:rsidRPr="00511779" w:rsidRDefault="00511779" w:rsidP="007F7339">
            <w:pPr>
              <w:widowControl w:val="0"/>
              <w:spacing w:after="0" w:line="240" w:lineRule="auto"/>
              <w:jc w:val="right"/>
              <w:rPr>
                <w:rFonts w:ascii="Calibri" w:hAnsi="Calibri"/>
                <w:b/>
                <w:color w:val="000000"/>
              </w:rPr>
            </w:pPr>
            <w:r w:rsidRPr="00511779">
              <w:rPr>
                <w:rFonts w:ascii="Calibri" w:hAnsi="Calibri"/>
                <w:b/>
                <w:color w:val="000000"/>
              </w:rPr>
              <w:t>115.518</w:t>
            </w:r>
          </w:p>
        </w:tc>
        <w:tc>
          <w:tcPr>
            <w:tcW w:w="920" w:type="dxa"/>
            <w:shd w:val="clear" w:color="auto" w:fill="auto"/>
            <w:noWrap/>
            <w:vAlign w:val="center"/>
          </w:tcPr>
          <w:p w:rsidR="00511779" w:rsidRPr="00511779" w:rsidRDefault="00511779" w:rsidP="007F7339">
            <w:pPr>
              <w:widowControl w:val="0"/>
              <w:spacing w:after="0" w:line="240" w:lineRule="auto"/>
              <w:jc w:val="right"/>
              <w:rPr>
                <w:rFonts w:ascii="Arial" w:eastAsia="Times New Roman" w:hAnsi="Arial" w:cs="Arial"/>
                <w:b/>
                <w:color w:val="000000"/>
                <w:sz w:val="18"/>
                <w:szCs w:val="18"/>
                <w:lang w:eastAsia="es-CO"/>
              </w:rPr>
            </w:pPr>
          </w:p>
        </w:tc>
        <w:tc>
          <w:tcPr>
            <w:tcW w:w="1206" w:type="dxa"/>
            <w:shd w:val="clear" w:color="auto" w:fill="auto"/>
            <w:noWrap/>
            <w:vAlign w:val="center"/>
          </w:tcPr>
          <w:p w:rsidR="00511779" w:rsidRPr="00511779" w:rsidRDefault="00511779" w:rsidP="007F7339">
            <w:pPr>
              <w:widowControl w:val="0"/>
              <w:spacing w:after="0" w:line="240" w:lineRule="auto"/>
              <w:jc w:val="right"/>
              <w:rPr>
                <w:rFonts w:ascii="Arial" w:eastAsia="Times New Roman" w:hAnsi="Arial" w:cs="Arial"/>
                <w:b/>
                <w:color w:val="000000"/>
                <w:sz w:val="18"/>
                <w:szCs w:val="18"/>
                <w:lang w:eastAsia="es-CO"/>
              </w:rPr>
            </w:pPr>
          </w:p>
        </w:tc>
      </w:tr>
    </w:tbl>
    <w:p w:rsidR="005273C2" w:rsidRPr="00B87D3F" w:rsidRDefault="005273C2" w:rsidP="00AB2B54">
      <w:pPr>
        <w:widowControl w:val="0"/>
        <w:spacing w:after="0" w:line="240" w:lineRule="auto"/>
        <w:ind w:left="426"/>
        <w:jc w:val="both"/>
        <w:rPr>
          <w:rFonts w:ascii="Arial" w:hAnsi="Arial" w:cs="Arial"/>
          <w:sz w:val="18"/>
        </w:rPr>
      </w:pPr>
      <w:r w:rsidRPr="00B87D3F">
        <w:rPr>
          <w:rFonts w:ascii="Arial" w:eastAsia="Times New Roman" w:hAnsi="Arial" w:cs="Arial"/>
          <w:b/>
          <w:bCs/>
          <w:sz w:val="18"/>
          <w:lang w:eastAsia="es-CO"/>
        </w:rPr>
        <w:t>FUENTE:</w:t>
      </w:r>
      <w:r w:rsidRPr="00B87D3F">
        <w:rPr>
          <w:rFonts w:ascii="Arial" w:eastAsia="Times New Roman" w:hAnsi="Arial" w:cs="Arial"/>
          <w:bCs/>
          <w:sz w:val="18"/>
          <w:lang w:eastAsia="es-CO"/>
        </w:rPr>
        <w:t xml:space="preserve"> TABLAS BASES DE DATOS - CONSORCIO FIDUFOSYGA 2005</w:t>
      </w:r>
    </w:p>
    <w:p w:rsidR="00CC6EFA" w:rsidRDefault="00CC6EFA" w:rsidP="007F7339">
      <w:pPr>
        <w:widowControl w:val="0"/>
        <w:spacing w:after="0" w:line="240" w:lineRule="auto"/>
        <w:jc w:val="both"/>
        <w:rPr>
          <w:rFonts w:ascii="Arial" w:hAnsi="Arial" w:cs="Arial"/>
        </w:rPr>
      </w:pPr>
    </w:p>
    <w:p w:rsidR="001A6519" w:rsidRPr="001A6519" w:rsidRDefault="001A6519" w:rsidP="007F733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L</w:t>
      </w:r>
      <w:r w:rsidRPr="001A6519">
        <w:rPr>
          <w:rFonts w:ascii="Arial" w:hAnsi="Arial" w:cs="Arial"/>
          <w:color w:val="000000"/>
        </w:rPr>
        <w:t xml:space="preserve">os recobros pagados consolidados </w:t>
      </w:r>
      <w:r>
        <w:rPr>
          <w:rFonts w:ascii="Arial" w:hAnsi="Arial" w:cs="Arial"/>
          <w:color w:val="000000"/>
        </w:rPr>
        <w:t>a</w:t>
      </w:r>
      <w:r w:rsidRPr="001A6519">
        <w:rPr>
          <w:rFonts w:ascii="Arial" w:hAnsi="Arial" w:cs="Arial"/>
          <w:color w:val="000000"/>
        </w:rPr>
        <w:t xml:space="preserve"> las EPS del Régimen Subsidiado, durante el período comprendido entre los años 2008 a 2009, han mostrado una disminución del 36% y para el 2009 a 2010 del 38%.  Lo anterior obedece a las disposiciones establecidas en la Sentencia T-760 que contempla que las Entidades Territoriales deben asumir el costo de los servicios de salud NO POS del Régimen Subsidiado. </w:t>
      </w:r>
    </w:p>
    <w:p w:rsidR="001A6519" w:rsidRDefault="001A6519" w:rsidP="007F7339">
      <w:pPr>
        <w:widowControl w:val="0"/>
        <w:autoSpaceDE w:val="0"/>
        <w:autoSpaceDN w:val="0"/>
        <w:adjustRightInd w:val="0"/>
        <w:spacing w:after="0" w:line="240" w:lineRule="auto"/>
        <w:jc w:val="both"/>
        <w:rPr>
          <w:rFonts w:ascii="Arial" w:hAnsi="Arial" w:cs="Arial"/>
          <w:color w:val="000000"/>
        </w:rPr>
      </w:pPr>
    </w:p>
    <w:p w:rsidR="001A6519" w:rsidRPr="001A6519" w:rsidRDefault="001A6519" w:rsidP="007F7339">
      <w:pPr>
        <w:widowControl w:val="0"/>
        <w:autoSpaceDE w:val="0"/>
        <w:autoSpaceDN w:val="0"/>
        <w:adjustRightInd w:val="0"/>
        <w:spacing w:after="0" w:line="240" w:lineRule="auto"/>
        <w:jc w:val="both"/>
        <w:rPr>
          <w:rFonts w:ascii="Arial" w:hAnsi="Arial" w:cs="Arial"/>
          <w:color w:val="000000"/>
        </w:rPr>
      </w:pPr>
      <w:r w:rsidRPr="001A6519">
        <w:rPr>
          <w:rFonts w:ascii="Arial" w:hAnsi="Arial" w:cs="Arial"/>
          <w:color w:val="000000"/>
        </w:rPr>
        <w:t xml:space="preserve">De otra parte, analizados los periodos 2008-2009 y 2009-2010, en lo concerniente a los recobros glosados del </w:t>
      </w:r>
      <w:r w:rsidR="00CD588C" w:rsidRPr="001A6519">
        <w:rPr>
          <w:rFonts w:ascii="Arial" w:hAnsi="Arial" w:cs="Arial"/>
          <w:color w:val="000000"/>
        </w:rPr>
        <w:t>Régimen Subsidiado</w:t>
      </w:r>
      <w:r w:rsidRPr="001A6519">
        <w:rPr>
          <w:rFonts w:ascii="Arial" w:hAnsi="Arial" w:cs="Arial"/>
          <w:color w:val="000000"/>
        </w:rPr>
        <w:t>, en el primer period</w:t>
      </w:r>
      <w:r w:rsidR="00CD588C">
        <w:rPr>
          <w:rFonts w:ascii="Arial" w:hAnsi="Arial" w:cs="Arial"/>
          <w:color w:val="000000"/>
        </w:rPr>
        <w:t>o se observa un incremento del 10%</w:t>
      </w:r>
      <w:r w:rsidRPr="001A6519">
        <w:rPr>
          <w:rFonts w:ascii="Arial" w:hAnsi="Arial" w:cs="Arial"/>
          <w:color w:val="000000"/>
        </w:rPr>
        <w:t xml:space="preserve"> y en el segundo una disminución del  21%.     </w:t>
      </w:r>
    </w:p>
    <w:p w:rsidR="003B1B8E" w:rsidRDefault="003B1B8E" w:rsidP="007F7339">
      <w:pPr>
        <w:widowControl w:val="0"/>
        <w:autoSpaceDE w:val="0"/>
        <w:autoSpaceDN w:val="0"/>
        <w:adjustRightInd w:val="0"/>
        <w:spacing w:after="0" w:line="240" w:lineRule="auto"/>
        <w:jc w:val="both"/>
        <w:rPr>
          <w:rFonts w:ascii="Arial" w:hAnsi="Arial" w:cs="Arial"/>
          <w:color w:val="000000"/>
        </w:rPr>
      </w:pPr>
    </w:p>
    <w:p w:rsidR="00CD588C" w:rsidRDefault="00CD588C" w:rsidP="007F733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El porcentaje de los valores glosados, frente a los recobros </w:t>
      </w:r>
      <w:r w:rsidR="002D1825">
        <w:rPr>
          <w:rFonts w:ascii="Arial" w:hAnsi="Arial" w:cs="Arial"/>
          <w:color w:val="000000"/>
        </w:rPr>
        <w:t>muestra un comportamiento creciente, en el 2008 fue de 31%, incrementándose al 43% en el 2009, pas</w:t>
      </w:r>
      <w:r w:rsidR="005A5435">
        <w:rPr>
          <w:rFonts w:ascii="Arial" w:hAnsi="Arial" w:cs="Arial"/>
          <w:color w:val="000000"/>
        </w:rPr>
        <w:t>ó</w:t>
      </w:r>
      <w:r w:rsidR="002D1825">
        <w:rPr>
          <w:rFonts w:ascii="Arial" w:hAnsi="Arial" w:cs="Arial"/>
          <w:color w:val="000000"/>
        </w:rPr>
        <w:t xml:space="preserve"> al 49% en el 2010 y, a julio de 2011, el porcentaje glosado equivale al 73%.</w:t>
      </w:r>
    </w:p>
    <w:p w:rsidR="005A5435" w:rsidRDefault="005A5435" w:rsidP="007F7339">
      <w:pPr>
        <w:widowControl w:val="0"/>
        <w:autoSpaceDE w:val="0"/>
        <w:autoSpaceDN w:val="0"/>
        <w:adjustRightInd w:val="0"/>
        <w:spacing w:after="0" w:line="240" w:lineRule="auto"/>
        <w:jc w:val="both"/>
        <w:rPr>
          <w:rFonts w:ascii="Arial" w:hAnsi="Arial" w:cs="Arial"/>
          <w:color w:val="000000"/>
        </w:rPr>
      </w:pPr>
    </w:p>
    <w:p w:rsidR="005A5435" w:rsidRPr="001A6519" w:rsidRDefault="005A5435" w:rsidP="007F733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Lo anterior, es consecuencia de la aplicación de la sentencia T-760 la cual estableció que </w:t>
      </w:r>
      <w:r w:rsidRPr="001A6519">
        <w:rPr>
          <w:rFonts w:ascii="Arial" w:hAnsi="Arial" w:cs="Arial"/>
          <w:color w:val="000000"/>
        </w:rPr>
        <w:t>el costo de los servicios de salud NO POS del Régimen Subsidiado</w:t>
      </w:r>
      <w:r>
        <w:rPr>
          <w:rFonts w:ascii="Arial" w:hAnsi="Arial" w:cs="Arial"/>
          <w:color w:val="000000"/>
        </w:rPr>
        <w:t xml:space="preserve"> corresponde a</w:t>
      </w:r>
      <w:r w:rsidRPr="001A6519">
        <w:rPr>
          <w:rFonts w:ascii="Arial" w:hAnsi="Arial" w:cs="Arial"/>
          <w:color w:val="000000"/>
        </w:rPr>
        <w:t xml:space="preserve"> </w:t>
      </w:r>
      <w:r>
        <w:rPr>
          <w:rFonts w:ascii="Arial" w:hAnsi="Arial" w:cs="Arial"/>
          <w:color w:val="000000"/>
        </w:rPr>
        <w:t>las Entidades Territoriales.</w:t>
      </w:r>
    </w:p>
    <w:p w:rsidR="00775232" w:rsidRPr="00603DBE" w:rsidRDefault="00775232" w:rsidP="007F7339">
      <w:pPr>
        <w:pStyle w:val="Prrafodelista"/>
        <w:widowControl w:val="0"/>
        <w:spacing w:after="0" w:line="240" w:lineRule="auto"/>
        <w:ind w:left="0"/>
        <w:jc w:val="both"/>
        <w:rPr>
          <w:rFonts w:ascii="Arial" w:hAnsi="Arial" w:cs="Arial"/>
        </w:rPr>
      </w:pPr>
    </w:p>
    <w:p w:rsidR="007D4D78" w:rsidRPr="00603DBE" w:rsidRDefault="007D4D78" w:rsidP="007F7339">
      <w:pPr>
        <w:pStyle w:val="Prrafodelista"/>
        <w:widowControl w:val="0"/>
        <w:spacing w:after="0" w:line="240" w:lineRule="auto"/>
        <w:jc w:val="both"/>
        <w:rPr>
          <w:rFonts w:ascii="Arial" w:hAnsi="Arial" w:cs="Arial"/>
        </w:rPr>
      </w:pPr>
    </w:p>
    <w:p w:rsidR="007D4D78" w:rsidRPr="00163599" w:rsidRDefault="007D4D78" w:rsidP="007F7339">
      <w:pPr>
        <w:pStyle w:val="Prrafodelista"/>
        <w:widowControl w:val="0"/>
        <w:numPr>
          <w:ilvl w:val="0"/>
          <w:numId w:val="5"/>
        </w:numPr>
        <w:spacing w:after="0" w:line="240" w:lineRule="auto"/>
        <w:ind w:left="426" w:hanging="426"/>
        <w:jc w:val="both"/>
        <w:rPr>
          <w:rFonts w:ascii="Arial" w:hAnsi="Arial" w:cs="Arial"/>
          <w:b/>
          <w:i/>
        </w:rPr>
      </w:pPr>
      <w:r w:rsidRPr="00163599">
        <w:rPr>
          <w:rFonts w:ascii="Arial" w:hAnsi="Arial" w:cs="Arial"/>
          <w:b/>
          <w:i/>
        </w:rPr>
        <w:t>Cuál es el impacto en el patrimonio y el capital de trabajo de las EPS Contributivo y Subsidiado, si se descuenta el valor de las glosas en los recobros.</w:t>
      </w:r>
    </w:p>
    <w:p w:rsidR="00163599" w:rsidRDefault="00163599" w:rsidP="007F7339">
      <w:pPr>
        <w:widowControl w:val="0"/>
        <w:autoSpaceDE w:val="0"/>
        <w:autoSpaceDN w:val="0"/>
        <w:adjustRightInd w:val="0"/>
        <w:spacing w:after="0" w:line="240" w:lineRule="auto"/>
        <w:jc w:val="both"/>
        <w:rPr>
          <w:rFonts w:ascii="Arial" w:hAnsi="Arial" w:cs="Arial"/>
          <w:color w:val="000000"/>
        </w:rPr>
      </w:pPr>
    </w:p>
    <w:p w:rsidR="00A03919" w:rsidRDefault="00A03919" w:rsidP="007F733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Con el propósito de verificar el cumplimiento de los estándares de permanencia y evaluación financiera en el año 2004 se expidió la Resolución 1804 que adoptó el Plan Único de Cuentas - PUC para las </w:t>
      </w:r>
      <w:r>
        <w:rPr>
          <w:rFonts w:ascii="Arial" w:hAnsi="Arial" w:cs="Arial"/>
          <w:i/>
          <w:iCs/>
          <w:color w:val="000000"/>
        </w:rPr>
        <w:t>"Entidades Promotoras de Salud y Entidades Prepago Privadas",</w:t>
      </w:r>
      <w:r>
        <w:rPr>
          <w:rFonts w:ascii="Arial" w:hAnsi="Arial" w:cs="Arial"/>
          <w:color w:val="000000"/>
        </w:rPr>
        <w:t xml:space="preserve"> acto administrativo que fue modificado por la Resolución 1711 de 2007 y posteriormente derogado por la Resolución 724 de 2008 a partir del 1° de enero del año 2009, que fue modificada por la Resolución 1424 de 2008 donde se incluyen todas las cuentas relacionadas con la operación de estas entidades y se expidió con el siguiente objetivo:</w:t>
      </w:r>
    </w:p>
    <w:p w:rsidR="00A03919" w:rsidRDefault="00A03919" w:rsidP="007F7339">
      <w:pPr>
        <w:widowControl w:val="0"/>
        <w:autoSpaceDE w:val="0"/>
        <w:autoSpaceDN w:val="0"/>
        <w:adjustRightInd w:val="0"/>
        <w:spacing w:after="0" w:line="240" w:lineRule="auto"/>
        <w:jc w:val="both"/>
        <w:rPr>
          <w:rFonts w:ascii="Arial" w:hAnsi="Arial" w:cs="Arial"/>
          <w:color w:val="000000"/>
        </w:rPr>
      </w:pPr>
    </w:p>
    <w:p w:rsidR="00A03919" w:rsidRDefault="00A03919" w:rsidP="007F7339">
      <w:pPr>
        <w:widowControl w:val="0"/>
        <w:numPr>
          <w:ilvl w:val="0"/>
          <w:numId w:val="4"/>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Fijar los mecanismos y procedimientos contables que deben adoptar las Entidades Promotoras de Salud, las Instituciones Prestadoras de Salud, Entidades que Administran Planes Adicionales de Salud y Servicios de Ambulancia por Demanda.</w:t>
      </w:r>
    </w:p>
    <w:p w:rsidR="00A03919" w:rsidRDefault="00A03919" w:rsidP="007F7339">
      <w:pPr>
        <w:widowControl w:val="0"/>
        <w:autoSpaceDE w:val="0"/>
        <w:autoSpaceDN w:val="0"/>
        <w:adjustRightInd w:val="0"/>
        <w:spacing w:after="0" w:line="240" w:lineRule="auto"/>
        <w:jc w:val="both"/>
        <w:rPr>
          <w:rFonts w:ascii="Arial" w:hAnsi="Arial" w:cs="Arial"/>
          <w:color w:val="000000"/>
        </w:rPr>
      </w:pPr>
    </w:p>
    <w:p w:rsidR="00A03919" w:rsidRDefault="00A03919" w:rsidP="007F7339">
      <w:pPr>
        <w:widowControl w:val="0"/>
        <w:numPr>
          <w:ilvl w:val="0"/>
          <w:numId w:val="4"/>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lastRenderedPageBreak/>
        <w:t>Establecer un sistema contable uniforme que permitiera definir el marco técnico y jurídico que debían seguir en adelante las Entidades Promotoras de Salud, las Instituciones Prestadoras de Salud, Entidades que Administran Planes Adicionales de Salud y Servicios de Ambulancia por Demanda.</w:t>
      </w:r>
    </w:p>
    <w:p w:rsidR="00A03919" w:rsidRDefault="00A03919" w:rsidP="007F7339">
      <w:pPr>
        <w:widowControl w:val="0"/>
        <w:autoSpaceDE w:val="0"/>
        <w:autoSpaceDN w:val="0"/>
        <w:adjustRightInd w:val="0"/>
        <w:spacing w:after="0" w:line="240" w:lineRule="auto"/>
        <w:jc w:val="both"/>
        <w:rPr>
          <w:rFonts w:ascii="Arial" w:hAnsi="Arial" w:cs="Arial"/>
          <w:color w:val="000000"/>
        </w:rPr>
      </w:pPr>
    </w:p>
    <w:p w:rsidR="00A03919" w:rsidRDefault="00A03919" w:rsidP="007F7339">
      <w:pPr>
        <w:widowControl w:val="0"/>
        <w:numPr>
          <w:ilvl w:val="0"/>
          <w:numId w:val="4"/>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Permitir a las Entidades Promotoras de Salud, las Instituciones Prestadoras de Salud, Entidades que Administran Planes Adicionales de Salud y Servicios de Ambulancia por Demanda, la identificación, medición, clasificación, interpretación, análisis y evaluación de los hechos económicos que en ellas se registraran.</w:t>
      </w:r>
    </w:p>
    <w:p w:rsidR="00A03919" w:rsidRDefault="00A03919" w:rsidP="007F7339">
      <w:pPr>
        <w:widowControl w:val="0"/>
        <w:autoSpaceDE w:val="0"/>
        <w:autoSpaceDN w:val="0"/>
        <w:adjustRightInd w:val="0"/>
        <w:spacing w:after="0" w:line="240" w:lineRule="auto"/>
        <w:jc w:val="both"/>
        <w:rPr>
          <w:rFonts w:ascii="Arial" w:hAnsi="Arial" w:cs="Arial"/>
          <w:color w:val="000000"/>
        </w:rPr>
      </w:pPr>
    </w:p>
    <w:p w:rsidR="00A03919" w:rsidRDefault="00A03919" w:rsidP="007F7339">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Posteriormente, para ajustar y adecuar la estructura del PUC y se reflejen las características propias y la realidad operacional de las entidades, en este caso de las EPS, así como facilitar el análisis, seguimiento y control de los resultados e indicadores financieros en el cumplimiento de la normatividad se expidieron las Resoluciones 2093 y 2108 de 2010, en las cuales se incluyeron las cuentas para el registro de los medicamentos no pos y fallos de tutela.</w:t>
      </w:r>
    </w:p>
    <w:p w:rsidR="00A03919" w:rsidRDefault="00A03919" w:rsidP="007F7339">
      <w:pPr>
        <w:widowControl w:val="0"/>
        <w:autoSpaceDE w:val="0"/>
        <w:autoSpaceDN w:val="0"/>
        <w:adjustRightInd w:val="0"/>
        <w:spacing w:after="0" w:line="240" w:lineRule="auto"/>
        <w:jc w:val="both"/>
        <w:rPr>
          <w:rFonts w:ascii="Arial" w:hAnsi="Arial" w:cs="Arial"/>
        </w:rPr>
      </w:pPr>
    </w:p>
    <w:p w:rsidR="00A03919" w:rsidRDefault="00A03919" w:rsidP="007F7339">
      <w:pPr>
        <w:widowControl w:val="0"/>
        <w:autoSpaceDE w:val="0"/>
        <w:autoSpaceDN w:val="0"/>
        <w:adjustRightInd w:val="0"/>
        <w:spacing w:after="0" w:line="240" w:lineRule="auto"/>
        <w:jc w:val="both"/>
        <w:rPr>
          <w:rFonts w:ascii="Arial" w:hAnsi="Arial" w:cs="Arial"/>
          <w:bCs/>
        </w:rPr>
      </w:pPr>
      <w:r>
        <w:rPr>
          <w:rFonts w:ascii="Arial" w:hAnsi="Arial" w:cs="Arial"/>
          <w:bCs/>
        </w:rPr>
        <w:t>De acuerdo con el Plan Único de Cuentas, el código 1399 – Provisiones, registra los montos provisionados por el ente económico para cubrir eventuales pérdidas de créditos, como resultado del análisis efectuado a cada uno de los rubros que conforman el grupo deudores.  Es una cuenta de valuación de activos de naturaleza crédito.</w:t>
      </w:r>
    </w:p>
    <w:p w:rsidR="00A03919" w:rsidRDefault="00A03919" w:rsidP="007F7339">
      <w:pPr>
        <w:widowControl w:val="0"/>
        <w:autoSpaceDE w:val="0"/>
        <w:autoSpaceDN w:val="0"/>
        <w:adjustRightInd w:val="0"/>
        <w:spacing w:after="0" w:line="240" w:lineRule="auto"/>
        <w:jc w:val="both"/>
        <w:rPr>
          <w:rFonts w:ascii="Arial" w:hAnsi="Arial" w:cs="Arial"/>
          <w:bCs/>
        </w:rPr>
      </w:pPr>
    </w:p>
    <w:p w:rsidR="00A03919" w:rsidRDefault="00A03919" w:rsidP="007F7339">
      <w:pPr>
        <w:widowControl w:val="0"/>
        <w:autoSpaceDE w:val="0"/>
        <w:autoSpaceDN w:val="0"/>
        <w:adjustRightInd w:val="0"/>
        <w:spacing w:after="0" w:line="240" w:lineRule="auto"/>
        <w:jc w:val="both"/>
        <w:rPr>
          <w:rFonts w:ascii="Arial" w:hAnsi="Arial" w:cs="Arial"/>
          <w:bCs/>
        </w:rPr>
      </w:pPr>
      <w:r w:rsidRPr="005C0E2D">
        <w:rPr>
          <w:rFonts w:ascii="Arial" w:hAnsi="Arial" w:cs="Arial"/>
          <w:bCs/>
        </w:rPr>
        <w:t>Para efectos de realizar la provisión de cartera, se deberán tener en cuenta los siguientes criterios:</w:t>
      </w:r>
    </w:p>
    <w:p w:rsidR="00A03919" w:rsidRPr="005C0E2D" w:rsidRDefault="00A03919" w:rsidP="007F7339">
      <w:pPr>
        <w:widowControl w:val="0"/>
        <w:autoSpaceDE w:val="0"/>
        <w:autoSpaceDN w:val="0"/>
        <w:adjustRightInd w:val="0"/>
        <w:spacing w:after="0" w:line="240" w:lineRule="auto"/>
        <w:jc w:val="both"/>
        <w:rPr>
          <w:rFonts w:ascii="Arial" w:hAnsi="Arial" w:cs="Arial"/>
          <w:bCs/>
        </w:rPr>
      </w:pPr>
    </w:p>
    <w:p w:rsidR="00A03919" w:rsidRPr="005C0E2D" w:rsidRDefault="00A03919" w:rsidP="007F7339">
      <w:pPr>
        <w:widowControl w:val="0"/>
        <w:autoSpaceDE w:val="0"/>
        <w:autoSpaceDN w:val="0"/>
        <w:adjustRightInd w:val="0"/>
        <w:spacing w:after="0" w:line="240" w:lineRule="auto"/>
        <w:jc w:val="both"/>
        <w:rPr>
          <w:rFonts w:ascii="Arial" w:hAnsi="Arial" w:cs="Arial"/>
          <w:bCs/>
        </w:rPr>
      </w:pPr>
      <w:r>
        <w:rPr>
          <w:rFonts w:ascii="Arial" w:hAnsi="Arial" w:cs="Arial"/>
          <w:bCs/>
        </w:rPr>
        <w:t xml:space="preserve">a) </w:t>
      </w:r>
      <w:r w:rsidRPr="005C0E2D">
        <w:rPr>
          <w:rFonts w:ascii="Arial" w:hAnsi="Arial" w:cs="Arial"/>
          <w:bCs/>
        </w:rPr>
        <w:t xml:space="preserve">Cuando la cartera supera los 360 días de vencida </w:t>
      </w:r>
      <w:r>
        <w:rPr>
          <w:rFonts w:ascii="Arial" w:hAnsi="Arial" w:cs="Arial"/>
          <w:bCs/>
        </w:rPr>
        <w:t xml:space="preserve">y </w:t>
      </w:r>
      <w:r w:rsidRPr="005C0E2D">
        <w:rPr>
          <w:rFonts w:ascii="Arial" w:hAnsi="Arial" w:cs="Arial"/>
          <w:bCs/>
        </w:rPr>
        <w:t>no exista ningún compromiso de pago se debe provisiona</w:t>
      </w:r>
      <w:r>
        <w:rPr>
          <w:rFonts w:ascii="Arial" w:hAnsi="Arial" w:cs="Arial"/>
          <w:bCs/>
        </w:rPr>
        <w:t>r</w:t>
      </w:r>
      <w:r w:rsidRPr="005C0E2D">
        <w:rPr>
          <w:rFonts w:ascii="Arial" w:hAnsi="Arial" w:cs="Arial"/>
          <w:bCs/>
        </w:rPr>
        <w:t xml:space="preserve"> el 100% de la misma</w:t>
      </w:r>
      <w:r>
        <w:rPr>
          <w:rFonts w:ascii="Arial" w:hAnsi="Arial" w:cs="Arial"/>
          <w:bCs/>
        </w:rPr>
        <w:t>;</w:t>
      </w:r>
    </w:p>
    <w:p w:rsidR="00A03919" w:rsidRDefault="00A03919" w:rsidP="007F7339">
      <w:pPr>
        <w:widowControl w:val="0"/>
        <w:autoSpaceDE w:val="0"/>
        <w:autoSpaceDN w:val="0"/>
        <w:adjustRightInd w:val="0"/>
        <w:spacing w:after="0" w:line="240" w:lineRule="auto"/>
        <w:jc w:val="both"/>
        <w:rPr>
          <w:rFonts w:ascii="Arial" w:hAnsi="Arial" w:cs="Arial"/>
          <w:bCs/>
        </w:rPr>
      </w:pPr>
    </w:p>
    <w:p w:rsidR="00A03919" w:rsidRPr="005C0E2D" w:rsidRDefault="00A03919" w:rsidP="007F7339">
      <w:pPr>
        <w:widowControl w:val="0"/>
        <w:autoSpaceDE w:val="0"/>
        <w:autoSpaceDN w:val="0"/>
        <w:adjustRightInd w:val="0"/>
        <w:spacing w:after="0" w:line="240" w:lineRule="auto"/>
        <w:jc w:val="both"/>
        <w:rPr>
          <w:rFonts w:ascii="Arial" w:hAnsi="Arial" w:cs="Arial"/>
          <w:bCs/>
        </w:rPr>
      </w:pPr>
      <w:r w:rsidRPr="005C0E2D">
        <w:rPr>
          <w:rFonts w:ascii="Arial" w:hAnsi="Arial" w:cs="Arial"/>
          <w:bCs/>
        </w:rPr>
        <w:t>b) Registra el 100% del valor de las Deudas de Difícil Cobro;</w:t>
      </w:r>
    </w:p>
    <w:p w:rsidR="00A03919" w:rsidRDefault="00A03919" w:rsidP="007F7339">
      <w:pPr>
        <w:widowControl w:val="0"/>
        <w:autoSpaceDE w:val="0"/>
        <w:autoSpaceDN w:val="0"/>
        <w:adjustRightInd w:val="0"/>
        <w:spacing w:after="0" w:line="240" w:lineRule="auto"/>
        <w:jc w:val="both"/>
        <w:rPr>
          <w:rFonts w:ascii="Arial" w:hAnsi="Arial" w:cs="Arial"/>
          <w:bCs/>
        </w:rPr>
      </w:pPr>
    </w:p>
    <w:p w:rsidR="00A03919" w:rsidRPr="005C0E2D" w:rsidRDefault="00A03919" w:rsidP="007F7339">
      <w:pPr>
        <w:widowControl w:val="0"/>
        <w:autoSpaceDE w:val="0"/>
        <w:autoSpaceDN w:val="0"/>
        <w:adjustRightInd w:val="0"/>
        <w:spacing w:after="0" w:line="240" w:lineRule="auto"/>
        <w:jc w:val="both"/>
        <w:rPr>
          <w:rFonts w:ascii="Arial" w:hAnsi="Arial" w:cs="Arial"/>
          <w:bCs/>
        </w:rPr>
      </w:pPr>
      <w:r w:rsidRPr="005C0E2D">
        <w:rPr>
          <w:rFonts w:ascii="Arial" w:hAnsi="Arial" w:cs="Arial"/>
          <w:bCs/>
        </w:rPr>
        <w:t>c) Registra la provisión de las deudas a favor del ente económico distintas a las de difícil cobro, calculadas bajo el método general de provisión de cartera;</w:t>
      </w:r>
    </w:p>
    <w:p w:rsidR="00A03919" w:rsidRDefault="00A03919" w:rsidP="007F7339">
      <w:pPr>
        <w:widowControl w:val="0"/>
        <w:autoSpaceDE w:val="0"/>
        <w:autoSpaceDN w:val="0"/>
        <w:adjustRightInd w:val="0"/>
        <w:spacing w:after="0" w:line="240" w:lineRule="auto"/>
        <w:jc w:val="both"/>
        <w:rPr>
          <w:rFonts w:ascii="Arial" w:hAnsi="Arial" w:cs="Arial"/>
          <w:bCs/>
        </w:rPr>
      </w:pPr>
    </w:p>
    <w:p w:rsidR="00A03919" w:rsidRPr="005C0E2D" w:rsidRDefault="00A03919" w:rsidP="007F7339">
      <w:pPr>
        <w:widowControl w:val="0"/>
        <w:autoSpaceDE w:val="0"/>
        <w:autoSpaceDN w:val="0"/>
        <w:adjustRightInd w:val="0"/>
        <w:spacing w:after="0" w:line="240" w:lineRule="auto"/>
        <w:jc w:val="both"/>
        <w:rPr>
          <w:rFonts w:ascii="Arial" w:hAnsi="Arial" w:cs="Arial"/>
          <w:bCs/>
        </w:rPr>
      </w:pPr>
      <w:r w:rsidRPr="005C0E2D">
        <w:rPr>
          <w:rFonts w:ascii="Arial" w:hAnsi="Arial" w:cs="Arial"/>
          <w:bCs/>
        </w:rPr>
        <w:t>d) Para la cartera que presente compromisos de pago tales como, convenios de pago, que la entidad esté en reestructuración económica o insolvencia empresarial, que medie proceso jurídico, entre otros, deberá aplicarse el sistema general o individual de cartera;</w:t>
      </w:r>
    </w:p>
    <w:p w:rsidR="00A03919" w:rsidRDefault="00A03919" w:rsidP="007F7339">
      <w:pPr>
        <w:widowControl w:val="0"/>
        <w:autoSpaceDE w:val="0"/>
        <w:autoSpaceDN w:val="0"/>
        <w:adjustRightInd w:val="0"/>
        <w:spacing w:after="0" w:line="240" w:lineRule="auto"/>
        <w:jc w:val="both"/>
        <w:rPr>
          <w:rFonts w:ascii="Arial" w:hAnsi="Arial" w:cs="Arial"/>
          <w:bCs/>
        </w:rPr>
      </w:pPr>
    </w:p>
    <w:p w:rsidR="00A03919" w:rsidRPr="005C0E2D" w:rsidRDefault="00A03919" w:rsidP="007F7339">
      <w:pPr>
        <w:widowControl w:val="0"/>
        <w:autoSpaceDE w:val="0"/>
        <w:autoSpaceDN w:val="0"/>
        <w:adjustRightInd w:val="0"/>
        <w:spacing w:after="0" w:line="240" w:lineRule="auto"/>
        <w:jc w:val="both"/>
        <w:rPr>
          <w:rFonts w:ascii="Arial" w:hAnsi="Arial" w:cs="Arial"/>
          <w:bCs/>
        </w:rPr>
      </w:pPr>
      <w:r w:rsidRPr="005C0E2D">
        <w:rPr>
          <w:rFonts w:ascii="Arial" w:hAnsi="Arial" w:cs="Arial"/>
          <w:bCs/>
        </w:rPr>
        <w:t>e) Cuando las EPS del R</w:t>
      </w:r>
      <w:r>
        <w:rPr>
          <w:rFonts w:ascii="Arial" w:hAnsi="Arial" w:cs="Arial"/>
          <w:bCs/>
        </w:rPr>
        <w:t xml:space="preserve">égimen </w:t>
      </w:r>
      <w:r w:rsidRPr="005C0E2D">
        <w:rPr>
          <w:rFonts w:ascii="Arial" w:hAnsi="Arial" w:cs="Arial"/>
          <w:bCs/>
        </w:rPr>
        <w:t>S</w:t>
      </w:r>
      <w:r>
        <w:rPr>
          <w:rFonts w:ascii="Arial" w:hAnsi="Arial" w:cs="Arial"/>
          <w:bCs/>
        </w:rPr>
        <w:t>ubsidiado</w:t>
      </w:r>
      <w:r w:rsidRPr="005C0E2D">
        <w:rPr>
          <w:rFonts w:ascii="Arial" w:hAnsi="Arial" w:cs="Arial"/>
          <w:bCs/>
        </w:rPr>
        <w:t xml:space="preserve"> efectúen convenio de pago con un municipio o el municipio deudor se encuentra en el marco de lo establecido en la Ley </w:t>
      </w:r>
      <w:hyperlink r:id="rId9" w:anchor="1" w:tgtFrame="_blank" w:history="1">
        <w:r w:rsidRPr="001C5BBD">
          <w:rPr>
            <w:rFonts w:ascii="Arial" w:hAnsi="Arial" w:cs="Arial"/>
            <w:bCs/>
          </w:rPr>
          <w:t>550</w:t>
        </w:r>
      </w:hyperlink>
      <w:r w:rsidRPr="005C0E2D">
        <w:rPr>
          <w:rFonts w:ascii="Arial" w:hAnsi="Arial" w:cs="Arial"/>
          <w:bCs/>
        </w:rPr>
        <w:t xml:space="preserve"> de 1999, dichas acreencias deben ser objeto de reclasificación contable de conformidad con los nuevos plazos pactados, razón por la cual estos montos no serían objeto de provisión, no obstante</w:t>
      </w:r>
      <w:r>
        <w:rPr>
          <w:rFonts w:ascii="Arial" w:hAnsi="Arial" w:cs="Arial"/>
          <w:bCs/>
        </w:rPr>
        <w:t>,</w:t>
      </w:r>
      <w:r w:rsidRPr="005C0E2D">
        <w:rPr>
          <w:rFonts w:ascii="Arial" w:hAnsi="Arial" w:cs="Arial"/>
          <w:bCs/>
        </w:rPr>
        <w:t xml:space="preserve"> si los términos pactados en los acuerdos de pago son incumplidos estos serán objeto de provisión;</w:t>
      </w:r>
    </w:p>
    <w:p w:rsidR="00A03919" w:rsidRDefault="00A03919" w:rsidP="007F7339">
      <w:pPr>
        <w:widowControl w:val="0"/>
        <w:autoSpaceDE w:val="0"/>
        <w:autoSpaceDN w:val="0"/>
        <w:adjustRightInd w:val="0"/>
        <w:spacing w:after="0" w:line="240" w:lineRule="auto"/>
        <w:jc w:val="both"/>
        <w:rPr>
          <w:rFonts w:ascii="Arial" w:hAnsi="Arial" w:cs="Arial"/>
          <w:bCs/>
        </w:rPr>
      </w:pPr>
    </w:p>
    <w:p w:rsidR="00A03919" w:rsidRPr="005C0E2D" w:rsidRDefault="00A03919" w:rsidP="007F7339">
      <w:pPr>
        <w:widowControl w:val="0"/>
        <w:autoSpaceDE w:val="0"/>
        <w:autoSpaceDN w:val="0"/>
        <w:adjustRightInd w:val="0"/>
        <w:spacing w:after="0" w:line="240" w:lineRule="auto"/>
        <w:jc w:val="both"/>
        <w:rPr>
          <w:rFonts w:ascii="Arial" w:hAnsi="Arial" w:cs="Arial"/>
          <w:bCs/>
        </w:rPr>
      </w:pPr>
      <w:r w:rsidRPr="005C0E2D">
        <w:rPr>
          <w:rFonts w:ascii="Arial" w:hAnsi="Arial" w:cs="Arial"/>
          <w:bCs/>
        </w:rPr>
        <w:t xml:space="preserve">f) Registra el valor de las cuentas por cobrar al </w:t>
      </w:r>
      <w:proofErr w:type="spellStart"/>
      <w:r w:rsidRPr="005C0E2D">
        <w:rPr>
          <w:rFonts w:ascii="Arial" w:hAnsi="Arial" w:cs="Arial"/>
          <w:bCs/>
        </w:rPr>
        <w:t>Fosyga</w:t>
      </w:r>
      <w:proofErr w:type="spellEnd"/>
      <w:r w:rsidRPr="005C0E2D">
        <w:rPr>
          <w:rFonts w:ascii="Arial" w:hAnsi="Arial" w:cs="Arial"/>
          <w:bCs/>
        </w:rPr>
        <w:t xml:space="preserve"> superiores a 360 días, cuando el Ministerio de la Protección Social informe del estado de las mismas o certifique que no hacen parte de un proceso de demanda o conciliación.</w:t>
      </w:r>
    </w:p>
    <w:p w:rsidR="00A03919" w:rsidRDefault="00A03919" w:rsidP="007F7339">
      <w:pPr>
        <w:widowControl w:val="0"/>
        <w:autoSpaceDE w:val="0"/>
        <w:autoSpaceDN w:val="0"/>
        <w:adjustRightInd w:val="0"/>
        <w:spacing w:after="0" w:line="240" w:lineRule="auto"/>
        <w:jc w:val="both"/>
        <w:rPr>
          <w:rFonts w:ascii="Arial" w:hAnsi="Arial" w:cs="Arial"/>
        </w:rPr>
      </w:pPr>
    </w:p>
    <w:p w:rsidR="00A03919" w:rsidRDefault="00A03919" w:rsidP="007F7339">
      <w:pPr>
        <w:widowControl w:val="0"/>
        <w:autoSpaceDE w:val="0"/>
        <w:autoSpaceDN w:val="0"/>
        <w:adjustRightInd w:val="0"/>
        <w:spacing w:after="0" w:line="240" w:lineRule="auto"/>
        <w:jc w:val="both"/>
        <w:rPr>
          <w:rFonts w:ascii="Arial" w:hAnsi="Arial" w:cs="Arial"/>
        </w:rPr>
      </w:pPr>
      <w:r>
        <w:rPr>
          <w:rFonts w:ascii="Arial" w:hAnsi="Arial" w:cs="Arial"/>
        </w:rPr>
        <w:t>En tal sentido, l</w:t>
      </w:r>
      <w:r w:rsidRPr="002D7D4B">
        <w:rPr>
          <w:rFonts w:ascii="Arial" w:hAnsi="Arial" w:cs="Arial"/>
        </w:rPr>
        <w:t xml:space="preserve">as EPS una vez prestado el servicio NO POS </w:t>
      </w:r>
      <w:r>
        <w:rPr>
          <w:rFonts w:ascii="Arial" w:hAnsi="Arial" w:cs="Arial"/>
        </w:rPr>
        <w:t xml:space="preserve">o </w:t>
      </w:r>
      <w:r w:rsidRPr="002D7D4B">
        <w:rPr>
          <w:rFonts w:ascii="Arial" w:hAnsi="Arial" w:cs="Arial"/>
        </w:rPr>
        <w:t>cumplido el fallo de tutela, registran el valor de la prestación del servicio en el costo contra la cuenta por pagar a la IPS. Una vez cancelado el servicio a la IPS registra el 100% del ingreso del valor a ser recobrado contra la cuenta por cobrar al FOSYGA en aplicación del principio contable de causación y relación de causalidad.</w:t>
      </w:r>
    </w:p>
    <w:p w:rsidR="00A03919" w:rsidRDefault="00A03919" w:rsidP="007F7339">
      <w:pPr>
        <w:widowControl w:val="0"/>
        <w:autoSpaceDE w:val="0"/>
        <w:autoSpaceDN w:val="0"/>
        <w:adjustRightInd w:val="0"/>
        <w:spacing w:after="0" w:line="240" w:lineRule="auto"/>
        <w:jc w:val="both"/>
        <w:rPr>
          <w:rFonts w:ascii="Arial" w:hAnsi="Arial" w:cs="Arial"/>
        </w:rPr>
      </w:pPr>
    </w:p>
    <w:p w:rsidR="00A03919" w:rsidRPr="00191BAF" w:rsidRDefault="00A03919" w:rsidP="007F7339">
      <w:pPr>
        <w:widowControl w:val="0"/>
        <w:autoSpaceDE w:val="0"/>
        <w:autoSpaceDN w:val="0"/>
        <w:adjustRightInd w:val="0"/>
        <w:spacing w:after="0" w:line="240" w:lineRule="auto"/>
        <w:jc w:val="both"/>
        <w:rPr>
          <w:rFonts w:ascii="Arial" w:hAnsi="Arial" w:cs="Arial"/>
          <w:i/>
          <w:sz w:val="20"/>
        </w:rPr>
      </w:pPr>
      <w:r w:rsidRPr="005651E0">
        <w:rPr>
          <w:rFonts w:ascii="Arial" w:hAnsi="Arial" w:cs="Arial"/>
        </w:rPr>
        <w:t>La Superintendencia Nacional de Salud impartió instrucciones en relación con la provisión</w:t>
      </w:r>
      <w:r w:rsidRPr="005F18E6">
        <w:rPr>
          <w:rFonts w:ascii="Arial" w:hAnsi="Arial" w:cs="Arial"/>
        </w:rPr>
        <w:t xml:space="preserve"> de valores glosados por el FOSYGA, a través de la Resolución 1424 de 2008 en el artículo 3°, señaló: </w:t>
      </w:r>
      <w:r w:rsidRPr="00191BAF">
        <w:rPr>
          <w:rFonts w:ascii="Arial" w:hAnsi="Arial" w:cs="Arial"/>
          <w:sz w:val="20"/>
        </w:rPr>
        <w:t>“</w:t>
      </w:r>
      <w:r w:rsidRPr="00191BAF">
        <w:rPr>
          <w:rFonts w:ascii="Arial" w:hAnsi="Arial" w:cs="Arial"/>
          <w:b/>
          <w:bCs/>
          <w:i/>
          <w:sz w:val="20"/>
        </w:rPr>
        <w:t xml:space="preserve">Transición: </w:t>
      </w:r>
      <w:r w:rsidRPr="00191BAF">
        <w:rPr>
          <w:rFonts w:ascii="Arial" w:hAnsi="Arial" w:cs="Arial"/>
          <w:i/>
          <w:sz w:val="20"/>
        </w:rPr>
        <w:t xml:space="preserve">Las EPS harán las provisiones de las cuentas por cobrar al FOSYGA superiores a 360 días una vez se apliquen las órdenes vigésimo cuarta y vigésimo quinta impartidas al Ministerio de la Protección Social y al Administrador Fiduciario del </w:t>
      </w:r>
      <w:proofErr w:type="spellStart"/>
      <w:r w:rsidRPr="00191BAF">
        <w:rPr>
          <w:rFonts w:ascii="Arial" w:hAnsi="Arial" w:cs="Arial"/>
          <w:i/>
          <w:sz w:val="20"/>
        </w:rPr>
        <w:t>Fosyga</w:t>
      </w:r>
      <w:proofErr w:type="spellEnd"/>
      <w:r w:rsidRPr="00191BAF">
        <w:rPr>
          <w:rFonts w:ascii="Arial" w:hAnsi="Arial" w:cs="Arial"/>
          <w:i/>
          <w:sz w:val="20"/>
        </w:rPr>
        <w:t xml:space="preserve"> por la Corte Constitucional mediante la Tutela T-760-08”. </w:t>
      </w:r>
    </w:p>
    <w:p w:rsidR="00A03919" w:rsidRDefault="00A03919" w:rsidP="007F7339">
      <w:pPr>
        <w:widowControl w:val="0"/>
        <w:spacing w:after="0" w:line="240" w:lineRule="auto"/>
        <w:jc w:val="both"/>
        <w:rPr>
          <w:rFonts w:ascii="Arial" w:hAnsi="Arial" w:cs="Arial"/>
        </w:rPr>
      </w:pPr>
    </w:p>
    <w:p w:rsidR="00A03919" w:rsidRDefault="00B22D1E" w:rsidP="007F7339">
      <w:pPr>
        <w:widowControl w:val="0"/>
        <w:autoSpaceDE w:val="0"/>
        <w:autoSpaceDN w:val="0"/>
        <w:adjustRightInd w:val="0"/>
        <w:spacing w:after="0" w:line="240" w:lineRule="auto"/>
        <w:jc w:val="both"/>
        <w:rPr>
          <w:rFonts w:ascii="Arial" w:hAnsi="Arial" w:cs="Arial"/>
          <w:bCs/>
        </w:rPr>
      </w:pPr>
      <w:r>
        <w:rPr>
          <w:rFonts w:ascii="Arial" w:hAnsi="Arial" w:cs="Arial"/>
          <w:bCs/>
        </w:rPr>
        <w:t xml:space="preserve">De otra parte, el </w:t>
      </w:r>
      <w:r w:rsidR="00A03919">
        <w:rPr>
          <w:rFonts w:ascii="Arial" w:hAnsi="Arial" w:cs="Arial"/>
          <w:bCs/>
        </w:rPr>
        <w:t xml:space="preserve">efecto de las provisiones en los Estados Financieros, tiene como consecuencia una disminución en el resultado de la operación, el cual tiene relación directa con Patrimonio de </w:t>
      </w:r>
      <w:r w:rsidR="00A03919">
        <w:rPr>
          <w:rFonts w:ascii="Arial" w:hAnsi="Arial" w:cs="Arial"/>
          <w:bCs/>
        </w:rPr>
        <w:lastRenderedPageBreak/>
        <w:t>la EPS y para el caso de</w:t>
      </w:r>
      <w:r>
        <w:rPr>
          <w:rFonts w:ascii="Arial" w:hAnsi="Arial" w:cs="Arial"/>
          <w:bCs/>
        </w:rPr>
        <w:t xml:space="preserve"> </w:t>
      </w:r>
      <w:r w:rsidR="00A03919">
        <w:rPr>
          <w:rFonts w:ascii="Arial" w:hAnsi="Arial" w:cs="Arial"/>
          <w:bCs/>
        </w:rPr>
        <w:t>l</w:t>
      </w:r>
      <w:r>
        <w:rPr>
          <w:rFonts w:ascii="Arial" w:hAnsi="Arial" w:cs="Arial"/>
          <w:bCs/>
        </w:rPr>
        <w:t xml:space="preserve">as EPS que administran el Régimen Subsidiado </w:t>
      </w:r>
      <w:r w:rsidR="00A03919">
        <w:rPr>
          <w:rFonts w:ascii="Arial" w:hAnsi="Arial" w:cs="Arial"/>
          <w:bCs/>
        </w:rPr>
        <w:t xml:space="preserve">las provisiones se incluyen en el cálculo del Margen de Solvencia. </w:t>
      </w:r>
    </w:p>
    <w:p w:rsidR="00A03919" w:rsidRDefault="00A03919" w:rsidP="007F7339">
      <w:pPr>
        <w:widowControl w:val="0"/>
        <w:autoSpaceDE w:val="0"/>
        <w:autoSpaceDN w:val="0"/>
        <w:adjustRightInd w:val="0"/>
        <w:spacing w:after="0" w:line="240" w:lineRule="auto"/>
        <w:jc w:val="both"/>
        <w:rPr>
          <w:rFonts w:ascii="Arial" w:hAnsi="Arial" w:cs="Arial"/>
          <w:bCs/>
        </w:rPr>
      </w:pPr>
    </w:p>
    <w:p w:rsidR="00A03919" w:rsidRDefault="00A03919" w:rsidP="007F7339">
      <w:pPr>
        <w:widowControl w:val="0"/>
        <w:autoSpaceDE w:val="0"/>
        <w:autoSpaceDN w:val="0"/>
        <w:adjustRightInd w:val="0"/>
        <w:spacing w:after="0" w:line="240" w:lineRule="auto"/>
        <w:jc w:val="both"/>
        <w:rPr>
          <w:rFonts w:ascii="Arial" w:hAnsi="Arial" w:cs="Arial"/>
          <w:bCs/>
        </w:rPr>
      </w:pPr>
      <w:r>
        <w:rPr>
          <w:rFonts w:ascii="Arial" w:hAnsi="Arial" w:cs="Arial"/>
          <w:bCs/>
        </w:rPr>
        <w:t xml:space="preserve">Teniendo en cuenta, que el valor glosado </w:t>
      </w:r>
      <w:r w:rsidR="00B22D1E">
        <w:rPr>
          <w:rFonts w:ascii="Arial" w:hAnsi="Arial" w:cs="Arial"/>
          <w:bCs/>
        </w:rPr>
        <w:t>en el Régimen Contributivo fue de $</w:t>
      </w:r>
      <w:r w:rsidR="00B22D1E" w:rsidRPr="00B22D1E">
        <w:rPr>
          <w:rFonts w:ascii="Arial" w:hAnsi="Arial" w:cs="Arial"/>
          <w:bCs/>
        </w:rPr>
        <w:t>851.232</w:t>
      </w:r>
      <w:r w:rsidR="00B22D1E">
        <w:rPr>
          <w:rFonts w:ascii="Arial" w:hAnsi="Arial" w:cs="Arial"/>
          <w:bCs/>
        </w:rPr>
        <w:t xml:space="preserve"> millones y en el Régimen Subsidiado $</w:t>
      </w:r>
      <w:r w:rsidR="00B22D1E" w:rsidRPr="00B22D1E">
        <w:rPr>
          <w:rFonts w:ascii="Arial" w:hAnsi="Arial" w:cs="Arial"/>
          <w:bCs/>
        </w:rPr>
        <w:t>115.518</w:t>
      </w:r>
      <w:r w:rsidR="00B22D1E">
        <w:rPr>
          <w:rFonts w:ascii="Arial" w:hAnsi="Arial" w:cs="Arial"/>
          <w:bCs/>
        </w:rPr>
        <w:t xml:space="preserve"> millones</w:t>
      </w:r>
      <w:r w:rsidR="00412415">
        <w:rPr>
          <w:rFonts w:ascii="Arial" w:hAnsi="Arial" w:cs="Arial"/>
          <w:bCs/>
        </w:rPr>
        <w:t xml:space="preserve">, </w:t>
      </w:r>
      <w:r>
        <w:rPr>
          <w:rFonts w:ascii="Arial" w:hAnsi="Arial" w:cs="Arial"/>
          <w:bCs/>
        </w:rPr>
        <w:t>efectivamente este valor tiene repercusión directa sobre la situación financiera de las EPS, en el caso de aquellas glosas que son rechazadas en forma definitiva.</w:t>
      </w:r>
    </w:p>
    <w:p w:rsidR="00A03919" w:rsidRDefault="00A03919" w:rsidP="007F7339">
      <w:pPr>
        <w:widowControl w:val="0"/>
        <w:autoSpaceDE w:val="0"/>
        <w:autoSpaceDN w:val="0"/>
        <w:adjustRightInd w:val="0"/>
        <w:spacing w:after="0" w:line="240" w:lineRule="auto"/>
        <w:jc w:val="both"/>
        <w:rPr>
          <w:rFonts w:ascii="Arial" w:hAnsi="Arial" w:cs="Arial"/>
          <w:bCs/>
        </w:rPr>
      </w:pPr>
    </w:p>
    <w:p w:rsidR="00A03919" w:rsidRDefault="00A03919" w:rsidP="007F7339">
      <w:pPr>
        <w:widowControl w:val="0"/>
        <w:autoSpaceDE w:val="0"/>
        <w:autoSpaceDN w:val="0"/>
        <w:adjustRightInd w:val="0"/>
        <w:spacing w:after="0" w:line="240" w:lineRule="auto"/>
        <w:jc w:val="both"/>
        <w:rPr>
          <w:rFonts w:ascii="Arial" w:hAnsi="Arial" w:cs="Arial"/>
          <w:bCs/>
        </w:rPr>
      </w:pPr>
      <w:r w:rsidRPr="00BE4A47">
        <w:rPr>
          <w:rFonts w:ascii="Arial" w:hAnsi="Arial" w:cs="Arial"/>
          <w:bCs/>
        </w:rPr>
        <w:t xml:space="preserve">La importancia que tiene la provisión de cartera, radica principalmente en que permite depurar </w:t>
      </w:r>
      <w:r>
        <w:rPr>
          <w:rFonts w:ascii="Arial" w:hAnsi="Arial" w:cs="Arial"/>
          <w:bCs/>
        </w:rPr>
        <w:t>las cuentas por cobrar de</w:t>
      </w:r>
      <w:r w:rsidRPr="00BE4A47">
        <w:rPr>
          <w:rFonts w:ascii="Arial" w:hAnsi="Arial" w:cs="Arial"/>
          <w:bCs/>
        </w:rPr>
        <w:t xml:space="preserve"> la </w:t>
      </w:r>
      <w:r>
        <w:rPr>
          <w:rFonts w:ascii="Arial" w:hAnsi="Arial" w:cs="Arial"/>
          <w:bCs/>
        </w:rPr>
        <w:t>EPS, para que la información financiera s</w:t>
      </w:r>
      <w:r w:rsidR="00B750B7">
        <w:rPr>
          <w:rFonts w:ascii="Arial" w:hAnsi="Arial" w:cs="Arial"/>
          <w:bCs/>
        </w:rPr>
        <w:t>e presente en forma razonable.</w:t>
      </w:r>
    </w:p>
    <w:p w:rsidR="006B57D7" w:rsidRDefault="006B57D7" w:rsidP="007F7339">
      <w:pPr>
        <w:widowControl w:val="0"/>
        <w:autoSpaceDE w:val="0"/>
        <w:autoSpaceDN w:val="0"/>
        <w:adjustRightInd w:val="0"/>
        <w:spacing w:after="0" w:line="240" w:lineRule="auto"/>
        <w:jc w:val="both"/>
        <w:rPr>
          <w:rFonts w:ascii="Arial" w:hAnsi="Arial" w:cs="Arial"/>
          <w:bCs/>
        </w:rPr>
      </w:pPr>
    </w:p>
    <w:p w:rsidR="0085611D" w:rsidRDefault="0085611D" w:rsidP="007F7339">
      <w:pPr>
        <w:widowControl w:val="0"/>
        <w:autoSpaceDE w:val="0"/>
        <w:autoSpaceDN w:val="0"/>
        <w:adjustRightInd w:val="0"/>
        <w:spacing w:after="0" w:line="240" w:lineRule="auto"/>
        <w:jc w:val="both"/>
        <w:rPr>
          <w:rFonts w:ascii="Arial" w:hAnsi="Arial" w:cs="Arial"/>
          <w:bCs/>
        </w:rPr>
      </w:pPr>
    </w:p>
    <w:p w:rsidR="007D4D78" w:rsidRPr="005E5417" w:rsidRDefault="007D4D78" w:rsidP="007F7339">
      <w:pPr>
        <w:pStyle w:val="Prrafodelista"/>
        <w:widowControl w:val="0"/>
        <w:numPr>
          <w:ilvl w:val="0"/>
          <w:numId w:val="5"/>
        </w:numPr>
        <w:spacing w:after="0" w:line="240" w:lineRule="auto"/>
        <w:ind w:left="426" w:hanging="426"/>
        <w:jc w:val="both"/>
        <w:rPr>
          <w:rFonts w:ascii="Arial" w:hAnsi="Arial" w:cs="Arial"/>
          <w:b/>
          <w:i/>
        </w:rPr>
      </w:pPr>
      <w:r w:rsidRPr="005E5417">
        <w:rPr>
          <w:rFonts w:ascii="Arial" w:hAnsi="Arial" w:cs="Arial"/>
          <w:b/>
          <w:i/>
        </w:rPr>
        <w:t>Qué porcentaje de la UPC, están invirtiendo las EPS Contributivo y Subsidiado, en Costos de Operación y cuáles son los componentes del Costo, así mismo cuales son los componentes del gasto.</w:t>
      </w:r>
    </w:p>
    <w:p w:rsidR="00A766A9" w:rsidRDefault="00A766A9" w:rsidP="007375ED">
      <w:pPr>
        <w:pStyle w:val="Prrafodelista"/>
        <w:widowControl w:val="0"/>
        <w:spacing w:after="0" w:line="240" w:lineRule="auto"/>
        <w:ind w:left="0"/>
        <w:jc w:val="both"/>
        <w:rPr>
          <w:rFonts w:ascii="Arial" w:hAnsi="Arial" w:cs="Arial"/>
        </w:rPr>
      </w:pPr>
    </w:p>
    <w:p w:rsidR="00D770EB" w:rsidRDefault="00D770EB" w:rsidP="007375ED">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La Ley 100 de 1993 desarrolla los fundamentos que rigen el Sistema General de Seguridad Social en Salud, determina su dirección, organización y funcionamiento, normas administrativas, financieras y de control y las obligaciones que se derivan de su aplicación.</w:t>
      </w:r>
    </w:p>
    <w:p w:rsidR="00D770EB" w:rsidRDefault="00D770EB" w:rsidP="007375ED">
      <w:pPr>
        <w:widowControl w:val="0"/>
        <w:autoSpaceDE w:val="0"/>
        <w:autoSpaceDN w:val="0"/>
        <w:adjustRightInd w:val="0"/>
        <w:spacing w:after="0" w:line="240" w:lineRule="auto"/>
        <w:jc w:val="both"/>
        <w:rPr>
          <w:rFonts w:ascii="Arial" w:hAnsi="Arial" w:cs="Arial"/>
          <w:color w:val="000000"/>
        </w:rPr>
      </w:pPr>
    </w:p>
    <w:p w:rsidR="00D770EB" w:rsidRDefault="00D770EB" w:rsidP="007375ED">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En el artículo 1</w:t>
      </w:r>
      <w:r w:rsidR="007375ED">
        <w:rPr>
          <w:rFonts w:ascii="Arial" w:hAnsi="Arial" w:cs="Arial"/>
          <w:color w:val="000000"/>
        </w:rPr>
        <w:t>82 establece los ingresos de las Entidades Promotoras de Salud que pertenecen a</w:t>
      </w:r>
      <w:r>
        <w:rPr>
          <w:rFonts w:ascii="Arial" w:hAnsi="Arial" w:cs="Arial"/>
          <w:color w:val="000000"/>
        </w:rPr>
        <w:t xml:space="preserve">l Sistema General de Seguridad Social en Salud, </w:t>
      </w:r>
      <w:r w:rsidR="007375ED">
        <w:rPr>
          <w:rFonts w:ascii="Arial" w:hAnsi="Arial" w:cs="Arial"/>
          <w:color w:val="000000"/>
        </w:rPr>
        <w:t>en los siguiente</w:t>
      </w:r>
      <w:r w:rsidR="00D57018">
        <w:rPr>
          <w:rFonts w:ascii="Arial" w:hAnsi="Arial" w:cs="Arial"/>
          <w:color w:val="000000"/>
        </w:rPr>
        <w:t>s</w:t>
      </w:r>
      <w:r w:rsidR="007375ED">
        <w:rPr>
          <w:rFonts w:ascii="Arial" w:hAnsi="Arial" w:cs="Arial"/>
          <w:color w:val="000000"/>
        </w:rPr>
        <w:t xml:space="preserve"> términos</w:t>
      </w:r>
      <w:r>
        <w:rPr>
          <w:rFonts w:ascii="Arial" w:hAnsi="Arial" w:cs="Arial"/>
          <w:color w:val="000000"/>
        </w:rPr>
        <w:t>:</w:t>
      </w:r>
    </w:p>
    <w:p w:rsidR="00D770EB" w:rsidRDefault="00D770EB" w:rsidP="007375ED">
      <w:pPr>
        <w:widowControl w:val="0"/>
        <w:autoSpaceDE w:val="0"/>
        <w:autoSpaceDN w:val="0"/>
        <w:adjustRightInd w:val="0"/>
        <w:spacing w:after="0" w:line="240" w:lineRule="auto"/>
        <w:jc w:val="both"/>
        <w:rPr>
          <w:rFonts w:ascii="Arial" w:hAnsi="Arial" w:cs="Arial"/>
          <w:color w:val="000000"/>
        </w:rPr>
      </w:pPr>
    </w:p>
    <w:p w:rsidR="007375ED" w:rsidRPr="007375ED" w:rsidRDefault="007375ED" w:rsidP="007375ED">
      <w:pPr>
        <w:spacing w:after="0" w:line="240" w:lineRule="auto"/>
        <w:jc w:val="both"/>
        <w:rPr>
          <w:rFonts w:ascii="Arial" w:hAnsi="Arial" w:cs="Arial"/>
          <w:i/>
          <w:color w:val="000000"/>
          <w:sz w:val="20"/>
        </w:rPr>
      </w:pPr>
      <w:bookmarkStart w:id="0" w:name="182"/>
      <w:bookmarkEnd w:id="0"/>
      <w:r w:rsidRPr="007375ED">
        <w:rPr>
          <w:rFonts w:ascii="Arial" w:hAnsi="Arial" w:cs="Arial"/>
          <w:i/>
          <w:color w:val="000000"/>
          <w:sz w:val="20"/>
        </w:rPr>
        <w:t>“</w:t>
      </w:r>
      <w:r w:rsidR="00D57018">
        <w:rPr>
          <w:rFonts w:ascii="Arial" w:hAnsi="Arial" w:cs="Arial"/>
          <w:i/>
          <w:color w:val="000000"/>
          <w:sz w:val="20"/>
        </w:rPr>
        <w:t>…</w:t>
      </w:r>
    </w:p>
    <w:p w:rsidR="007375ED" w:rsidRPr="007375ED" w:rsidRDefault="007375ED" w:rsidP="007375ED">
      <w:pPr>
        <w:spacing w:after="0" w:line="240" w:lineRule="auto"/>
        <w:jc w:val="both"/>
        <w:rPr>
          <w:rFonts w:ascii="Arial" w:hAnsi="Arial" w:cs="Arial"/>
          <w:i/>
          <w:color w:val="000000"/>
          <w:sz w:val="20"/>
        </w:rPr>
      </w:pPr>
      <w:r w:rsidRPr="007375ED">
        <w:rPr>
          <w:rFonts w:ascii="Arial" w:hAnsi="Arial" w:cs="Arial"/>
          <w:i/>
          <w:color w:val="000000"/>
          <w:sz w:val="20"/>
        </w:rPr>
        <w:t xml:space="preserve">Por la organización y garantía de la prestación de los servicios incluidos en el Plan de Salud Obligatorio para cada afiliado, el Sistema General de Seguridad Social en Salud reconocerá a cada Entidad Promotora de Salud un valor </w:t>
      </w:r>
      <w:proofErr w:type="spellStart"/>
      <w:r w:rsidRPr="007375ED">
        <w:rPr>
          <w:rFonts w:ascii="Arial" w:hAnsi="Arial" w:cs="Arial"/>
          <w:i/>
          <w:color w:val="000000"/>
          <w:sz w:val="20"/>
        </w:rPr>
        <w:t>percápita</w:t>
      </w:r>
      <w:proofErr w:type="spellEnd"/>
      <w:r w:rsidRPr="007375ED">
        <w:rPr>
          <w:rFonts w:ascii="Arial" w:hAnsi="Arial" w:cs="Arial"/>
          <w:i/>
          <w:color w:val="000000"/>
          <w:sz w:val="20"/>
        </w:rPr>
        <w:t xml:space="preserve"> &lt;sic&gt;, que se denominará Unidad de Pago por Capitación UPC. Esta Unidad se establecerá en función del perfil epidemiológico de la población relevante, de los riesgos cubiertos y de los costos de prestación del servicio en condiciones medias de calidad, tecnología y hotelería, y será definida por el Consejo Nacional de Seguridad Social en Salud&lt;</w:t>
      </w:r>
      <w:hyperlink r:id="rId10" w:anchor="np4" w:tgtFrame="_blank" w:history="1">
        <w:r w:rsidRPr="007375ED">
          <w:rPr>
            <w:rFonts w:ascii="Arial" w:hAnsi="Arial" w:cs="Arial"/>
            <w:i/>
            <w:color w:val="000000"/>
            <w:sz w:val="20"/>
          </w:rPr>
          <w:t>4</w:t>
        </w:r>
      </w:hyperlink>
      <w:r w:rsidRPr="007375ED">
        <w:rPr>
          <w:rFonts w:ascii="Arial" w:hAnsi="Arial" w:cs="Arial"/>
          <w:i/>
          <w:color w:val="000000"/>
          <w:sz w:val="20"/>
        </w:rPr>
        <w:t>&gt;, de acuerdo con los estudios técnicos del Ministerio de Salud&lt;</w:t>
      </w:r>
      <w:hyperlink r:id="rId11" w:anchor="NP1" w:tgtFrame="_blank" w:history="1">
        <w:r w:rsidRPr="007375ED">
          <w:rPr>
            <w:rFonts w:ascii="Arial" w:hAnsi="Arial" w:cs="Arial"/>
            <w:i/>
            <w:color w:val="000000"/>
            <w:sz w:val="20"/>
          </w:rPr>
          <w:t>1</w:t>
        </w:r>
      </w:hyperlink>
      <w:r w:rsidRPr="007375ED">
        <w:rPr>
          <w:rFonts w:ascii="Arial" w:hAnsi="Arial" w:cs="Arial"/>
          <w:i/>
          <w:color w:val="000000"/>
          <w:sz w:val="20"/>
        </w:rPr>
        <w:t xml:space="preserve">&gt;. </w:t>
      </w:r>
    </w:p>
    <w:p w:rsidR="007375ED" w:rsidRPr="007375ED" w:rsidRDefault="007375ED" w:rsidP="007375ED">
      <w:pPr>
        <w:spacing w:after="0" w:line="240" w:lineRule="auto"/>
        <w:jc w:val="both"/>
        <w:rPr>
          <w:rFonts w:ascii="Arial" w:hAnsi="Arial" w:cs="Arial"/>
          <w:i/>
          <w:color w:val="000000"/>
          <w:sz w:val="20"/>
        </w:rPr>
      </w:pPr>
    </w:p>
    <w:p w:rsidR="007375ED" w:rsidRPr="007375ED" w:rsidRDefault="007375ED" w:rsidP="007375ED">
      <w:pPr>
        <w:spacing w:after="0" w:line="240" w:lineRule="auto"/>
        <w:jc w:val="both"/>
        <w:rPr>
          <w:rFonts w:ascii="Arial" w:hAnsi="Arial" w:cs="Arial"/>
          <w:i/>
          <w:color w:val="000000"/>
          <w:sz w:val="20"/>
        </w:rPr>
      </w:pPr>
      <w:r w:rsidRPr="007375ED">
        <w:rPr>
          <w:rFonts w:ascii="Arial" w:hAnsi="Arial" w:cs="Arial"/>
          <w:i/>
          <w:color w:val="000000"/>
          <w:sz w:val="20"/>
        </w:rPr>
        <w:t>PARÁGRAFO 1o. &lt;sic&gt; Las Entidades Promotoras de Salud manejarán los recursos de la seguridad social originados en las cotizaciones de los afiliados al sistema en cuentas independientes del resto de rentas y bienes de la entidad.”</w:t>
      </w:r>
    </w:p>
    <w:p w:rsidR="007375ED" w:rsidRPr="007375ED" w:rsidRDefault="007375ED" w:rsidP="007375ED">
      <w:pPr>
        <w:pStyle w:val="Prrafodelista"/>
        <w:widowControl w:val="0"/>
        <w:spacing w:after="0" w:line="240" w:lineRule="auto"/>
        <w:ind w:left="0"/>
        <w:jc w:val="both"/>
        <w:rPr>
          <w:rFonts w:ascii="Arial" w:hAnsi="Arial" w:cs="Arial"/>
          <w:color w:val="000000"/>
        </w:rPr>
      </w:pPr>
    </w:p>
    <w:p w:rsidR="00B373F1" w:rsidRDefault="00B373F1" w:rsidP="00A766A9">
      <w:pPr>
        <w:pStyle w:val="Prrafodelista"/>
        <w:widowControl w:val="0"/>
        <w:spacing w:after="0" w:line="240" w:lineRule="auto"/>
        <w:ind w:left="0"/>
        <w:jc w:val="both"/>
        <w:rPr>
          <w:rFonts w:ascii="Arial" w:hAnsi="Arial" w:cs="Arial"/>
        </w:rPr>
      </w:pPr>
      <w:r>
        <w:rPr>
          <w:rFonts w:ascii="Arial" w:hAnsi="Arial" w:cs="Arial"/>
        </w:rPr>
        <w:t>De otra parte, e</w:t>
      </w:r>
      <w:r w:rsidR="00A766A9" w:rsidRPr="00A766A9">
        <w:rPr>
          <w:rFonts w:ascii="Arial" w:hAnsi="Arial" w:cs="Arial"/>
        </w:rPr>
        <w:t xml:space="preserve">l </w:t>
      </w:r>
      <w:r w:rsidR="00390CF0">
        <w:rPr>
          <w:rFonts w:ascii="Arial" w:hAnsi="Arial" w:cs="Arial"/>
        </w:rPr>
        <w:t>a</w:t>
      </w:r>
      <w:r w:rsidR="00A766A9" w:rsidRPr="00A766A9">
        <w:rPr>
          <w:rFonts w:ascii="Arial" w:hAnsi="Arial" w:cs="Arial"/>
        </w:rPr>
        <w:t xml:space="preserve">rtículo 6º del Acuerdo 262 de 2004 del CNSSS, establece </w:t>
      </w:r>
      <w:r>
        <w:rPr>
          <w:rFonts w:ascii="Arial" w:hAnsi="Arial" w:cs="Arial"/>
        </w:rPr>
        <w:t>que</w:t>
      </w:r>
      <w:r w:rsidR="00A766A9" w:rsidRPr="00A766A9">
        <w:rPr>
          <w:rFonts w:ascii="Arial" w:hAnsi="Arial" w:cs="Arial"/>
        </w:rPr>
        <w:t>:</w:t>
      </w:r>
    </w:p>
    <w:p w:rsidR="00B373F1" w:rsidRDefault="00B373F1" w:rsidP="00A766A9">
      <w:pPr>
        <w:pStyle w:val="Prrafodelista"/>
        <w:widowControl w:val="0"/>
        <w:spacing w:after="0" w:line="240" w:lineRule="auto"/>
        <w:ind w:left="0"/>
        <w:jc w:val="both"/>
        <w:rPr>
          <w:rFonts w:ascii="Arial" w:hAnsi="Arial" w:cs="Arial"/>
        </w:rPr>
      </w:pPr>
    </w:p>
    <w:p w:rsidR="00A766A9" w:rsidRPr="00C7583F" w:rsidRDefault="00A766A9" w:rsidP="00A766A9">
      <w:pPr>
        <w:pStyle w:val="Prrafodelista"/>
        <w:widowControl w:val="0"/>
        <w:spacing w:after="0" w:line="240" w:lineRule="auto"/>
        <w:ind w:left="0"/>
        <w:jc w:val="both"/>
        <w:rPr>
          <w:rFonts w:ascii="Arial" w:hAnsi="Arial" w:cs="Arial"/>
          <w:i/>
          <w:sz w:val="20"/>
          <w:lang w:val="es-ES"/>
        </w:rPr>
      </w:pPr>
      <w:r w:rsidRPr="00C7583F">
        <w:rPr>
          <w:rFonts w:ascii="Arial" w:hAnsi="Arial" w:cs="Arial"/>
          <w:i/>
          <w:sz w:val="20"/>
        </w:rPr>
        <w:t>“</w:t>
      </w:r>
      <w:r w:rsidRPr="00C7583F">
        <w:rPr>
          <w:rFonts w:ascii="Arial" w:hAnsi="Arial" w:cs="Arial"/>
          <w:i/>
          <w:sz w:val="20"/>
          <w:lang w:val="es-ES"/>
        </w:rPr>
        <w:t xml:space="preserve">Gastos de Administración de Administradoras de Régimen Subsidiado. Al cierre de la vigencia fiscal del año 2004, los gastos de administración en ningún caso podrán exceder el ocho por ciento (8%) del total de los </w:t>
      </w:r>
      <w:r w:rsidR="00C7583F">
        <w:rPr>
          <w:rFonts w:ascii="Arial" w:hAnsi="Arial" w:cs="Arial"/>
          <w:i/>
          <w:sz w:val="20"/>
          <w:lang w:val="es-ES"/>
        </w:rPr>
        <w:t>ingresos operacionales.”</w:t>
      </w:r>
    </w:p>
    <w:p w:rsidR="00A766A9" w:rsidRDefault="00A766A9" w:rsidP="00A766A9">
      <w:pPr>
        <w:widowControl w:val="0"/>
        <w:spacing w:after="0" w:line="240" w:lineRule="auto"/>
        <w:jc w:val="both"/>
        <w:rPr>
          <w:rFonts w:ascii="Arial" w:hAnsi="Arial" w:cs="Arial"/>
        </w:rPr>
      </w:pPr>
      <w:bookmarkStart w:id="1" w:name="23"/>
    </w:p>
    <w:p w:rsidR="00C7583F" w:rsidRDefault="00B373F1" w:rsidP="00A766A9">
      <w:pPr>
        <w:widowControl w:val="0"/>
        <w:spacing w:after="0" w:line="240" w:lineRule="auto"/>
        <w:jc w:val="both"/>
        <w:rPr>
          <w:rFonts w:ascii="Arial" w:eastAsia="Times New Roman" w:hAnsi="Arial" w:cs="Arial"/>
          <w:color w:val="000080"/>
          <w:lang w:val="es-ES" w:eastAsia="es-ES"/>
        </w:rPr>
      </w:pPr>
      <w:r>
        <w:rPr>
          <w:rFonts w:ascii="Arial" w:hAnsi="Arial" w:cs="Arial"/>
        </w:rPr>
        <w:t xml:space="preserve">A su vez, </w:t>
      </w:r>
      <w:r w:rsidR="00C7583F">
        <w:rPr>
          <w:rFonts w:ascii="Arial" w:hAnsi="Arial" w:cs="Arial"/>
        </w:rPr>
        <w:t>e</w:t>
      </w:r>
      <w:r w:rsidR="00A766A9" w:rsidRPr="00A766A9">
        <w:rPr>
          <w:rFonts w:ascii="Arial" w:hAnsi="Arial" w:cs="Arial"/>
        </w:rPr>
        <w:t xml:space="preserve">l </w:t>
      </w:r>
      <w:r w:rsidR="00C7583F">
        <w:rPr>
          <w:rFonts w:ascii="Arial" w:hAnsi="Arial" w:cs="Arial"/>
        </w:rPr>
        <w:t>a</w:t>
      </w:r>
      <w:r w:rsidR="00C7583F" w:rsidRPr="00A766A9">
        <w:rPr>
          <w:rFonts w:ascii="Arial" w:hAnsi="Arial" w:cs="Arial"/>
        </w:rPr>
        <w:t>rtículo</w:t>
      </w:r>
      <w:r w:rsidR="00A766A9" w:rsidRPr="00A766A9">
        <w:rPr>
          <w:rFonts w:ascii="Arial" w:hAnsi="Arial" w:cs="Arial"/>
        </w:rPr>
        <w:t xml:space="preserve"> 23 de la Ley 1438 de 2011 </w:t>
      </w:r>
      <w:r>
        <w:rPr>
          <w:rFonts w:ascii="Arial" w:hAnsi="Arial" w:cs="Arial"/>
        </w:rPr>
        <w:t>determina</w:t>
      </w:r>
      <w:r w:rsidR="00A766A9" w:rsidRPr="00A766A9">
        <w:rPr>
          <w:rFonts w:ascii="Arial" w:eastAsia="Times New Roman" w:hAnsi="Arial" w:cs="Arial"/>
          <w:color w:val="000080"/>
          <w:lang w:val="es-ES" w:eastAsia="es-ES"/>
        </w:rPr>
        <w:t>:</w:t>
      </w:r>
    </w:p>
    <w:p w:rsidR="00C7583F" w:rsidRDefault="00C7583F" w:rsidP="00A766A9">
      <w:pPr>
        <w:widowControl w:val="0"/>
        <w:spacing w:after="0" w:line="240" w:lineRule="auto"/>
        <w:jc w:val="both"/>
        <w:rPr>
          <w:rFonts w:ascii="Arial" w:eastAsia="Times New Roman" w:hAnsi="Arial" w:cs="Arial"/>
          <w:color w:val="000080"/>
          <w:lang w:val="es-ES" w:eastAsia="es-ES"/>
        </w:rPr>
      </w:pPr>
    </w:p>
    <w:p w:rsidR="00A766A9" w:rsidRPr="00C7583F" w:rsidRDefault="00A766A9" w:rsidP="00A766A9">
      <w:pPr>
        <w:widowControl w:val="0"/>
        <w:spacing w:after="0" w:line="240" w:lineRule="auto"/>
        <w:jc w:val="both"/>
        <w:rPr>
          <w:rFonts w:ascii="Arial" w:hAnsi="Arial" w:cs="Arial"/>
          <w:i/>
          <w:sz w:val="20"/>
          <w:lang w:val="es-ES"/>
        </w:rPr>
      </w:pPr>
      <w:r w:rsidRPr="00C7583F">
        <w:rPr>
          <w:rFonts w:ascii="Arial" w:eastAsia="Times New Roman" w:hAnsi="Arial" w:cs="Arial"/>
          <w:i/>
          <w:color w:val="000080"/>
          <w:sz w:val="20"/>
          <w:lang w:val="es-ES" w:eastAsia="es-ES"/>
        </w:rPr>
        <w:t xml:space="preserve"> “</w:t>
      </w:r>
      <w:r w:rsidRPr="00C7583F">
        <w:rPr>
          <w:rFonts w:ascii="Arial" w:hAnsi="Arial" w:cs="Arial"/>
          <w:b/>
          <w:i/>
          <w:sz w:val="20"/>
          <w:lang w:val="es-ES"/>
        </w:rPr>
        <w:t>Gastos De Administración De Las Entidades Promotoras De Salud</w:t>
      </w:r>
      <w:r w:rsidRPr="00C7583F">
        <w:rPr>
          <w:rFonts w:ascii="Arial" w:hAnsi="Arial" w:cs="Arial"/>
          <w:i/>
          <w:sz w:val="20"/>
          <w:lang w:val="es-ES"/>
        </w:rPr>
        <w:t>.</w:t>
      </w:r>
      <w:bookmarkEnd w:id="1"/>
      <w:r w:rsidRPr="00C7583F">
        <w:rPr>
          <w:rFonts w:ascii="Arial" w:hAnsi="Arial" w:cs="Arial"/>
          <w:i/>
          <w:sz w:val="20"/>
          <w:lang w:val="es-ES"/>
        </w:rPr>
        <w:t xml:space="preserve"> El Gobierno Nacional fijará el porcentaje de gasto de administración de las Entidades Promotoras de Salud, con base en criterios de eficiencia, estudios actuariales y financieros y criterios técnicos. Las Entidades Promotoras de Salud que no cumplan con ese porcentaje entrarán en causal de intervención. Dicho factor no podrá superar el 10% de la Unidad de Pago por Capitación. </w:t>
      </w:r>
    </w:p>
    <w:p w:rsidR="00A766A9" w:rsidRPr="00C7583F" w:rsidRDefault="00A766A9" w:rsidP="00A766A9">
      <w:pPr>
        <w:widowControl w:val="0"/>
        <w:spacing w:after="0" w:line="240" w:lineRule="auto"/>
        <w:jc w:val="both"/>
        <w:rPr>
          <w:rFonts w:ascii="Arial" w:hAnsi="Arial" w:cs="Arial"/>
          <w:b/>
          <w:i/>
          <w:sz w:val="20"/>
          <w:lang w:val="es-ES"/>
        </w:rPr>
      </w:pPr>
    </w:p>
    <w:p w:rsidR="00A766A9" w:rsidRPr="00C7583F" w:rsidRDefault="00A766A9" w:rsidP="00A766A9">
      <w:pPr>
        <w:widowControl w:val="0"/>
        <w:spacing w:after="0" w:line="240" w:lineRule="auto"/>
        <w:jc w:val="both"/>
        <w:rPr>
          <w:rFonts w:ascii="Arial" w:hAnsi="Arial" w:cs="Arial"/>
          <w:i/>
          <w:sz w:val="20"/>
          <w:lang w:val="es-ES"/>
        </w:rPr>
      </w:pPr>
      <w:r w:rsidRPr="00C7583F">
        <w:rPr>
          <w:rFonts w:ascii="Arial" w:hAnsi="Arial" w:cs="Arial"/>
          <w:b/>
          <w:i/>
          <w:sz w:val="20"/>
          <w:lang w:val="es-ES"/>
        </w:rPr>
        <w:t>Parágrafo Transitorio</w:t>
      </w:r>
      <w:r w:rsidRPr="00C7583F">
        <w:rPr>
          <w:rFonts w:ascii="Arial" w:eastAsia="Times New Roman" w:hAnsi="Arial" w:cs="Arial"/>
          <w:i/>
          <w:sz w:val="20"/>
          <w:lang w:val="es-ES" w:eastAsia="es-ES"/>
        </w:rPr>
        <w:t xml:space="preserve">. </w:t>
      </w:r>
      <w:r w:rsidRPr="00C7583F">
        <w:rPr>
          <w:rFonts w:ascii="Arial" w:hAnsi="Arial" w:cs="Arial"/>
          <w:i/>
          <w:sz w:val="20"/>
          <w:lang w:val="es-ES"/>
        </w:rPr>
        <w:t>Lo previsto en este artículo se reglamentará para que el porcentaje máximo de administración entre a regir a más tardar el primero de enero de 2013. El Gobierno Nacional contará con seis (6) meses para hacer las revisiones necesarias con base en estudios técnicos sobre el porcentaje máximo señalado en el presente artículo y podría realizar las modificaciones del caso. Hasta tanto no se defina el Régimen Subs</w:t>
      </w:r>
      <w:r w:rsidR="00C7583F" w:rsidRPr="00C7583F">
        <w:rPr>
          <w:rFonts w:ascii="Arial" w:hAnsi="Arial" w:cs="Arial"/>
          <w:i/>
          <w:sz w:val="20"/>
          <w:lang w:val="es-ES"/>
        </w:rPr>
        <w:t>idiado seguirá manejando el 8%.”</w:t>
      </w:r>
    </w:p>
    <w:p w:rsidR="00A766A9" w:rsidRDefault="00A766A9" w:rsidP="00A766A9">
      <w:pPr>
        <w:widowControl w:val="0"/>
        <w:spacing w:after="0" w:line="240" w:lineRule="auto"/>
        <w:jc w:val="both"/>
        <w:rPr>
          <w:rFonts w:ascii="Arial" w:hAnsi="Arial" w:cs="Arial"/>
        </w:rPr>
      </w:pPr>
    </w:p>
    <w:p w:rsidR="0052784E" w:rsidRDefault="00524486" w:rsidP="00A766A9">
      <w:pPr>
        <w:widowControl w:val="0"/>
        <w:spacing w:after="0" w:line="240" w:lineRule="auto"/>
        <w:jc w:val="both"/>
        <w:rPr>
          <w:rFonts w:ascii="Arial" w:hAnsi="Arial" w:cs="Arial"/>
        </w:rPr>
      </w:pPr>
      <w:r>
        <w:rPr>
          <w:rFonts w:ascii="Arial" w:hAnsi="Arial" w:cs="Arial"/>
        </w:rPr>
        <w:t xml:space="preserve">Desde el año 2004, con la expedición del Acuerdo 262 del CNSSS, se reglamentó en el Régimen Subsidiado el </w:t>
      </w:r>
      <w:r w:rsidR="00B83C7F">
        <w:rPr>
          <w:rFonts w:ascii="Arial" w:hAnsi="Arial" w:cs="Arial"/>
        </w:rPr>
        <w:t xml:space="preserve">tope máximo </w:t>
      </w:r>
      <w:r>
        <w:rPr>
          <w:rFonts w:ascii="Arial" w:hAnsi="Arial" w:cs="Arial"/>
        </w:rPr>
        <w:t>de gastos de administraci</w:t>
      </w:r>
      <w:r w:rsidR="00B83C7F">
        <w:rPr>
          <w:rFonts w:ascii="Arial" w:hAnsi="Arial" w:cs="Arial"/>
        </w:rPr>
        <w:t xml:space="preserve">ón, </w:t>
      </w:r>
      <w:r w:rsidR="0052784E">
        <w:rPr>
          <w:rFonts w:ascii="Arial" w:hAnsi="Arial" w:cs="Arial"/>
        </w:rPr>
        <w:t>con la expedición de la Ley 1438 de 2011 se limitan los gastos de administración a</w:t>
      </w:r>
      <w:r w:rsidR="00F50DCE">
        <w:rPr>
          <w:rFonts w:ascii="Arial" w:hAnsi="Arial" w:cs="Arial"/>
        </w:rPr>
        <w:t xml:space="preserve"> </w:t>
      </w:r>
      <w:r w:rsidR="0052784E">
        <w:rPr>
          <w:rFonts w:ascii="Arial" w:hAnsi="Arial" w:cs="Arial"/>
        </w:rPr>
        <w:t>las EPS que administran el régimen contributivo, aspecto que requiere reglamentación por parte del Ministerio de la Protección Social</w:t>
      </w:r>
      <w:r w:rsidR="00F50DCE">
        <w:rPr>
          <w:rFonts w:ascii="Arial" w:hAnsi="Arial" w:cs="Arial"/>
        </w:rPr>
        <w:t>.</w:t>
      </w:r>
    </w:p>
    <w:p w:rsidR="0052784E" w:rsidRDefault="0052784E" w:rsidP="00A766A9">
      <w:pPr>
        <w:widowControl w:val="0"/>
        <w:spacing w:after="0" w:line="240" w:lineRule="auto"/>
        <w:jc w:val="both"/>
        <w:rPr>
          <w:rFonts w:ascii="Arial" w:hAnsi="Arial" w:cs="Arial"/>
        </w:rPr>
      </w:pPr>
    </w:p>
    <w:p w:rsidR="00524486" w:rsidRDefault="0052784E" w:rsidP="00A766A9">
      <w:pPr>
        <w:widowControl w:val="0"/>
        <w:spacing w:after="0" w:line="240" w:lineRule="auto"/>
        <w:jc w:val="both"/>
        <w:rPr>
          <w:rFonts w:ascii="Arial" w:hAnsi="Arial" w:cs="Arial"/>
        </w:rPr>
      </w:pPr>
      <w:r>
        <w:rPr>
          <w:rFonts w:ascii="Arial" w:hAnsi="Arial" w:cs="Arial"/>
        </w:rPr>
        <w:t xml:space="preserve">Se espera que está medida contribuya a </w:t>
      </w:r>
      <w:r w:rsidR="00F50DCE">
        <w:rPr>
          <w:rFonts w:ascii="Arial" w:hAnsi="Arial" w:cs="Arial"/>
        </w:rPr>
        <w:t xml:space="preserve">optimizar los recursos destinados a la prestación de </w:t>
      </w:r>
      <w:r w:rsidR="00F50DCE">
        <w:rPr>
          <w:rFonts w:ascii="Arial" w:hAnsi="Arial" w:cs="Arial"/>
        </w:rPr>
        <w:lastRenderedPageBreak/>
        <w:t>los servicios de salud.</w:t>
      </w:r>
    </w:p>
    <w:p w:rsidR="004A6AFF" w:rsidRDefault="004A6AFF" w:rsidP="00A766A9">
      <w:pPr>
        <w:widowControl w:val="0"/>
        <w:spacing w:after="0" w:line="240" w:lineRule="auto"/>
        <w:jc w:val="both"/>
        <w:rPr>
          <w:rFonts w:ascii="Arial" w:hAnsi="Arial" w:cs="Arial"/>
        </w:rPr>
      </w:pPr>
    </w:p>
    <w:p w:rsidR="00EB77DD" w:rsidRDefault="00EB77DD" w:rsidP="00A766A9">
      <w:pPr>
        <w:widowControl w:val="0"/>
        <w:spacing w:after="0" w:line="240" w:lineRule="auto"/>
        <w:jc w:val="both"/>
        <w:rPr>
          <w:rFonts w:ascii="Arial" w:hAnsi="Arial" w:cs="Arial"/>
        </w:rPr>
      </w:pPr>
      <w:r>
        <w:rPr>
          <w:rFonts w:ascii="Arial" w:hAnsi="Arial" w:cs="Arial"/>
        </w:rPr>
        <w:t xml:space="preserve">Con </w:t>
      </w:r>
      <w:r w:rsidR="004557C2">
        <w:rPr>
          <w:rFonts w:ascii="Arial" w:hAnsi="Arial" w:cs="Arial"/>
        </w:rPr>
        <w:t xml:space="preserve">base en </w:t>
      </w:r>
      <w:r>
        <w:rPr>
          <w:rFonts w:ascii="Arial" w:hAnsi="Arial" w:cs="Arial"/>
        </w:rPr>
        <w:t xml:space="preserve">la información reportada por las EPS, en cumplimiento de la Circular Única, </w:t>
      </w:r>
      <w:r w:rsidR="004557C2" w:rsidRPr="00A766A9">
        <w:rPr>
          <w:rFonts w:ascii="Arial" w:hAnsi="Arial" w:cs="Arial"/>
        </w:rPr>
        <w:t>los costos p</w:t>
      </w:r>
      <w:r w:rsidR="004557C2">
        <w:rPr>
          <w:rFonts w:ascii="Arial" w:hAnsi="Arial" w:cs="Arial"/>
        </w:rPr>
        <w:t xml:space="preserve">or </w:t>
      </w:r>
      <w:r w:rsidR="004557C2" w:rsidRPr="00A766A9">
        <w:rPr>
          <w:rFonts w:ascii="Arial" w:hAnsi="Arial" w:cs="Arial"/>
        </w:rPr>
        <w:t>prestación de los servicios de salud, a</w:t>
      </w:r>
      <w:r w:rsidR="004557C2">
        <w:rPr>
          <w:rFonts w:ascii="Arial" w:hAnsi="Arial" w:cs="Arial"/>
        </w:rPr>
        <w:t xml:space="preserve"> </w:t>
      </w:r>
      <w:r w:rsidR="004557C2" w:rsidRPr="00A766A9">
        <w:rPr>
          <w:rFonts w:ascii="Arial" w:hAnsi="Arial" w:cs="Arial"/>
        </w:rPr>
        <w:t>l</w:t>
      </w:r>
      <w:r w:rsidR="004557C2">
        <w:rPr>
          <w:rFonts w:ascii="Arial" w:hAnsi="Arial" w:cs="Arial"/>
        </w:rPr>
        <w:t>os</w:t>
      </w:r>
      <w:r w:rsidR="004557C2" w:rsidRPr="00A766A9">
        <w:rPr>
          <w:rFonts w:ascii="Arial" w:hAnsi="Arial" w:cs="Arial"/>
        </w:rPr>
        <w:t xml:space="preserve"> corte</w:t>
      </w:r>
      <w:r w:rsidR="004557C2">
        <w:rPr>
          <w:rFonts w:ascii="Arial" w:hAnsi="Arial" w:cs="Arial"/>
        </w:rPr>
        <w:t>s</w:t>
      </w:r>
      <w:r w:rsidR="004557C2" w:rsidRPr="00A766A9">
        <w:rPr>
          <w:rFonts w:ascii="Arial" w:hAnsi="Arial" w:cs="Arial"/>
        </w:rPr>
        <w:t xml:space="preserve"> diciembre de 2010</w:t>
      </w:r>
      <w:r w:rsidR="004557C2">
        <w:rPr>
          <w:rFonts w:ascii="Arial" w:hAnsi="Arial" w:cs="Arial"/>
        </w:rPr>
        <w:t xml:space="preserve"> y </w:t>
      </w:r>
      <w:r w:rsidR="004557C2" w:rsidRPr="00A766A9">
        <w:rPr>
          <w:rFonts w:ascii="Arial" w:hAnsi="Arial" w:cs="Arial"/>
        </w:rPr>
        <w:t xml:space="preserve">junio de 2011, </w:t>
      </w:r>
      <w:r w:rsidR="004557C2">
        <w:rPr>
          <w:rFonts w:ascii="Arial" w:hAnsi="Arial" w:cs="Arial"/>
        </w:rPr>
        <w:t>son los siguientes:</w:t>
      </w:r>
    </w:p>
    <w:p w:rsidR="00361CF6" w:rsidRDefault="00361CF6" w:rsidP="00A766A9">
      <w:pPr>
        <w:widowControl w:val="0"/>
        <w:spacing w:after="0" w:line="240" w:lineRule="auto"/>
        <w:jc w:val="both"/>
        <w:rPr>
          <w:rFonts w:ascii="Arial" w:hAnsi="Arial" w:cs="Arial"/>
        </w:rPr>
      </w:pPr>
    </w:p>
    <w:tbl>
      <w:tblPr>
        <w:tblW w:w="927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0"/>
        <w:gridCol w:w="1183"/>
        <w:gridCol w:w="1184"/>
        <w:gridCol w:w="1183"/>
        <w:gridCol w:w="1184"/>
        <w:gridCol w:w="1183"/>
        <w:gridCol w:w="1184"/>
      </w:tblGrid>
      <w:tr w:rsidR="00FF39EB" w:rsidRPr="00361CF6" w:rsidTr="00B47AB2">
        <w:trPr>
          <w:trHeight w:val="300"/>
          <w:jc w:val="center"/>
        </w:trPr>
        <w:tc>
          <w:tcPr>
            <w:tcW w:w="2170" w:type="dxa"/>
            <w:vMerge w:val="restart"/>
            <w:shd w:val="clear" w:color="auto" w:fill="auto"/>
            <w:vAlign w:val="center"/>
            <w:hideMark/>
          </w:tcPr>
          <w:p w:rsidR="00FF39EB" w:rsidRPr="00361CF6" w:rsidRDefault="00FF39EB" w:rsidP="00C7583F">
            <w:pPr>
              <w:spacing w:after="0" w:line="240" w:lineRule="auto"/>
              <w:jc w:val="center"/>
              <w:rPr>
                <w:rFonts w:ascii="Arial" w:eastAsia="Times New Roman" w:hAnsi="Arial" w:cs="Arial"/>
                <w:b/>
                <w:color w:val="000000"/>
                <w:sz w:val="20"/>
                <w:szCs w:val="20"/>
                <w:lang w:eastAsia="es-CO"/>
              </w:rPr>
            </w:pPr>
            <w:r w:rsidRPr="00361CF6">
              <w:rPr>
                <w:rFonts w:ascii="Arial" w:eastAsia="Times New Roman" w:hAnsi="Arial" w:cs="Arial"/>
                <w:b/>
                <w:color w:val="000000"/>
                <w:sz w:val="20"/>
                <w:szCs w:val="20"/>
                <w:lang w:eastAsia="es-CO"/>
              </w:rPr>
              <w:t>INDICADORES</w:t>
            </w:r>
          </w:p>
        </w:tc>
        <w:tc>
          <w:tcPr>
            <w:tcW w:w="3550" w:type="dxa"/>
            <w:gridSpan w:val="3"/>
            <w:vAlign w:val="center"/>
          </w:tcPr>
          <w:p w:rsidR="00FF39EB" w:rsidRPr="00361CF6" w:rsidRDefault="00FF39EB" w:rsidP="00FF39EB">
            <w:pPr>
              <w:spacing w:after="0" w:line="240" w:lineRule="auto"/>
              <w:jc w:val="center"/>
              <w:rPr>
                <w:rFonts w:ascii="Arial" w:eastAsia="Times New Roman" w:hAnsi="Arial" w:cs="Arial"/>
                <w:b/>
                <w:color w:val="000000"/>
                <w:sz w:val="20"/>
                <w:szCs w:val="20"/>
                <w:lang w:eastAsia="es-CO"/>
              </w:rPr>
            </w:pPr>
            <w:r w:rsidRPr="00361CF6">
              <w:rPr>
                <w:rFonts w:ascii="Arial" w:eastAsia="Times New Roman" w:hAnsi="Arial" w:cs="Arial"/>
                <w:b/>
                <w:color w:val="000000"/>
                <w:sz w:val="20"/>
                <w:szCs w:val="20"/>
                <w:lang w:eastAsia="es-CO"/>
              </w:rPr>
              <w:t>Régimen Subsidiado</w:t>
            </w:r>
          </w:p>
        </w:tc>
        <w:tc>
          <w:tcPr>
            <w:tcW w:w="3551" w:type="dxa"/>
            <w:gridSpan w:val="3"/>
            <w:vAlign w:val="center"/>
          </w:tcPr>
          <w:p w:rsidR="00FF39EB" w:rsidRPr="00361CF6" w:rsidRDefault="00FF39EB" w:rsidP="00FF39EB">
            <w:pPr>
              <w:spacing w:after="0" w:line="240" w:lineRule="auto"/>
              <w:jc w:val="center"/>
              <w:rPr>
                <w:rFonts w:ascii="Arial" w:eastAsia="Times New Roman" w:hAnsi="Arial" w:cs="Arial"/>
                <w:b/>
                <w:color w:val="000000"/>
                <w:sz w:val="20"/>
                <w:szCs w:val="20"/>
                <w:lang w:eastAsia="es-CO"/>
              </w:rPr>
            </w:pPr>
            <w:r w:rsidRPr="00361CF6">
              <w:rPr>
                <w:rFonts w:ascii="Arial" w:hAnsi="Arial" w:cs="Arial"/>
                <w:b/>
                <w:sz w:val="20"/>
                <w:szCs w:val="20"/>
              </w:rPr>
              <w:t>Régimen Contributivo</w:t>
            </w:r>
          </w:p>
        </w:tc>
      </w:tr>
      <w:tr w:rsidR="00FF39EB" w:rsidRPr="00361CF6" w:rsidTr="00B47AB2">
        <w:trPr>
          <w:trHeight w:val="300"/>
          <w:jc w:val="center"/>
        </w:trPr>
        <w:tc>
          <w:tcPr>
            <w:tcW w:w="2170" w:type="dxa"/>
            <w:vMerge/>
            <w:shd w:val="clear" w:color="auto" w:fill="auto"/>
            <w:vAlign w:val="center"/>
            <w:hideMark/>
          </w:tcPr>
          <w:p w:rsidR="00FF39EB" w:rsidRPr="00361CF6" w:rsidRDefault="00FF39EB" w:rsidP="00C7583F">
            <w:pPr>
              <w:spacing w:after="0" w:line="240" w:lineRule="auto"/>
              <w:jc w:val="center"/>
              <w:rPr>
                <w:rFonts w:ascii="Arial" w:eastAsia="Times New Roman" w:hAnsi="Arial" w:cs="Arial"/>
                <w:b/>
                <w:color w:val="000000"/>
                <w:sz w:val="20"/>
                <w:szCs w:val="20"/>
                <w:lang w:eastAsia="es-CO"/>
              </w:rPr>
            </w:pPr>
          </w:p>
        </w:tc>
        <w:tc>
          <w:tcPr>
            <w:tcW w:w="1183" w:type="dxa"/>
            <w:shd w:val="clear" w:color="auto" w:fill="auto"/>
            <w:vAlign w:val="center"/>
            <w:hideMark/>
          </w:tcPr>
          <w:p w:rsidR="00FF39EB" w:rsidRPr="00361CF6" w:rsidRDefault="00FF39EB" w:rsidP="00FF39EB">
            <w:pPr>
              <w:spacing w:after="0" w:line="240" w:lineRule="auto"/>
              <w:jc w:val="center"/>
              <w:rPr>
                <w:rFonts w:ascii="Arial" w:eastAsia="Times New Roman" w:hAnsi="Arial" w:cs="Arial"/>
                <w:b/>
                <w:color w:val="000000"/>
                <w:sz w:val="20"/>
                <w:szCs w:val="20"/>
                <w:lang w:eastAsia="es-CO"/>
              </w:rPr>
            </w:pPr>
            <w:r w:rsidRPr="00361CF6">
              <w:rPr>
                <w:rFonts w:ascii="Arial" w:eastAsia="Times New Roman" w:hAnsi="Arial" w:cs="Arial"/>
                <w:b/>
                <w:color w:val="000000"/>
                <w:sz w:val="20"/>
                <w:szCs w:val="20"/>
                <w:lang w:eastAsia="es-CO"/>
              </w:rPr>
              <w:t>Diciembre 2010</w:t>
            </w:r>
          </w:p>
        </w:tc>
        <w:tc>
          <w:tcPr>
            <w:tcW w:w="1184" w:type="dxa"/>
            <w:vAlign w:val="center"/>
          </w:tcPr>
          <w:p w:rsidR="00FF39EB" w:rsidRPr="00361CF6" w:rsidRDefault="00FF39EB" w:rsidP="00FF39EB">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Marzo 2011</w:t>
            </w:r>
          </w:p>
        </w:tc>
        <w:tc>
          <w:tcPr>
            <w:tcW w:w="1183" w:type="dxa"/>
            <w:shd w:val="clear" w:color="auto" w:fill="auto"/>
            <w:vAlign w:val="center"/>
            <w:hideMark/>
          </w:tcPr>
          <w:p w:rsidR="00FF39EB" w:rsidRPr="00361CF6" w:rsidRDefault="00FF39EB" w:rsidP="00FF39EB">
            <w:pPr>
              <w:spacing w:after="0" w:line="240" w:lineRule="auto"/>
              <w:jc w:val="center"/>
              <w:rPr>
                <w:rFonts w:ascii="Arial" w:eastAsia="Times New Roman" w:hAnsi="Arial" w:cs="Arial"/>
                <w:b/>
                <w:color w:val="000000"/>
                <w:sz w:val="20"/>
                <w:szCs w:val="20"/>
                <w:lang w:eastAsia="es-CO"/>
              </w:rPr>
            </w:pPr>
            <w:r w:rsidRPr="00361CF6">
              <w:rPr>
                <w:rFonts w:ascii="Arial" w:eastAsia="Times New Roman" w:hAnsi="Arial" w:cs="Arial"/>
                <w:b/>
                <w:color w:val="000000"/>
                <w:sz w:val="20"/>
                <w:szCs w:val="20"/>
                <w:lang w:eastAsia="es-CO"/>
              </w:rPr>
              <w:t>Junio 2011</w:t>
            </w:r>
          </w:p>
        </w:tc>
        <w:tc>
          <w:tcPr>
            <w:tcW w:w="1184" w:type="dxa"/>
            <w:vAlign w:val="center"/>
          </w:tcPr>
          <w:p w:rsidR="00FF39EB" w:rsidRPr="00361CF6" w:rsidRDefault="00FF39EB" w:rsidP="00FF39EB">
            <w:pPr>
              <w:spacing w:after="0" w:line="240" w:lineRule="auto"/>
              <w:jc w:val="center"/>
              <w:rPr>
                <w:rFonts w:ascii="Arial" w:eastAsia="Times New Roman" w:hAnsi="Arial" w:cs="Arial"/>
                <w:b/>
                <w:color w:val="000000"/>
                <w:sz w:val="20"/>
                <w:szCs w:val="20"/>
                <w:lang w:eastAsia="es-CO"/>
              </w:rPr>
            </w:pPr>
            <w:r w:rsidRPr="00361CF6">
              <w:rPr>
                <w:rFonts w:ascii="Arial" w:eastAsia="Times New Roman" w:hAnsi="Arial" w:cs="Arial"/>
                <w:b/>
                <w:color w:val="000000"/>
                <w:sz w:val="20"/>
                <w:szCs w:val="20"/>
                <w:lang w:eastAsia="es-CO"/>
              </w:rPr>
              <w:t>Diciembre 2010</w:t>
            </w:r>
          </w:p>
        </w:tc>
        <w:tc>
          <w:tcPr>
            <w:tcW w:w="1183" w:type="dxa"/>
            <w:vAlign w:val="center"/>
          </w:tcPr>
          <w:p w:rsidR="00FF39EB" w:rsidRPr="00361CF6" w:rsidRDefault="00FF39EB" w:rsidP="00FF39EB">
            <w:pPr>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Marzo 2011</w:t>
            </w:r>
          </w:p>
        </w:tc>
        <w:tc>
          <w:tcPr>
            <w:tcW w:w="1184" w:type="dxa"/>
            <w:vAlign w:val="center"/>
          </w:tcPr>
          <w:p w:rsidR="00FF39EB" w:rsidRPr="00361CF6" w:rsidRDefault="00FF39EB" w:rsidP="00FF39EB">
            <w:pPr>
              <w:spacing w:after="0" w:line="240" w:lineRule="auto"/>
              <w:jc w:val="center"/>
              <w:rPr>
                <w:rFonts w:ascii="Arial" w:eastAsia="Times New Roman" w:hAnsi="Arial" w:cs="Arial"/>
                <w:b/>
                <w:color w:val="000000"/>
                <w:sz w:val="20"/>
                <w:szCs w:val="20"/>
                <w:lang w:eastAsia="es-CO"/>
              </w:rPr>
            </w:pPr>
            <w:r w:rsidRPr="00361CF6">
              <w:rPr>
                <w:rFonts w:ascii="Arial" w:eastAsia="Times New Roman" w:hAnsi="Arial" w:cs="Arial"/>
                <w:b/>
                <w:color w:val="000000"/>
                <w:sz w:val="20"/>
                <w:szCs w:val="20"/>
                <w:lang w:eastAsia="es-CO"/>
              </w:rPr>
              <w:t>Junio 2011</w:t>
            </w:r>
          </w:p>
        </w:tc>
      </w:tr>
      <w:tr w:rsidR="00FF39EB" w:rsidRPr="00361CF6" w:rsidTr="00B47AB2">
        <w:trPr>
          <w:trHeight w:val="573"/>
          <w:jc w:val="center"/>
        </w:trPr>
        <w:tc>
          <w:tcPr>
            <w:tcW w:w="2170" w:type="dxa"/>
            <w:shd w:val="clear" w:color="auto" w:fill="auto"/>
            <w:vAlign w:val="center"/>
            <w:hideMark/>
          </w:tcPr>
          <w:p w:rsidR="00FF39EB" w:rsidRPr="00361CF6" w:rsidRDefault="00FF39EB" w:rsidP="00C7583F">
            <w:pPr>
              <w:spacing w:after="0" w:line="240" w:lineRule="auto"/>
              <w:rPr>
                <w:rFonts w:ascii="Arial" w:eastAsia="Times New Roman" w:hAnsi="Arial" w:cs="Arial"/>
                <w:color w:val="000000"/>
                <w:sz w:val="20"/>
                <w:szCs w:val="20"/>
                <w:lang w:eastAsia="es-CO"/>
              </w:rPr>
            </w:pPr>
            <w:r w:rsidRPr="00361CF6">
              <w:rPr>
                <w:rFonts w:ascii="Arial" w:eastAsia="Times New Roman" w:hAnsi="Arial" w:cs="Arial"/>
                <w:color w:val="000000"/>
                <w:sz w:val="20"/>
                <w:szCs w:val="20"/>
                <w:lang w:eastAsia="es-CO"/>
              </w:rPr>
              <w:t xml:space="preserve">COSTOS /INGRESOS </w:t>
            </w:r>
          </w:p>
        </w:tc>
        <w:tc>
          <w:tcPr>
            <w:tcW w:w="1183" w:type="dxa"/>
            <w:shd w:val="clear" w:color="auto" w:fill="auto"/>
            <w:vAlign w:val="center"/>
            <w:hideMark/>
          </w:tcPr>
          <w:p w:rsidR="00FF39EB" w:rsidRPr="00361CF6" w:rsidRDefault="00FF39EB" w:rsidP="00A17FAA">
            <w:pPr>
              <w:spacing w:after="0" w:line="240" w:lineRule="auto"/>
              <w:jc w:val="center"/>
              <w:rPr>
                <w:rFonts w:ascii="Arial" w:eastAsia="Times New Roman" w:hAnsi="Arial" w:cs="Arial"/>
                <w:color w:val="000000"/>
                <w:sz w:val="20"/>
                <w:szCs w:val="20"/>
                <w:lang w:eastAsia="es-CO"/>
              </w:rPr>
            </w:pPr>
            <w:r w:rsidRPr="00361CF6">
              <w:rPr>
                <w:rFonts w:ascii="Arial" w:eastAsia="Times New Roman" w:hAnsi="Arial" w:cs="Arial"/>
                <w:color w:val="000000"/>
                <w:sz w:val="20"/>
                <w:szCs w:val="20"/>
                <w:lang w:eastAsia="es-CO"/>
              </w:rPr>
              <w:t>9</w:t>
            </w:r>
            <w:r w:rsidR="00A17FAA">
              <w:rPr>
                <w:rFonts w:ascii="Arial" w:eastAsia="Times New Roman" w:hAnsi="Arial" w:cs="Arial"/>
                <w:color w:val="000000"/>
                <w:sz w:val="20"/>
                <w:szCs w:val="20"/>
                <w:lang w:eastAsia="es-CO"/>
              </w:rPr>
              <w:t>0</w:t>
            </w:r>
            <w:r w:rsidRPr="00361CF6">
              <w:rPr>
                <w:rFonts w:ascii="Arial" w:eastAsia="Times New Roman" w:hAnsi="Arial" w:cs="Arial"/>
                <w:color w:val="000000"/>
                <w:sz w:val="20"/>
                <w:szCs w:val="20"/>
                <w:lang w:eastAsia="es-CO"/>
              </w:rPr>
              <w:t>%</w:t>
            </w:r>
          </w:p>
        </w:tc>
        <w:tc>
          <w:tcPr>
            <w:tcW w:w="1184" w:type="dxa"/>
            <w:vAlign w:val="center"/>
          </w:tcPr>
          <w:p w:rsidR="00FF39EB" w:rsidRPr="00361CF6" w:rsidRDefault="00A17FAA" w:rsidP="00A17FA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77%</w:t>
            </w:r>
          </w:p>
        </w:tc>
        <w:tc>
          <w:tcPr>
            <w:tcW w:w="1183" w:type="dxa"/>
            <w:shd w:val="clear" w:color="auto" w:fill="auto"/>
            <w:vAlign w:val="center"/>
            <w:hideMark/>
          </w:tcPr>
          <w:p w:rsidR="00FF39EB" w:rsidRPr="00361CF6" w:rsidRDefault="00FF39EB" w:rsidP="00564D77">
            <w:pPr>
              <w:spacing w:after="0" w:line="240" w:lineRule="auto"/>
              <w:jc w:val="center"/>
              <w:rPr>
                <w:rFonts w:ascii="Arial" w:eastAsia="Times New Roman" w:hAnsi="Arial" w:cs="Arial"/>
                <w:color w:val="000000"/>
                <w:sz w:val="20"/>
                <w:szCs w:val="20"/>
                <w:lang w:eastAsia="es-CO"/>
              </w:rPr>
            </w:pPr>
            <w:r w:rsidRPr="00361CF6">
              <w:rPr>
                <w:rFonts w:ascii="Arial" w:eastAsia="Times New Roman" w:hAnsi="Arial" w:cs="Arial"/>
                <w:color w:val="000000"/>
                <w:sz w:val="20"/>
                <w:szCs w:val="20"/>
                <w:lang w:eastAsia="es-CO"/>
              </w:rPr>
              <w:t>88%</w:t>
            </w:r>
          </w:p>
        </w:tc>
        <w:tc>
          <w:tcPr>
            <w:tcW w:w="1184" w:type="dxa"/>
            <w:vAlign w:val="center"/>
          </w:tcPr>
          <w:p w:rsidR="00FF39EB" w:rsidRPr="00361CF6" w:rsidRDefault="00FF39EB" w:rsidP="00564D77">
            <w:pPr>
              <w:spacing w:after="0" w:line="240" w:lineRule="auto"/>
              <w:jc w:val="center"/>
              <w:rPr>
                <w:rFonts w:ascii="Arial" w:eastAsia="Times New Roman" w:hAnsi="Arial" w:cs="Arial"/>
                <w:color w:val="000000"/>
                <w:sz w:val="20"/>
                <w:szCs w:val="20"/>
                <w:lang w:eastAsia="es-CO"/>
              </w:rPr>
            </w:pPr>
            <w:r w:rsidRPr="00361CF6">
              <w:rPr>
                <w:rFonts w:ascii="Arial" w:eastAsia="Times New Roman" w:hAnsi="Arial" w:cs="Arial"/>
                <w:color w:val="000000"/>
                <w:sz w:val="20"/>
                <w:szCs w:val="20"/>
                <w:lang w:eastAsia="es-CO"/>
              </w:rPr>
              <w:t>89%</w:t>
            </w:r>
          </w:p>
        </w:tc>
        <w:tc>
          <w:tcPr>
            <w:tcW w:w="1183" w:type="dxa"/>
            <w:vAlign w:val="center"/>
          </w:tcPr>
          <w:p w:rsidR="00FF39EB" w:rsidRPr="00361CF6" w:rsidRDefault="00A17FAA" w:rsidP="00A17FA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89%</w:t>
            </w:r>
          </w:p>
        </w:tc>
        <w:tc>
          <w:tcPr>
            <w:tcW w:w="1184" w:type="dxa"/>
            <w:vAlign w:val="center"/>
          </w:tcPr>
          <w:p w:rsidR="00FF39EB" w:rsidRPr="00361CF6" w:rsidRDefault="00FF39EB" w:rsidP="00564D77">
            <w:pPr>
              <w:spacing w:after="0" w:line="240" w:lineRule="auto"/>
              <w:jc w:val="center"/>
              <w:rPr>
                <w:rFonts w:ascii="Arial" w:eastAsia="Times New Roman" w:hAnsi="Arial" w:cs="Arial"/>
                <w:color w:val="000000"/>
                <w:sz w:val="20"/>
                <w:szCs w:val="20"/>
                <w:lang w:eastAsia="es-CO"/>
              </w:rPr>
            </w:pPr>
            <w:r w:rsidRPr="00361CF6">
              <w:rPr>
                <w:rFonts w:ascii="Arial" w:eastAsia="Times New Roman" w:hAnsi="Arial" w:cs="Arial"/>
                <w:color w:val="000000"/>
                <w:sz w:val="20"/>
                <w:szCs w:val="20"/>
                <w:lang w:eastAsia="es-CO"/>
              </w:rPr>
              <w:t>91%</w:t>
            </w:r>
          </w:p>
        </w:tc>
      </w:tr>
      <w:tr w:rsidR="00FF39EB" w:rsidRPr="00361CF6" w:rsidTr="00B47AB2">
        <w:trPr>
          <w:trHeight w:val="480"/>
          <w:jc w:val="center"/>
        </w:trPr>
        <w:tc>
          <w:tcPr>
            <w:tcW w:w="2170" w:type="dxa"/>
            <w:shd w:val="clear" w:color="auto" w:fill="auto"/>
            <w:vAlign w:val="center"/>
            <w:hideMark/>
          </w:tcPr>
          <w:p w:rsidR="00FF39EB" w:rsidRPr="00361CF6" w:rsidRDefault="00FF39EB" w:rsidP="00C7583F">
            <w:pPr>
              <w:spacing w:after="0" w:line="240" w:lineRule="auto"/>
              <w:rPr>
                <w:rFonts w:ascii="Arial" w:eastAsia="Times New Roman" w:hAnsi="Arial" w:cs="Arial"/>
                <w:color w:val="000000"/>
                <w:sz w:val="20"/>
                <w:szCs w:val="20"/>
                <w:lang w:eastAsia="es-CO"/>
              </w:rPr>
            </w:pPr>
            <w:r w:rsidRPr="00361CF6">
              <w:rPr>
                <w:rFonts w:ascii="Arial" w:eastAsia="Times New Roman" w:hAnsi="Arial" w:cs="Arial"/>
                <w:color w:val="000000"/>
                <w:sz w:val="20"/>
                <w:szCs w:val="20"/>
                <w:lang w:eastAsia="es-CO"/>
              </w:rPr>
              <w:t xml:space="preserve">GASTOS ADMON Y VTAS / INGRESOS  </w:t>
            </w:r>
            <w:r>
              <w:rPr>
                <w:rFonts w:ascii="Arial" w:eastAsia="Times New Roman" w:hAnsi="Arial" w:cs="Arial"/>
                <w:color w:val="000000"/>
                <w:sz w:val="20"/>
                <w:szCs w:val="20"/>
                <w:lang w:eastAsia="es-CO"/>
              </w:rPr>
              <w:t>UPC</w:t>
            </w:r>
          </w:p>
        </w:tc>
        <w:tc>
          <w:tcPr>
            <w:tcW w:w="1183" w:type="dxa"/>
            <w:shd w:val="clear" w:color="auto" w:fill="auto"/>
            <w:vAlign w:val="center"/>
            <w:hideMark/>
          </w:tcPr>
          <w:p w:rsidR="00FF39EB" w:rsidRPr="00361CF6" w:rsidRDefault="00FF39EB" w:rsidP="00A17FAA">
            <w:pPr>
              <w:spacing w:after="0" w:line="240" w:lineRule="auto"/>
              <w:jc w:val="center"/>
              <w:rPr>
                <w:rFonts w:ascii="Arial" w:eastAsia="Times New Roman" w:hAnsi="Arial" w:cs="Arial"/>
                <w:color w:val="000000"/>
                <w:sz w:val="20"/>
                <w:szCs w:val="20"/>
                <w:lang w:eastAsia="es-CO"/>
              </w:rPr>
            </w:pPr>
            <w:r w:rsidRPr="00361CF6">
              <w:rPr>
                <w:rFonts w:ascii="Arial" w:eastAsia="Times New Roman" w:hAnsi="Arial" w:cs="Arial"/>
                <w:color w:val="000000"/>
                <w:sz w:val="20"/>
                <w:szCs w:val="20"/>
                <w:lang w:eastAsia="es-CO"/>
              </w:rPr>
              <w:t>8%</w:t>
            </w:r>
          </w:p>
        </w:tc>
        <w:tc>
          <w:tcPr>
            <w:tcW w:w="1184" w:type="dxa"/>
            <w:vAlign w:val="center"/>
          </w:tcPr>
          <w:p w:rsidR="00FF39EB" w:rsidRPr="00361CF6" w:rsidRDefault="00A17FAA" w:rsidP="00A17FA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6%</w:t>
            </w:r>
          </w:p>
        </w:tc>
        <w:tc>
          <w:tcPr>
            <w:tcW w:w="1183" w:type="dxa"/>
            <w:shd w:val="clear" w:color="auto" w:fill="auto"/>
            <w:vAlign w:val="center"/>
            <w:hideMark/>
          </w:tcPr>
          <w:p w:rsidR="00FF39EB" w:rsidRPr="00361CF6" w:rsidRDefault="00FF39EB" w:rsidP="00A17FAA">
            <w:pPr>
              <w:spacing w:after="0" w:line="240" w:lineRule="auto"/>
              <w:jc w:val="center"/>
              <w:rPr>
                <w:rFonts w:ascii="Arial" w:eastAsia="Times New Roman" w:hAnsi="Arial" w:cs="Arial"/>
                <w:color w:val="000000"/>
                <w:sz w:val="20"/>
                <w:szCs w:val="20"/>
                <w:lang w:eastAsia="es-CO"/>
              </w:rPr>
            </w:pPr>
            <w:r w:rsidRPr="00361CF6">
              <w:rPr>
                <w:rFonts w:ascii="Arial" w:eastAsia="Times New Roman" w:hAnsi="Arial" w:cs="Arial"/>
                <w:color w:val="000000"/>
                <w:sz w:val="20"/>
                <w:szCs w:val="20"/>
                <w:lang w:eastAsia="es-CO"/>
              </w:rPr>
              <w:t>7%</w:t>
            </w:r>
          </w:p>
        </w:tc>
        <w:tc>
          <w:tcPr>
            <w:tcW w:w="1184" w:type="dxa"/>
            <w:vAlign w:val="center"/>
          </w:tcPr>
          <w:p w:rsidR="00FF39EB" w:rsidRPr="00361CF6" w:rsidRDefault="00FF39EB" w:rsidP="00564D77">
            <w:pPr>
              <w:spacing w:after="0" w:line="240" w:lineRule="auto"/>
              <w:jc w:val="center"/>
              <w:rPr>
                <w:rFonts w:ascii="Arial" w:eastAsia="Times New Roman" w:hAnsi="Arial" w:cs="Arial"/>
                <w:color w:val="000000"/>
                <w:sz w:val="20"/>
                <w:szCs w:val="20"/>
                <w:lang w:eastAsia="es-CO"/>
              </w:rPr>
            </w:pPr>
            <w:r w:rsidRPr="00361CF6">
              <w:rPr>
                <w:rFonts w:ascii="Arial" w:eastAsia="Times New Roman" w:hAnsi="Arial" w:cs="Arial"/>
                <w:color w:val="000000"/>
                <w:sz w:val="20"/>
                <w:szCs w:val="20"/>
                <w:lang w:eastAsia="es-CO"/>
              </w:rPr>
              <w:t>9%</w:t>
            </w:r>
          </w:p>
        </w:tc>
        <w:tc>
          <w:tcPr>
            <w:tcW w:w="1183" w:type="dxa"/>
            <w:vAlign w:val="center"/>
          </w:tcPr>
          <w:p w:rsidR="00FF39EB" w:rsidRPr="00361CF6" w:rsidRDefault="00A17FAA" w:rsidP="00A17FAA">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9%</w:t>
            </w:r>
          </w:p>
        </w:tc>
        <w:tc>
          <w:tcPr>
            <w:tcW w:w="1184" w:type="dxa"/>
            <w:vAlign w:val="center"/>
          </w:tcPr>
          <w:p w:rsidR="00FF39EB" w:rsidRPr="00361CF6" w:rsidRDefault="00FF39EB" w:rsidP="00564D77">
            <w:pPr>
              <w:spacing w:after="0" w:line="240" w:lineRule="auto"/>
              <w:jc w:val="center"/>
              <w:rPr>
                <w:rFonts w:ascii="Arial" w:eastAsia="Times New Roman" w:hAnsi="Arial" w:cs="Arial"/>
                <w:color w:val="000000"/>
                <w:sz w:val="20"/>
                <w:szCs w:val="20"/>
                <w:lang w:eastAsia="es-CO"/>
              </w:rPr>
            </w:pPr>
            <w:r w:rsidRPr="00361CF6">
              <w:rPr>
                <w:rFonts w:ascii="Arial" w:eastAsia="Times New Roman" w:hAnsi="Arial" w:cs="Arial"/>
                <w:color w:val="000000"/>
                <w:sz w:val="20"/>
                <w:szCs w:val="20"/>
                <w:lang w:eastAsia="es-CO"/>
              </w:rPr>
              <w:t>8%</w:t>
            </w:r>
          </w:p>
        </w:tc>
      </w:tr>
    </w:tbl>
    <w:p w:rsidR="00C7583F" w:rsidRPr="00642D98" w:rsidRDefault="00C7583F" w:rsidP="00361CF6">
      <w:pPr>
        <w:pStyle w:val="Prrafodelista"/>
        <w:widowControl w:val="0"/>
        <w:spacing w:after="0" w:line="240" w:lineRule="auto"/>
        <w:ind w:left="0"/>
        <w:jc w:val="both"/>
        <w:rPr>
          <w:rFonts w:ascii="Arial" w:hAnsi="Arial" w:cs="Arial"/>
          <w:sz w:val="20"/>
        </w:rPr>
      </w:pPr>
      <w:r w:rsidRPr="00642D98">
        <w:rPr>
          <w:rFonts w:ascii="Arial" w:hAnsi="Arial" w:cs="Arial"/>
          <w:sz w:val="20"/>
        </w:rPr>
        <w:t xml:space="preserve">Fuente: Información </w:t>
      </w:r>
      <w:r w:rsidRPr="00642D98">
        <w:rPr>
          <w:rFonts w:ascii="Arial" w:eastAsia="Times New Roman" w:hAnsi="Arial" w:cs="Arial"/>
          <w:color w:val="000000"/>
          <w:sz w:val="20"/>
          <w:lang w:eastAsia="es-CO"/>
        </w:rPr>
        <w:t>remitida por la EPS</w:t>
      </w:r>
      <w:r w:rsidR="00B06B66">
        <w:rPr>
          <w:rFonts w:ascii="Arial" w:eastAsia="Times New Roman" w:hAnsi="Arial" w:cs="Arial"/>
          <w:color w:val="000000"/>
          <w:sz w:val="20"/>
          <w:lang w:eastAsia="es-CO"/>
        </w:rPr>
        <w:t xml:space="preserve"> en Circular Única</w:t>
      </w:r>
    </w:p>
    <w:p w:rsidR="00C7583F" w:rsidRDefault="00C7583F" w:rsidP="00B06B66">
      <w:pPr>
        <w:widowControl w:val="0"/>
        <w:spacing w:after="0" w:line="240" w:lineRule="auto"/>
        <w:jc w:val="both"/>
        <w:rPr>
          <w:rFonts w:ascii="Arial" w:hAnsi="Arial" w:cs="Arial"/>
        </w:rPr>
      </w:pPr>
    </w:p>
    <w:p w:rsidR="00C5732A" w:rsidRDefault="00AB4A9C" w:rsidP="00A766A9">
      <w:pPr>
        <w:pStyle w:val="Prrafodelista"/>
        <w:widowControl w:val="0"/>
        <w:spacing w:after="0" w:line="240" w:lineRule="auto"/>
        <w:ind w:left="0"/>
        <w:jc w:val="both"/>
        <w:rPr>
          <w:rFonts w:ascii="Arial" w:hAnsi="Arial" w:cs="Arial"/>
        </w:rPr>
      </w:pPr>
      <w:r>
        <w:rPr>
          <w:rFonts w:ascii="Arial" w:hAnsi="Arial" w:cs="Arial"/>
        </w:rPr>
        <w:t xml:space="preserve">Una vez analizada la información reportada se encuentra que las EPS que administran régimen Subsidiado están cumpliendo con el porcentaje máximo establecido para gastos de administración, además, </w:t>
      </w:r>
      <w:r w:rsidR="00D26B74">
        <w:rPr>
          <w:rFonts w:ascii="Arial" w:hAnsi="Arial" w:cs="Arial"/>
        </w:rPr>
        <w:t>las EPS del Régimen Contributivo reflejan gastos inferiores al porcentaje (10%) establecido en la Ley 1438 como tope máximo para gastos de administración.</w:t>
      </w:r>
    </w:p>
    <w:p w:rsidR="00A766A9" w:rsidRPr="00A766A9" w:rsidRDefault="00A766A9" w:rsidP="00A766A9">
      <w:pPr>
        <w:pStyle w:val="Prrafodelista"/>
        <w:widowControl w:val="0"/>
        <w:spacing w:after="0" w:line="240" w:lineRule="auto"/>
        <w:ind w:left="426" w:hanging="426"/>
        <w:jc w:val="both"/>
        <w:rPr>
          <w:rFonts w:ascii="Arial" w:hAnsi="Arial" w:cs="Arial"/>
        </w:rPr>
      </w:pPr>
    </w:p>
    <w:p w:rsidR="00A766A9" w:rsidRDefault="00C03E0C" w:rsidP="00A766A9">
      <w:pPr>
        <w:pStyle w:val="Prrafodelista"/>
        <w:widowControl w:val="0"/>
        <w:spacing w:after="0" w:line="240" w:lineRule="auto"/>
        <w:ind w:left="0"/>
        <w:jc w:val="both"/>
        <w:rPr>
          <w:rFonts w:ascii="Arial" w:hAnsi="Arial" w:cs="Arial"/>
        </w:rPr>
      </w:pPr>
      <w:r>
        <w:rPr>
          <w:rFonts w:ascii="Arial" w:hAnsi="Arial" w:cs="Arial"/>
        </w:rPr>
        <w:t>Los  componentes del Gasto, incluidos para determinar el porcentaje utilizado por las EPS</w:t>
      </w:r>
      <w:r w:rsidR="007464B3">
        <w:rPr>
          <w:rFonts w:ascii="Arial" w:hAnsi="Arial" w:cs="Arial"/>
        </w:rPr>
        <w:t xml:space="preserve"> y reflejados en los Estados Financieros, </w:t>
      </w:r>
      <w:r w:rsidR="00A766A9" w:rsidRPr="00A766A9">
        <w:rPr>
          <w:rFonts w:ascii="Arial" w:hAnsi="Arial" w:cs="Arial"/>
        </w:rPr>
        <w:t>son:</w:t>
      </w:r>
    </w:p>
    <w:p w:rsidR="00A766A9" w:rsidRPr="00A766A9" w:rsidRDefault="00A766A9" w:rsidP="00A766A9">
      <w:pPr>
        <w:pStyle w:val="Prrafodelista"/>
        <w:widowControl w:val="0"/>
        <w:spacing w:after="0" w:line="240" w:lineRule="auto"/>
        <w:ind w:left="0"/>
        <w:jc w:val="both"/>
        <w:rPr>
          <w:rFonts w:ascii="Arial" w:hAnsi="Arial" w:cs="Arial"/>
        </w:rPr>
      </w:pPr>
    </w:p>
    <w:p w:rsidR="00A766A9" w:rsidRPr="00A766A9" w:rsidRDefault="00A766A9" w:rsidP="00A766A9">
      <w:pPr>
        <w:pStyle w:val="Prrafodelista"/>
        <w:widowControl w:val="0"/>
        <w:numPr>
          <w:ilvl w:val="0"/>
          <w:numId w:val="7"/>
        </w:numPr>
        <w:spacing w:after="0" w:line="240" w:lineRule="auto"/>
        <w:ind w:left="426" w:hanging="426"/>
        <w:jc w:val="both"/>
        <w:rPr>
          <w:rFonts w:ascii="Arial" w:hAnsi="Arial" w:cs="Arial"/>
        </w:rPr>
      </w:pPr>
      <w:r w:rsidRPr="00A766A9">
        <w:rPr>
          <w:rFonts w:ascii="Arial" w:hAnsi="Arial" w:cs="Arial"/>
        </w:rPr>
        <w:t xml:space="preserve">De administración </w:t>
      </w:r>
    </w:p>
    <w:p w:rsidR="00A766A9" w:rsidRPr="00A766A9" w:rsidRDefault="00A766A9" w:rsidP="00A766A9">
      <w:pPr>
        <w:pStyle w:val="Prrafodelista"/>
        <w:widowControl w:val="0"/>
        <w:numPr>
          <w:ilvl w:val="0"/>
          <w:numId w:val="7"/>
        </w:numPr>
        <w:spacing w:after="0" w:line="240" w:lineRule="auto"/>
        <w:ind w:left="426" w:hanging="426"/>
        <w:jc w:val="both"/>
        <w:rPr>
          <w:rFonts w:ascii="Arial" w:hAnsi="Arial" w:cs="Arial"/>
        </w:rPr>
      </w:pPr>
      <w:r w:rsidRPr="00A766A9">
        <w:rPr>
          <w:rFonts w:ascii="Arial" w:hAnsi="Arial" w:cs="Arial"/>
        </w:rPr>
        <w:t>De ventas</w:t>
      </w:r>
    </w:p>
    <w:p w:rsidR="00A766A9" w:rsidRPr="00A766A9" w:rsidRDefault="00A766A9" w:rsidP="00A766A9">
      <w:pPr>
        <w:pStyle w:val="Prrafodelista"/>
        <w:widowControl w:val="0"/>
        <w:numPr>
          <w:ilvl w:val="0"/>
          <w:numId w:val="7"/>
        </w:numPr>
        <w:spacing w:after="0" w:line="240" w:lineRule="auto"/>
        <w:ind w:left="426" w:hanging="426"/>
        <w:jc w:val="both"/>
        <w:rPr>
          <w:rFonts w:ascii="Arial" w:hAnsi="Arial" w:cs="Arial"/>
        </w:rPr>
      </w:pPr>
      <w:r w:rsidRPr="00A766A9">
        <w:rPr>
          <w:rFonts w:ascii="Arial" w:hAnsi="Arial" w:cs="Arial"/>
        </w:rPr>
        <w:t>Provisiones, depreciaciones y amortizaciones</w:t>
      </w:r>
    </w:p>
    <w:p w:rsidR="00A766A9" w:rsidRPr="00A766A9" w:rsidRDefault="00A766A9" w:rsidP="00A766A9">
      <w:pPr>
        <w:pStyle w:val="Prrafodelista"/>
        <w:widowControl w:val="0"/>
        <w:numPr>
          <w:ilvl w:val="0"/>
          <w:numId w:val="7"/>
        </w:numPr>
        <w:spacing w:after="0" w:line="240" w:lineRule="auto"/>
        <w:ind w:left="426" w:hanging="426"/>
        <w:jc w:val="both"/>
        <w:rPr>
          <w:rFonts w:ascii="Arial" w:hAnsi="Arial" w:cs="Arial"/>
        </w:rPr>
      </w:pPr>
      <w:r w:rsidRPr="00A766A9">
        <w:rPr>
          <w:rFonts w:ascii="Arial" w:hAnsi="Arial" w:cs="Arial"/>
        </w:rPr>
        <w:t>Otros gastos</w:t>
      </w:r>
    </w:p>
    <w:p w:rsidR="00A766A9" w:rsidRPr="006A3519" w:rsidRDefault="00A766A9" w:rsidP="006A3519">
      <w:pPr>
        <w:widowControl w:val="0"/>
        <w:spacing w:after="0" w:line="240" w:lineRule="auto"/>
        <w:rPr>
          <w:rFonts w:ascii="Arial" w:hAnsi="Arial" w:cs="Arial"/>
          <w:color w:val="000000"/>
        </w:rPr>
      </w:pPr>
    </w:p>
    <w:p w:rsidR="00C03E0C" w:rsidRPr="007464B3" w:rsidRDefault="007464B3" w:rsidP="007464B3">
      <w:pPr>
        <w:pStyle w:val="Prrafodelista"/>
        <w:widowControl w:val="0"/>
        <w:spacing w:after="0" w:line="240" w:lineRule="auto"/>
        <w:ind w:left="426" w:hanging="426"/>
        <w:jc w:val="both"/>
        <w:rPr>
          <w:rFonts w:ascii="Arial" w:hAnsi="Arial" w:cs="Arial"/>
        </w:rPr>
      </w:pPr>
      <w:r w:rsidRPr="007464B3">
        <w:rPr>
          <w:rFonts w:ascii="Arial" w:hAnsi="Arial" w:cs="Arial"/>
        </w:rPr>
        <w:t xml:space="preserve">Por su parte, los </w:t>
      </w:r>
      <w:r w:rsidR="00C03E0C" w:rsidRPr="007464B3">
        <w:rPr>
          <w:rFonts w:ascii="Arial" w:hAnsi="Arial" w:cs="Arial"/>
        </w:rPr>
        <w:t>componentes del costo de la prestación de servicios</w:t>
      </w:r>
      <w:r>
        <w:rPr>
          <w:rFonts w:ascii="Arial" w:hAnsi="Arial" w:cs="Arial"/>
        </w:rPr>
        <w:t>,</w:t>
      </w:r>
      <w:r w:rsidR="00C03E0C" w:rsidRPr="007464B3">
        <w:rPr>
          <w:rFonts w:ascii="Arial" w:hAnsi="Arial" w:cs="Arial"/>
        </w:rPr>
        <w:t xml:space="preserve"> son: </w:t>
      </w:r>
    </w:p>
    <w:p w:rsidR="00C03E0C" w:rsidRPr="006A3519" w:rsidRDefault="00C03E0C" w:rsidP="006A3519">
      <w:pPr>
        <w:widowControl w:val="0"/>
        <w:spacing w:after="0" w:line="240" w:lineRule="auto"/>
        <w:rPr>
          <w:rFonts w:ascii="Arial" w:hAnsi="Arial" w:cs="Arial"/>
          <w:color w:val="000000"/>
        </w:rPr>
      </w:pPr>
    </w:p>
    <w:p w:rsidR="00C03E0C" w:rsidRPr="00A766A9" w:rsidRDefault="00C03E0C" w:rsidP="00C03E0C">
      <w:pPr>
        <w:pStyle w:val="Prrafodelista"/>
        <w:widowControl w:val="0"/>
        <w:numPr>
          <w:ilvl w:val="0"/>
          <w:numId w:val="6"/>
        </w:numPr>
        <w:spacing w:after="0" w:line="240" w:lineRule="auto"/>
        <w:ind w:left="425" w:hanging="425"/>
        <w:jc w:val="both"/>
        <w:rPr>
          <w:rFonts w:ascii="Arial" w:hAnsi="Arial" w:cs="Arial"/>
        </w:rPr>
      </w:pPr>
      <w:r w:rsidRPr="00A766A9">
        <w:rPr>
          <w:rFonts w:ascii="Arial" w:hAnsi="Arial" w:cs="Arial"/>
        </w:rPr>
        <w:t>Contratos por capitación</w:t>
      </w:r>
    </w:p>
    <w:p w:rsidR="00C03E0C" w:rsidRPr="00A766A9" w:rsidRDefault="00C03E0C" w:rsidP="00C03E0C">
      <w:pPr>
        <w:pStyle w:val="Prrafodelista"/>
        <w:widowControl w:val="0"/>
        <w:numPr>
          <w:ilvl w:val="0"/>
          <w:numId w:val="6"/>
        </w:numPr>
        <w:spacing w:after="0" w:line="240" w:lineRule="auto"/>
        <w:ind w:left="425" w:hanging="425"/>
        <w:jc w:val="both"/>
        <w:rPr>
          <w:rFonts w:ascii="Arial" w:hAnsi="Arial" w:cs="Arial"/>
        </w:rPr>
      </w:pPr>
      <w:r w:rsidRPr="00A766A9">
        <w:rPr>
          <w:rFonts w:ascii="Arial" w:hAnsi="Arial" w:cs="Arial"/>
        </w:rPr>
        <w:t>Contratos por evento</w:t>
      </w:r>
    </w:p>
    <w:p w:rsidR="00C03E0C" w:rsidRPr="00A766A9" w:rsidRDefault="00C03E0C" w:rsidP="00C03E0C">
      <w:pPr>
        <w:pStyle w:val="Prrafodelista"/>
        <w:widowControl w:val="0"/>
        <w:numPr>
          <w:ilvl w:val="0"/>
          <w:numId w:val="6"/>
        </w:numPr>
        <w:spacing w:after="0" w:line="240" w:lineRule="auto"/>
        <w:ind w:left="425" w:hanging="425"/>
        <w:jc w:val="both"/>
        <w:rPr>
          <w:rFonts w:ascii="Arial" w:hAnsi="Arial" w:cs="Arial"/>
        </w:rPr>
      </w:pPr>
      <w:r w:rsidRPr="00A766A9">
        <w:rPr>
          <w:rFonts w:ascii="Arial" w:hAnsi="Arial" w:cs="Arial"/>
        </w:rPr>
        <w:t>Contratos para actividades de promoción y prevención</w:t>
      </w:r>
    </w:p>
    <w:p w:rsidR="00C03E0C" w:rsidRPr="00A766A9" w:rsidRDefault="00C03E0C" w:rsidP="00C03E0C">
      <w:pPr>
        <w:pStyle w:val="Prrafodelista"/>
        <w:widowControl w:val="0"/>
        <w:numPr>
          <w:ilvl w:val="0"/>
          <w:numId w:val="6"/>
        </w:numPr>
        <w:spacing w:after="0" w:line="240" w:lineRule="auto"/>
        <w:ind w:left="425" w:hanging="425"/>
        <w:jc w:val="both"/>
        <w:rPr>
          <w:rFonts w:ascii="Arial" w:hAnsi="Arial" w:cs="Arial"/>
        </w:rPr>
      </w:pPr>
      <w:r w:rsidRPr="00A766A9">
        <w:rPr>
          <w:rFonts w:ascii="Arial" w:hAnsi="Arial" w:cs="Arial"/>
        </w:rPr>
        <w:t>Enfermedades catastróficas y de alto costo</w:t>
      </w:r>
    </w:p>
    <w:p w:rsidR="00C03E0C" w:rsidRPr="00A766A9" w:rsidRDefault="00C03E0C" w:rsidP="00C03E0C">
      <w:pPr>
        <w:pStyle w:val="Prrafodelista"/>
        <w:widowControl w:val="0"/>
        <w:numPr>
          <w:ilvl w:val="0"/>
          <w:numId w:val="6"/>
        </w:numPr>
        <w:spacing w:after="0" w:line="240" w:lineRule="auto"/>
        <w:ind w:left="425" w:hanging="425"/>
        <w:jc w:val="both"/>
        <w:rPr>
          <w:rFonts w:ascii="Arial" w:hAnsi="Arial" w:cs="Arial"/>
        </w:rPr>
      </w:pPr>
      <w:r w:rsidRPr="00A766A9">
        <w:rPr>
          <w:rFonts w:ascii="Arial" w:hAnsi="Arial" w:cs="Arial"/>
        </w:rPr>
        <w:t xml:space="preserve">Costos no POS </w:t>
      </w:r>
    </w:p>
    <w:p w:rsidR="006D1876" w:rsidRPr="006A3519" w:rsidRDefault="006D1876" w:rsidP="006A3519">
      <w:pPr>
        <w:widowControl w:val="0"/>
        <w:spacing w:after="0" w:line="240" w:lineRule="auto"/>
        <w:rPr>
          <w:rFonts w:ascii="Arial" w:hAnsi="Arial" w:cs="Arial"/>
          <w:color w:val="000000"/>
        </w:rPr>
      </w:pPr>
    </w:p>
    <w:p w:rsidR="00E202B5" w:rsidRPr="006A3519" w:rsidRDefault="00E202B5" w:rsidP="006A3519">
      <w:pPr>
        <w:widowControl w:val="0"/>
        <w:spacing w:after="0" w:line="240" w:lineRule="auto"/>
        <w:rPr>
          <w:rFonts w:ascii="Arial" w:hAnsi="Arial" w:cs="Arial"/>
          <w:color w:val="000000"/>
        </w:rPr>
      </w:pPr>
    </w:p>
    <w:p w:rsidR="007D4D78" w:rsidRPr="00E202B5" w:rsidRDefault="007D4D78" w:rsidP="007F7339">
      <w:pPr>
        <w:pStyle w:val="Prrafodelista"/>
        <w:widowControl w:val="0"/>
        <w:numPr>
          <w:ilvl w:val="0"/>
          <w:numId w:val="5"/>
        </w:numPr>
        <w:spacing w:after="0" w:line="240" w:lineRule="auto"/>
        <w:ind w:left="284" w:hanging="284"/>
        <w:jc w:val="both"/>
        <w:rPr>
          <w:rFonts w:ascii="Arial" w:hAnsi="Arial" w:cs="Arial"/>
          <w:b/>
          <w:i/>
        </w:rPr>
      </w:pPr>
      <w:r w:rsidRPr="00E202B5">
        <w:rPr>
          <w:rFonts w:ascii="Arial" w:hAnsi="Arial" w:cs="Arial"/>
          <w:b/>
          <w:i/>
        </w:rPr>
        <w:t xml:space="preserve">Cuál es el comportamiento </w:t>
      </w:r>
      <w:proofErr w:type="gramStart"/>
      <w:r w:rsidRPr="00E202B5">
        <w:rPr>
          <w:rFonts w:ascii="Arial" w:hAnsi="Arial" w:cs="Arial"/>
          <w:b/>
          <w:i/>
        </w:rPr>
        <w:t>del rubro deudores</w:t>
      </w:r>
      <w:proofErr w:type="gramEnd"/>
      <w:r w:rsidRPr="00E202B5">
        <w:rPr>
          <w:rFonts w:ascii="Arial" w:hAnsi="Arial" w:cs="Arial"/>
          <w:b/>
          <w:i/>
        </w:rPr>
        <w:t xml:space="preserve"> o cuentas por cobrar Vs cuentas por pagar, índice de liquidez y capital de trabajo de las EPS del Régimen Contributivo y Subsidiado. </w:t>
      </w:r>
    </w:p>
    <w:p w:rsidR="00751A57" w:rsidRDefault="00751A57" w:rsidP="00751A57">
      <w:pPr>
        <w:widowControl w:val="0"/>
        <w:spacing w:after="0" w:line="240" w:lineRule="auto"/>
        <w:jc w:val="both"/>
        <w:rPr>
          <w:rFonts w:ascii="Arial" w:hAnsi="Arial" w:cs="Arial"/>
          <w:color w:val="000000"/>
        </w:rPr>
      </w:pPr>
    </w:p>
    <w:p w:rsidR="00274CE7" w:rsidRDefault="00530BFA" w:rsidP="00751A57">
      <w:pPr>
        <w:widowControl w:val="0"/>
        <w:spacing w:after="0" w:line="240" w:lineRule="auto"/>
        <w:jc w:val="both"/>
        <w:rPr>
          <w:rFonts w:ascii="Arial" w:hAnsi="Arial" w:cs="Arial"/>
          <w:color w:val="000000"/>
        </w:rPr>
      </w:pPr>
      <w:r>
        <w:rPr>
          <w:rFonts w:ascii="Arial" w:hAnsi="Arial" w:cs="Arial"/>
          <w:color w:val="000000"/>
        </w:rPr>
        <w:t xml:space="preserve">Con base en </w:t>
      </w:r>
      <w:r w:rsidRPr="00751A57">
        <w:rPr>
          <w:rFonts w:ascii="Arial" w:hAnsi="Arial" w:cs="Arial"/>
          <w:color w:val="000000"/>
        </w:rPr>
        <w:t xml:space="preserve">la información reportada por las EPS del Régimen Contributivo, </w:t>
      </w:r>
      <w:r>
        <w:rPr>
          <w:rFonts w:ascii="Arial" w:hAnsi="Arial" w:cs="Arial"/>
          <w:color w:val="000000"/>
        </w:rPr>
        <w:t>e</w:t>
      </w:r>
      <w:r w:rsidR="00274CE7" w:rsidRPr="00751A57">
        <w:rPr>
          <w:rFonts w:ascii="Arial" w:hAnsi="Arial" w:cs="Arial"/>
          <w:color w:val="000000"/>
        </w:rPr>
        <w:t xml:space="preserve">l </w:t>
      </w:r>
      <w:r>
        <w:rPr>
          <w:rFonts w:ascii="Arial" w:hAnsi="Arial" w:cs="Arial"/>
          <w:color w:val="000000"/>
        </w:rPr>
        <w:t xml:space="preserve">comportamiento de </w:t>
      </w:r>
      <w:r w:rsidR="00751A57" w:rsidRPr="00751A57">
        <w:rPr>
          <w:rFonts w:ascii="Arial" w:hAnsi="Arial" w:cs="Arial"/>
          <w:color w:val="000000"/>
        </w:rPr>
        <w:t>la cuenta Deudores frente a la</w:t>
      </w:r>
      <w:r w:rsidR="00274CE7" w:rsidRPr="00751A57">
        <w:rPr>
          <w:rFonts w:ascii="Arial" w:hAnsi="Arial" w:cs="Arial"/>
          <w:color w:val="000000"/>
        </w:rPr>
        <w:t xml:space="preserve">s </w:t>
      </w:r>
      <w:r w:rsidR="00751A57" w:rsidRPr="00751A57">
        <w:rPr>
          <w:rFonts w:ascii="Arial" w:hAnsi="Arial" w:cs="Arial"/>
          <w:color w:val="000000"/>
        </w:rPr>
        <w:t xml:space="preserve">Cuentas por Pagar, </w:t>
      </w:r>
      <w:r w:rsidR="00274CE7" w:rsidRPr="00751A57">
        <w:rPr>
          <w:rFonts w:ascii="Arial" w:hAnsi="Arial" w:cs="Arial"/>
          <w:color w:val="000000"/>
        </w:rPr>
        <w:t>es el siguiente:</w:t>
      </w:r>
    </w:p>
    <w:p w:rsidR="00CB3E1B" w:rsidRPr="00751A57" w:rsidRDefault="00CB3E1B" w:rsidP="00751A57">
      <w:pPr>
        <w:widowControl w:val="0"/>
        <w:spacing w:after="0" w:line="240" w:lineRule="auto"/>
        <w:jc w:val="both"/>
        <w:rPr>
          <w:rFonts w:ascii="Arial" w:hAnsi="Arial" w:cs="Arial"/>
          <w:color w:val="000000"/>
        </w:rPr>
      </w:pPr>
    </w:p>
    <w:p w:rsidR="00274CE7" w:rsidRPr="00530BFA" w:rsidRDefault="00274CE7" w:rsidP="00CB3E1B">
      <w:pPr>
        <w:pStyle w:val="Prrafodelista"/>
        <w:widowControl w:val="0"/>
        <w:spacing w:after="0" w:line="240" w:lineRule="auto"/>
        <w:ind w:left="0" w:right="332" w:hanging="5"/>
        <w:jc w:val="right"/>
        <w:rPr>
          <w:rFonts w:ascii="Arial" w:hAnsi="Arial" w:cs="Arial"/>
          <w:color w:val="000000"/>
          <w:sz w:val="20"/>
          <w:szCs w:val="16"/>
        </w:rPr>
      </w:pPr>
      <w:r>
        <w:rPr>
          <w:rFonts w:ascii="Arial" w:hAnsi="Arial" w:cs="Arial"/>
          <w:color w:val="000000"/>
        </w:rPr>
        <w:tab/>
      </w:r>
      <w:r>
        <w:rPr>
          <w:rFonts w:ascii="Arial" w:hAnsi="Arial" w:cs="Arial"/>
          <w:color w:val="000000"/>
        </w:rPr>
        <w:tab/>
      </w:r>
      <w:r w:rsidRPr="00530BFA">
        <w:rPr>
          <w:rFonts w:ascii="Arial" w:hAnsi="Arial" w:cs="Arial"/>
          <w:color w:val="000000"/>
          <w:sz w:val="20"/>
          <w:szCs w:val="16"/>
        </w:rPr>
        <w:t>Cifras en mil</w:t>
      </w:r>
      <w:r w:rsidR="00CB3E1B">
        <w:rPr>
          <w:rFonts w:ascii="Arial" w:hAnsi="Arial" w:cs="Arial"/>
          <w:color w:val="000000"/>
          <w:sz w:val="20"/>
          <w:szCs w:val="16"/>
        </w:rPr>
        <w:t>lon</w:t>
      </w:r>
      <w:r w:rsidRPr="00530BFA">
        <w:rPr>
          <w:rFonts w:ascii="Arial" w:hAnsi="Arial" w:cs="Arial"/>
          <w:color w:val="000000"/>
          <w:sz w:val="20"/>
          <w:szCs w:val="16"/>
        </w:rPr>
        <w:t>es</w:t>
      </w:r>
    </w:p>
    <w:tbl>
      <w:tblPr>
        <w:tblW w:w="8850" w:type="dxa"/>
        <w:jc w:val="center"/>
        <w:tblInd w:w="55" w:type="dxa"/>
        <w:tblCellMar>
          <w:left w:w="70" w:type="dxa"/>
          <w:right w:w="70" w:type="dxa"/>
        </w:tblCellMar>
        <w:tblLook w:val="04A0" w:firstRow="1" w:lastRow="0" w:firstColumn="1" w:lastColumn="0" w:noHBand="0" w:noVBand="1"/>
      </w:tblPr>
      <w:tblGrid>
        <w:gridCol w:w="3405"/>
        <w:gridCol w:w="1500"/>
        <w:gridCol w:w="1440"/>
        <w:gridCol w:w="1342"/>
        <w:gridCol w:w="1163"/>
      </w:tblGrid>
      <w:tr w:rsidR="00E02E0E" w:rsidRPr="00530BFA" w:rsidTr="00BB6099">
        <w:trPr>
          <w:trHeight w:val="300"/>
          <w:jc w:val="center"/>
        </w:trPr>
        <w:tc>
          <w:tcPr>
            <w:tcW w:w="3405" w:type="dxa"/>
            <w:vMerge w:val="restart"/>
            <w:tcBorders>
              <w:top w:val="single" w:sz="4" w:space="0" w:color="auto"/>
              <w:left w:val="single" w:sz="4" w:space="0" w:color="auto"/>
              <w:right w:val="single" w:sz="4" w:space="0" w:color="auto"/>
            </w:tcBorders>
            <w:shd w:val="clear" w:color="auto" w:fill="auto"/>
            <w:noWrap/>
            <w:vAlign w:val="center"/>
            <w:hideMark/>
          </w:tcPr>
          <w:p w:rsidR="00E02E0E" w:rsidRPr="00530BFA" w:rsidRDefault="009A6A1F" w:rsidP="00E02E0E">
            <w:pPr>
              <w:spacing w:after="0" w:line="240" w:lineRule="auto"/>
              <w:jc w:val="center"/>
              <w:rPr>
                <w:rFonts w:ascii="Arial" w:eastAsia="Times New Roman" w:hAnsi="Arial" w:cs="Arial"/>
                <w:b/>
                <w:bCs/>
                <w:color w:val="000000"/>
                <w:sz w:val="20"/>
                <w:szCs w:val="18"/>
                <w:lang w:eastAsia="es-CO"/>
              </w:rPr>
            </w:pPr>
            <w:r>
              <w:rPr>
                <w:rFonts w:ascii="Arial" w:eastAsia="Times New Roman" w:hAnsi="Arial" w:cs="Arial"/>
                <w:b/>
                <w:bCs/>
                <w:color w:val="000000"/>
                <w:sz w:val="20"/>
                <w:szCs w:val="18"/>
                <w:lang w:eastAsia="es-CO"/>
              </w:rPr>
              <w:t>CONCEPTOS</w:t>
            </w:r>
          </w:p>
        </w:tc>
        <w:tc>
          <w:tcPr>
            <w:tcW w:w="1500" w:type="dxa"/>
            <w:vMerge w:val="restart"/>
            <w:tcBorders>
              <w:top w:val="single" w:sz="4" w:space="0" w:color="auto"/>
              <w:left w:val="nil"/>
              <w:right w:val="single" w:sz="4" w:space="0" w:color="auto"/>
            </w:tcBorders>
            <w:shd w:val="clear" w:color="auto" w:fill="auto"/>
            <w:noWrap/>
            <w:vAlign w:val="center"/>
            <w:hideMark/>
          </w:tcPr>
          <w:p w:rsidR="00E02E0E" w:rsidRPr="00530BFA" w:rsidRDefault="00E02E0E" w:rsidP="00E02E0E">
            <w:pPr>
              <w:spacing w:after="0" w:line="240" w:lineRule="auto"/>
              <w:jc w:val="center"/>
              <w:rPr>
                <w:rFonts w:ascii="Arial" w:eastAsia="Times New Roman" w:hAnsi="Arial" w:cs="Arial"/>
                <w:b/>
                <w:color w:val="000000"/>
                <w:sz w:val="20"/>
                <w:szCs w:val="18"/>
                <w:lang w:eastAsia="es-CO"/>
              </w:rPr>
            </w:pPr>
            <w:r>
              <w:rPr>
                <w:rFonts w:ascii="Arial" w:eastAsia="Times New Roman" w:hAnsi="Arial" w:cs="Arial"/>
                <w:b/>
                <w:color w:val="000000"/>
                <w:sz w:val="20"/>
                <w:szCs w:val="18"/>
                <w:lang w:eastAsia="es-CO"/>
              </w:rPr>
              <w:t>D</w:t>
            </w:r>
            <w:r w:rsidRPr="00530BFA">
              <w:rPr>
                <w:rFonts w:ascii="Arial" w:eastAsia="Times New Roman" w:hAnsi="Arial" w:cs="Arial"/>
                <w:b/>
                <w:color w:val="000000"/>
                <w:sz w:val="20"/>
                <w:szCs w:val="18"/>
                <w:lang w:eastAsia="es-CO"/>
              </w:rPr>
              <w:t>ic-10</w:t>
            </w:r>
          </w:p>
        </w:tc>
        <w:tc>
          <w:tcPr>
            <w:tcW w:w="1440" w:type="dxa"/>
            <w:vMerge w:val="restart"/>
            <w:tcBorders>
              <w:top w:val="single" w:sz="4" w:space="0" w:color="auto"/>
              <w:left w:val="nil"/>
              <w:right w:val="single" w:sz="4" w:space="0" w:color="auto"/>
            </w:tcBorders>
            <w:shd w:val="clear" w:color="auto" w:fill="auto"/>
            <w:noWrap/>
            <w:vAlign w:val="center"/>
            <w:hideMark/>
          </w:tcPr>
          <w:p w:rsidR="00E02E0E" w:rsidRPr="00530BFA" w:rsidRDefault="00B71C5E" w:rsidP="00B71C5E">
            <w:pPr>
              <w:spacing w:after="0" w:line="240" w:lineRule="auto"/>
              <w:jc w:val="center"/>
              <w:rPr>
                <w:rFonts w:ascii="Arial" w:eastAsia="Times New Roman" w:hAnsi="Arial" w:cs="Arial"/>
                <w:b/>
                <w:color w:val="000000"/>
                <w:sz w:val="20"/>
                <w:szCs w:val="18"/>
                <w:lang w:eastAsia="es-CO"/>
              </w:rPr>
            </w:pPr>
            <w:r>
              <w:rPr>
                <w:rFonts w:ascii="Arial" w:eastAsia="Times New Roman" w:hAnsi="Arial" w:cs="Arial"/>
                <w:b/>
                <w:color w:val="000000"/>
                <w:sz w:val="20"/>
                <w:szCs w:val="18"/>
                <w:lang w:eastAsia="es-CO"/>
              </w:rPr>
              <w:t>Marzo</w:t>
            </w:r>
            <w:r w:rsidR="00E02E0E" w:rsidRPr="00530BFA">
              <w:rPr>
                <w:rFonts w:ascii="Arial" w:eastAsia="Times New Roman" w:hAnsi="Arial" w:cs="Arial"/>
                <w:b/>
                <w:color w:val="000000"/>
                <w:sz w:val="20"/>
                <w:szCs w:val="18"/>
                <w:lang w:eastAsia="es-CO"/>
              </w:rPr>
              <w:t>-11</w:t>
            </w:r>
          </w:p>
        </w:tc>
        <w:tc>
          <w:tcPr>
            <w:tcW w:w="2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E02E0E" w:rsidRPr="00530BFA" w:rsidRDefault="00E02E0E" w:rsidP="00CB3E1B">
            <w:pPr>
              <w:spacing w:after="0" w:line="240" w:lineRule="auto"/>
              <w:jc w:val="center"/>
              <w:rPr>
                <w:rFonts w:ascii="Arial" w:eastAsia="Times New Roman" w:hAnsi="Arial" w:cs="Arial"/>
                <w:b/>
                <w:color w:val="000000"/>
                <w:sz w:val="20"/>
                <w:szCs w:val="18"/>
                <w:lang w:eastAsia="es-CO"/>
              </w:rPr>
            </w:pPr>
            <w:r w:rsidRPr="00530BFA">
              <w:rPr>
                <w:rFonts w:ascii="Arial" w:eastAsia="Times New Roman" w:hAnsi="Arial" w:cs="Arial"/>
                <w:b/>
                <w:color w:val="000000"/>
                <w:sz w:val="20"/>
                <w:szCs w:val="18"/>
                <w:lang w:eastAsia="es-CO"/>
              </w:rPr>
              <w:t>Variación</w:t>
            </w:r>
          </w:p>
        </w:tc>
      </w:tr>
      <w:tr w:rsidR="00E02E0E" w:rsidRPr="00530BFA" w:rsidTr="00BB6099">
        <w:trPr>
          <w:trHeight w:val="300"/>
          <w:jc w:val="center"/>
        </w:trPr>
        <w:tc>
          <w:tcPr>
            <w:tcW w:w="3405" w:type="dxa"/>
            <w:vMerge/>
            <w:tcBorders>
              <w:left w:val="single" w:sz="4" w:space="0" w:color="auto"/>
              <w:bottom w:val="single" w:sz="4" w:space="0" w:color="auto"/>
              <w:right w:val="single" w:sz="4" w:space="0" w:color="auto"/>
            </w:tcBorders>
            <w:shd w:val="clear" w:color="auto" w:fill="auto"/>
            <w:noWrap/>
            <w:vAlign w:val="bottom"/>
            <w:hideMark/>
          </w:tcPr>
          <w:p w:rsidR="00E02E0E" w:rsidRPr="00530BFA" w:rsidRDefault="00E02E0E" w:rsidP="00CB3E1B">
            <w:pPr>
              <w:spacing w:after="0" w:line="240" w:lineRule="auto"/>
              <w:jc w:val="center"/>
              <w:rPr>
                <w:rFonts w:ascii="Arial" w:eastAsia="Times New Roman" w:hAnsi="Arial" w:cs="Arial"/>
                <w:b/>
                <w:bCs/>
                <w:color w:val="000000"/>
                <w:sz w:val="20"/>
                <w:szCs w:val="18"/>
                <w:lang w:eastAsia="es-CO"/>
              </w:rPr>
            </w:pPr>
          </w:p>
        </w:tc>
        <w:tc>
          <w:tcPr>
            <w:tcW w:w="1500" w:type="dxa"/>
            <w:vMerge/>
            <w:tcBorders>
              <w:left w:val="nil"/>
              <w:bottom w:val="single" w:sz="4" w:space="0" w:color="auto"/>
              <w:right w:val="single" w:sz="4" w:space="0" w:color="auto"/>
            </w:tcBorders>
            <w:shd w:val="clear" w:color="auto" w:fill="auto"/>
            <w:noWrap/>
            <w:vAlign w:val="bottom"/>
            <w:hideMark/>
          </w:tcPr>
          <w:p w:rsidR="00E02E0E" w:rsidRDefault="00E02E0E" w:rsidP="00CB3E1B">
            <w:pPr>
              <w:spacing w:after="0" w:line="240" w:lineRule="auto"/>
              <w:jc w:val="center"/>
              <w:rPr>
                <w:rFonts w:ascii="Arial" w:eastAsia="Times New Roman" w:hAnsi="Arial" w:cs="Arial"/>
                <w:b/>
                <w:color w:val="000000"/>
                <w:sz w:val="20"/>
                <w:szCs w:val="18"/>
                <w:lang w:eastAsia="es-CO"/>
              </w:rPr>
            </w:pPr>
          </w:p>
        </w:tc>
        <w:tc>
          <w:tcPr>
            <w:tcW w:w="1440" w:type="dxa"/>
            <w:vMerge/>
            <w:tcBorders>
              <w:left w:val="nil"/>
              <w:bottom w:val="single" w:sz="4" w:space="0" w:color="auto"/>
              <w:right w:val="single" w:sz="4" w:space="0" w:color="auto"/>
            </w:tcBorders>
            <w:shd w:val="clear" w:color="auto" w:fill="auto"/>
            <w:noWrap/>
            <w:vAlign w:val="bottom"/>
            <w:hideMark/>
          </w:tcPr>
          <w:p w:rsidR="00E02E0E" w:rsidRDefault="00E02E0E" w:rsidP="00CB3E1B">
            <w:pPr>
              <w:spacing w:after="0" w:line="240" w:lineRule="auto"/>
              <w:jc w:val="center"/>
              <w:rPr>
                <w:rFonts w:ascii="Arial" w:eastAsia="Times New Roman" w:hAnsi="Arial" w:cs="Arial"/>
                <w:b/>
                <w:color w:val="000000"/>
                <w:sz w:val="20"/>
                <w:szCs w:val="18"/>
                <w:lang w:eastAsia="es-CO"/>
              </w:rPr>
            </w:pP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rsidR="00E02E0E" w:rsidRPr="00530BFA" w:rsidRDefault="00224242" w:rsidP="00CB3E1B">
            <w:pPr>
              <w:spacing w:after="0" w:line="240" w:lineRule="auto"/>
              <w:jc w:val="center"/>
              <w:rPr>
                <w:rFonts w:ascii="Arial" w:eastAsia="Times New Roman" w:hAnsi="Arial" w:cs="Arial"/>
                <w:b/>
                <w:color w:val="000000"/>
                <w:sz w:val="20"/>
                <w:szCs w:val="18"/>
                <w:lang w:eastAsia="es-CO"/>
              </w:rPr>
            </w:pPr>
            <w:r>
              <w:rPr>
                <w:rFonts w:ascii="Arial" w:eastAsia="Times New Roman" w:hAnsi="Arial" w:cs="Arial"/>
                <w:b/>
                <w:color w:val="000000"/>
                <w:sz w:val="20"/>
                <w:szCs w:val="18"/>
                <w:lang w:eastAsia="es-CO"/>
              </w:rPr>
              <w:t>Valor</w:t>
            </w:r>
          </w:p>
        </w:tc>
        <w:tc>
          <w:tcPr>
            <w:tcW w:w="1163" w:type="dxa"/>
            <w:tcBorders>
              <w:top w:val="single" w:sz="4" w:space="0" w:color="auto"/>
              <w:left w:val="nil"/>
              <w:bottom w:val="single" w:sz="4" w:space="0" w:color="auto"/>
              <w:right w:val="single" w:sz="4" w:space="0" w:color="auto"/>
            </w:tcBorders>
            <w:shd w:val="clear" w:color="auto" w:fill="auto"/>
            <w:vAlign w:val="bottom"/>
          </w:tcPr>
          <w:p w:rsidR="00E02E0E" w:rsidRPr="00530BFA" w:rsidRDefault="00E02E0E" w:rsidP="00224242">
            <w:pPr>
              <w:spacing w:after="0" w:line="240" w:lineRule="auto"/>
              <w:jc w:val="center"/>
              <w:rPr>
                <w:rFonts w:ascii="Arial" w:eastAsia="Times New Roman" w:hAnsi="Arial" w:cs="Arial"/>
                <w:b/>
                <w:color w:val="000000"/>
                <w:sz w:val="20"/>
                <w:szCs w:val="18"/>
                <w:lang w:eastAsia="es-CO"/>
              </w:rPr>
            </w:pPr>
            <w:r>
              <w:rPr>
                <w:rFonts w:ascii="Arial" w:eastAsia="Times New Roman" w:hAnsi="Arial" w:cs="Arial"/>
                <w:b/>
                <w:color w:val="000000"/>
                <w:sz w:val="20"/>
                <w:szCs w:val="18"/>
                <w:lang w:eastAsia="es-CO"/>
              </w:rPr>
              <w:t>Porcenta</w:t>
            </w:r>
            <w:r w:rsidR="00224242">
              <w:rPr>
                <w:rFonts w:ascii="Arial" w:eastAsia="Times New Roman" w:hAnsi="Arial" w:cs="Arial"/>
                <w:b/>
                <w:color w:val="000000"/>
                <w:sz w:val="20"/>
                <w:szCs w:val="18"/>
                <w:lang w:eastAsia="es-CO"/>
              </w:rPr>
              <w:t>je</w:t>
            </w:r>
          </w:p>
        </w:tc>
      </w:tr>
      <w:tr w:rsidR="00B71C5E" w:rsidRPr="00530BFA" w:rsidTr="00BB6099">
        <w:trPr>
          <w:trHeight w:val="300"/>
          <w:jc w:val="center"/>
        </w:trPr>
        <w:tc>
          <w:tcPr>
            <w:tcW w:w="3405" w:type="dxa"/>
            <w:tcBorders>
              <w:top w:val="nil"/>
              <w:left w:val="single" w:sz="4" w:space="0" w:color="auto"/>
              <w:bottom w:val="single" w:sz="4" w:space="0" w:color="auto"/>
              <w:right w:val="single" w:sz="4" w:space="0" w:color="auto"/>
            </w:tcBorders>
            <w:shd w:val="clear" w:color="auto" w:fill="auto"/>
            <w:noWrap/>
            <w:vAlign w:val="center"/>
            <w:hideMark/>
          </w:tcPr>
          <w:p w:rsidR="00B71C5E" w:rsidRPr="00530BFA" w:rsidRDefault="00B71C5E" w:rsidP="00A65041">
            <w:pPr>
              <w:spacing w:after="0" w:line="240" w:lineRule="auto"/>
              <w:rPr>
                <w:rFonts w:ascii="Arial" w:eastAsia="Times New Roman" w:hAnsi="Arial" w:cs="Arial"/>
                <w:color w:val="000000"/>
                <w:sz w:val="20"/>
                <w:szCs w:val="18"/>
                <w:lang w:eastAsia="es-CO"/>
              </w:rPr>
            </w:pPr>
            <w:r>
              <w:rPr>
                <w:rFonts w:ascii="Arial" w:eastAsia="Times New Roman" w:hAnsi="Arial" w:cs="Arial"/>
                <w:color w:val="000000"/>
                <w:sz w:val="20"/>
                <w:szCs w:val="18"/>
                <w:lang w:eastAsia="es-CO"/>
              </w:rPr>
              <w:t>Deudores</w:t>
            </w:r>
          </w:p>
        </w:tc>
        <w:tc>
          <w:tcPr>
            <w:tcW w:w="1500"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jc w:val="right"/>
              <w:rPr>
                <w:rFonts w:ascii="Arial" w:hAnsi="Arial" w:cs="Arial"/>
                <w:sz w:val="20"/>
                <w:szCs w:val="18"/>
              </w:rPr>
            </w:pPr>
            <w:r w:rsidRPr="00B71C5E">
              <w:rPr>
                <w:rFonts w:ascii="Arial" w:hAnsi="Arial" w:cs="Arial"/>
                <w:sz w:val="20"/>
                <w:szCs w:val="18"/>
              </w:rPr>
              <w:t>2.805.325</w:t>
            </w:r>
          </w:p>
        </w:tc>
        <w:tc>
          <w:tcPr>
            <w:tcW w:w="1440"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jc w:val="right"/>
              <w:rPr>
                <w:rFonts w:ascii="Arial" w:hAnsi="Arial" w:cs="Arial"/>
                <w:sz w:val="20"/>
                <w:szCs w:val="18"/>
              </w:rPr>
            </w:pPr>
            <w:r w:rsidRPr="00B71C5E">
              <w:rPr>
                <w:rFonts w:ascii="Arial" w:hAnsi="Arial" w:cs="Arial"/>
                <w:sz w:val="20"/>
                <w:szCs w:val="18"/>
              </w:rPr>
              <w:t>3.061.731</w:t>
            </w:r>
          </w:p>
        </w:tc>
        <w:tc>
          <w:tcPr>
            <w:tcW w:w="1342"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jc w:val="right"/>
              <w:rPr>
                <w:rFonts w:ascii="Arial" w:hAnsi="Arial" w:cs="Arial"/>
                <w:sz w:val="20"/>
                <w:szCs w:val="18"/>
              </w:rPr>
            </w:pPr>
            <w:r w:rsidRPr="00B71C5E">
              <w:rPr>
                <w:rFonts w:ascii="Arial" w:hAnsi="Arial" w:cs="Arial"/>
                <w:sz w:val="20"/>
                <w:szCs w:val="18"/>
              </w:rPr>
              <w:t>256.406</w:t>
            </w:r>
          </w:p>
        </w:tc>
        <w:tc>
          <w:tcPr>
            <w:tcW w:w="1163"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jc w:val="right"/>
              <w:rPr>
                <w:rFonts w:ascii="Arial" w:hAnsi="Arial" w:cs="Arial"/>
                <w:color w:val="000000"/>
                <w:sz w:val="20"/>
                <w:szCs w:val="18"/>
              </w:rPr>
            </w:pPr>
            <w:r>
              <w:rPr>
                <w:rFonts w:ascii="Arial" w:hAnsi="Arial" w:cs="Arial"/>
                <w:color w:val="000000"/>
                <w:sz w:val="20"/>
                <w:szCs w:val="18"/>
              </w:rPr>
              <w:t>9</w:t>
            </w:r>
            <w:r w:rsidRPr="00B71C5E">
              <w:rPr>
                <w:rFonts w:ascii="Arial" w:hAnsi="Arial" w:cs="Arial"/>
                <w:color w:val="000000"/>
                <w:sz w:val="20"/>
                <w:szCs w:val="18"/>
              </w:rPr>
              <w:t>%</w:t>
            </w:r>
          </w:p>
        </w:tc>
      </w:tr>
      <w:tr w:rsidR="00B71C5E" w:rsidRPr="00530BFA" w:rsidTr="00BB6099">
        <w:trPr>
          <w:trHeight w:val="300"/>
          <w:jc w:val="center"/>
        </w:trPr>
        <w:tc>
          <w:tcPr>
            <w:tcW w:w="3405" w:type="dxa"/>
            <w:tcBorders>
              <w:top w:val="nil"/>
              <w:left w:val="single" w:sz="4" w:space="0" w:color="auto"/>
              <w:bottom w:val="single" w:sz="4" w:space="0" w:color="auto"/>
              <w:right w:val="single" w:sz="4" w:space="0" w:color="auto"/>
            </w:tcBorders>
            <w:shd w:val="clear" w:color="auto" w:fill="auto"/>
            <w:noWrap/>
            <w:vAlign w:val="center"/>
            <w:hideMark/>
          </w:tcPr>
          <w:p w:rsidR="00B71C5E" w:rsidRPr="00530BFA" w:rsidRDefault="00B71C5E" w:rsidP="00A65041">
            <w:pPr>
              <w:spacing w:after="0" w:line="240" w:lineRule="auto"/>
              <w:rPr>
                <w:rFonts w:ascii="Arial" w:eastAsia="Times New Roman" w:hAnsi="Arial" w:cs="Arial"/>
                <w:color w:val="000000"/>
                <w:sz w:val="20"/>
                <w:szCs w:val="18"/>
                <w:lang w:eastAsia="es-CO"/>
              </w:rPr>
            </w:pPr>
            <w:r>
              <w:rPr>
                <w:rFonts w:ascii="Arial" w:eastAsia="Times New Roman" w:hAnsi="Arial" w:cs="Arial"/>
                <w:color w:val="000000"/>
                <w:sz w:val="20"/>
                <w:szCs w:val="18"/>
                <w:lang w:eastAsia="es-CO"/>
              </w:rPr>
              <w:t>Cuentas por Pagar</w:t>
            </w:r>
            <w:r w:rsidRPr="00530BFA">
              <w:rPr>
                <w:rFonts w:ascii="Arial" w:eastAsia="Times New Roman" w:hAnsi="Arial" w:cs="Arial"/>
                <w:color w:val="000000"/>
                <w:sz w:val="20"/>
                <w:szCs w:val="18"/>
                <w:lang w:eastAsia="es-CO"/>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jc w:val="right"/>
              <w:rPr>
                <w:rFonts w:ascii="Arial" w:hAnsi="Arial" w:cs="Arial"/>
                <w:sz w:val="20"/>
                <w:szCs w:val="18"/>
              </w:rPr>
            </w:pPr>
            <w:r w:rsidRPr="00B71C5E">
              <w:rPr>
                <w:rFonts w:ascii="Arial" w:hAnsi="Arial" w:cs="Arial"/>
                <w:sz w:val="20"/>
                <w:szCs w:val="18"/>
              </w:rPr>
              <w:t>2.942.649</w:t>
            </w:r>
          </w:p>
        </w:tc>
        <w:tc>
          <w:tcPr>
            <w:tcW w:w="1440"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jc w:val="right"/>
              <w:rPr>
                <w:rFonts w:ascii="Arial" w:hAnsi="Arial" w:cs="Arial"/>
                <w:sz w:val="20"/>
                <w:szCs w:val="18"/>
              </w:rPr>
            </w:pPr>
            <w:r w:rsidRPr="00B71C5E">
              <w:rPr>
                <w:rFonts w:ascii="Arial" w:hAnsi="Arial" w:cs="Arial"/>
                <w:sz w:val="20"/>
                <w:szCs w:val="18"/>
              </w:rPr>
              <w:t>2.493.856</w:t>
            </w:r>
          </w:p>
        </w:tc>
        <w:tc>
          <w:tcPr>
            <w:tcW w:w="1342"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jc w:val="right"/>
              <w:rPr>
                <w:rFonts w:ascii="Arial" w:hAnsi="Arial" w:cs="Arial"/>
                <w:sz w:val="20"/>
                <w:szCs w:val="18"/>
              </w:rPr>
            </w:pPr>
            <w:r w:rsidRPr="00B71C5E">
              <w:rPr>
                <w:rFonts w:ascii="Arial" w:hAnsi="Arial" w:cs="Arial"/>
                <w:sz w:val="20"/>
                <w:szCs w:val="18"/>
              </w:rPr>
              <w:t>(448.793)</w:t>
            </w:r>
          </w:p>
        </w:tc>
        <w:tc>
          <w:tcPr>
            <w:tcW w:w="1163"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jc w:val="right"/>
              <w:rPr>
                <w:rFonts w:ascii="Arial" w:hAnsi="Arial" w:cs="Arial"/>
                <w:color w:val="000000"/>
                <w:sz w:val="20"/>
                <w:szCs w:val="18"/>
              </w:rPr>
            </w:pPr>
            <w:r w:rsidRPr="00B71C5E">
              <w:rPr>
                <w:rFonts w:ascii="Arial" w:hAnsi="Arial" w:cs="Arial"/>
                <w:color w:val="000000"/>
                <w:sz w:val="20"/>
                <w:szCs w:val="18"/>
              </w:rPr>
              <w:t>-15%</w:t>
            </w:r>
          </w:p>
        </w:tc>
      </w:tr>
      <w:tr w:rsidR="00B71C5E" w:rsidRPr="00530BFA" w:rsidTr="00BB6099">
        <w:trPr>
          <w:trHeight w:val="300"/>
          <w:jc w:val="center"/>
        </w:trPr>
        <w:tc>
          <w:tcPr>
            <w:tcW w:w="3405" w:type="dxa"/>
            <w:tcBorders>
              <w:top w:val="nil"/>
              <w:left w:val="single" w:sz="4" w:space="0" w:color="auto"/>
              <w:bottom w:val="single" w:sz="4" w:space="0" w:color="auto"/>
              <w:right w:val="single" w:sz="4" w:space="0" w:color="auto"/>
            </w:tcBorders>
            <w:shd w:val="clear" w:color="auto" w:fill="auto"/>
            <w:noWrap/>
            <w:vAlign w:val="center"/>
            <w:hideMark/>
          </w:tcPr>
          <w:p w:rsidR="00B71C5E" w:rsidRPr="00530BFA" w:rsidRDefault="00B71C5E" w:rsidP="00A65041">
            <w:pPr>
              <w:spacing w:after="0" w:line="240" w:lineRule="auto"/>
              <w:rPr>
                <w:rFonts w:ascii="Arial" w:eastAsia="Times New Roman" w:hAnsi="Arial" w:cs="Arial"/>
                <w:color w:val="000000"/>
                <w:sz w:val="20"/>
                <w:szCs w:val="18"/>
                <w:lang w:eastAsia="es-CO"/>
              </w:rPr>
            </w:pPr>
            <w:r w:rsidRPr="00530BFA">
              <w:rPr>
                <w:rFonts w:ascii="Arial" w:eastAsia="Times New Roman" w:hAnsi="Arial" w:cs="Arial"/>
                <w:color w:val="000000"/>
                <w:sz w:val="20"/>
                <w:szCs w:val="18"/>
                <w:lang w:eastAsia="es-CO"/>
              </w:rPr>
              <w:t xml:space="preserve">% </w:t>
            </w:r>
            <w:r>
              <w:rPr>
                <w:rFonts w:ascii="Arial" w:eastAsia="Times New Roman" w:hAnsi="Arial" w:cs="Arial"/>
                <w:color w:val="000000"/>
                <w:sz w:val="20"/>
                <w:szCs w:val="18"/>
                <w:lang w:eastAsia="es-CO"/>
              </w:rPr>
              <w:t xml:space="preserve">Cuentas por Pagar </w:t>
            </w:r>
            <w:r w:rsidRPr="00530BFA">
              <w:rPr>
                <w:rFonts w:ascii="Arial" w:eastAsia="Times New Roman" w:hAnsi="Arial" w:cs="Arial"/>
                <w:color w:val="000000"/>
                <w:sz w:val="20"/>
                <w:szCs w:val="18"/>
                <w:lang w:eastAsia="es-CO"/>
              </w:rPr>
              <w:t xml:space="preserve">/ Deudores </w:t>
            </w:r>
          </w:p>
        </w:tc>
        <w:tc>
          <w:tcPr>
            <w:tcW w:w="1500"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jc w:val="right"/>
              <w:rPr>
                <w:rFonts w:ascii="Arial" w:hAnsi="Arial" w:cs="Arial"/>
                <w:color w:val="000000"/>
                <w:sz w:val="20"/>
                <w:szCs w:val="18"/>
              </w:rPr>
            </w:pPr>
            <w:r w:rsidRPr="00B71C5E">
              <w:rPr>
                <w:rFonts w:ascii="Arial" w:hAnsi="Arial" w:cs="Arial"/>
                <w:color w:val="000000"/>
                <w:sz w:val="20"/>
                <w:szCs w:val="18"/>
              </w:rPr>
              <w:t>105%</w:t>
            </w:r>
          </w:p>
        </w:tc>
        <w:tc>
          <w:tcPr>
            <w:tcW w:w="1440"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jc w:val="right"/>
              <w:rPr>
                <w:rFonts w:ascii="Arial" w:hAnsi="Arial" w:cs="Arial"/>
                <w:color w:val="000000"/>
                <w:sz w:val="20"/>
                <w:szCs w:val="18"/>
              </w:rPr>
            </w:pPr>
            <w:r w:rsidRPr="00B71C5E">
              <w:rPr>
                <w:rFonts w:ascii="Arial" w:hAnsi="Arial" w:cs="Arial"/>
                <w:color w:val="000000"/>
                <w:sz w:val="20"/>
                <w:szCs w:val="18"/>
              </w:rPr>
              <w:t>81%</w:t>
            </w:r>
          </w:p>
        </w:tc>
        <w:tc>
          <w:tcPr>
            <w:tcW w:w="1342"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rPr>
                <w:rFonts w:ascii="Arial" w:hAnsi="Arial" w:cs="Arial"/>
                <w:color w:val="000000"/>
                <w:sz w:val="20"/>
                <w:szCs w:val="18"/>
              </w:rPr>
            </w:pPr>
            <w:r w:rsidRPr="00B71C5E">
              <w:rPr>
                <w:rFonts w:ascii="Arial" w:hAnsi="Arial" w:cs="Arial"/>
                <w:color w:val="000000"/>
                <w:sz w:val="20"/>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rsidR="00B71C5E" w:rsidRPr="00B71C5E" w:rsidRDefault="00B71C5E" w:rsidP="00B71C5E">
            <w:pPr>
              <w:spacing w:after="0" w:line="240" w:lineRule="auto"/>
              <w:rPr>
                <w:rFonts w:ascii="Arial" w:hAnsi="Arial" w:cs="Arial"/>
                <w:color w:val="000000"/>
                <w:sz w:val="20"/>
                <w:szCs w:val="18"/>
              </w:rPr>
            </w:pPr>
            <w:r w:rsidRPr="00B71C5E">
              <w:rPr>
                <w:rFonts w:ascii="Arial" w:hAnsi="Arial" w:cs="Arial"/>
                <w:color w:val="000000"/>
                <w:sz w:val="20"/>
                <w:szCs w:val="18"/>
              </w:rPr>
              <w:t> </w:t>
            </w:r>
          </w:p>
        </w:tc>
      </w:tr>
    </w:tbl>
    <w:p w:rsidR="00530BFA" w:rsidRPr="00530BFA" w:rsidRDefault="00530BFA" w:rsidP="00530BFA">
      <w:pPr>
        <w:pStyle w:val="Prrafodelista"/>
        <w:widowControl w:val="0"/>
        <w:spacing w:after="0" w:line="240" w:lineRule="auto"/>
        <w:ind w:left="284"/>
        <w:rPr>
          <w:rFonts w:ascii="Arial" w:hAnsi="Arial" w:cs="Arial"/>
          <w:color w:val="000000"/>
          <w:sz w:val="28"/>
        </w:rPr>
      </w:pPr>
      <w:r w:rsidRPr="00530BFA">
        <w:rPr>
          <w:rFonts w:ascii="Arial" w:hAnsi="Arial" w:cs="Arial"/>
          <w:color w:val="000000"/>
          <w:sz w:val="20"/>
          <w:szCs w:val="16"/>
        </w:rPr>
        <w:t>FUENTE: Información reportada por las EPS</w:t>
      </w:r>
      <w:r>
        <w:rPr>
          <w:rFonts w:ascii="Arial" w:hAnsi="Arial" w:cs="Arial"/>
          <w:color w:val="000000"/>
          <w:sz w:val="20"/>
          <w:szCs w:val="16"/>
        </w:rPr>
        <w:t xml:space="preserve"> – Circular Única</w:t>
      </w:r>
    </w:p>
    <w:p w:rsidR="00530BFA" w:rsidRPr="00530BFA" w:rsidRDefault="00530BFA" w:rsidP="00530BFA">
      <w:pPr>
        <w:widowControl w:val="0"/>
        <w:spacing w:after="0" w:line="240" w:lineRule="auto"/>
        <w:jc w:val="both"/>
        <w:rPr>
          <w:rFonts w:ascii="Arial" w:hAnsi="Arial" w:cs="Arial"/>
          <w:color w:val="000000"/>
        </w:rPr>
      </w:pPr>
    </w:p>
    <w:p w:rsidR="00274CE7" w:rsidRPr="00530BFA" w:rsidRDefault="00274CE7" w:rsidP="00530BFA">
      <w:pPr>
        <w:widowControl w:val="0"/>
        <w:spacing w:after="0" w:line="240" w:lineRule="auto"/>
        <w:jc w:val="both"/>
        <w:rPr>
          <w:rFonts w:ascii="Arial" w:hAnsi="Arial" w:cs="Arial"/>
          <w:color w:val="000000"/>
        </w:rPr>
      </w:pPr>
      <w:r w:rsidRPr="00530BFA">
        <w:rPr>
          <w:rFonts w:ascii="Arial" w:hAnsi="Arial" w:cs="Arial"/>
          <w:color w:val="000000"/>
        </w:rPr>
        <w:t xml:space="preserve">Las EPS del Régimen Contributivo registran en la cuenta deudores </w:t>
      </w:r>
      <w:r w:rsidR="00B71C5E">
        <w:rPr>
          <w:rFonts w:ascii="Arial" w:hAnsi="Arial" w:cs="Arial"/>
          <w:color w:val="000000"/>
        </w:rPr>
        <w:t xml:space="preserve">con </w:t>
      </w:r>
      <w:r w:rsidRPr="00530BFA">
        <w:rPr>
          <w:rFonts w:ascii="Arial" w:hAnsi="Arial" w:cs="Arial"/>
          <w:color w:val="000000"/>
        </w:rPr>
        <w:t xml:space="preserve">corte de </w:t>
      </w:r>
      <w:r w:rsidR="00B71C5E">
        <w:rPr>
          <w:rFonts w:ascii="Arial" w:hAnsi="Arial" w:cs="Arial"/>
          <w:color w:val="000000"/>
        </w:rPr>
        <w:t>marzo</w:t>
      </w:r>
      <w:r w:rsidRPr="00530BFA">
        <w:rPr>
          <w:rFonts w:ascii="Arial" w:hAnsi="Arial" w:cs="Arial"/>
          <w:color w:val="000000"/>
        </w:rPr>
        <w:t xml:space="preserve"> de 2011 un incremento del </w:t>
      </w:r>
      <w:r w:rsidR="00B71C5E">
        <w:rPr>
          <w:rFonts w:ascii="Arial" w:hAnsi="Arial" w:cs="Arial"/>
          <w:color w:val="000000"/>
        </w:rPr>
        <w:t>9</w:t>
      </w:r>
      <w:r w:rsidRPr="00530BFA">
        <w:rPr>
          <w:rFonts w:ascii="Arial" w:hAnsi="Arial" w:cs="Arial"/>
          <w:color w:val="000000"/>
        </w:rPr>
        <w:t>% con relación a di</w:t>
      </w:r>
      <w:r w:rsidR="007A3C1D">
        <w:rPr>
          <w:rFonts w:ascii="Arial" w:hAnsi="Arial" w:cs="Arial"/>
          <w:color w:val="000000"/>
        </w:rPr>
        <w:t>ciembre de 2010, en tanto que la</w:t>
      </w:r>
      <w:r w:rsidRPr="00530BFA">
        <w:rPr>
          <w:rFonts w:ascii="Arial" w:hAnsi="Arial" w:cs="Arial"/>
          <w:color w:val="000000"/>
        </w:rPr>
        <w:t xml:space="preserve">s </w:t>
      </w:r>
      <w:r w:rsidR="007A3C1D">
        <w:rPr>
          <w:rFonts w:ascii="Arial" w:hAnsi="Arial" w:cs="Arial"/>
          <w:color w:val="000000"/>
        </w:rPr>
        <w:t>cuentas por pagar</w:t>
      </w:r>
      <w:r w:rsidRPr="00530BFA">
        <w:rPr>
          <w:rFonts w:ascii="Arial" w:hAnsi="Arial" w:cs="Arial"/>
          <w:color w:val="000000"/>
        </w:rPr>
        <w:t xml:space="preserve"> registran </w:t>
      </w:r>
      <w:r w:rsidR="007A3C1D">
        <w:rPr>
          <w:rFonts w:ascii="Arial" w:hAnsi="Arial" w:cs="Arial"/>
          <w:color w:val="000000"/>
        </w:rPr>
        <w:t>un</w:t>
      </w:r>
      <w:r w:rsidR="00B71C5E">
        <w:rPr>
          <w:rFonts w:ascii="Arial" w:hAnsi="Arial" w:cs="Arial"/>
          <w:color w:val="000000"/>
        </w:rPr>
        <w:t xml:space="preserve">a disminución </w:t>
      </w:r>
      <w:r w:rsidRPr="00530BFA">
        <w:rPr>
          <w:rFonts w:ascii="Arial" w:hAnsi="Arial" w:cs="Arial"/>
          <w:color w:val="000000"/>
        </w:rPr>
        <w:t xml:space="preserve">del </w:t>
      </w:r>
      <w:r w:rsidR="00B71C5E">
        <w:rPr>
          <w:rFonts w:ascii="Arial" w:hAnsi="Arial" w:cs="Arial"/>
          <w:color w:val="000000"/>
        </w:rPr>
        <w:t>15</w:t>
      </w:r>
      <w:r w:rsidRPr="00530BFA">
        <w:rPr>
          <w:rFonts w:ascii="Arial" w:hAnsi="Arial" w:cs="Arial"/>
          <w:color w:val="000000"/>
        </w:rPr>
        <w:t xml:space="preserve">%. </w:t>
      </w:r>
      <w:r w:rsidR="007A3C1D">
        <w:rPr>
          <w:rFonts w:ascii="Arial" w:hAnsi="Arial" w:cs="Arial"/>
          <w:color w:val="000000"/>
        </w:rPr>
        <w:t xml:space="preserve"> Estas cuentas </w:t>
      </w:r>
      <w:r w:rsidRPr="00530BFA">
        <w:rPr>
          <w:rFonts w:ascii="Arial" w:hAnsi="Arial" w:cs="Arial"/>
          <w:color w:val="000000"/>
        </w:rPr>
        <w:t>a diciembre de 2010 representaban el 105% de los deudores</w:t>
      </w:r>
      <w:r w:rsidR="005F00B0">
        <w:rPr>
          <w:rFonts w:ascii="Arial" w:hAnsi="Arial" w:cs="Arial"/>
          <w:color w:val="000000"/>
        </w:rPr>
        <w:t>,</w:t>
      </w:r>
      <w:r w:rsidRPr="00530BFA">
        <w:rPr>
          <w:rFonts w:ascii="Arial" w:hAnsi="Arial" w:cs="Arial"/>
          <w:color w:val="000000"/>
        </w:rPr>
        <w:t xml:space="preserve"> a </w:t>
      </w:r>
      <w:r w:rsidR="00B71C5E">
        <w:rPr>
          <w:rFonts w:ascii="Arial" w:hAnsi="Arial" w:cs="Arial"/>
          <w:color w:val="000000"/>
        </w:rPr>
        <w:t>marzo</w:t>
      </w:r>
      <w:r w:rsidRPr="00530BFA">
        <w:rPr>
          <w:rFonts w:ascii="Arial" w:hAnsi="Arial" w:cs="Arial"/>
          <w:color w:val="000000"/>
        </w:rPr>
        <w:t xml:space="preserve"> de 2011 </w:t>
      </w:r>
      <w:r w:rsidR="005F00B0">
        <w:rPr>
          <w:rFonts w:ascii="Arial" w:hAnsi="Arial" w:cs="Arial"/>
          <w:color w:val="000000"/>
        </w:rPr>
        <w:t xml:space="preserve">las cuentas por pagar equivalen al </w:t>
      </w:r>
      <w:r w:rsidR="00B71C5E">
        <w:rPr>
          <w:rFonts w:ascii="Arial" w:hAnsi="Arial" w:cs="Arial"/>
          <w:color w:val="000000"/>
        </w:rPr>
        <w:t>81</w:t>
      </w:r>
      <w:r w:rsidRPr="00530BFA">
        <w:rPr>
          <w:rFonts w:ascii="Arial" w:hAnsi="Arial" w:cs="Arial"/>
          <w:color w:val="000000"/>
        </w:rPr>
        <w:t>%</w:t>
      </w:r>
      <w:r w:rsidR="00C17430">
        <w:rPr>
          <w:rFonts w:ascii="Arial" w:hAnsi="Arial" w:cs="Arial"/>
          <w:color w:val="000000"/>
        </w:rPr>
        <w:t xml:space="preserve"> de los deudores</w:t>
      </w:r>
      <w:r w:rsidRPr="00530BFA">
        <w:rPr>
          <w:rFonts w:ascii="Arial" w:hAnsi="Arial" w:cs="Arial"/>
          <w:color w:val="000000"/>
        </w:rPr>
        <w:t xml:space="preserve">, lo cual presenta un mejoramiento en </w:t>
      </w:r>
      <w:r w:rsidR="00C17430">
        <w:rPr>
          <w:rFonts w:ascii="Arial" w:hAnsi="Arial" w:cs="Arial"/>
          <w:color w:val="000000"/>
        </w:rPr>
        <w:t>e</w:t>
      </w:r>
      <w:r w:rsidRPr="00530BFA">
        <w:rPr>
          <w:rFonts w:ascii="Arial" w:hAnsi="Arial" w:cs="Arial"/>
          <w:color w:val="000000"/>
        </w:rPr>
        <w:t>l índice de liquidez.</w:t>
      </w:r>
    </w:p>
    <w:p w:rsidR="00274CE7" w:rsidRDefault="00274CE7" w:rsidP="00530BFA">
      <w:pPr>
        <w:widowControl w:val="0"/>
        <w:spacing w:after="0" w:line="240" w:lineRule="auto"/>
        <w:jc w:val="both"/>
        <w:rPr>
          <w:rFonts w:ascii="Arial" w:hAnsi="Arial" w:cs="Arial"/>
          <w:color w:val="000000"/>
        </w:rPr>
      </w:pPr>
    </w:p>
    <w:p w:rsidR="00730AF5" w:rsidRDefault="00A65041" w:rsidP="00530BFA">
      <w:pPr>
        <w:widowControl w:val="0"/>
        <w:spacing w:after="0" w:line="240" w:lineRule="auto"/>
        <w:jc w:val="both"/>
        <w:rPr>
          <w:rFonts w:ascii="Arial" w:hAnsi="Arial" w:cs="Arial"/>
          <w:color w:val="000000"/>
        </w:rPr>
      </w:pPr>
      <w:r>
        <w:rPr>
          <w:rFonts w:ascii="Arial" w:hAnsi="Arial" w:cs="Arial"/>
          <w:color w:val="000000"/>
        </w:rPr>
        <w:t xml:space="preserve">Los deudores se incrementaron en el </w:t>
      </w:r>
      <w:r w:rsidR="00B71C5E">
        <w:rPr>
          <w:rFonts w:ascii="Arial" w:hAnsi="Arial" w:cs="Arial"/>
          <w:color w:val="000000"/>
        </w:rPr>
        <w:t>9</w:t>
      </w:r>
      <w:r>
        <w:rPr>
          <w:rFonts w:ascii="Arial" w:hAnsi="Arial" w:cs="Arial"/>
          <w:color w:val="000000"/>
        </w:rPr>
        <w:t xml:space="preserve">%, entre diciembre de 2010 y </w:t>
      </w:r>
      <w:r w:rsidR="00B71C5E">
        <w:rPr>
          <w:rFonts w:ascii="Arial" w:hAnsi="Arial" w:cs="Arial"/>
          <w:color w:val="000000"/>
        </w:rPr>
        <w:t>marzo</w:t>
      </w:r>
      <w:r>
        <w:rPr>
          <w:rFonts w:ascii="Arial" w:hAnsi="Arial" w:cs="Arial"/>
          <w:color w:val="000000"/>
        </w:rPr>
        <w:t xml:space="preserve"> de 2011, </w:t>
      </w:r>
      <w:r w:rsidR="00FD14E5">
        <w:rPr>
          <w:rFonts w:ascii="Arial" w:hAnsi="Arial" w:cs="Arial"/>
          <w:color w:val="000000"/>
        </w:rPr>
        <w:t xml:space="preserve">lo cual </w:t>
      </w:r>
      <w:r w:rsidR="00FD14E5">
        <w:rPr>
          <w:rFonts w:ascii="Arial" w:hAnsi="Arial" w:cs="Arial"/>
          <w:color w:val="000000"/>
        </w:rPr>
        <w:lastRenderedPageBreak/>
        <w:t xml:space="preserve">refleja el efecto de los recobros, los saldos no compensados y los registros glosados.  A su vez, las cuentas por pagar </w:t>
      </w:r>
      <w:r w:rsidR="00730AF5">
        <w:rPr>
          <w:rFonts w:ascii="Arial" w:hAnsi="Arial" w:cs="Arial"/>
          <w:color w:val="000000"/>
        </w:rPr>
        <w:t xml:space="preserve">disminuyeron </w:t>
      </w:r>
      <w:r w:rsidR="00083AAC">
        <w:rPr>
          <w:rFonts w:ascii="Arial" w:hAnsi="Arial" w:cs="Arial"/>
          <w:color w:val="000000"/>
        </w:rPr>
        <w:t xml:space="preserve">en el </w:t>
      </w:r>
      <w:r w:rsidR="00730AF5">
        <w:rPr>
          <w:rFonts w:ascii="Arial" w:hAnsi="Arial" w:cs="Arial"/>
          <w:color w:val="000000"/>
        </w:rPr>
        <w:t>15</w:t>
      </w:r>
      <w:r w:rsidR="00083AAC">
        <w:rPr>
          <w:rFonts w:ascii="Arial" w:hAnsi="Arial" w:cs="Arial"/>
          <w:color w:val="000000"/>
        </w:rPr>
        <w:t>%</w:t>
      </w:r>
      <w:r w:rsidR="00730AF5">
        <w:rPr>
          <w:rFonts w:ascii="Arial" w:hAnsi="Arial" w:cs="Arial"/>
          <w:color w:val="000000"/>
        </w:rPr>
        <w:t>.</w:t>
      </w:r>
    </w:p>
    <w:p w:rsidR="00730AF5" w:rsidRDefault="00730AF5" w:rsidP="00530BFA">
      <w:pPr>
        <w:widowControl w:val="0"/>
        <w:spacing w:after="0" w:line="240" w:lineRule="auto"/>
        <w:jc w:val="both"/>
        <w:rPr>
          <w:rFonts w:ascii="Arial" w:hAnsi="Arial" w:cs="Arial"/>
          <w:color w:val="000000"/>
        </w:rPr>
      </w:pPr>
    </w:p>
    <w:p w:rsidR="00595C46" w:rsidRDefault="00595C46" w:rsidP="00530BFA">
      <w:pPr>
        <w:widowControl w:val="0"/>
        <w:spacing w:after="0" w:line="240" w:lineRule="auto"/>
        <w:jc w:val="both"/>
        <w:rPr>
          <w:rFonts w:ascii="Arial" w:hAnsi="Arial" w:cs="Arial"/>
          <w:color w:val="000000"/>
        </w:rPr>
      </w:pPr>
      <w:r>
        <w:rPr>
          <w:rFonts w:ascii="Arial" w:hAnsi="Arial" w:cs="Arial"/>
          <w:color w:val="000000"/>
        </w:rPr>
        <w:t>En lo que respecta al comportamiento de los Deudores frente a las cuentas por pagar en las EPS que administran Régimen Subsidiado, se presenta lo siguiente:</w:t>
      </w:r>
    </w:p>
    <w:p w:rsidR="00595C46" w:rsidRDefault="00595C46" w:rsidP="00530BFA">
      <w:pPr>
        <w:widowControl w:val="0"/>
        <w:spacing w:after="0" w:line="240" w:lineRule="auto"/>
        <w:jc w:val="both"/>
        <w:rPr>
          <w:rFonts w:ascii="Arial" w:hAnsi="Arial" w:cs="Arial"/>
          <w:color w:val="000000"/>
        </w:rPr>
      </w:pPr>
    </w:p>
    <w:p w:rsidR="006A7C88" w:rsidRPr="00530BFA" w:rsidRDefault="006A7C88" w:rsidP="006A7C88">
      <w:pPr>
        <w:pStyle w:val="Prrafodelista"/>
        <w:widowControl w:val="0"/>
        <w:spacing w:after="0" w:line="240" w:lineRule="auto"/>
        <w:ind w:left="0" w:right="332" w:hanging="5"/>
        <w:jc w:val="right"/>
        <w:rPr>
          <w:rFonts w:ascii="Arial" w:hAnsi="Arial" w:cs="Arial"/>
          <w:color w:val="000000"/>
          <w:sz w:val="20"/>
          <w:szCs w:val="16"/>
        </w:rPr>
      </w:pPr>
      <w:r>
        <w:rPr>
          <w:rFonts w:ascii="Arial" w:hAnsi="Arial" w:cs="Arial"/>
          <w:color w:val="000000"/>
        </w:rPr>
        <w:tab/>
      </w:r>
      <w:r w:rsidRPr="00530BFA">
        <w:rPr>
          <w:rFonts w:ascii="Arial" w:hAnsi="Arial" w:cs="Arial"/>
          <w:color w:val="000000"/>
          <w:sz w:val="20"/>
          <w:szCs w:val="16"/>
        </w:rPr>
        <w:t>Cifras en mil</w:t>
      </w:r>
      <w:r>
        <w:rPr>
          <w:rFonts w:ascii="Arial" w:hAnsi="Arial" w:cs="Arial"/>
          <w:color w:val="000000"/>
          <w:sz w:val="20"/>
          <w:szCs w:val="16"/>
        </w:rPr>
        <w:t>lon</w:t>
      </w:r>
      <w:r w:rsidRPr="00530BFA">
        <w:rPr>
          <w:rFonts w:ascii="Arial" w:hAnsi="Arial" w:cs="Arial"/>
          <w:color w:val="000000"/>
          <w:sz w:val="20"/>
          <w:szCs w:val="16"/>
        </w:rPr>
        <w:t>es</w:t>
      </w:r>
    </w:p>
    <w:tbl>
      <w:tblPr>
        <w:tblW w:w="8567" w:type="dxa"/>
        <w:jc w:val="center"/>
        <w:tblInd w:w="55" w:type="dxa"/>
        <w:tblCellMar>
          <w:left w:w="70" w:type="dxa"/>
          <w:right w:w="70" w:type="dxa"/>
        </w:tblCellMar>
        <w:tblLook w:val="04A0" w:firstRow="1" w:lastRow="0" w:firstColumn="1" w:lastColumn="0" w:noHBand="0" w:noVBand="1"/>
      </w:tblPr>
      <w:tblGrid>
        <w:gridCol w:w="3122"/>
        <w:gridCol w:w="1500"/>
        <w:gridCol w:w="1440"/>
        <w:gridCol w:w="1342"/>
        <w:gridCol w:w="1163"/>
      </w:tblGrid>
      <w:tr w:rsidR="006A7C88" w:rsidRPr="00530BFA" w:rsidTr="00C125C5">
        <w:trPr>
          <w:trHeight w:val="300"/>
          <w:jc w:val="center"/>
        </w:trPr>
        <w:tc>
          <w:tcPr>
            <w:tcW w:w="3122" w:type="dxa"/>
            <w:vMerge w:val="restart"/>
            <w:tcBorders>
              <w:top w:val="single" w:sz="4" w:space="0" w:color="auto"/>
              <w:left w:val="single" w:sz="4" w:space="0" w:color="auto"/>
              <w:right w:val="single" w:sz="4" w:space="0" w:color="auto"/>
            </w:tcBorders>
            <w:shd w:val="clear" w:color="auto" w:fill="auto"/>
            <w:noWrap/>
            <w:vAlign w:val="center"/>
            <w:hideMark/>
          </w:tcPr>
          <w:p w:rsidR="006A7C88" w:rsidRPr="00530BFA" w:rsidRDefault="009A6A1F" w:rsidP="00F5047D">
            <w:pPr>
              <w:spacing w:after="0" w:line="240" w:lineRule="auto"/>
              <w:jc w:val="center"/>
              <w:rPr>
                <w:rFonts w:ascii="Arial" w:eastAsia="Times New Roman" w:hAnsi="Arial" w:cs="Arial"/>
                <w:b/>
                <w:bCs/>
                <w:color w:val="000000"/>
                <w:sz w:val="20"/>
                <w:szCs w:val="18"/>
                <w:lang w:eastAsia="es-CO"/>
              </w:rPr>
            </w:pPr>
            <w:r>
              <w:rPr>
                <w:rFonts w:ascii="Arial" w:eastAsia="Times New Roman" w:hAnsi="Arial" w:cs="Arial"/>
                <w:b/>
                <w:bCs/>
                <w:color w:val="000000"/>
                <w:sz w:val="20"/>
                <w:szCs w:val="18"/>
                <w:lang w:eastAsia="es-CO"/>
              </w:rPr>
              <w:t>CONCEPTOS</w:t>
            </w:r>
          </w:p>
        </w:tc>
        <w:tc>
          <w:tcPr>
            <w:tcW w:w="1500" w:type="dxa"/>
            <w:vMerge w:val="restart"/>
            <w:tcBorders>
              <w:top w:val="single" w:sz="4" w:space="0" w:color="auto"/>
              <w:left w:val="nil"/>
              <w:right w:val="single" w:sz="4" w:space="0" w:color="auto"/>
            </w:tcBorders>
            <w:shd w:val="clear" w:color="auto" w:fill="auto"/>
            <w:noWrap/>
            <w:vAlign w:val="center"/>
            <w:hideMark/>
          </w:tcPr>
          <w:p w:rsidR="006A7C88" w:rsidRPr="00530BFA" w:rsidRDefault="006A7C88" w:rsidP="00F5047D">
            <w:pPr>
              <w:spacing w:after="0" w:line="240" w:lineRule="auto"/>
              <w:jc w:val="center"/>
              <w:rPr>
                <w:rFonts w:ascii="Arial" w:eastAsia="Times New Roman" w:hAnsi="Arial" w:cs="Arial"/>
                <w:b/>
                <w:color w:val="000000"/>
                <w:sz w:val="20"/>
                <w:szCs w:val="18"/>
                <w:lang w:eastAsia="es-CO"/>
              </w:rPr>
            </w:pPr>
            <w:r>
              <w:rPr>
                <w:rFonts w:ascii="Arial" w:eastAsia="Times New Roman" w:hAnsi="Arial" w:cs="Arial"/>
                <w:b/>
                <w:color w:val="000000"/>
                <w:sz w:val="20"/>
                <w:szCs w:val="18"/>
                <w:lang w:eastAsia="es-CO"/>
              </w:rPr>
              <w:t>D</w:t>
            </w:r>
            <w:r w:rsidRPr="00530BFA">
              <w:rPr>
                <w:rFonts w:ascii="Arial" w:eastAsia="Times New Roman" w:hAnsi="Arial" w:cs="Arial"/>
                <w:b/>
                <w:color w:val="000000"/>
                <w:sz w:val="20"/>
                <w:szCs w:val="18"/>
                <w:lang w:eastAsia="es-CO"/>
              </w:rPr>
              <w:t>ic-10</w:t>
            </w:r>
          </w:p>
        </w:tc>
        <w:tc>
          <w:tcPr>
            <w:tcW w:w="1440" w:type="dxa"/>
            <w:vMerge w:val="restart"/>
            <w:tcBorders>
              <w:top w:val="single" w:sz="4" w:space="0" w:color="auto"/>
              <w:left w:val="nil"/>
              <w:right w:val="single" w:sz="4" w:space="0" w:color="auto"/>
            </w:tcBorders>
            <w:shd w:val="clear" w:color="auto" w:fill="auto"/>
            <w:noWrap/>
            <w:vAlign w:val="center"/>
            <w:hideMark/>
          </w:tcPr>
          <w:p w:rsidR="006A7C88" w:rsidRPr="00530BFA" w:rsidRDefault="00BA4EBB" w:rsidP="00BA4EBB">
            <w:pPr>
              <w:spacing w:after="0" w:line="240" w:lineRule="auto"/>
              <w:jc w:val="center"/>
              <w:rPr>
                <w:rFonts w:ascii="Arial" w:eastAsia="Times New Roman" w:hAnsi="Arial" w:cs="Arial"/>
                <w:b/>
                <w:color w:val="000000"/>
                <w:sz w:val="20"/>
                <w:szCs w:val="18"/>
                <w:lang w:eastAsia="es-CO"/>
              </w:rPr>
            </w:pPr>
            <w:r>
              <w:rPr>
                <w:rFonts w:ascii="Arial" w:eastAsia="Times New Roman" w:hAnsi="Arial" w:cs="Arial"/>
                <w:b/>
                <w:color w:val="000000"/>
                <w:sz w:val="20"/>
                <w:szCs w:val="18"/>
                <w:lang w:eastAsia="es-CO"/>
              </w:rPr>
              <w:t>Mar</w:t>
            </w:r>
            <w:r w:rsidR="006A7C88" w:rsidRPr="00530BFA">
              <w:rPr>
                <w:rFonts w:ascii="Arial" w:eastAsia="Times New Roman" w:hAnsi="Arial" w:cs="Arial"/>
                <w:b/>
                <w:color w:val="000000"/>
                <w:sz w:val="20"/>
                <w:szCs w:val="18"/>
                <w:lang w:eastAsia="es-CO"/>
              </w:rPr>
              <w:t>-11</w:t>
            </w:r>
          </w:p>
        </w:tc>
        <w:tc>
          <w:tcPr>
            <w:tcW w:w="2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6A7C88" w:rsidRPr="00530BFA" w:rsidRDefault="006A7C88" w:rsidP="00F5047D">
            <w:pPr>
              <w:spacing w:after="0" w:line="240" w:lineRule="auto"/>
              <w:jc w:val="center"/>
              <w:rPr>
                <w:rFonts w:ascii="Arial" w:eastAsia="Times New Roman" w:hAnsi="Arial" w:cs="Arial"/>
                <w:b/>
                <w:color w:val="000000"/>
                <w:sz w:val="20"/>
                <w:szCs w:val="18"/>
                <w:lang w:eastAsia="es-CO"/>
              </w:rPr>
            </w:pPr>
            <w:r w:rsidRPr="00530BFA">
              <w:rPr>
                <w:rFonts w:ascii="Arial" w:eastAsia="Times New Roman" w:hAnsi="Arial" w:cs="Arial"/>
                <w:b/>
                <w:color w:val="000000"/>
                <w:sz w:val="20"/>
                <w:szCs w:val="18"/>
                <w:lang w:eastAsia="es-CO"/>
              </w:rPr>
              <w:t>Variación</w:t>
            </w:r>
          </w:p>
        </w:tc>
      </w:tr>
      <w:tr w:rsidR="006A7C88" w:rsidRPr="00530BFA" w:rsidTr="00C125C5">
        <w:trPr>
          <w:trHeight w:val="300"/>
          <w:jc w:val="center"/>
        </w:trPr>
        <w:tc>
          <w:tcPr>
            <w:tcW w:w="3122" w:type="dxa"/>
            <w:vMerge/>
            <w:tcBorders>
              <w:left w:val="single" w:sz="4" w:space="0" w:color="auto"/>
              <w:bottom w:val="single" w:sz="4" w:space="0" w:color="auto"/>
              <w:right w:val="single" w:sz="4" w:space="0" w:color="auto"/>
            </w:tcBorders>
            <w:shd w:val="clear" w:color="auto" w:fill="auto"/>
            <w:noWrap/>
            <w:vAlign w:val="bottom"/>
            <w:hideMark/>
          </w:tcPr>
          <w:p w:rsidR="006A7C88" w:rsidRPr="00530BFA" w:rsidRDefault="006A7C88" w:rsidP="00F5047D">
            <w:pPr>
              <w:spacing w:after="0" w:line="240" w:lineRule="auto"/>
              <w:jc w:val="center"/>
              <w:rPr>
                <w:rFonts w:ascii="Arial" w:eastAsia="Times New Roman" w:hAnsi="Arial" w:cs="Arial"/>
                <w:b/>
                <w:bCs/>
                <w:color w:val="000000"/>
                <w:sz w:val="20"/>
                <w:szCs w:val="18"/>
                <w:lang w:eastAsia="es-CO"/>
              </w:rPr>
            </w:pPr>
          </w:p>
        </w:tc>
        <w:tc>
          <w:tcPr>
            <w:tcW w:w="1500" w:type="dxa"/>
            <w:vMerge/>
            <w:tcBorders>
              <w:left w:val="nil"/>
              <w:bottom w:val="single" w:sz="4" w:space="0" w:color="auto"/>
              <w:right w:val="single" w:sz="4" w:space="0" w:color="auto"/>
            </w:tcBorders>
            <w:shd w:val="clear" w:color="auto" w:fill="auto"/>
            <w:noWrap/>
            <w:vAlign w:val="bottom"/>
            <w:hideMark/>
          </w:tcPr>
          <w:p w:rsidR="006A7C88" w:rsidRDefault="006A7C88" w:rsidP="00F5047D">
            <w:pPr>
              <w:spacing w:after="0" w:line="240" w:lineRule="auto"/>
              <w:jc w:val="center"/>
              <w:rPr>
                <w:rFonts w:ascii="Arial" w:eastAsia="Times New Roman" w:hAnsi="Arial" w:cs="Arial"/>
                <w:b/>
                <w:color w:val="000000"/>
                <w:sz w:val="20"/>
                <w:szCs w:val="18"/>
                <w:lang w:eastAsia="es-CO"/>
              </w:rPr>
            </w:pPr>
          </w:p>
        </w:tc>
        <w:tc>
          <w:tcPr>
            <w:tcW w:w="1440" w:type="dxa"/>
            <w:vMerge/>
            <w:tcBorders>
              <w:left w:val="nil"/>
              <w:bottom w:val="single" w:sz="4" w:space="0" w:color="auto"/>
              <w:right w:val="single" w:sz="4" w:space="0" w:color="auto"/>
            </w:tcBorders>
            <w:shd w:val="clear" w:color="auto" w:fill="auto"/>
            <w:noWrap/>
            <w:vAlign w:val="bottom"/>
            <w:hideMark/>
          </w:tcPr>
          <w:p w:rsidR="006A7C88" w:rsidRDefault="006A7C88" w:rsidP="00F5047D">
            <w:pPr>
              <w:spacing w:after="0" w:line="240" w:lineRule="auto"/>
              <w:jc w:val="center"/>
              <w:rPr>
                <w:rFonts w:ascii="Arial" w:eastAsia="Times New Roman" w:hAnsi="Arial" w:cs="Arial"/>
                <w:b/>
                <w:color w:val="000000"/>
                <w:sz w:val="20"/>
                <w:szCs w:val="18"/>
                <w:lang w:eastAsia="es-CO"/>
              </w:rPr>
            </w:pP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rsidR="006A7C88" w:rsidRPr="00530BFA" w:rsidRDefault="006A7C88" w:rsidP="00F5047D">
            <w:pPr>
              <w:spacing w:after="0" w:line="240" w:lineRule="auto"/>
              <w:jc w:val="center"/>
              <w:rPr>
                <w:rFonts w:ascii="Arial" w:eastAsia="Times New Roman" w:hAnsi="Arial" w:cs="Arial"/>
                <w:b/>
                <w:color w:val="000000"/>
                <w:sz w:val="20"/>
                <w:szCs w:val="18"/>
                <w:lang w:eastAsia="es-CO"/>
              </w:rPr>
            </w:pPr>
            <w:r>
              <w:rPr>
                <w:rFonts w:ascii="Arial" w:eastAsia="Times New Roman" w:hAnsi="Arial" w:cs="Arial"/>
                <w:b/>
                <w:color w:val="000000"/>
                <w:sz w:val="20"/>
                <w:szCs w:val="18"/>
                <w:lang w:eastAsia="es-CO"/>
              </w:rPr>
              <w:t>Valor</w:t>
            </w:r>
          </w:p>
        </w:tc>
        <w:tc>
          <w:tcPr>
            <w:tcW w:w="1163" w:type="dxa"/>
            <w:tcBorders>
              <w:top w:val="single" w:sz="4" w:space="0" w:color="auto"/>
              <w:left w:val="nil"/>
              <w:bottom w:val="single" w:sz="4" w:space="0" w:color="auto"/>
              <w:right w:val="single" w:sz="4" w:space="0" w:color="auto"/>
            </w:tcBorders>
            <w:shd w:val="clear" w:color="auto" w:fill="auto"/>
            <w:vAlign w:val="bottom"/>
          </w:tcPr>
          <w:p w:rsidR="006A7C88" w:rsidRPr="00530BFA" w:rsidRDefault="006A7C88" w:rsidP="00F5047D">
            <w:pPr>
              <w:spacing w:after="0" w:line="240" w:lineRule="auto"/>
              <w:jc w:val="center"/>
              <w:rPr>
                <w:rFonts w:ascii="Arial" w:eastAsia="Times New Roman" w:hAnsi="Arial" w:cs="Arial"/>
                <w:b/>
                <w:color w:val="000000"/>
                <w:sz w:val="20"/>
                <w:szCs w:val="18"/>
                <w:lang w:eastAsia="es-CO"/>
              </w:rPr>
            </w:pPr>
            <w:r>
              <w:rPr>
                <w:rFonts w:ascii="Arial" w:eastAsia="Times New Roman" w:hAnsi="Arial" w:cs="Arial"/>
                <w:b/>
                <w:color w:val="000000"/>
                <w:sz w:val="20"/>
                <w:szCs w:val="18"/>
                <w:lang w:eastAsia="es-CO"/>
              </w:rPr>
              <w:t>Porcentaje</w:t>
            </w:r>
          </w:p>
        </w:tc>
      </w:tr>
      <w:tr w:rsidR="008F7F04" w:rsidRPr="00530BFA" w:rsidTr="00C125C5">
        <w:trPr>
          <w:trHeight w:val="300"/>
          <w:jc w:val="center"/>
        </w:trPr>
        <w:tc>
          <w:tcPr>
            <w:tcW w:w="3122" w:type="dxa"/>
            <w:tcBorders>
              <w:top w:val="nil"/>
              <w:left w:val="single" w:sz="4" w:space="0" w:color="auto"/>
              <w:bottom w:val="single" w:sz="4" w:space="0" w:color="auto"/>
              <w:right w:val="single" w:sz="4" w:space="0" w:color="auto"/>
            </w:tcBorders>
            <w:shd w:val="clear" w:color="auto" w:fill="auto"/>
            <w:noWrap/>
            <w:vAlign w:val="center"/>
            <w:hideMark/>
          </w:tcPr>
          <w:p w:rsidR="008F7F04" w:rsidRPr="00530BFA" w:rsidRDefault="008F7F04" w:rsidP="00F5047D">
            <w:pPr>
              <w:spacing w:after="0" w:line="240" w:lineRule="auto"/>
              <w:rPr>
                <w:rFonts w:ascii="Arial" w:eastAsia="Times New Roman" w:hAnsi="Arial" w:cs="Arial"/>
                <w:color w:val="000000"/>
                <w:sz w:val="20"/>
                <w:szCs w:val="18"/>
                <w:lang w:eastAsia="es-CO"/>
              </w:rPr>
            </w:pPr>
            <w:r>
              <w:rPr>
                <w:rFonts w:ascii="Arial" w:eastAsia="Times New Roman" w:hAnsi="Arial" w:cs="Arial"/>
                <w:color w:val="000000"/>
                <w:sz w:val="20"/>
                <w:szCs w:val="18"/>
                <w:lang w:eastAsia="es-CO"/>
              </w:rPr>
              <w:t>Deudores</w:t>
            </w:r>
          </w:p>
        </w:tc>
        <w:tc>
          <w:tcPr>
            <w:tcW w:w="1500"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8F7F04">
            <w:pPr>
              <w:spacing w:after="0" w:line="240" w:lineRule="auto"/>
              <w:jc w:val="right"/>
              <w:rPr>
                <w:rFonts w:ascii="Arial" w:hAnsi="Arial" w:cs="Arial"/>
                <w:sz w:val="20"/>
                <w:szCs w:val="18"/>
              </w:rPr>
            </w:pPr>
            <w:r w:rsidRPr="008F7F04">
              <w:rPr>
                <w:rFonts w:ascii="Arial" w:hAnsi="Arial" w:cs="Arial"/>
                <w:sz w:val="20"/>
                <w:szCs w:val="18"/>
              </w:rPr>
              <w:t>2.257.447</w:t>
            </w:r>
          </w:p>
        </w:tc>
        <w:tc>
          <w:tcPr>
            <w:tcW w:w="1440"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8F7F04">
            <w:pPr>
              <w:spacing w:after="0" w:line="240" w:lineRule="auto"/>
              <w:jc w:val="right"/>
              <w:rPr>
                <w:rFonts w:ascii="Arial" w:hAnsi="Arial" w:cs="Arial"/>
                <w:sz w:val="20"/>
                <w:szCs w:val="18"/>
              </w:rPr>
            </w:pPr>
            <w:r w:rsidRPr="008F7F04">
              <w:rPr>
                <w:rFonts w:ascii="Arial" w:hAnsi="Arial" w:cs="Arial"/>
                <w:sz w:val="20"/>
                <w:szCs w:val="18"/>
              </w:rPr>
              <w:t>2.202.364</w:t>
            </w:r>
          </w:p>
        </w:tc>
        <w:tc>
          <w:tcPr>
            <w:tcW w:w="1342"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8F7F04">
            <w:pPr>
              <w:spacing w:after="0" w:line="240" w:lineRule="auto"/>
              <w:jc w:val="right"/>
              <w:rPr>
                <w:rFonts w:ascii="Arial" w:hAnsi="Arial" w:cs="Arial"/>
                <w:sz w:val="20"/>
                <w:szCs w:val="18"/>
              </w:rPr>
            </w:pPr>
            <w:r w:rsidRPr="008F7F04">
              <w:rPr>
                <w:rFonts w:ascii="Arial" w:hAnsi="Arial" w:cs="Arial"/>
                <w:sz w:val="20"/>
                <w:szCs w:val="18"/>
              </w:rPr>
              <w:t>(55.083)</w:t>
            </w:r>
          </w:p>
        </w:tc>
        <w:tc>
          <w:tcPr>
            <w:tcW w:w="1163"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4A6495">
            <w:pPr>
              <w:spacing w:after="0" w:line="240" w:lineRule="auto"/>
              <w:jc w:val="right"/>
              <w:rPr>
                <w:rFonts w:ascii="Arial" w:hAnsi="Arial" w:cs="Arial"/>
                <w:color w:val="000000"/>
                <w:sz w:val="20"/>
                <w:szCs w:val="18"/>
              </w:rPr>
            </w:pPr>
            <w:r w:rsidRPr="008F7F04">
              <w:rPr>
                <w:rFonts w:ascii="Arial" w:hAnsi="Arial" w:cs="Arial"/>
                <w:color w:val="000000"/>
                <w:sz w:val="20"/>
                <w:szCs w:val="18"/>
              </w:rPr>
              <w:t>-2%</w:t>
            </w:r>
          </w:p>
        </w:tc>
      </w:tr>
      <w:tr w:rsidR="008F7F04" w:rsidRPr="00530BFA" w:rsidTr="00C125C5">
        <w:trPr>
          <w:trHeight w:val="300"/>
          <w:jc w:val="center"/>
        </w:trPr>
        <w:tc>
          <w:tcPr>
            <w:tcW w:w="3122" w:type="dxa"/>
            <w:tcBorders>
              <w:top w:val="nil"/>
              <w:left w:val="single" w:sz="4" w:space="0" w:color="auto"/>
              <w:bottom w:val="single" w:sz="4" w:space="0" w:color="auto"/>
              <w:right w:val="single" w:sz="4" w:space="0" w:color="auto"/>
            </w:tcBorders>
            <w:shd w:val="clear" w:color="auto" w:fill="auto"/>
            <w:noWrap/>
            <w:vAlign w:val="center"/>
            <w:hideMark/>
          </w:tcPr>
          <w:p w:rsidR="008F7F04" w:rsidRPr="00530BFA" w:rsidRDefault="008F7F04" w:rsidP="00F5047D">
            <w:pPr>
              <w:spacing w:after="0" w:line="240" w:lineRule="auto"/>
              <w:rPr>
                <w:rFonts w:ascii="Arial" w:eastAsia="Times New Roman" w:hAnsi="Arial" w:cs="Arial"/>
                <w:color w:val="000000"/>
                <w:sz w:val="20"/>
                <w:szCs w:val="18"/>
                <w:lang w:eastAsia="es-CO"/>
              </w:rPr>
            </w:pPr>
            <w:r>
              <w:rPr>
                <w:rFonts w:ascii="Arial" w:eastAsia="Times New Roman" w:hAnsi="Arial" w:cs="Arial"/>
                <w:color w:val="000000"/>
                <w:sz w:val="20"/>
                <w:szCs w:val="18"/>
                <w:lang w:eastAsia="es-CO"/>
              </w:rPr>
              <w:t>Cuentas por Pagar</w:t>
            </w:r>
            <w:r w:rsidRPr="00530BFA">
              <w:rPr>
                <w:rFonts w:ascii="Arial" w:eastAsia="Times New Roman" w:hAnsi="Arial" w:cs="Arial"/>
                <w:color w:val="000000"/>
                <w:sz w:val="20"/>
                <w:szCs w:val="18"/>
                <w:lang w:eastAsia="es-CO"/>
              </w:rPr>
              <w:t xml:space="preserve"> </w:t>
            </w:r>
          </w:p>
        </w:tc>
        <w:tc>
          <w:tcPr>
            <w:tcW w:w="1500"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8F7F04">
            <w:pPr>
              <w:spacing w:after="0" w:line="240" w:lineRule="auto"/>
              <w:jc w:val="right"/>
              <w:rPr>
                <w:rFonts w:ascii="Arial" w:hAnsi="Arial" w:cs="Arial"/>
                <w:sz w:val="20"/>
                <w:szCs w:val="18"/>
              </w:rPr>
            </w:pPr>
            <w:r w:rsidRPr="008F7F04">
              <w:rPr>
                <w:rFonts w:ascii="Arial" w:hAnsi="Arial" w:cs="Arial"/>
                <w:sz w:val="20"/>
                <w:szCs w:val="18"/>
              </w:rPr>
              <w:t>1.991.552</w:t>
            </w:r>
          </w:p>
        </w:tc>
        <w:tc>
          <w:tcPr>
            <w:tcW w:w="1440"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8F7F04">
            <w:pPr>
              <w:spacing w:after="0" w:line="240" w:lineRule="auto"/>
              <w:jc w:val="right"/>
              <w:rPr>
                <w:rFonts w:ascii="Arial" w:hAnsi="Arial" w:cs="Arial"/>
                <w:sz w:val="20"/>
                <w:szCs w:val="18"/>
              </w:rPr>
            </w:pPr>
            <w:r w:rsidRPr="008F7F04">
              <w:rPr>
                <w:rFonts w:ascii="Arial" w:hAnsi="Arial" w:cs="Arial"/>
                <w:sz w:val="20"/>
                <w:szCs w:val="18"/>
              </w:rPr>
              <w:t>2.724.914</w:t>
            </w:r>
          </w:p>
        </w:tc>
        <w:tc>
          <w:tcPr>
            <w:tcW w:w="1342"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8F7F04">
            <w:pPr>
              <w:spacing w:after="0" w:line="240" w:lineRule="auto"/>
              <w:jc w:val="right"/>
              <w:rPr>
                <w:rFonts w:ascii="Arial" w:hAnsi="Arial" w:cs="Arial"/>
                <w:sz w:val="20"/>
                <w:szCs w:val="18"/>
              </w:rPr>
            </w:pPr>
            <w:r w:rsidRPr="008F7F04">
              <w:rPr>
                <w:rFonts w:ascii="Arial" w:hAnsi="Arial" w:cs="Arial"/>
                <w:sz w:val="20"/>
                <w:szCs w:val="18"/>
              </w:rPr>
              <w:t>733.362</w:t>
            </w:r>
          </w:p>
        </w:tc>
        <w:tc>
          <w:tcPr>
            <w:tcW w:w="1163"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4A6495">
            <w:pPr>
              <w:spacing w:after="0" w:line="240" w:lineRule="auto"/>
              <w:jc w:val="right"/>
              <w:rPr>
                <w:rFonts w:ascii="Arial" w:hAnsi="Arial" w:cs="Arial"/>
                <w:color w:val="000000"/>
                <w:sz w:val="20"/>
                <w:szCs w:val="18"/>
              </w:rPr>
            </w:pPr>
            <w:r w:rsidRPr="008F7F04">
              <w:rPr>
                <w:rFonts w:ascii="Arial" w:hAnsi="Arial" w:cs="Arial"/>
                <w:color w:val="000000"/>
                <w:sz w:val="20"/>
                <w:szCs w:val="18"/>
              </w:rPr>
              <w:t>3</w:t>
            </w:r>
            <w:r w:rsidR="004A6495">
              <w:rPr>
                <w:rFonts w:ascii="Arial" w:hAnsi="Arial" w:cs="Arial"/>
                <w:color w:val="000000"/>
                <w:sz w:val="20"/>
                <w:szCs w:val="18"/>
              </w:rPr>
              <w:t>7</w:t>
            </w:r>
            <w:r w:rsidRPr="008F7F04">
              <w:rPr>
                <w:rFonts w:ascii="Arial" w:hAnsi="Arial" w:cs="Arial"/>
                <w:color w:val="000000"/>
                <w:sz w:val="20"/>
                <w:szCs w:val="18"/>
              </w:rPr>
              <w:t>%</w:t>
            </w:r>
          </w:p>
        </w:tc>
      </w:tr>
      <w:tr w:rsidR="008F7F04" w:rsidRPr="00530BFA" w:rsidTr="00C125C5">
        <w:trPr>
          <w:trHeight w:val="300"/>
          <w:jc w:val="center"/>
        </w:trPr>
        <w:tc>
          <w:tcPr>
            <w:tcW w:w="3122" w:type="dxa"/>
            <w:tcBorders>
              <w:top w:val="nil"/>
              <w:left w:val="single" w:sz="4" w:space="0" w:color="auto"/>
              <w:bottom w:val="single" w:sz="4" w:space="0" w:color="auto"/>
              <w:right w:val="single" w:sz="4" w:space="0" w:color="auto"/>
            </w:tcBorders>
            <w:shd w:val="clear" w:color="auto" w:fill="auto"/>
            <w:noWrap/>
            <w:vAlign w:val="center"/>
            <w:hideMark/>
          </w:tcPr>
          <w:p w:rsidR="008F7F04" w:rsidRPr="00530BFA" w:rsidRDefault="008F7F04" w:rsidP="00F5047D">
            <w:pPr>
              <w:spacing w:after="0" w:line="240" w:lineRule="auto"/>
              <w:rPr>
                <w:rFonts w:ascii="Arial" w:eastAsia="Times New Roman" w:hAnsi="Arial" w:cs="Arial"/>
                <w:color w:val="000000"/>
                <w:sz w:val="20"/>
                <w:szCs w:val="18"/>
                <w:lang w:eastAsia="es-CO"/>
              </w:rPr>
            </w:pPr>
            <w:r w:rsidRPr="00530BFA">
              <w:rPr>
                <w:rFonts w:ascii="Arial" w:eastAsia="Times New Roman" w:hAnsi="Arial" w:cs="Arial"/>
                <w:color w:val="000000"/>
                <w:sz w:val="20"/>
                <w:szCs w:val="18"/>
                <w:lang w:eastAsia="es-CO"/>
              </w:rPr>
              <w:t xml:space="preserve">% </w:t>
            </w:r>
            <w:r>
              <w:rPr>
                <w:rFonts w:ascii="Arial" w:eastAsia="Times New Roman" w:hAnsi="Arial" w:cs="Arial"/>
                <w:color w:val="000000"/>
                <w:sz w:val="20"/>
                <w:szCs w:val="18"/>
                <w:lang w:eastAsia="es-CO"/>
              </w:rPr>
              <w:t xml:space="preserve">Cuentas por Pagar </w:t>
            </w:r>
            <w:r w:rsidRPr="00530BFA">
              <w:rPr>
                <w:rFonts w:ascii="Arial" w:eastAsia="Times New Roman" w:hAnsi="Arial" w:cs="Arial"/>
                <w:color w:val="000000"/>
                <w:sz w:val="20"/>
                <w:szCs w:val="18"/>
                <w:lang w:eastAsia="es-CO"/>
              </w:rPr>
              <w:t xml:space="preserve">/ Deudores </w:t>
            </w:r>
          </w:p>
        </w:tc>
        <w:tc>
          <w:tcPr>
            <w:tcW w:w="1500"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4A6495">
            <w:pPr>
              <w:spacing w:after="0" w:line="240" w:lineRule="auto"/>
              <w:jc w:val="right"/>
              <w:rPr>
                <w:rFonts w:ascii="Arial" w:hAnsi="Arial" w:cs="Arial"/>
                <w:sz w:val="20"/>
                <w:szCs w:val="18"/>
              </w:rPr>
            </w:pPr>
            <w:r w:rsidRPr="008F7F04">
              <w:rPr>
                <w:rFonts w:ascii="Arial" w:hAnsi="Arial" w:cs="Arial"/>
                <w:sz w:val="20"/>
                <w:szCs w:val="18"/>
              </w:rPr>
              <w:t>88%</w:t>
            </w:r>
          </w:p>
        </w:tc>
        <w:tc>
          <w:tcPr>
            <w:tcW w:w="1440"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4A6495">
            <w:pPr>
              <w:spacing w:after="0" w:line="240" w:lineRule="auto"/>
              <w:jc w:val="right"/>
              <w:rPr>
                <w:rFonts w:ascii="Arial" w:hAnsi="Arial" w:cs="Arial"/>
                <w:sz w:val="20"/>
                <w:szCs w:val="18"/>
              </w:rPr>
            </w:pPr>
            <w:r w:rsidRPr="008F7F04">
              <w:rPr>
                <w:rFonts w:ascii="Arial" w:hAnsi="Arial" w:cs="Arial"/>
                <w:sz w:val="20"/>
                <w:szCs w:val="18"/>
              </w:rPr>
              <w:t>12</w:t>
            </w:r>
            <w:r w:rsidR="004A6495">
              <w:rPr>
                <w:rFonts w:ascii="Arial" w:hAnsi="Arial" w:cs="Arial"/>
                <w:sz w:val="20"/>
                <w:szCs w:val="18"/>
              </w:rPr>
              <w:t>4</w:t>
            </w:r>
            <w:r w:rsidRPr="008F7F04">
              <w:rPr>
                <w:rFonts w:ascii="Arial" w:hAnsi="Arial" w:cs="Arial"/>
                <w:sz w:val="20"/>
                <w:szCs w:val="18"/>
              </w:rPr>
              <w:t>%</w:t>
            </w:r>
          </w:p>
        </w:tc>
        <w:tc>
          <w:tcPr>
            <w:tcW w:w="1342"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8F7F04">
            <w:pPr>
              <w:spacing w:after="0" w:line="240" w:lineRule="auto"/>
              <w:rPr>
                <w:rFonts w:ascii="Arial" w:hAnsi="Arial" w:cs="Arial"/>
                <w:sz w:val="20"/>
                <w:szCs w:val="18"/>
              </w:rPr>
            </w:pPr>
            <w:r w:rsidRPr="008F7F04">
              <w:rPr>
                <w:rFonts w:ascii="Arial" w:hAnsi="Arial" w:cs="Arial"/>
                <w:sz w:val="20"/>
                <w:szCs w:val="18"/>
              </w:rPr>
              <w:t> </w:t>
            </w:r>
          </w:p>
        </w:tc>
        <w:tc>
          <w:tcPr>
            <w:tcW w:w="1163" w:type="dxa"/>
            <w:tcBorders>
              <w:top w:val="nil"/>
              <w:left w:val="nil"/>
              <w:bottom w:val="single" w:sz="4" w:space="0" w:color="auto"/>
              <w:right w:val="single" w:sz="4" w:space="0" w:color="auto"/>
            </w:tcBorders>
            <w:shd w:val="clear" w:color="auto" w:fill="auto"/>
            <w:noWrap/>
            <w:vAlign w:val="bottom"/>
            <w:hideMark/>
          </w:tcPr>
          <w:p w:rsidR="008F7F04" w:rsidRPr="008F7F04" w:rsidRDefault="008F7F04" w:rsidP="008F7F04">
            <w:pPr>
              <w:spacing w:after="0" w:line="240" w:lineRule="auto"/>
              <w:rPr>
                <w:rFonts w:ascii="Arial" w:hAnsi="Arial" w:cs="Arial"/>
                <w:sz w:val="20"/>
                <w:szCs w:val="18"/>
              </w:rPr>
            </w:pPr>
            <w:r w:rsidRPr="008F7F04">
              <w:rPr>
                <w:rFonts w:ascii="Arial" w:hAnsi="Arial" w:cs="Arial"/>
                <w:sz w:val="20"/>
                <w:szCs w:val="18"/>
              </w:rPr>
              <w:t> </w:t>
            </w:r>
          </w:p>
        </w:tc>
      </w:tr>
    </w:tbl>
    <w:p w:rsidR="006A7C88" w:rsidRPr="00530BFA" w:rsidRDefault="006A7C88" w:rsidP="006A7C88">
      <w:pPr>
        <w:pStyle w:val="Prrafodelista"/>
        <w:widowControl w:val="0"/>
        <w:spacing w:after="0" w:line="240" w:lineRule="auto"/>
        <w:ind w:left="284"/>
        <w:rPr>
          <w:rFonts w:ascii="Arial" w:hAnsi="Arial" w:cs="Arial"/>
          <w:color w:val="000000"/>
          <w:sz w:val="28"/>
        </w:rPr>
      </w:pPr>
      <w:r w:rsidRPr="00530BFA">
        <w:rPr>
          <w:rFonts w:ascii="Arial" w:hAnsi="Arial" w:cs="Arial"/>
          <w:color w:val="000000"/>
          <w:sz w:val="20"/>
          <w:szCs w:val="16"/>
        </w:rPr>
        <w:t>FUENTE: Información reportada por las EPS</w:t>
      </w:r>
      <w:r>
        <w:rPr>
          <w:rFonts w:ascii="Arial" w:hAnsi="Arial" w:cs="Arial"/>
          <w:color w:val="000000"/>
          <w:sz w:val="20"/>
          <w:szCs w:val="16"/>
        </w:rPr>
        <w:t xml:space="preserve"> – Circular Única</w:t>
      </w:r>
    </w:p>
    <w:p w:rsidR="00595C46" w:rsidRPr="006A7C88" w:rsidRDefault="00595C46" w:rsidP="006A7C88">
      <w:pPr>
        <w:pStyle w:val="Prrafodelista"/>
        <w:widowControl w:val="0"/>
        <w:spacing w:after="0" w:line="240" w:lineRule="auto"/>
        <w:ind w:left="0"/>
        <w:jc w:val="both"/>
        <w:rPr>
          <w:rFonts w:ascii="Arial" w:hAnsi="Arial" w:cs="Arial"/>
        </w:rPr>
      </w:pPr>
    </w:p>
    <w:p w:rsidR="004A6495" w:rsidRDefault="00274CE7" w:rsidP="00751A57">
      <w:pPr>
        <w:pStyle w:val="Prrafodelista"/>
        <w:widowControl w:val="0"/>
        <w:spacing w:after="0" w:line="240" w:lineRule="auto"/>
        <w:ind w:left="0"/>
        <w:jc w:val="both"/>
        <w:rPr>
          <w:rFonts w:ascii="Arial" w:hAnsi="Arial" w:cs="Arial"/>
        </w:rPr>
      </w:pPr>
      <w:r>
        <w:rPr>
          <w:rFonts w:ascii="Arial" w:hAnsi="Arial" w:cs="Arial"/>
        </w:rPr>
        <w:t xml:space="preserve">Las EPS del régimen subsidiado registran </w:t>
      </w:r>
      <w:r w:rsidR="004A6495">
        <w:rPr>
          <w:rFonts w:ascii="Arial" w:hAnsi="Arial" w:cs="Arial"/>
        </w:rPr>
        <w:t xml:space="preserve">con </w:t>
      </w:r>
      <w:r>
        <w:rPr>
          <w:rFonts w:ascii="Arial" w:hAnsi="Arial" w:cs="Arial"/>
        </w:rPr>
        <w:t xml:space="preserve">corte </w:t>
      </w:r>
      <w:r w:rsidR="004A6495">
        <w:rPr>
          <w:rFonts w:ascii="Arial" w:hAnsi="Arial" w:cs="Arial"/>
        </w:rPr>
        <w:t xml:space="preserve">a </w:t>
      </w:r>
      <w:r w:rsidR="00B71C5E">
        <w:rPr>
          <w:rFonts w:ascii="Arial" w:hAnsi="Arial" w:cs="Arial"/>
        </w:rPr>
        <w:t>Marzo</w:t>
      </w:r>
      <w:r>
        <w:rPr>
          <w:rFonts w:ascii="Arial" w:hAnsi="Arial" w:cs="Arial"/>
        </w:rPr>
        <w:t xml:space="preserve"> de 2011 en la cuenta deudores </w:t>
      </w:r>
      <w:r w:rsidR="004A6495">
        <w:rPr>
          <w:rFonts w:ascii="Arial" w:hAnsi="Arial" w:cs="Arial"/>
        </w:rPr>
        <w:t xml:space="preserve">disminución </w:t>
      </w:r>
      <w:r>
        <w:rPr>
          <w:rFonts w:ascii="Arial" w:hAnsi="Arial" w:cs="Arial"/>
        </w:rPr>
        <w:t xml:space="preserve">del </w:t>
      </w:r>
      <w:r w:rsidR="004A6495">
        <w:rPr>
          <w:rFonts w:ascii="Arial" w:hAnsi="Arial" w:cs="Arial"/>
        </w:rPr>
        <w:t>2</w:t>
      </w:r>
      <w:r>
        <w:rPr>
          <w:rFonts w:ascii="Arial" w:hAnsi="Arial" w:cs="Arial"/>
        </w:rPr>
        <w:t xml:space="preserve">% con relación a diciembre de 2010. </w:t>
      </w:r>
      <w:r w:rsidR="004A6495">
        <w:rPr>
          <w:rFonts w:ascii="Arial" w:hAnsi="Arial" w:cs="Arial"/>
        </w:rPr>
        <w:t>Por su parte, las cuentas por pagar se incrementan en el 37%.</w:t>
      </w:r>
    </w:p>
    <w:p w:rsidR="004A6495" w:rsidRDefault="004A6495" w:rsidP="00751A57">
      <w:pPr>
        <w:pStyle w:val="Prrafodelista"/>
        <w:widowControl w:val="0"/>
        <w:spacing w:after="0" w:line="240" w:lineRule="auto"/>
        <w:ind w:left="0"/>
        <w:jc w:val="both"/>
        <w:rPr>
          <w:rFonts w:ascii="Arial" w:hAnsi="Arial" w:cs="Arial"/>
        </w:rPr>
      </w:pPr>
    </w:p>
    <w:p w:rsidR="001E3AC2" w:rsidRDefault="001E3AC2" w:rsidP="00751A57">
      <w:pPr>
        <w:pStyle w:val="Prrafodelista"/>
        <w:widowControl w:val="0"/>
        <w:spacing w:after="0" w:line="240" w:lineRule="auto"/>
        <w:ind w:left="0"/>
        <w:jc w:val="both"/>
        <w:rPr>
          <w:rFonts w:ascii="Arial" w:hAnsi="Arial" w:cs="Arial"/>
        </w:rPr>
      </w:pPr>
      <w:r>
        <w:rPr>
          <w:rFonts w:ascii="Arial" w:hAnsi="Arial" w:cs="Arial"/>
        </w:rPr>
        <w:t>El aumento en las cuentas por pagar afecta el flujo de recursos a los proveedores y prestadores de servicios</w:t>
      </w:r>
      <w:r w:rsidR="00160F64">
        <w:rPr>
          <w:rFonts w:ascii="Arial" w:hAnsi="Arial" w:cs="Arial"/>
        </w:rPr>
        <w:t>.</w:t>
      </w:r>
      <w:r w:rsidR="003E024D">
        <w:rPr>
          <w:rFonts w:ascii="Arial" w:hAnsi="Arial" w:cs="Arial"/>
        </w:rPr>
        <w:t xml:space="preserve">  Esta situación se refleja en el capital de trabajo, el índice de liquidez y el margen de solvencia de estas entidades.</w:t>
      </w:r>
    </w:p>
    <w:p w:rsidR="001E3AC2" w:rsidRDefault="001E3AC2" w:rsidP="00751A57">
      <w:pPr>
        <w:pStyle w:val="Prrafodelista"/>
        <w:widowControl w:val="0"/>
        <w:spacing w:after="0" w:line="240" w:lineRule="auto"/>
        <w:ind w:left="0"/>
        <w:jc w:val="both"/>
        <w:rPr>
          <w:rFonts w:ascii="Arial" w:hAnsi="Arial" w:cs="Arial"/>
        </w:rPr>
      </w:pPr>
    </w:p>
    <w:p w:rsidR="00274CE7" w:rsidRDefault="00E6212C" w:rsidP="00E6212C">
      <w:pPr>
        <w:pStyle w:val="Prrafodelista"/>
        <w:widowControl w:val="0"/>
        <w:spacing w:after="0" w:line="240" w:lineRule="auto"/>
        <w:ind w:left="0"/>
        <w:jc w:val="both"/>
        <w:rPr>
          <w:rFonts w:ascii="Arial" w:hAnsi="Arial" w:cs="Arial"/>
        </w:rPr>
      </w:pPr>
      <w:r>
        <w:rPr>
          <w:rFonts w:ascii="Arial" w:hAnsi="Arial" w:cs="Arial"/>
        </w:rPr>
        <w:t xml:space="preserve">Con relación al </w:t>
      </w:r>
      <w:r w:rsidR="00274CE7" w:rsidRPr="00E6212C">
        <w:rPr>
          <w:rFonts w:ascii="Arial" w:hAnsi="Arial" w:cs="Arial"/>
        </w:rPr>
        <w:t xml:space="preserve">Capital de Trabajo e índice de liquidez de las EPS del Régimen Contributivo </w:t>
      </w:r>
      <w:r>
        <w:rPr>
          <w:rFonts w:ascii="Arial" w:hAnsi="Arial" w:cs="Arial"/>
        </w:rPr>
        <w:t xml:space="preserve">y Subsidiado, se tiene lo </w:t>
      </w:r>
      <w:r w:rsidR="00274CE7" w:rsidRPr="00E6212C">
        <w:rPr>
          <w:rFonts w:ascii="Arial" w:hAnsi="Arial" w:cs="Arial"/>
        </w:rPr>
        <w:t>siguiente:</w:t>
      </w:r>
    </w:p>
    <w:p w:rsidR="007C2D15" w:rsidRDefault="007C2D15" w:rsidP="00E6212C">
      <w:pPr>
        <w:pStyle w:val="Prrafodelista"/>
        <w:widowControl w:val="0"/>
        <w:spacing w:after="0" w:line="240" w:lineRule="auto"/>
        <w:ind w:left="0"/>
        <w:jc w:val="both"/>
        <w:rPr>
          <w:rFonts w:ascii="Arial" w:hAnsi="Arial" w:cs="Arial"/>
        </w:rPr>
      </w:pPr>
    </w:p>
    <w:p w:rsidR="007C2D15" w:rsidRPr="00E6212C" w:rsidRDefault="007C2D15" w:rsidP="00E6212C">
      <w:pPr>
        <w:pStyle w:val="Prrafodelista"/>
        <w:widowControl w:val="0"/>
        <w:spacing w:after="0" w:line="240" w:lineRule="auto"/>
        <w:ind w:left="0"/>
        <w:jc w:val="both"/>
        <w:rPr>
          <w:rFonts w:ascii="Arial" w:hAnsi="Arial" w:cs="Arial"/>
        </w:rPr>
      </w:pPr>
    </w:p>
    <w:p w:rsidR="005623CE" w:rsidRDefault="005623CE" w:rsidP="005623CE">
      <w:pPr>
        <w:widowControl w:val="0"/>
        <w:spacing w:after="0" w:line="240" w:lineRule="auto"/>
        <w:jc w:val="both"/>
        <w:rPr>
          <w:rFonts w:ascii="Arial" w:hAnsi="Arial" w:cs="Arial"/>
        </w:rPr>
      </w:pPr>
    </w:p>
    <w:p w:rsidR="00CE6C21" w:rsidRPr="003F5836" w:rsidRDefault="003F5836" w:rsidP="003F5836">
      <w:pPr>
        <w:widowControl w:val="0"/>
        <w:spacing w:after="0" w:line="240" w:lineRule="auto"/>
        <w:jc w:val="right"/>
        <w:rPr>
          <w:rFonts w:ascii="Arial" w:hAnsi="Arial" w:cs="Arial"/>
          <w:sz w:val="20"/>
        </w:rPr>
      </w:pPr>
      <w:r w:rsidRPr="003F5836">
        <w:rPr>
          <w:rFonts w:ascii="Arial" w:hAnsi="Arial" w:cs="Arial"/>
          <w:sz w:val="20"/>
        </w:rPr>
        <w:t>Cifras en millones</w:t>
      </w:r>
    </w:p>
    <w:tbl>
      <w:tblPr>
        <w:tblW w:w="854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1420"/>
        <w:gridCol w:w="1500"/>
        <w:gridCol w:w="1500"/>
        <w:gridCol w:w="1500"/>
      </w:tblGrid>
      <w:tr w:rsidR="008564D0" w:rsidRPr="00CE6C21" w:rsidTr="00F5047D">
        <w:trPr>
          <w:trHeight w:val="300"/>
          <w:jc w:val="center"/>
        </w:trPr>
        <w:tc>
          <w:tcPr>
            <w:tcW w:w="2620" w:type="dxa"/>
            <w:vMerge w:val="restart"/>
            <w:shd w:val="clear" w:color="auto" w:fill="auto"/>
            <w:noWrap/>
            <w:vAlign w:val="center"/>
            <w:hideMark/>
          </w:tcPr>
          <w:p w:rsidR="008564D0" w:rsidRPr="008564D0" w:rsidRDefault="008564D0" w:rsidP="008564D0">
            <w:pPr>
              <w:widowControl w:val="0"/>
              <w:spacing w:after="0" w:line="240" w:lineRule="auto"/>
              <w:jc w:val="center"/>
              <w:rPr>
                <w:rFonts w:ascii="Calibri" w:eastAsia="Times New Roman" w:hAnsi="Calibri" w:cs="Times New Roman"/>
                <w:b/>
                <w:color w:val="000000"/>
                <w:lang w:eastAsia="es-CO"/>
              </w:rPr>
            </w:pPr>
            <w:r w:rsidRPr="008564D0">
              <w:rPr>
                <w:rFonts w:ascii="Calibri" w:eastAsia="Times New Roman" w:hAnsi="Calibri" w:cs="Times New Roman"/>
                <w:b/>
                <w:color w:val="000000"/>
                <w:lang w:eastAsia="es-CO"/>
              </w:rPr>
              <w:t>CONCEPTOS</w:t>
            </w:r>
          </w:p>
        </w:tc>
        <w:tc>
          <w:tcPr>
            <w:tcW w:w="2920" w:type="dxa"/>
            <w:gridSpan w:val="2"/>
            <w:shd w:val="clear" w:color="auto" w:fill="auto"/>
            <w:noWrap/>
            <w:vAlign w:val="center"/>
            <w:hideMark/>
          </w:tcPr>
          <w:p w:rsidR="008564D0" w:rsidRPr="008564D0" w:rsidRDefault="008564D0" w:rsidP="008564D0">
            <w:pPr>
              <w:widowControl w:val="0"/>
              <w:spacing w:after="0" w:line="240" w:lineRule="auto"/>
              <w:jc w:val="center"/>
              <w:rPr>
                <w:rFonts w:ascii="Arial" w:eastAsia="Times New Roman" w:hAnsi="Arial" w:cs="Arial"/>
                <w:b/>
                <w:color w:val="000000"/>
                <w:sz w:val="20"/>
                <w:szCs w:val="20"/>
                <w:lang w:eastAsia="es-CO"/>
              </w:rPr>
            </w:pPr>
            <w:r w:rsidRPr="008564D0">
              <w:rPr>
                <w:rFonts w:ascii="Arial" w:eastAsia="Times New Roman" w:hAnsi="Arial" w:cs="Arial"/>
                <w:b/>
                <w:color w:val="000000"/>
                <w:sz w:val="20"/>
                <w:szCs w:val="20"/>
                <w:lang w:eastAsia="es-CO"/>
              </w:rPr>
              <w:t>Régimen Contributivo</w:t>
            </w:r>
          </w:p>
        </w:tc>
        <w:tc>
          <w:tcPr>
            <w:tcW w:w="3000" w:type="dxa"/>
            <w:gridSpan w:val="2"/>
            <w:vAlign w:val="center"/>
          </w:tcPr>
          <w:p w:rsidR="008564D0" w:rsidRPr="008564D0" w:rsidRDefault="008564D0" w:rsidP="008564D0">
            <w:pPr>
              <w:widowControl w:val="0"/>
              <w:spacing w:after="0" w:line="240" w:lineRule="auto"/>
              <w:jc w:val="center"/>
              <w:rPr>
                <w:rFonts w:ascii="Arial" w:hAnsi="Arial" w:cs="Arial"/>
                <w:b/>
                <w:color w:val="000000"/>
                <w:sz w:val="20"/>
                <w:szCs w:val="20"/>
              </w:rPr>
            </w:pPr>
            <w:r w:rsidRPr="008564D0">
              <w:rPr>
                <w:rFonts w:ascii="Arial" w:eastAsia="Times New Roman" w:hAnsi="Arial" w:cs="Arial"/>
                <w:b/>
                <w:color w:val="000000"/>
                <w:sz w:val="20"/>
                <w:szCs w:val="20"/>
                <w:lang w:eastAsia="es-CO"/>
              </w:rPr>
              <w:t>Régimen Subsidiado</w:t>
            </w:r>
          </w:p>
        </w:tc>
      </w:tr>
      <w:tr w:rsidR="008564D0" w:rsidRPr="00CE6C21" w:rsidTr="008564D0">
        <w:trPr>
          <w:trHeight w:val="300"/>
          <w:jc w:val="center"/>
        </w:trPr>
        <w:tc>
          <w:tcPr>
            <w:tcW w:w="2620" w:type="dxa"/>
            <w:vMerge/>
            <w:shd w:val="clear" w:color="auto" w:fill="auto"/>
            <w:noWrap/>
            <w:vAlign w:val="center"/>
            <w:hideMark/>
          </w:tcPr>
          <w:p w:rsidR="008564D0" w:rsidRPr="00CE6C21" w:rsidRDefault="008564D0" w:rsidP="008564D0">
            <w:pPr>
              <w:widowControl w:val="0"/>
              <w:spacing w:after="0" w:line="240" w:lineRule="auto"/>
              <w:jc w:val="center"/>
              <w:rPr>
                <w:rFonts w:ascii="Calibri" w:eastAsia="Times New Roman" w:hAnsi="Calibri" w:cs="Times New Roman"/>
                <w:b/>
                <w:color w:val="000000"/>
                <w:lang w:eastAsia="es-CO"/>
              </w:rPr>
            </w:pPr>
          </w:p>
        </w:tc>
        <w:tc>
          <w:tcPr>
            <w:tcW w:w="1420" w:type="dxa"/>
            <w:shd w:val="clear" w:color="auto" w:fill="auto"/>
            <w:noWrap/>
            <w:vAlign w:val="center"/>
            <w:hideMark/>
          </w:tcPr>
          <w:p w:rsidR="008564D0" w:rsidRPr="00CE6C21" w:rsidRDefault="008564D0" w:rsidP="008564D0">
            <w:pPr>
              <w:widowControl w:val="0"/>
              <w:spacing w:after="0" w:line="240" w:lineRule="auto"/>
              <w:jc w:val="center"/>
              <w:rPr>
                <w:rFonts w:ascii="Arial" w:eastAsia="Times New Roman" w:hAnsi="Arial" w:cs="Arial"/>
                <w:b/>
                <w:color w:val="000000"/>
                <w:sz w:val="20"/>
                <w:szCs w:val="20"/>
                <w:lang w:eastAsia="es-CO"/>
              </w:rPr>
            </w:pPr>
            <w:r w:rsidRPr="00CE6C21">
              <w:rPr>
                <w:rFonts w:ascii="Arial" w:eastAsia="Times New Roman" w:hAnsi="Arial" w:cs="Arial"/>
                <w:b/>
                <w:color w:val="000000"/>
                <w:sz w:val="20"/>
                <w:szCs w:val="20"/>
                <w:lang w:eastAsia="es-CO"/>
              </w:rPr>
              <w:t>dic-10</w:t>
            </w:r>
          </w:p>
        </w:tc>
        <w:tc>
          <w:tcPr>
            <w:tcW w:w="1500" w:type="dxa"/>
            <w:shd w:val="clear" w:color="auto" w:fill="auto"/>
            <w:noWrap/>
            <w:vAlign w:val="center"/>
            <w:hideMark/>
          </w:tcPr>
          <w:p w:rsidR="008564D0" w:rsidRPr="00CE6C21" w:rsidRDefault="00EA4912" w:rsidP="008564D0">
            <w:pPr>
              <w:widowControl w:val="0"/>
              <w:spacing w:after="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Mar</w:t>
            </w:r>
            <w:r w:rsidR="008564D0" w:rsidRPr="00CE6C21">
              <w:rPr>
                <w:rFonts w:ascii="Arial" w:eastAsia="Times New Roman" w:hAnsi="Arial" w:cs="Arial"/>
                <w:b/>
                <w:color w:val="000000"/>
                <w:sz w:val="20"/>
                <w:szCs w:val="20"/>
                <w:lang w:eastAsia="es-CO"/>
              </w:rPr>
              <w:t>-11</w:t>
            </w:r>
          </w:p>
        </w:tc>
        <w:tc>
          <w:tcPr>
            <w:tcW w:w="1500" w:type="dxa"/>
            <w:vAlign w:val="center"/>
          </w:tcPr>
          <w:p w:rsidR="008564D0" w:rsidRPr="008564D0" w:rsidRDefault="008564D0" w:rsidP="008564D0">
            <w:pPr>
              <w:widowControl w:val="0"/>
              <w:spacing w:after="0" w:line="240" w:lineRule="auto"/>
              <w:jc w:val="center"/>
              <w:rPr>
                <w:rFonts w:ascii="Arial" w:hAnsi="Arial" w:cs="Arial"/>
                <w:b/>
                <w:color w:val="000000"/>
                <w:sz w:val="20"/>
                <w:szCs w:val="20"/>
              </w:rPr>
            </w:pPr>
            <w:r w:rsidRPr="008564D0">
              <w:rPr>
                <w:rFonts w:ascii="Arial" w:hAnsi="Arial" w:cs="Arial"/>
                <w:b/>
                <w:color w:val="000000"/>
                <w:sz w:val="20"/>
                <w:szCs w:val="20"/>
              </w:rPr>
              <w:t>dic-10</w:t>
            </w:r>
          </w:p>
        </w:tc>
        <w:tc>
          <w:tcPr>
            <w:tcW w:w="1500" w:type="dxa"/>
            <w:vAlign w:val="center"/>
          </w:tcPr>
          <w:p w:rsidR="008564D0" w:rsidRPr="008564D0" w:rsidRDefault="00EA4912" w:rsidP="008564D0">
            <w:pPr>
              <w:widowControl w:val="0"/>
              <w:spacing w:after="0" w:line="240" w:lineRule="auto"/>
              <w:jc w:val="center"/>
              <w:rPr>
                <w:rFonts w:ascii="Arial" w:hAnsi="Arial" w:cs="Arial"/>
                <w:b/>
                <w:color w:val="000000"/>
                <w:sz w:val="20"/>
                <w:szCs w:val="20"/>
              </w:rPr>
            </w:pPr>
            <w:r>
              <w:rPr>
                <w:rFonts w:ascii="Arial" w:hAnsi="Arial" w:cs="Arial"/>
                <w:b/>
                <w:color w:val="000000"/>
                <w:sz w:val="20"/>
                <w:szCs w:val="20"/>
              </w:rPr>
              <w:t>Mar</w:t>
            </w:r>
            <w:r w:rsidR="008564D0" w:rsidRPr="008564D0">
              <w:rPr>
                <w:rFonts w:ascii="Arial" w:hAnsi="Arial" w:cs="Arial"/>
                <w:b/>
                <w:color w:val="000000"/>
                <w:sz w:val="20"/>
                <w:szCs w:val="20"/>
              </w:rPr>
              <w:t>-11</w:t>
            </w:r>
          </w:p>
        </w:tc>
      </w:tr>
      <w:tr w:rsidR="009147B2" w:rsidRPr="00CE6C21" w:rsidTr="008564D0">
        <w:trPr>
          <w:trHeight w:val="300"/>
          <w:jc w:val="center"/>
        </w:trPr>
        <w:tc>
          <w:tcPr>
            <w:tcW w:w="2620" w:type="dxa"/>
            <w:shd w:val="clear" w:color="auto" w:fill="auto"/>
            <w:noWrap/>
            <w:vAlign w:val="bottom"/>
            <w:hideMark/>
          </w:tcPr>
          <w:p w:rsidR="009147B2" w:rsidRPr="00CE6C21" w:rsidRDefault="009147B2" w:rsidP="008564D0">
            <w:pPr>
              <w:widowControl w:val="0"/>
              <w:spacing w:after="0" w:line="240" w:lineRule="auto"/>
              <w:rPr>
                <w:rFonts w:ascii="Arial" w:eastAsia="Times New Roman" w:hAnsi="Arial" w:cs="Arial"/>
                <w:color w:val="000000"/>
                <w:sz w:val="20"/>
                <w:szCs w:val="20"/>
                <w:lang w:eastAsia="es-CO"/>
              </w:rPr>
            </w:pPr>
            <w:r w:rsidRPr="00CE6C21">
              <w:rPr>
                <w:rFonts w:ascii="Arial" w:eastAsia="Times New Roman" w:hAnsi="Arial" w:cs="Arial"/>
                <w:color w:val="000000"/>
                <w:sz w:val="20"/>
                <w:szCs w:val="20"/>
                <w:lang w:eastAsia="es-CO"/>
              </w:rPr>
              <w:t>ACTIVO CORRIENTE</w:t>
            </w:r>
          </w:p>
        </w:tc>
        <w:tc>
          <w:tcPr>
            <w:tcW w:w="1420" w:type="dxa"/>
            <w:shd w:val="clear" w:color="auto" w:fill="auto"/>
            <w:noWrap/>
            <w:vAlign w:val="bottom"/>
            <w:hideMark/>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3.796.535</w:t>
            </w:r>
          </w:p>
        </w:tc>
        <w:tc>
          <w:tcPr>
            <w:tcW w:w="1500" w:type="dxa"/>
            <w:shd w:val="clear" w:color="auto" w:fill="auto"/>
            <w:noWrap/>
            <w:vAlign w:val="bottom"/>
            <w:hideMark/>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4.124.067</w:t>
            </w:r>
          </w:p>
        </w:tc>
        <w:tc>
          <w:tcPr>
            <w:tcW w:w="0" w:type="auto"/>
            <w:vAlign w:val="bottom"/>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2.739.098</w:t>
            </w:r>
          </w:p>
        </w:tc>
        <w:tc>
          <w:tcPr>
            <w:tcW w:w="0" w:type="auto"/>
            <w:vAlign w:val="bottom"/>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2.745.242</w:t>
            </w:r>
          </w:p>
        </w:tc>
      </w:tr>
      <w:tr w:rsidR="009147B2" w:rsidRPr="00CE6C21" w:rsidTr="008564D0">
        <w:trPr>
          <w:trHeight w:val="300"/>
          <w:jc w:val="center"/>
        </w:trPr>
        <w:tc>
          <w:tcPr>
            <w:tcW w:w="2620" w:type="dxa"/>
            <w:shd w:val="clear" w:color="auto" w:fill="auto"/>
            <w:noWrap/>
            <w:vAlign w:val="bottom"/>
            <w:hideMark/>
          </w:tcPr>
          <w:p w:rsidR="009147B2" w:rsidRPr="00CE6C21" w:rsidRDefault="009147B2" w:rsidP="008564D0">
            <w:pPr>
              <w:widowControl w:val="0"/>
              <w:spacing w:after="0" w:line="240" w:lineRule="auto"/>
              <w:rPr>
                <w:rFonts w:ascii="Arial" w:eastAsia="Times New Roman" w:hAnsi="Arial" w:cs="Arial"/>
                <w:color w:val="000000"/>
                <w:sz w:val="20"/>
                <w:szCs w:val="20"/>
                <w:lang w:eastAsia="es-CO"/>
              </w:rPr>
            </w:pPr>
            <w:r w:rsidRPr="00CE6C21">
              <w:rPr>
                <w:rFonts w:ascii="Arial" w:eastAsia="Times New Roman" w:hAnsi="Arial" w:cs="Arial"/>
                <w:color w:val="000000"/>
                <w:sz w:val="20"/>
                <w:szCs w:val="20"/>
                <w:lang w:eastAsia="es-CO"/>
              </w:rPr>
              <w:t>PASIVO CORRIENTE</w:t>
            </w:r>
          </w:p>
        </w:tc>
        <w:tc>
          <w:tcPr>
            <w:tcW w:w="1420" w:type="dxa"/>
            <w:shd w:val="clear" w:color="auto" w:fill="auto"/>
            <w:noWrap/>
            <w:vAlign w:val="bottom"/>
            <w:hideMark/>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2.701.856</w:t>
            </w:r>
          </w:p>
        </w:tc>
        <w:tc>
          <w:tcPr>
            <w:tcW w:w="1500" w:type="dxa"/>
            <w:shd w:val="clear" w:color="auto" w:fill="auto"/>
            <w:noWrap/>
            <w:vAlign w:val="bottom"/>
            <w:hideMark/>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2.803.713</w:t>
            </w:r>
          </w:p>
        </w:tc>
        <w:tc>
          <w:tcPr>
            <w:tcW w:w="0" w:type="auto"/>
            <w:vAlign w:val="bottom"/>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2.693.095</w:t>
            </w:r>
          </w:p>
        </w:tc>
        <w:tc>
          <w:tcPr>
            <w:tcW w:w="0" w:type="auto"/>
            <w:vAlign w:val="bottom"/>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2.738.539</w:t>
            </w:r>
          </w:p>
        </w:tc>
      </w:tr>
      <w:tr w:rsidR="009147B2" w:rsidRPr="00CE6C21" w:rsidTr="008564D0">
        <w:trPr>
          <w:trHeight w:val="300"/>
          <w:jc w:val="center"/>
        </w:trPr>
        <w:tc>
          <w:tcPr>
            <w:tcW w:w="2620" w:type="dxa"/>
            <w:shd w:val="clear" w:color="auto" w:fill="auto"/>
            <w:noWrap/>
            <w:vAlign w:val="bottom"/>
            <w:hideMark/>
          </w:tcPr>
          <w:p w:rsidR="009147B2" w:rsidRPr="00CE6C21" w:rsidRDefault="009147B2" w:rsidP="008564D0">
            <w:pPr>
              <w:widowControl w:val="0"/>
              <w:spacing w:after="0" w:line="240" w:lineRule="auto"/>
              <w:rPr>
                <w:rFonts w:ascii="Arial" w:eastAsia="Times New Roman" w:hAnsi="Arial" w:cs="Arial"/>
                <w:color w:val="000000"/>
                <w:sz w:val="20"/>
                <w:szCs w:val="20"/>
                <w:lang w:eastAsia="es-CO"/>
              </w:rPr>
            </w:pPr>
            <w:r w:rsidRPr="00CE6C21">
              <w:rPr>
                <w:rFonts w:ascii="Arial" w:eastAsia="Times New Roman" w:hAnsi="Arial" w:cs="Arial"/>
                <w:color w:val="000000"/>
                <w:sz w:val="20"/>
                <w:szCs w:val="20"/>
                <w:lang w:eastAsia="es-CO"/>
              </w:rPr>
              <w:t xml:space="preserve">CAPITAL DE TRABAJO </w:t>
            </w:r>
          </w:p>
        </w:tc>
        <w:tc>
          <w:tcPr>
            <w:tcW w:w="1420" w:type="dxa"/>
            <w:shd w:val="clear" w:color="auto" w:fill="auto"/>
            <w:noWrap/>
            <w:vAlign w:val="bottom"/>
            <w:hideMark/>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1.094.679</w:t>
            </w:r>
          </w:p>
        </w:tc>
        <w:tc>
          <w:tcPr>
            <w:tcW w:w="1500" w:type="dxa"/>
            <w:shd w:val="clear" w:color="auto" w:fill="auto"/>
            <w:noWrap/>
            <w:vAlign w:val="bottom"/>
            <w:hideMark/>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1.320.354</w:t>
            </w:r>
          </w:p>
        </w:tc>
        <w:tc>
          <w:tcPr>
            <w:tcW w:w="0" w:type="auto"/>
            <w:vAlign w:val="bottom"/>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46.003</w:t>
            </w:r>
          </w:p>
        </w:tc>
        <w:tc>
          <w:tcPr>
            <w:tcW w:w="0" w:type="auto"/>
            <w:vAlign w:val="bottom"/>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6.703</w:t>
            </w:r>
          </w:p>
        </w:tc>
      </w:tr>
      <w:tr w:rsidR="009147B2" w:rsidRPr="00CE6C21" w:rsidTr="008564D0">
        <w:trPr>
          <w:trHeight w:val="300"/>
          <w:jc w:val="center"/>
        </w:trPr>
        <w:tc>
          <w:tcPr>
            <w:tcW w:w="2620" w:type="dxa"/>
            <w:shd w:val="clear" w:color="auto" w:fill="auto"/>
            <w:noWrap/>
            <w:vAlign w:val="bottom"/>
            <w:hideMark/>
          </w:tcPr>
          <w:p w:rsidR="009147B2" w:rsidRPr="00CE6C21" w:rsidRDefault="009147B2" w:rsidP="008564D0">
            <w:pPr>
              <w:widowControl w:val="0"/>
              <w:spacing w:after="0" w:line="240" w:lineRule="auto"/>
              <w:rPr>
                <w:rFonts w:ascii="Arial" w:eastAsia="Times New Roman" w:hAnsi="Arial" w:cs="Arial"/>
                <w:color w:val="000000"/>
                <w:sz w:val="20"/>
                <w:szCs w:val="20"/>
                <w:lang w:eastAsia="es-CO"/>
              </w:rPr>
            </w:pPr>
            <w:r w:rsidRPr="00CE6C21">
              <w:rPr>
                <w:rFonts w:ascii="Arial" w:eastAsia="Times New Roman" w:hAnsi="Arial" w:cs="Arial"/>
                <w:color w:val="000000"/>
                <w:sz w:val="20"/>
                <w:szCs w:val="20"/>
                <w:lang w:eastAsia="es-CO"/>
              </w:rPr>
              <w:t>INDICE DE LIQUIDEZ</w:t>
            </w:r>
          </w:p>
        </w:tc>
        <w:tc>
          <w:tcPr>
            <w:tcW w:w="1420" w:type="dxa"/>
            <w:shd w:val="clear" w:color="auto" w:fill="auto"/>
            <w:noWrap/>
            <w:vAlign w:val="bottom"/>
            <w:hideMark/>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1,41</w:t>
            </w:r>
          </w:p>
        </w:tc>
        <w:tc>
          <w:tcPr>
            <w:tcW w:w="1500" w:type="dxa"/>
            <w:shd w:val="clear" w:color="auto" w:fill="auto"/>
            <w:noWrap/>
            <w:vAlign w:val="bottom"/>
            <w:hideMark/>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1,47</w:t>
            </w:r>
          </w:p>
        </w:tc>
        <w:tc>
          <w:tcPr>
            <w:tcW w:w="0" w:type="auto"/>
            <w:vAlign w:val="bottom"/>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1,02</w:t>
            </w:r>
          </w:p>
        </w:tc>
        <w:tc>
          <w:tcPr>
            <w:tcW w:w="0" w:type="auto"/>
            <w:vAlign w:val="bottom"/>
          </w:tcPr>
          <w:p w:rsidR="009147B2" w:rsidRDefault="009147B2" w:rsidP="009147B2">
            <w:pPr>
              <w:spacing w:after="0" w:line="240" w:lineRule="auto"/>
              <w:jc w:val="right"/>
              <w:rPr>
                <w:rFonts w:ascii="Arial" w:hAnsi="Arial" w:cs="Arial"/>
                <w:color w:val="000000"/>
                <w:sz w:val="20"/>
                <w:szCs w:val="20"/>
              </w:rPr>
            </w:pPr>
            <w:r>
              <w:rPr>
                <w:rFonts w:ascii="Arial" w:hAnsi="Arial" w:cs="Arial"/>
                <w:color w:val="000000"/>
                <w:sz w:val="20"/>
                <w:szCs w:val="20"/>
              </w:rPr>
              <w:t>1,00</w:t>
            </w:r>
          </w:p>
        </w:tc>
      </w:tr>
    </w:tbl>
    <w:p w:rsidR="003F5836" w:rsidRPr="00530BFA" w:rsidRDefault="003F5836" w:rsidP="003F5836">
      <w:pPr>
        <w:pStyle w:val="Prrafodelista"/>
        <w:widowControl w:val="0"/>
        <w:spacing w:after="0" w:line="240" w:lineRule="auto"/>
        <w:ind w:left="284"/>
        <w:rPr>
          <w:rFonts w:ascii="Arial" w:hAnsi="Arial" w:cs="Arial"/>
          <w:color w:val="000000"/>
          <w:sz w:val="28"/>
        </w:rPr>
      </w:pPr>
      <w:r w:rsidRPr="00530BFA">
        <w:rPr>
          <w:rFonts w:ascii="Arial" w:hAnsi="Arial" w:cs="Arial"/>
          <w:color w:val="000000"/>
          <w:sz w:val="20"/>
          <w:szCs w:val="16"/>
        </w:rPr>
        <w:t>FUENTE: Información reportada por las EPS</w:t>
      </w:r>
      <w:r>
        <w:rPr>
          <w:rFonts w:ascii="Arial" w:hAnsi="Arial" w:cs="Arial"/>
          <w:color w:val="000000"/>
          <w:sz w:val="20"/>
          <w:szCs w:val="16"/>
        </w:rPr>
        <w:t xml:space="preserve"> – Circular Única</w:t>
      </w:r>
    </w:p>
    <w:p w:rsidR="00CE6C21" w:rsidRDefault="00CE6C21" w:rsidP="005623CE">
      <w:pPr>
        <w:widowControl w:val="0"/>
        <w:spacing w:after="0" w:line="240" w:lineRule="auto"/>
        <w:jc w:val="both"/>
        <w:rPr>
          <w:rFonts w:ascii="Arial" w:hAnsi="Arial" w:cs="Arial"/>
        </w:rPr>
      </w:pPr>
    </w:p>
    <w:p w:rsidR="00274CE7" w:rsidRDefault="00274CE7" w:rsidP="00E6212C">
      <w:pPr>
        <w:widowControl w:val="0"/>
        <w:spacing w:after="0" w:line="240" w:lineRule="auto"/>
        <w:jc w:val="both"/>
        <w:rPr>
          <w:rFonts w:ascii="Arial" w:hAnsi="Arial" w:cs="Arial"/>
        </w:rPr>
      </w:pPr>
      <w:r w:rsidRPr="00E236DA">
        <w:rPr>
          <w:rFonts w:ascii="Arial" w:hAnsi="Arial" w:cs="Arial"/>
        </w:rPr>
        <w:t>Con corte a diciembre de 2010, por cada peso que debían</w:t>
      </w:r>
      <w:r w:rsidR="00FD1827">
        <w:rPr>
          <w:rFonts w:ascii="Arial" w:hAnsi="Arial" w:cs="Arial"/>
        </w:rPr>
        <w:t xml:space="preserve">, las EPS del Régimen Contributivo, </w:t>
      </w:r>
      <w:r w:rsidRPr="00E236DA">
        <w:rPr>
          <w:rFonts w:ascii="Arial" w:hAnsi="Arial" w:cs="Arial"/>
        </w:rPr>
        <w:t xml:space="preserve">contaban con un respaldo de $1.41 para cubrir </w:t>
      </w:r>
      <w:r w:rsidR="00603368">
        <w:rPr>
          <w:rFonts w:ascii="Arial" w:hAnsi="Arial" w:cs="Arial"/>
        </w:rPr>
        <w:t xml:space="preserve">las </w:t>
      </w:r>
      <w:r w:rsidRPr="00E236DA">
        <w:rPr>
          <w:rFonts w:ascii="Arial" w:hAnsi="Arial" w:cs="Arial"/>
        </w:rPr>
        <w:t xml:space="preserve">obligaciones a corto plazo y a </w:t>
      </w:r>
      <w:r w:rsidR="00B71C5E">
        <w:rPr>
          <w:rFonts w:ascii="Arial" w:hAnsi="Arial" w:cs="Arial"/>
        </w:rPr>
        <w:t>Marzo</w:t>
      </w:r>
      <w:r w:rsidR="00CE3772">
        <w:rPr>
          <w:rFonts w:ascii="Arial" w:hAnsi="Arial" w:cs="Arial"/>
        </w:rPr>
        <w:t xml:space="preserve"> de 2011, tenían $1.</w:t>
      </w:r>
      <w:r w:rsidRPr="00E236DA">
        <w:rPr>
          <w:rFonts w:ascii="Arial" w:hAnsi="Arial" w:cs="Arial"/>
        </w:rPr>
        <w:t>4</w:t>
      </w:r>
      <w:r w:rsidR="00CE3772">
        <w:rPr>
          <w:rFonts w:ascii="Arial" w:hAnsi="Arial" w:cs="Arial"/>
        </w:rPr>
        <w:t>7</w:t>
      </w:r>
      <w:r w:rsidRPr="00E236DA">
        <w:rPr>
          <w:rFonts w:ascii="Arial" w:hAnsi="Arial" w:cs="Arial"/>
        </w:rPr>
        <w:t xml:space="preserve"> para dicho respaldo.</w:t>
      </w:r>
    </w:p>
    <w:p w:rsidR="00261165" w:rsidRPr="00E236DA" w:rsidRDefault="00261165" w:rsidP="00E6212C">
      <w:pPr>
        <w:widowControl w:val="0"/>
        <w:spacing w:after="0" w:line="240" w:lineRule="auto"/>
        <w:jc w:val="both"/>
        <w:rPr>
          <w:rFonts w:ascii="Arial" w:hAnsi="Arial" w:cs="Arial"/>
        </w:rPr>
      </w:pPr>
    </w:p>
    <w:p w:rsidR="00274CE7" w:rsidRDefault="00603368" w:rsidP="00751A57">
      <w:pPr>
        <w:pStyle w:val="Prrafodelista"/>
        <w:widowControl w:val="0"/>
        <w:spacing w:after="0" w:line="240" w:lineRule="auto"/>
        <w:ind w:left="0"/>
        <w:jc w:val="both"/>
        <w:rPr>
          <w:rFonts w:ascii="Arial" w:hAnsi="Arial" w:cs="Arial"/>
        </w:rPr>
      </w:pPr>
      <w:r>
        <w:rPr>
          <w:rFonts w:ascii="Arial" w:hAnsi="Arial" w:cs="Arial"/>
        </w:rPr>
        <w:t>Por su parte, l</w:t>
      </w:r>
      <w:r w:rsidR="00274CE7">
        <w:rPr>
          <w:rFonts w:ascii="Arial" w:hAnsi="Arial" w:cs="Arial"/>
        </w:rPr>
        <w:t xml:space="preserve">as </w:t>
      </w:r>
      <w:r w:rsidR="00274CE7" w:rsidRPr="00FC4577">
        <w:rPr>
          <w:rFonts w:ascii="Arial" w:hAnsi="Arial" w:cs="Arial"/>
        </w:rPr>
        <w:t>EPS</w:t>
      </w:r>
      <w:r w:rsidR="00274CE7">
        <w:rPr>
          <w:rFonts w:ascii="Arial" w:hAnsi="Arial" w:cs="Arial"/>
        </w:rPr>
        <w:t xml:space="preserve"> del Régimen Subsidiado con corte a diciembre de 2010, por cada peso que debían contaban con un respaldo de $1.02 para cubrir obligaciones a corto plazo y a </w:t>
      </w:r>
      <w:r w:rsidR="00B71C5E">
        <w:rPr>
          <w:rFonts w:ascii="Arial" w:hAnsi="Arial" w:cs="Arial"/>
        </w:rPr>
        <w:t>Marzo</w:t>
      </w:r>
      <w:r w:rsidR="00274CE7">
        <w:rPr>
          <w:rFonts w:ascii="Arial" w:hAnsi="Arial" w:cs="Arial"/>
        </w:rPr>
        <w:t xml:space="preserve"> de 2011, tenían $</w:t>
      </w:r>
      <w:r w:rsidR="00CE3772">
        <w:rPr>
          <w:rFonts w:ascii="Arial" w:hAnsi="Arial" w:cs="Arial"/>
        </w:rPr>
        <w:t>1</w:t>
      </w:r>
      <w:r w:rsidR="00274CE7">
        <w:rPr>
          <w:rFonts w:ascii="Arial" w:hAnsi="Arial" w:cs="Arial"/>
        </w:rPr>
        <w:t xml:space="preserve"> para dicho respaldo. </w:t>
      </w:r>
    </w:p>
    <w:p w:rsidR="00274CE7" w:rsidRDefault="00274CE7" w:rsidP="00751A57">
      <w:pPr>
        <w:pStyle w:val="Prrafodelista"/>
        <w:widowControl w:val="0"/>
        <w:spacing w:after="0" w:line="240" w:lineRule="auto"/>
        <w:ind w:left="0"/>
        <w:jc w:val="both"/>
        <w:rPr>
          <w:rFonts w:ascii="Arial" w:hAnsi="Arial" w:cs="Arial"/>
        </w:rPr>
      </w:pPr>
    </w:p>
    <w:p w:rsidR="00603368" w:rsidRDefault="00603368" w:rsidP="00603368">
      <w:pPr>
        <w:pStyle w:val="Prrafodelista"/>
        <w:widowControl w:val="0"/>
        <w:spacing w:after="0" w:line="240" w:lineRule="auto"/>
        <w:ind w:left="0"/>
        <w:jc w:val="both"/>
        <w:rPr>
          <w:rFonts w:ascii="Arial" w:hAnsi="Arial" w:cs="Arial"/>
        </w:rPr>
      </w:pPr>
      <w:r>
        <w:rPr>
          <w:rFonts w:ascii="Arial" w:hAnsi="Arial" w:cs="Arial"/>
        </w:rPr>
        <w:t xml:space="preserve">El capital de trabajo, en el Régimen Contributivo, </w:t>
      </w:r>
      <w:r w:rsidR="00CE3772">
        <w:rPr>
          <w:rFonts w:ascii="Arial" w:hAnsi="Arial" w:cs="Arial"/>
        </w:rPr>
        <w:t>se incrementa</w:t>
      </w:r>
      <w:r>
        <w:rPr>
          <w:rFonts w:ascii="Arial" w:hAnsi="Arial" w:cs="Arial"/>
        </w:rPr>
        <w:t xml:space="preserve"> en $</w:t>
      </w:r>
      <w:r w:rsidR="00CE3772">
        <w:rPr>
          <w:rFonts w:ascii="Arial" w:hAnsi="Arial" w:cs="Arial"/>
        </w:rPr>
        <w:t>225.675</w:t>
      </w:r>
      <w:r>
        <w:rPr>
          <w:rFonts w:ascii="Arial" w:hAnsi="Arial" w:cs="Arial"/>
        </w:rPr>
        <w:t xml:space="preserve"> mil</w:t>
      </w:r>
      <w:r w:rsidR="0038678B">
        <w:rPr>
          <w:rFonts w:ascii="Arial" w:hAnsi="Arial" w:cs="Arial"/>
        </w:rPr>
        <w:t>lon</w:t>
      </w:r>
      <w:r>
        <w:rPr>
          <w:rFonts w:ascii="Arial" w:hAnsi="Arial" w:cs="Arial"/>
        </w:rPr>
        <w:t xml:space="preserve">es a </w:t>
      </w:r>
      <w:r w:rsidR="00B71C5E">
        <w:rPr>
          <w:rFonts w:ascii="Arial" w:hAnsi="Arial" w:cs="Arial"/>
        </w:rPr>
        <w:t>Marzo</w:t>
      </w:r>
      <w:r>
        <w:rPr>
          <w:rFonts w:ascii="Arial" w:hAnsi="Arial" w:cs="Arial"/>
        </w:rPr>
        <w:t xml:space="preserve"> de 2011, en comparación con diciembre de 2010.</w:t>
      </w:r>
    </w:p>
    <w:p w:rsidR="00603368" w:rsidRPr="00E6212C" w:rsidRDefault="00603368" w:rsidP="00603368">
      <w:pPr>
        <w:widowControl w:val="0"/>
        <w:spacing w:after="0" w:line="240" w:lineRule="auto"/>
        <w:rPr>
          <w:rFonts w:ascii="Arial" w:hAnsi="Arial" w:cs="Arial"/>
        </w:rPr>
      </w:pPr>
    </w:p>
    <w:p w:rsidR="00274CE7" w:rsidRDefault="0038678B" w:rsidP="00751A57">
      <w:pPr>
        <w:pStyle w:val="Prrafodelista"/>
        <w:widowControl w:val="0"/>
        <w:spacing w:after="0" w:line="240" w:lineRule="auto"/>
        <w:ind w:left="0"/>
        <w:jc w:val="both"/>
        <w:rPr>
          <w:rFonts w:ascii="Arial" w:hAnsi="Arial" w:cs="Arial"/>
        </w:rPr>
      </w:pPr>
      <w:r>
        <w:rPr>
          <w:rFonts w:ascii="Arial" w:hAnsi="Arial" w:cs="Arial"/>
        </w:rPr>
        <w:t>En el Régimen Subsidiado e</w:t>
      </w:r>
      <w:r w:rsidR="00274CE7">
        <w:rPr>
          <w:rFonts w:ascii="Arial" w:hAnsi="Arial" w:cs="Arial"/>
        </w:rPr>
        <w:t>l capital de trabajo, disminuy</w:t>
      </w:r>
      <w:r>
        <w:rPr>
          <w:rFonts w:ascii="Arial" w:hAnsi="Arial" w:cs="Arial"/>
        </w:rPr>
        <w:t xml:space="preserve">ó </w:t>
      </w:r>
      <w:r w:rsidR="00274CE7">
        <w:rPr>
          <w:rFonts w:ascii="Arial" w:hAnsi="Arial" w:cs="Arial"/>
        </w:rPr>
        <w:t>en $</w:t>
      </w:r>
      <w:r w:rsidR="00CE3772">
        <w:rPr>
          <w:rFonts w:ascii="Arial" w:hAnsi="Arial" w:cs="Arial"/>
        </w:rPr>
        <w:t>3</w:t>
      </w:r>
      <w:r w:rsidR="00274CE7">
        <w:rPr>
          <w:rFonts w:ascii="Arial" w:hAnsi="Arial" w:cs="Arial"/>
        </w:rPr>
        <w:t>9.</w:t>
      </w:r>
      <w:r w:rsidR="00CE3772">
        <w:rPr>
          <w:rFonts w:ascii="Arial" w:hAnsi="Arial" w:cs="Arial"/>
        </w:rPr>
        <w:t>3</w:t>
      </w:r>
      <w:r w:rsidR="00274CE7">
        <w:rPr>
          <w:rFonts w:ascii="Arial" w:hAnsi="Arial" w:cs="Arial"/>
        </w:rPr>
        <w:t>00</w:t>
      </w:r>
      <w:r>
        <w:rPr>
          <w:rFonts w:ascii="Arial" w:hAnsi="Arial" w:cs="Arial"/>
        </w:rPr>
        <w:t xml:space="preserve"> </w:t>
      </w:r>
      <w:r w:rsidR="00274CE7">
        <w:rPr>
          <w:rFonts w:ascii="Arial" w:hAnsi="Arial" w:cs="Arial"/>
        </w:rPr>
        <w:t>mil</w:t>
      </w:r>
      <w:r>
        <w:rPr>
          <w:rFonts w:ascii="Arial" w:hAnsi="Arial" w:cs="Arial"/>
        </w:rPr>
        <w:t>lon</w:t>
      </w:r>
      <w:r w:rsidR="00274CE7">
        <w:rPr>
          <w:rFonts w:ascii="Arial" w:hAnsi="Arial" w:cs="Arial"/>
        </w:rPr>
        <w:t xml:space="preserve">es a </w:t>
      </w:r>
      <w:r w:rsidR="00B71C5E">
        <w:rPr>
          <w:rFonts w:ascii="Arial" w:hAnsi="Arial" w:cs="Arial"/>
        </w:rPr>
        <w:t>Marzo</w:t>
      </w:r>
      <w:r w:rsidR="00274CE7">
        <w:rPr>
          <w:rFonts w:ascii="Arial" w:hAnsi="Arial" w:cs="Arial"/>
        </w:rPr>
        <w:t xml:space="preserve"> de 2011, en comparación con diciembre de 2010. </w:t>
      </w:r>
    </w:p>
    <w:p w:rsidR="00CE3772" w:rsidRPr="006A3519" w:rsidRDefault="00CE3772" w:rsidP="006A3519">
      <w:pPr>
        <w:widowControl w:val="0"/>
        <w:spacing w:after="0" w:line="240" w:lineRule="auto"/>
        <w:rPr>
          <w:rFonts w:ascii="Arial" w:hAnsi="Arial" w:cs="Arial"/>
          <w:b/>
        </w:rPr>
      </w:pPr>
    </w:p>
    <w:p w:rsidR="007D4D78" w:rsidRPr="005F7502" w:rsidRDefault="007D4D78" w:rsidP="007F7339">
      <w:pPr>
        <w:pStyle w:val="Prrafodelista"/>
        <w:widowControl w:val="0"/>
        <w:numPr>
          <w:ilvl w:val="0"/>
          <w:numId w:val="5"/>
        </w:numPr>
        <w:spacing w:after="0" w:line="240" w:lineRule="auto"/>
        <w:ind w:left="426" w:hanging="426"/>
        <w:jc w:val="both"/>
        <w:rPr>
          <w:rFonts w:ascii="Arial" w:hAnsi="Arial" w:cs="Arial"/>
          <w:b/>
          <w:i/>
        </w:rPr>
      </w:pPr>
      <w:r w:rsidRPr="005F7502">
        <w:rPr>
          <w:rFonts w:ascii="Arial" w:hAnsi="Arial" w:cs="Arial"/>
          <w:b/>
          <w:i/>
        </w:rPr>
        <w:t>De qué tipo y por qué valor son las inversiones de las EPS Contributivo y Subsidiado.</w:t>
      </w:r>
    </w:p>
    <w:p w:rsidR="007D4D78" w:rsidRDefault="007D4D78" w:rsidP="005F7502">
      <w:pPr>
        <w:widowControl w:val="0"/>
        <w:spacing w:after="0" w:line="240" w:lineRule="auto"/>
        <w:jc w:val="both"/>
        <w:rPr>
          <w:rFonts w:ascii="Arial" w:hAnsi="Arial" w:cs="Arial"/>
        </w:rPr>
      </w:pPr>
    </w:p>
    <w:p w:rsidR="00211594" w:rsidRPr="002C1DEA" w:rsidRDefault="00211594" w:rsidP="00211594">
      <w:pPr>
        <w:widowControl w:val="0"/>
        <w:spacing w:after="0" w:line="240" w:lineRule="auto"/>
        <w:jc w:val="both"/>
        <w:rPr>
          <w:rFonts w:ascii="Arial" w:hAnsi="Arial" w:cs="Arial"/>
        </w:rPr>
      </w:pPr>
      <w:r>
        <w:rPr>
          <w:rFonts w:ascii="Arial" w:hAnsi="Arial" w:cs="Arial"/>
        </w:rPr>
        <w:t xml:space="preserve">El régimen de inversiones para las EPS que administran el Régimen Contributivo está dado por los </w:t>
      </w:r>
      <w:r w:rsidRPr="002C1DEA">
        <w:rPr>
          <w:rFonts w:ascii="Arial" w:hAnsi="Arial" w:cs="Arial"/>
        </w:rPr>
        <w:t>Decreto</w:t>
      </w:r>
      <w:r>
        <w:rPr>
          <w:rFonts w:ascii="Arial" w:hAnsi="Arial" w:cs="Arial"/>
        </w:rPr>
        <w:t>s</w:t>
      </w:r>
      <w:r w:rsidRPr="002C1DEA">
        <w:rPr>
          <w:rFonts w:ascii="Arial" w:hAnsi="Arial" w:cs="Arial"/>
        </w:rPr>
        <w:t xml:space="preserve"> 574 y 1698 de  2007, </w:t>
      </w:r>
      <w:r>
        <w:rPr>
          <w:rFonts w:ascii="Arial" w:hAnsi="Arial" w:cs="Arial"/>
        </w:rPr>
        <w:t xml:space="preserve">los cuales </w:t>
      </w:r>
      <w:r w:rsidRPr="002C1DEA">
        <w:rPr>
          <w:rFonts w:ascii="Arial" w:hAnsi="Arial" w:cs="Arial"/>
        </w:rPr>
        <w:t xml:space="preserve">establecen </w:t>
      </w:r>
      <w:r>
        <w:rPr>
          <w:rFonts w:ascii="Arial" w:hAnsi="Arial" w:cs="Arial"/>
        </w:rPr>
        <w:t xml:space="preserve">el tipo de inversiones que </w:t>
      </w:r>
      <w:r w:rsidRPr="002C1DEA">
        <w:rPr>
          <w:rFonts w:ascii="Arial" w:hAnsi="Arial" w:cs="Arial"/>
        </w:rPr>
        <w:t>pueden realizar</w:t>
      </w:r>
      <w:r>
        <w:rPr>
          <w:rFonts w:ascii="Arial" w:hAnsi="Arial" w:cs="Arial"/>
        </w:rPr>
        <w:t>, sobre las reservas técnicas.</w:t>
      </w:r>
    </w:p>
    <w:p w:rsidR="00211594" w:rsidRPr="005F7502" w:rsidRDefault="00211594" w:rsidP="005F7502">
      <w:pPr>
        <w:widowControl w:val="0"/>
        <w:spacing w:after="0" w:line="240" w:lineRule="auto"/>
        <w:jc w:val="both"/>
        <w:rPr>
          <w:rFonts w:ascii="Arial" w:hAnsi="Arial" w:cs="Arial"/>
        </w:rPr>
      </w:pPr>
    </w:p>
    <w:p w:rsidR="00DA2420" w:rsidRDefault="0074788C" w:rsidP="005F7502">
      <w:pPr>
        <w:widowControl w:val="0"/>
        <w:spacing w:after="0" w:line="240" w:lineRule="auto"/>
        <w:jc w:val="both"/>
        <w:rPr>
          <w:rFonts w:ascii="Arial" w:hAnsi="Arial" w:cs="Arial"/>
        </w:rPr>
      </w:pPr>
      <w:r>
        <w:rPr>
          <w:rFonts w:ascii="Arial" w:hAnsi="Arial" w:cs="Arial"/>
        </w:rPr>
        <w:t xml:space="preserve">A continuación </w:t>
      </w:r>
      <w:r w:rsidR="005F7502">
        <w:rPr>
          <w:rFonts w:ascii="Arial" w:hAnsi="Arial" w:cs="Arial"/>
        </w:rPr>
        <w:t>se presenta la composición de las inversiones de</w:t>
      </w:r>
      <w:r>
        <w:rPr>
          <w:rFonts w:ascii="Arial" w:hAnsi="Arial" w:cs="Arial"/>
        </w:rPr>
        <w:t xml:space="preserve"> </w:t>
      </w:r>
      <w:r w:rsidR="005F7502">
        <w:rPr>
          <w:rFonts w:ascii="Arial" w:hAnsi="Arial" w:cs="Arial"/>
        </w:rPr>
        <w:t>l</w:t>
      </w:r>
      <w:r>
        <w:rPr>
          <w:rFonts w:ascii="Arial" w:hAnsi="Arial" w:cs="Arial"/>
        </w:rPr>
        <w:t>as</w:t>
      </w:r>
      <w:r w:rsidR="005F7502">
        <w:rPr>
          <w:rFonts w:ascii="Arial" w:hAnsi="Arial" w:cs="Arial"/>
        </w:rPr>
        <w:t xml:space="preserve"> </w:t>
      </w:r>
      <w:r>
        <w:rPr>
          <w:rFonts w:ascii="Arial" w:hAnsi="Arial" w:cs="Arial"/>
        </w:rPr>
        <w:t xml:space="preserve">EPS del </w:t>
      </w:r>
      <w:r w:rsidR="005F7502">
        <w:rPr>
          <w:rFonts w:ascii="Arial" w:hAnsi="Arial" w:cs="Arial"/>
        </w:rPr>
        <w:t>Régimen Contributivo</w:t>
      </w:r>
      <w:r>
        <w:rPr>
          <w:rFonts w:ascii="Arial" w:hAnsi="Arial" w:cs="Arial"/>
        </w:rPr>
        <w:t xml:space="preserve">, con corte </w:t>
      </w:r>
      <w:r w:rsidR="005F7502">
        <w:rPr>
          <w:rFonts w:ascii="Arial" w:hAnsi="Arial" w:cs="Arial"/>
        </w:rPr>
        <w:t xml:space="preserve">a diciembre de 2010  y </w:t>
      </w:r>
      <w:r w:rsidR="00666DA7">
        <w:rPr>
          <w:rFonts w:ascii="Arial" w:hAnsi="Arial" w:cs="Arial"/>
        </w:rPr>
        <w:t xml:space="preserve">a </w:t>
      </w:r>
      <w:r w:rsidR="00B71C5E">
        <w:rPr>
          <w:rFonts w:ascii="Arial" w:hAnsi="Arial" w:cs="Arial"/>
        </w:rPr>
        <w:t>Marzo</w:t>
      </w:r>
      <w:r w:rsidR="005F7502">
        <w:rPr>
          <w:rFonts w:ascii="Arial" w:hAnsi="Arial" w:cs="Arial"/>
        </w:rPr>
        <w:t xml:space="preserve"> de 2011</w:t>
      </w:r>
      <w:r w:rsidR="00322004">
        <w:rPr>
          <w:rFonts w:ascii="Arial" w:hAnsi="Arial" w:cs="Arial"/>
        </w:rPr>
        <w:t>:</w:t>
      </w:r>
    </w:p>
    <w:p w:rsidR="00A93DD3" w:rsidRDefault="00A93DD3" w:rsidP="005F7502">
      <w:pPr>
        <w:widowControl w:val="0"/>
        <w:spacing w:after="0" w:line="240" w:lineRule="auto"/>
        <w:jc w:val="both"/>
        <w:rPr>
          <w:rFonts w:ascii="Arial" w:hAnsi="Arial" w:cs="Arial"/>
        </w:rPr>
      </w:pPr>
    </w:p>
    <w:p w:rsidR="0074788C" w:rsidRPr="0074788C" w:rsidRDefault="0074788C" w:rsidP="0074788C">
      <w:pPr>
        <w:widowControl w:val="0"/>
        <w:spacing w:after="0" w:line="240" w:lineRule="auto"/>
        <w:ind w:right="473"/>
        <w:jc w:val="right"/>
        <w:rPr>
          <w:rFonts w:ascii="Arial" w:hAnsi="Arial" w:cs="Arial"/>
          <w:sz w:val="20"/>
        </w:rPr>
      </w:pPr>
      <w:r w:rsidRPr="0074788C">
        <w:rPr>
          <w:rFonts w:ascii="Arial" w:hAnsi="Arial" w:cs="Arial"/>
          <w:sz w:val="20"/>
        </w:rPr>
        <w:t>Cifras en millones</w:t>
      </w:r>
    </w:p>
    <w:tbl>
      <w:tblPr>
        <w:tblW w:w="8386" w:type="dxa"/>
        <w:jc w:val="center"/>
        <w:tblInd w:w="55" w:type="dxa"/>
        <w:tblCellMar>
          <w:left w:w="70" w:type="dxa"/>
          <w:right w:w="70" w:type="dxa"/>
        </w:tblCellMar>
        <w:tblLook w:val="04A0" w:firstRow="1" w:lastRow="0" w:firstColumn="1" w:lastColumn="0" w:noHBand="0" w:noVBand="1"/>
      </w:tblPr>
      <w:tblGrid>
        <w:gridCol w:w="5986"/>
        <w:gridCol w:w="1200"/>
        <w:gridCol w:w="1200"/>
      </w:tblGrid>
      <w:tr w:rsidR="00A93DD3" w:rsidRPr="00A93DD3" w:rsidTr="002B1497">
        <w:trPr>
          <w:trHeight w:val="300"/>
          <w:tblHeader/>
          <w:jc w:val="center"/>
        </w:trPr>
        <w:tc>
          <w:tcPr>
            <w:tcW w:w="5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3DD3" w:rsidRPr="00A93DD3" w:rsidRDefault="00A93DD3" w:rsidP="00F66CE6">
            <w:pPr>
              <w:spacing w:after="0" w:line="240" w:lineRule="auto"/>
              <w:rPr>
                <w:rFonts w:ascii="Arial" w:eastAsia="Times New Roman" w:hAnsi="Arial" w:cs="Arial"/>
                <w:b/>
                <w:color w:val="000000"/>
                <w:sz w:val="20"/>
                <w:szCs w:val="18"/>
                <w:lang w:eastAsia="es-CO"/>
              </w:rPr>
            </w:pPr>
            <w:r w:rsidRPr="00A93DD3">
              <w:rPr>
                <w:rFonts w:ascii="Arial" w:eastAsia="Times New Roman" w:hAnsi="Arial" w:cs="Arial"/>
                <w:b/>
                <w:color w:val="000000"/>
                <w:sz w:val="20"/>
                <w:szCs w:val="18"/>
                <w:lang w:eastAsia="es-CO"/>
              </w:rPr>
              <w:t>TIPO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93DD3" w:rsidRPr="00A93DD3" w:rsidRDefault="00A93DD3" w:rsidP="00F66CE6">
            <w:pPr>
              <w:spacing w:after="0" w:line="240" w:lineRule="auto"/>
              <w:jc w:val="center"/>
              <w:rPr>
                <w:rFonts w:ascii="Arial" w:eastAsia="Times New Roman" w:hAnsi="Arial" w:cs="Arial"/>
                <w:b/>
                <w:color w:val="000000"/>
                <w:sz w:val="20"/>
                <w:szCs w:val="18"/>
                <w:lang w:eastAsia="es-CO"/>
              </w:rPr>
            </w:pPr>
            <w:r w:rsidRPr="00A93DD3">
              <w:rPr>
                <w:rFonts w:ascii="Arial" w:eastAsia="Times New Roman" w:hAnsi="Arial" w:cs="Arial"/>
                <w:b/>
                <w:color w:val="000000"/>
                <w:sz w:val="20"/>
                <w:szCs w:val="18"/>
                <w:lang w:eastAsia="es-CO"/>
              </w:rPr>
              <w:t>dic-10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93DD3" w:rsidRPr="00A93DD3" w:rsidRDefault="00853B53" w:rsidP="00F66CE6">
            <w:pPr>
              <w:spacing w:after="0" w:line="240" w:lineRule="auto"/>
              <w:jc w:val="center"/>
              <w:rPr>
                <w:rFonts w:ascii="Arial" w:eastAsia="Times New Roman" w:hAnsi="Arial" w:cs="Arial"/>
                <w:b/>
                <w:color w:val="000000"/>
                <w:sz w:val="20"/>
                <w:szCs w:val="18"/>
                <w:lang w:eastAsia="es-CO"/>
              </w:rPr>
            </w:pPr>
            <w:r>
              <w:rPr>
                <w:rFonts w:ascii="Arial" w:eastAsia="Times New Roman" w:hAnsi="Arial" w:cs="Arial"/>
                <w:b/>
                <w:color w:val="000000"/>
                <w:sz w:val="20"/>
                <w:szCs w:val="18"/>
                <w:lang w:eastAsia="es-CO"/>
              </w:rPr>
              <w:t>Mar</w:t>
            </w:r>
            <w:r w:rsidR="00A93DD3" w:rsidRPr="00A93DD3">
              <w:rPr>
                <w:rFonts w:ascii="Arial" w:eastAsia="Times New Roman" w:hAnsi="Arial" w:cs="Arial"/>
                <w:b/>
                <w:color w:val="000000"/>
                <w:sz w:val="20"/>
                <w:szCs w:val="18"/>
                <w:lang w:eastAsia="es-CO"/>
              </w:rPr>
              <w:t>-11</w:t>
            </w:r>
          </w:p>
        </w:tc>
      </w:tr>
      <w:tr w:rsidR="00E46F47" w:rsidRPr="00A93DD3" w:rsidTr="0096116C">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rsidR="00E46F47" w:rsidRPr="00A93DD3" w:rsidRDefault="00E46F47" w:rsidP="00A93DD3">
            <w:pPr>
              <w:spacing w:after="0" w:line="240" w:lineRule="auto"/>
              <w:rPr>
                <w:rFonts w:ascii="Arial" w:eastAsia="Times New Roman" w:hAnsi="Arial" w:cs="Arial"/>
                <w:color w:val="000000"/>
                <w:sz w:val="20"/>
                <w:szCs w:val="18"/>
                <w:lang w:eastAsia="es-CO"/>
              </w:rPr>
            </w:pPr>
            <w:r w:rsidRPr="00A93DD3">
              <w:rPr>
                <w:rFonts w:ascii="Arial" w:eastAsia="Times New Roman" w:hAnsi="Arial" w:cs="Arial"/>
                <w:color w:val="000000"/>
                <w:sz w:val="20"/>
                <w:szCs w:val="18"/>
                <w:lang w:eastAsia="es-CO"/>
              </w:rPr>
              <w:t>TITULOS DE TESORERIA TES</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3D04BD" w:rsidP="00E46F47">
            <w:pPr>
              <w:spacing w:after="0" w:line="240" w:lineRule="auto"/>
              <w:jc w:val="right"/>
              <w:rPr>
                <w:rFonts w:ascii="Arial" w:hAnsi="Arial" w:cs="Arial"/>
                <w:color w:val="000000"/>
                <w:sz w:val="20"/>
                <w:szCs w:val="18"/>
              </w:rPr>
            </w:pPr>
            <w:r>
              <w:rPr>
                <w:rFonts w:ascii="Arial" w:hAnsi="Arial" w:cs="Arial"/>
                <w:color w:val="000000"/>
                <w:sz w:val="20"/>
                <w:szCs w:val="18"/>
              </w:rPr>
              <w:t>29.073</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E46F47" w:rsidP="00E46F47">
            <w:pPr>
              <w:spacing w:after="0" w:line="240" w:lineRule="auto"/>
              <w:jc w:val="right"/>
              <w:rPr>
                <w:rFonts w:ascii="Arial" w:hAnsi="Arial" w:cs="Arial"/>
                <w:color w:val="000000"/>
                <w:sz w:val="20"/>
                <w:szCs w:val="18"/>
              </w:rPr>
            </w:pPr>
            <w:r w:rsidRPr="00E46F47">
              <w:rPr>
                <w:rFonts w:ascii="Arial" w:hAnsi="Arial" w:cs="Arial"/>
                <w:color w:val="000000"/>
                <w:sz w:val="20"/>
                <w:szCs w:val="18"/>
              </w:rPr>
              <w:t>76.340</w:t>
            </w:r>
          </w:p>
        </w:tc>
      </w:tr>
      <w:tr w:rsidR="00E46F47" w:rsidRPr="00A93DD3" w:rsidTr="0096116C">
        <w:trPr>
          <w:trHeight w:val="735"/>
          <w:jc w:val="center"/>
        </w:trPr>
        <w:tc>
          <w:tcPr>
            <w:tcW w:w="5986" w:type="dxa"/>
            <w:tcBorders>
              <w:top w:val="nil"/>
              <w:left w:val="single" w:sz="4" w:space="0" w:color="auto"/>
              <w:bottom w:val="single" w:sz="4" w:space="0" w:color="auto"/>
              <w:right w:val="single" w:sz="4" w:space="0" w:color="auto"/>
            </w:tcBorders>
            <w:shd w:val="clear" w:color="auto" w:fill="auto"/>
            <w:vAlign w:val="bottom"/>
            <w:hideMark/>
          </w:tcPr>
          <w:p w:rsidR="00E46F47" w:rsidRPr="00A93DD3" w:rsidRDefault="00E46F47" w:rsidP="00362F08">
            <w:pPr>
              <w:spacing w:after="0" w:line="240" w:lineRule="auto"/>
              <w:jc w:val="both"/>
              <w:rPr>
                <w:rFonts w:ascii="Arial" w:eastAsia="Times New Roman" w:hAnsi="Arial" w:cs="Arial"/>
                <w:color w:val="000000"/>
                <w:sz w:val="20"/>
                <w:szCs w:val="18"/>
                <w:lang w:eastAsia="es-CO"/>
              </w:rPr>
            </w:pPr>
            <w:r w:rsidRPr="00A93DD3">
              <w:rPr>
                <w:rFonts w:ascii="Arial" w:eastAsia="Times New Roman" w:hAnsi="Arial" w:cs="Arial"/>
                <w:color w:val="000000"/>
                <w:sz w:val="20"/>
                <w:szCs w:val="18"/>
                <w:lang w:eastAsia="es-CO"/>
              </w:rPr>
              <w:t>INVERSIONES ADMISIBLES (CDT, Bonos, Derechos Fiduciarios, Fondos Comunes Ordinarios y Títulos de Participación)</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E46F47" w:rsidP="00E46F47">
            <w:pPr>
              <w:spacing w:after="0" w:line="240" w:lineRule="auto"/>
              <w:jc w:val="right"/>
              <w:rPr>
                <w:rFonts w:ascii="Arial" w:hAnsi="Arial" w:cs="Arial"/>
                <w:color w:val="000000"/>
                <w:sz w:val="20"/>
                <w:szCs w:val="18"/>
              </w:rPr>
            </w:pPr>
            <w:r w:rsidRPr="00E46F47">
              <w:rPr>
                <w:rFonts w:ascii="Arial" w:hAnsi="Arial" w:cs="Arial"/>
                <w:color w:val="000000"/>
                <w:sz w:val="20"/>
                <w:szCs w:val="18"/>
              </w:rPr>
              <w:t>266.181</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E46F47" w:rsidP="00E46F47">
            <w:pPr>
              <w:spacing w:after="0" w:line="240" w:lineRule="auto"/>
              <w:jc w:val="right"/>
              <w:rPr>
                <w:rFonts w:ascii="Arial" w:hAnsi="Arial" w:cs="Arial"/>
                <w:color w:val="000000"/>
                <w:sz w:val="20"/>
                <w:szCs w:val="18"/>
              </w:rPr>
            </w:pPr>
            <w:r w:rsidRPr="00E46F47">
              <w:rPr>
                <w:rFonts w:ascii="Arial" w:hAnsi="Arial" w:cs="Arial"/>
                <w:color w:val="000000"/>
                <w:sz w:val="20"/>
                <w:szCs w:val="18"/>
              </w:rPr>
              <w:t>269.590</w:t>
            </w:r>
          </w:p>
        </w:tc>
      </w:tr>
      <w:tr w:rsidR="00E46F47" w:rsidRPr="00A93DD3" w:rsidTr="0096116C">
        <w:trPr>
          <w:trHeight w:val="495"/>
          <w:jc w:val="center"/>
        </w:trPr>
        <w:tc>
          <w:tcPr>
            <w:tcW w:w="5986" w:type="dxa"/>
            <w:tcBorders>
              <w:top w:val="nil"/>
              <w:left w:val="single" w:sz="4" w:space="0" w:color="auto"/>
              <w:bottom w:val="single" w:sz="4" w:space="0" w:color="auto"/>
              <w:right w:val="single" w:sz="4" w:space="0" w:color="auto"/>
            </w:tcBorders>
            <w:shd w:val="clear" w:color="auto" w:fill="auto"/>
            <w:vAlign w:val="bottom"/>
            <w:hideMark/>
          </w:tcPr>
          <w:p w:rsidR="00E46F47" w:rsidRPr="00A93DD3" w:rsidRDefault="00E46F47" w:rsidP="00A93DD3">
            <w:pPr>
              <w:spacing w:after="0" w:line="240" w:lineRule="auto"/>
              <w:jc w:val="both"/>
              <w:rPr>
                <w:rFonts w:ascii="Arial" w:eastAsia="Times New Roman" w:hAnsi="Arial" w:cs="Arial"/>
                <w:color w:val="000000"/>
                <w:sz w:val="20"/>
                <w:szCs w:val="18"/>
                <w:lang w:eastAsia="es-CO"/>
              </w:rPr>
            </w:pPr>
            <w:r w:rsidRPr="00A93DD3">
              <w:rPr>
                <w:rFonts w:ascii="Arial" w:eastAsia="Times New Roman" w:hAnsi="Arial" w:cs="Arial"/>
                <w:color w:val="000000"/>
                <w:sz w:val="20"/>
                <w:szCs w:val="18"/>
                <w:lang w:eastAsia="es-CO"/>
              </w:rPr>
              <w:t>INVERSIONES OBLIGATORIAS (CDT , Derechos Fiduciarios, Títulos de Deuda)</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E46F47" w:rsidP="00E46F47">
            <w:pPr>
              <w:spacing w:after="0" w:line="240" w:lineRule="auto"/>
              <w:jc w:val="right"/>
              <w:rPr>
                <w:rFonts w:ascii="Arial" w:hAnsi="Arial" w:cs="Arial"/>
                <w:color w:val="000000"/>
                <w:sz w:val="20"/>
                <w:szCs w:val="18"/>
              </w:rPr>
            </w:pPr>
            <w:r w:rsidRPr="00E46F47">
              <w:rPr>
                <w:rFonts w:ascii="Arial" w:hAnsi="Arial" w:cs="Arial"/>
                <w:color w:val="000000"/>
                <w:sz w:val="20"/>
                <w:szCs w:val="18"/>
              </w:rPr>
              <w:t>8.774</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E46F47" w:rsidP="00E46F47">
            <w:pPr>
              <w:spacing w:after="0" w:line="240" w:lineRule="auto"/>
              <w:jc w:val="right"/>
              <w:rPr>
                <w:rFonts w:ascii="Arial" w:hAnsi="Arial" w:cs="Arial"/>
                <w:color w:val="000000"/>
                <w:sz w:val="20"/>
                <w:szCs w:val="18"/>
              </w:rPr>
            </w:pPr>
            <w:r w:rsidRPr="00E46F47">
              <w:rPr>
                <w:rFonts w:ascii="Arial" w:hAnsi="Arial" w:cs="Arial"/>
                <w:color w:val="000000"/>
                <w:sz w:val="20"/>
                <w:szCs w:val="18"/>
              </w:rPr>
              <w:t>1.818</w:t>
            </w:r>
          </w:p>
        </w:tc>
      </w:tr>
      <w:tr w:rsidR="00E46F47" w:rsidRPr="00A93DD3" w:rsidTr="0096116C">
        <w:trPr>
          <w:trHeight w:val="1030"/>
          <w:jc w:val="center"/>
        </w:trPr>
        <w:tc>
          <w:tcPr>
            <w:tcW w:w="5986" w:type="dxa"/>
            <w:tcBorders>
              <w:top w:val="nil"/>
              <w:left w:val="single" w:sz="4" w:space="0" w:color="auto"/>
              <w:bottom w:val="single" w:sz="4" w:space="0" w:color="auto"/>
              <w:right w:val="single" w:sz="4" w:space="0" w:color="auto"/>
            </w:tcBorders>
            <w:shd w:val="clear" w:color="auto" w:fill="auto"/>
            <w:vAlign w:val="bottom"/>
            <w:hideMark/>
          </w:tcPr>
          <w:p w:rsidR="00E46F47" w:rsidRPr="00A93DD3" w:rsidRDefault="00E46F47" w:rsidP="002B1497">
            <w:pPr>
              <w:spacing w:after="0" w:line="240" w:lineRule="auto"/>
              <w:jc w:val="both"/>
              <w:rPr>
                <w:rFonts w:ascii="Arial" w:eastAsia="Times New Roman" w:hAnsi="Arial" w:cs="Arial"/>
                <w:color w:val="000000"/>
                <w:sz w:val="20"/>
                <w:szCs w:val="18"/>
                <w:lang w:eastAsia="es-CO"/>
              </w:rPr>
            </w:pPr>
            <w:r w:rsidRPr="00A93DD3">
              <w:rPr>
                <w:rFonts w:ascii="Arial" w:eastAsia="Times New Roman" w:hAnsi="Arial" w:cs="Arial"/>
                <w:color w:val="000000"/>
                <w:sz w:val="20"/>
                <w:szCs w:val="18"/>
                <w:lang w:eastAsia="es-CO"/>
              </w:rPr>
              <w:t xml:space="preserve">INVERSIONES OBLIGATORIAS DE RESERVAS TECNICAS (Títulos de Deuda Pública interna, Títulos de Renta fija garantizados por la </w:t>
            </w:r>
            <w:proofErr w:type="spellStart"/>
            <w:r w:rsidRPr="00A93DD3">
              <w:rPr>
                <w:rFonts w:ascii="Arial" w:eastAsia="Times New Roman" w:hAnsi="Arial" w:cs="Arial"/>
                <w:color w:val="000000"/>
                <w:sz w:val="20"/>
                <w:szCs w:val="18"/>
                <w:lang w:eastAsia="es-CO"/>
              </w:rPr>
              <w:t>Superfinanciera</w:t>
            </w:r>
            <w:proofErr w:type="spellEnd"/>
            <w:r w:rsidRPr="00A93DD3">
              <w:rPr>
                <w:rFonts w:ascii="Arial" w:eastAsia="Times New Roman" w:hAnsi="Arial" w:cs="Arial"/>
                <w:color w:val="000000"/>
                <w:sz w:val="20"/>
                <w:szCs w:val="18"/>
                <w:lang w:eastAsia="es-CO"/>
              </w:rPr>
              <w:t xml:space="preserve"> , Bonos y títulos hipotecarios, Derechos y Participaciones- Fondos Comunes Ordinarios)</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E46F47" w:rsidP="00E46F47">
            <w:pPr>
              <w:spacing w:after="0" w:line="240" w:lineRule="auto"/>
              <w:jc w:val="right"/>
              <w:rPr>
                <w:rFonts w:ascii="Arial" w:hAnsi="Arial" w:cs="Arial"/>
                <w:color w:val="000000"/>
                <w:sz w:val="20"/>
                <w:szCs w:val="18"/>
              </w:rPr>
            </w:pPr>
            <w:r w:rsidRPr="00E46F47">
              <w:rPr>
                <w:rFonts w:ascii="Arial" w:hAnsi="Arial" w:cs="Arial"/>
                <w:color w:val="000000"/>
                <w:sz w:val="20"/>
                <w:szCs w:val="18"/>
              </w:rPr>
              <w:t>395.862</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E46F47" w:rsidP="00E46F47">
            <w:pPr>
              <w:spacing w:after="0" w:line="240" w:lineRule="auto"/>
              <w:jc w:val="right"/>
              <w:rPr>
                <w:rFonts w:ascii="Arial" w:hAnsi="Arial" w:cs="Arial"/>
                <w:color w:val="000000"/>
                <w:sz w:val="20"/>
                <w:szCs w:val="18"/>
              </w:rPr>
            </w:pPr>
            <w:r w:rsidRPr="00E46F47">
              <w:rPr>
                <w:rFonts w:ascii="Arial" w:hAnsi="Arial" w:cs="Arial"/>
                <w:color w:val="000000"/>
                <w:sz w:val="20"/>
                <w:szCs w:val="18"/>
              </w:rPr>
              <w:t>366.646</w:t>
            </w:r>
          </w:p>
        </w:tc>
      </w:tr>
      <w:tr w:rsidR="00E46F47" w:rsidRPr="00A93DD3" w:rsidTr="0096116C">
        <w:trPr>
          <w:trHeight w:val="346"/>
          <w:jc w:val="center"/>
        </w:trPr>
        <w:tc>
          <w:tcPr>
            <w:tcW w:w="5986" w:type="dxa"/>
            <w:tcBorders>
              <w:top w:val="nil"/>
              <w:left w:val="single" w:sz="4" w:space="0" w:color="auto"/>
              <w:bottom w:val="single" w:sz="4" w:space="0" w:color="auto"/>
              <w:right w:val="single" w:sz="4" w:space="0" w:color="auto"/>
            </w:tcBorders>
            <w:shd w:val="clear" w:color="auto" w:fill="auto"/>
            <w:vAlign w:val="bottom"/>
            <w:hideMark/>
          </w:tcPr>
          <w:p w:rsidR="00E46F47" w:rsidRPr="00A93DD3" w:rsidRDefault="00E46F47" w:rsidP="00A93DD3">
            <w:pPr>
              <w:spacing w:after="0" w:line="240" w:lineRule="auto"/>
              <w:jc w:val="both"/>
              <w:rPr>
                <w:rFonts w:ascii="Arial" w:eastAsia="Times New Roman" w:hAnsi="Arial" w:cs="Arial"/>
                <w:color w:val="000000"/>
                <w:sz w:val="20"/>
                <w:szCs w:val="18"/>
                <w:lang w:eastAsia="es-CO"/>
              </w:rPr>
            </w:pPr>
            <w:r w:rsidRPr="00A93DD3">
              <w:rPr>
                <w:rFonts w:ascii="Arial" w:eastAsia="Times New Roman" w:hAnsi="Arial" w:cs="Arial"/>
                <w:color w:val="000000"/>
                <w:sz w:val="20"/>
                <w:szCs w:val="18"/>
                <w:lang w:eastAsia="es-CO"/>
              </w:rPr>
              <w:t>OTRAS INVERSIONES (Aportes en Cooperativas y Derechos de recompra inversiones negociadas</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E46F47" w:rsidP="00E46F47">
            <w:pPr>
              <w:spacing w:after="0" w:line="240" w:lineRule="auto"/>
              <w:jc w:val="right"/>
              <w:rPr>
                <w:rFonts w:ascii="Arial" w:hAnsi="Arial" w:cs="Arial"/>
                <w:color w:val="000000"/>
                <w:sz w:val="20"/>
                <w:szCs w:val="18"/>
              </w:rPr>
            </w:pPr>
            <w:r w:rsidRPr="00E46F47">
              <w:rPr>
                <w:rFonts w:ascii="Arial" w:hAnsi="Arial" w:cs="Arial"/>
                <w:color w:val="000000"/>
                <w:sz w:val="20"/>
                <w:szCs w:val="18"/>
              </w:rPr>
              <w:t>44.454</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E46F47" w:rsidP="00E46F47">
            <w:pPr>
              <w:spacing w:after="0" w:line="240" w:lineRule="auto"/>
              <w:jc w:val="right"/>
              <w:rPr>
                <w:rFonts w:ascii="Arial" w:hAnsi="Arial" w:cs="Arial"/>
                <w:color w:val="000000"/>
                <w:sz w:val="20"/>
                <w:szCs w:val="18"/>
              </w:rPr>
            </w:pPr>
            <w:r w:rsidRPr="00E46F47">
              <w:rPr>
                <w:rFonts w:ascii="Arial" w:hAnsi="Arial" w:cs="Arial"/>
                <w:color w:val="000000"/>
                <w:sz w:val="20"/>
                <w:szCs w:val="18"/>
              </w:rPr>
              <w:t>44.474</w:t>
            </w:r>
          </w:p>
        </w:tc>
      </w:tr>
      <w:tr w:rsidR="00E46F47" w:rsidRPr="00A93DD3" w:rsidTr="00E26D16">
        <w:trPr>
          <w:trHeight w:val="300"/>
          <w:jc w:val="center"/>
        </w:trPr>
        <w:tc>
          <w:tcPr>
            <w:tcW w:w="5986" w:type="dxa"/>
            <w:tcBorders>
              <w:top w:val="nil"/>
              <w:left w:val="single" w:sz="4" w:space="0" w:color="auto"/>
              <w:bottom w:val="single" w:sz="4" w:space="0" w:color="auto"/>
              <w:right w:val="single" w:sz="4" w:space="0" w:color="auto"/>
            </w:tcBorders>
            <w:shd w:val="clear" w:color="auto" w:fill="auto"/>
            <w:noWrap/>
            <w:vAlign w:val="bottom"/>
            <w:hideMark/>
          </w:tcPr>
          <w:p w:rsidR="00E46F47" w:rsidRPr="00A93DD3" w:rsidRDefault="00E46F47" w:rsidP="00A93DD3">
            <w:pPr>
              <w:spacing w:after="0" w:line="240" w:lineRule="auto"/>
              <w:rPr>
                <w:rFonts w:ascii="Arial" w:eastAsia="Times New Roman" w:hAnsi="Arial" w:cs="Arial"/>
                <w:b/>
                <w:color w:val="000000"/>
                <w:sz w:val="20"/>
                <w:szCs w:val="18"/>
                <w:lang w:eastAsia="es-CO"/>
              </w:rPr>
            </w:pPr>
            <w:r w:rsidRPr="00A93DD3">
              <w:rPr>
                <w:rFonts w:ascii="Arial" w:eastAsia="Times New Roman" w:hAnsi="Arial" w:cs="Arial"/>
                <w:b/>
                <w:color w:val="000000"/>
                <w:sz w:val="20"/>
                <w:szCs w:val="18"/>
                <w:lang w:eastAsia="es-CO"/>
              </w:rPr>
              <w:t>TOTAL</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3D04BD" w:rsidP="00E46F47">
            <w:pPr>
              <w:spacing w:after="0" w:line="240" w:lineRule="auto"/>
              <w:jc w:val="right"/>
              <w:rPr>
                <w:rFonts w:ascii="Arial" w:hAnsi="Arial" w:cs="Arial"/>
                <w:b/>
                <w:color w:val="000000"/>
                <w:sz w:val="20"/>
                <w:szCs w:val="18"/>
              </w:rPr>
            </w:pPr>
            <w:r>
              <w:rPr>
                <w:rFonts w:ascii="Arial" w:hAnsi="Arial" w:cs="Arial"/>
                <w:b/>
                <w:color w:val="000000"/>
                <w:sz w:val="20"/>
                <w:szCs w:val="18"/>
              </w:rPr>
              <w:t>744.344</w:t>
            </w:r>
          </w:p>
        </w:tc>
        <w:tc>
          <w:tcPr>
            <w:tcW w:w="1200" w:type="dxa"/>
            <w:tcBorders>
              <w:top w:val="nil"/>
              <w:left w:val="nil"/>
              <w:bottom w:val="single" w:sz="4" w:space="0" w:color="auto"/>
              <w:right w:val="single" w:sz="4" w:space="0" w:color="auto"/>
            </w:tcBorders>
            <w:shd w:val="clear" w:color="auto" w:fill="auto"/>
            <w:noWrap/>
            <w:vAlign w:val="center"/>
            <w:hideMark/>
          </w:tcPr>
          <w:p w:rsidR="00E46F47" w:rsidRPr="00E46F47" w:rsidRDefault="00E46F47" w:rsidP="00E46F47">
            <w:pPr>
              <w:spacing w:after="0" w:line="240" w:lineRule="auto"/>
              <w:jc w:val="right"/>
              <w:rPr>
                <w:rFonts w:ascii="Arial" w:hAnsi="Arial" w:cs="Arial"/>
                <w:b/>
                <w:color w:val="000000"/>
                <w:sz w:val="20"/>
                <w:szCs w:val="18"/>
              </w:rPr>
            </w:pPr>
            <w:r w:rsidRPr="00E46F47">
              <w:rPr>
                <w:rFonts w:ascii="Arial" w:hAnsi="Arial" w:cs="Arial"/>
                <w:b/>
                <w:color w:val="000000"/>
                <w:sz w:val="20"/>
                <w:szCs w:val="18"/>
              </w:rPr>
              <w:t>758.868</w:t>
            </w:r>
          </w:p>
        </w:tc>
      </w:tr>
    </w:tbl>
    <w:p w:rsidR="00A60184" w:rsidRPr="00530BFA" w:rsidRDefault="00A60184" w:rsidP="00A60184">
      <w:pPr>
        <w:pStyle w:val="Prrafodelista"/>
        <w:widowControl w:val="0"/>
        <w:spacing w:after="0" w:line="240" w:lineRule="auto"/>
        <w:ind w:left="567"/>
        <w:rPr>
          <w:rFonts w:ascii="Arial" w:hAnsi="Arial" w:cs="Arial"/>
          <w:color w:val="000000"/>
          <w:sz w:val="28"/>
        </w:rPr>
      </w:pPr>
      <w:r w:rsidRPr="00530BFA">
        <w:rPr>
          <w:rFonts w:ascii="Arial" w:hAnsi="Arial" w:cs="Arial"/>
          <w:color w:val="000000"/>
          <w:sz w:val="20"/>
          <w:szCs w:val="16"/>
        </w:rPr>
        <w:t>FUENTE: Información reportada por las EPS</w:t>
      </w:r>
      <w:r>
        <w:rPr>
          <w:rFonts w:ascii="Arial" w:hAnsi="Arial" w:cs="Arial"/>
          <w:color w:val="000000"/>
          <w:sz w:val="20"/>
          <w:szCs w:val="16"/>
        </w:rPr>
        <w:t xml:space="preserve"> – Circular Única</w:t>
      </w:r>
    </w:p>
    <w:p w:rsidR="00A93DD3" w:rsidRDefault="00A93DD3" w:rsidP="0096116C">
      <w:pPr>
        <w:widowControl w:val="0"/>
        <w:spacing w:after="0" w:line="240" w:lineRule="auto"/>
        <w:jc w:val="both"/>
        <w:rPr>
          <w:rFonts w:ascii="Arial" w:hAnsi="Arial" w:cs="Arial"/>
        </w:rPr>
      </w:pPr>
    </w:p>
    <w:p w:rsidR="0030585E" w:rsidRDefault="00C03E69" w:rsidP="0096116C">
      <w:pPr>
        <w:widowControl w:val="0"/>
        <w:spacing w:after="0" w:line="240" w:lineRule="auto"/>
        <w:jc w:val="both"/>
        <w:rPr>
          <w:rFonts w:ascii="Arial" w:hAnsi="Arial" w:cs="Arial"/>
        </w:rPr>
      </w:pPr>
      <w:r>
        <w:rPr>
          <w:rFonts w:ascii="Arial" w:hAnsi="Arial" w:cs="Arial"/>
        </w:rPr>
        <w:t>Las inversiones se incrementaron en $</w:t>
      </w:r>
      <w:r w:rsidR="00D8255E">
        <w:rPr>
          <w:rFonts w:ascii="Arial" w:hAnsi="Arial" w:cs="Arial"/>
        </w:rPr>
        <w:t>14.525</w:t>
      </w:r>
      <w:r w:rsidR="00717C46">
        <w:rPr>
          <w:rFonts w:ascii="Arial" w:hAnsi="Arial" w:cs="Arial"/>
        </w:rPr>
        <w:t xml:space="preserve"> millones, equivalente al </w:t>
      </w:r>
      <w:r w:rsidR="00D8255E">
        <w:rPr>
          <w:rFonts w:ascii="Arial" w:hAnsi="Arial" w:cs="Arial"/>
        </w:rPr>
        <w:t>2</w:t>
      </w:r>
      <w:r w:rsidR="00717C46">
        <w:rPr>
          <w:rFonts w:ascii="Arial" w:hAnsi="Arial" w:cs="Arial"/>
        </w:rPr>
        <w:t xml:space="preserve">%, resaltando los Títulos de Tesorería – TES </w:t>
      </w:r>
      <w:r w:rsidR="0030585E">
        <w:rPr>
          <w:rFonts w:ascii="Arial" w:hAnsi="Arial" w:cs="Arial"/>
        </w:rPr>
        <w:t xml:space="preserve">los cuales </w:t>
      </w:r>
      <w:r w:rsidR="00D8255E">
        <w:rPr>
          <w:rFonts w:ascii="Arial" w:hAnsi="Arial" w:cs="Arial"/>
        </w:rPr>
        <w:t>aumentaron $47.267 millones</w:t>
      </w:r>
      <w:r w:rsidR="0030585E">
        <w:rPr>
          <w:rFonts w:ascii="Arial" w:hAnsi="Arial" w:cs="Arial"/>
        </w:rPr>
        <w:t>.</w:t>
      </w:r>
    </w:p>
    <w:p w:rsidR="001B7A96" w:rsidRDefault="001B7A96" w:rsidP="0096116C">
      <w:pPr>
        <w:widowControl w:val="0"/>
        <w:spacing w:after="0" w:line="240" w:lineRule="auto"/>
        <w:jc w:val="both"/>
        <w:rPr>
          <w:rFonts w:ascii="Arial" w:hAnsi="Arial" w:cs="Arial"/>
        </w:rPr>
      </w:pPr>
    </w:p>
    <w:p w:rsidR="001B7A96" w:rsidRDefault="001B7A96" w:rsidP="0096116C">
      <w:pPr>
        <w:widowControl w:val="0"/>
        <w:spacing w:after="0" w:line="240" w:lineRule="auto"/>
        <w:jc w:val="both"/>
        <w:rPr>
          <w:rFonts w:ascii="Arial" w:hAnsi="Arial" w:cs="Arial"/>
        </w:rPr>
      </w:pPr>
      <w:r>
        <w:rPr>
          <w:rFonts w:ascii="Arial" w:hAnsi="Arial" w:cs="Arial"/>
        </w:rPr>
        <w:t xml:space="preserve">Además, </w:t>
      </w:r>
      <w:r w:rsidR="009C73D9">
        <w:rPr>
          <w:rFonts w:ascii="Arial" w:hAnsi="Arial" w:cs="Arial"/>
        </w:rPr>
        <w:t xml:space="preserve">en marzo de 2011 </w:t>
      </w:r>
      <w:r>
        <w:rPr>
          <w:rFonts w:ascii="Arial" w:hAnsi="Arial" w:cs="Arial"/>
        </w:rPr>
        <w:t xml:space="preserve">las Inversiones Obligatorias de Reservas Técnicas </w:t>
      </w:r>
      <w:r w:rsidR="009C73D9">
        <w:rPr>
          <w:rFonts w:ascii="Arial" w:hAnsi="Arial" w:cs="Arial"/>
        </w:rPr>
        <w:t xml:space="preserve">presentan una disminución </w:t>
      </w:r>
      <w:r w:rsidR="0028416C">
        <w:rPr>
          <w:rFonts w:ascii="Arial" w:hAnsi="Arial" w:cs="Arial"/>
        </w:rPr>
        <w:t xml:space="preserve">de $29.216 millones, esto es, el 7% </w:t>
      </w:r>
      <w:r w:rsidR="009C73D9">
        <w:rPr>
          <w:rFonts w:ascii="Arial" w:hAnsi="Arial" w:cs="Arial"/>
        </w:rPr>
        <w:t>frente a diciembre de 2010.</w:t>
      </w:r>
    </w:p>
    <w:p w:rsidR="00052013" w:rsidRDefault="00052013" w:rsidP="0096116C">
      <w:pPr>
        <w:widowControl w:val="0"/>
        <w:spacing w:after="0" w:line="240" w:lineRule="auto"/>
        <w:jc w:val="both"/>
        <w:rPr>
          <w:rFonts w:ascii="Arial" w:hAnsi="Arial" w:cs="Arial"/>
        </w:rPr>
      </w:pPr>
    </w:p>
    <w:p w:rsidR="00F94E25" w:rsidRDefault="00C21E43" w:rsidP="0096116C">
      <w:pPr>
        <w:widowControl w:val="0"/>
        <w:spacing w:after="0" w:line="240" w:lineRule="auto"/>
        <w:jc w:val="both"/>
        <w:rPr>
          <w:rFonts w:ascii="Arial" w:hAnsi="Arial" w:cs="Arial"/>
        </w:rPr>
      </w:pPr>
      <w:r>
        <w:rPr>
          <w:rFonts w:ascii="Arial" w:hAnsi="Arial" w:cs="Arial"/>
        </w:rPr>
        <w:t xml:space="preserve">Para las EPS que administran Régimen Subsidiado </w:t>
      </w:r>
      <w:r w:rsidR="00F5047D">
        <w:rPr>
          <w:rFonts w:ascii="Arial" w:hAnsi="Arial" w:cs="Arial"/>
        </w:rPr>
        <w:t xml:space="preserve">no existe norma que regule las </w:t>
      </w:r>
      <w:r>
        <w:rPr>
          <w:rFonts w:ascii="Arial" w:hAnsi="Arial" w:cs="Arial"/>
        </w:rPr>
        <w:t>inversiones</w:t>
      </w:r>
      <w:r w:rsidR="00F94E25">
        <w:rPr>
          <w:rFonts w:ascii="Arial" w:hAnsi="Arial" w:cs="Arial"/>
        </w:rPr>
        <w:t>. El comportamiento, fue el siguiente:</w:t>
      </w:r>
    </w:p>
    <w:p w:rsidR="00A60184" w:rsidRPr="0074788C" w:rsidRDefault="00A60184" w:rsidP="00A60184">
      <w:pPr>
        <w:widowControl w:val="0"/>
        <w:spacing w:after="0" w:line="240" w:lineRule="auto"/>
        <w:ind w:right="473"/>
        <w:jc w:val="right"/>
        <w:rPr>
          <w:rFonts w:ascii="Arial" w:hAnsi="Arial" w:cs="Arial"/>
          <w:sz w:val="20"/>
        </w:rPr>
      </w:pPr>
      <w:r w:rsidRPr="0074788C">
        <w:rPr>
          <w:rFonts w:ascii="Arial" w:hAnsi="Arial" w:cs="Arial"/>
          <w:sz w:val="20"/>
        </w:rPr>
        <w:t>Cifras en millones</w:t>
      </w:r>
    </w:p>
    <w:tbl>
      <w:tblPr>
        <w:tblW w:w="8338" w:type="dxa"/>
        <w:jc w:val="center"/>
        <w:tblInd w:w="55" w:type="dxa"/>
        <w:tblCellMar>
          <w:left w:w="70" w:type="dxa"/>
          <w:right w:w="70" w:type="dxa"/>
        </w:tblCellMar>
        <w:tblLook w:val="04A0" w:firstRow="1" w:lastRow="0" w:firstColumn="1" w:lastColumn="0" w:noHBand="0" w:noVBand="1"/>
      </w:tblPr>
      <w:tblGrid>
        <w:gridCol w:w="5729"/>
        <w:gridCol w:w="1289"/>
        <w:gridCol w:w="1320"/>
      </w:tblGrid>
      <w:tr w:rsidR="00F66CE6" w:rsidRPr="00F66CE6" w:rsidTr="00F66CE6">
        <w:trPr>
          <w:trHeight w:val="300"/>
          <w:jc w:val="center"/>
        </w:trPr>
        <w:tc>
          <w:tcPr>
            <w:tcW w:w="5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CE6" w:rsidRPr="00F66CE6" w:rsidRDefault="00F66CE6" w:rsidP="00F66CE6">
            <w:pPr>
              <w:spacing w:after="0" w:line="240" w:lineRule="auto"/>
              <w:rPr>
                <w:rFonts w:ascii="Arial" w:eastAsia="Times New Roman" w:hAnsi="Arial" w:cs="Arial"/>
                <w:b/>
                <w:color w:val="000000" w:themeColor="text1"/>
                <w:sz w:val="20"/>
                <w:szCs w:val="20"/>
                <w:lang w:eastAsia="es-CO"/>
              </w:rPr>
            </w:pPr>
            <w:r w:rsidRPr="00F66CE6">
              <w:rPr>
                <w:rFonts w:ascii="Arial" w:eastAsia="Times New Roman" w:hAnsi="Arial" w:cs="Arial"/>
                <w:b/>
                <w:color w:val="000000" w:themeColor="text1"/>
                <w:sz w:val="20"/>
                <w:szCs w:val="20"/>
                <w:lang w:eastAsia="es-CO"/>
              </w:rPr>
              <w:t>TIPO</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rsidR="00F66CE6" w:rsidRPr="00F66CE6" w:rsidRDefault="00F66CE6" w:rsidP="00F66CE6">
            <w:pPr>
              <w:spacing w:after="0" w:line="240" w:lineRule="auto"/>
              <w:jc w:val="center"/>
              <w:rPr>
                <w:rFonts w:ascii="Arial" w:eastAsia="Times New Roman" w:hAnsi="Arial" w:cs="Arial"/>
                <w:b/>
                <w:color w:val="000000" w:themeColor="text1"/>
                <w:sz w:val="20"/>
                <w:szCs w:val="20"/>
                <w:lang w:eastAsia="es-CO"/>
              </w:rPr>
            </w:pPr>
            <w:r w:rsidRPr="00F66CE6">
              <w:rPr>
                <w:rFonts w:ascii="Arial" w:eastAsia="Times New Roman" w:hAnsi="Arial" w:cs="Arial"/>
                <w:b/>
                <w:color w:val="000000" w:themeColor="text1"/>
                <w:sz w:val="20"/>
                <w:szCs w:val="20"/>
                <w:lang w:eastAsia="es-CO"/>
              </w:rPr>
              <w:t>dic-10</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F66CE6" w:rsidRPr="00F66CE6" w:rsidRDefault="00853B53" w:rsidP="001D50F6">
            <w:pPr>
              <w:spacing w:after="0" w:line="240" w:lineRule="auto"/>
              <w:jc w:val="center"/>
              <w:rPr>
                <w:rFonts w:ascii="Arial" w:eastAsia="Times New Roman" w:hAnsi="Arial" w:cs="Arial"/>
                <w:b/>
                <w:color w:val="000000" w:themeColor="text1"/>
                <w:sz w:val="20"/>
                <w:szCs w:val="20"/>
                <w:lang w:eastAsia="es-CO"/>
              </w:rPr>
            </w:pPr>
            <w:r>
              <w:rPr>
                <w:rFonts w:ascii="Arial" w:eastAsia="Times New Roman" w:hAnsi="Arial" w:cs="Arial"/>
                <w:b/>
                <w:color w:val="000000" w:themeColor="text1"/>
                <w:sz w:val="20"/>
                <w:szCs w:val="20"/>
                <w:lang w:eastAsia="es-CO"/>
              </w:rPr>
              <w:t>M</w:t>
            </w:r>
            <w:r w:rsidR="001D50F6">
              <w:rPr>
                <w:rFonts w:ascii="Arial" w:eastAsia="Times New Roman" w:hAnsi="Arial" w:cs="Arial"/>
                <w:b/>
                <w:color w:val="000000" w:themeColor="text1"/>
                <w:sz w:val="20"/>
                <w:szCs w:val="20"/>
                <w:lang w:eastAsia="es-CO"/>
              </w:rPr>
              <w:t>a</w:t>
            </w:r>
            <w:r>
              <w:rPr>
                <w:rFonts w:ascii="Arial" w:eastAsia="Times New Roman" w:hAnsi="Arial" w:cs="Arial"/>
                <w:b/>
                <w:color w:val="000000" w:themeColor="text1"/>
                <w:sz w:val="20"/>
                <w:szCs w:val="20"/>
                <w:lang w:eastAsia="es-CO"/>
              </w:rPr>
              <w:t>r</w:t>
            </w:r>
            <w:r w:rsidR="00F66CE6" w:rsidRPr="00F66CE6">
              <w:rPr>
                <w:rFonts w:ascii="Arial" w:eastAsia="Times New Roman" w:hAnsi="Arial" w:cs="Arial"/>
                <w:b/>
                <w:color w:val="000000" w:themeColor="text1"/>
                <w:sz w:val="20"/>
                <w:szCs w:val="20"/>
                <w:lang w:eastAsia="es-CO"/>
              </w:rPr>
              <w:t>-11</w:t>
            </w:r>
          </w:p>
        </w:tc>
      </w:tr>
      <w:tr w:rsidR="007C350A" w:rsidRPr="00F66CE6" w:rsidTr="007C350A">
        <w:trPr>
          <w:trHeight w:val="720"/>
          <w:jc w:val="center"/>
        </w:trPr>
        <w:tc>
          <w:tcPr>
            <w:tcW w:w="5729" w:type="dxa"/>
            <w:tcBorders>
              <w:top w:val="nil"/>
              <w:left w:val="single" w:sz="4" w:space="0" w:color="auto"/>
              <w:bottom w:val="single" w:sz="4" w:space="0" w:color="auto"/>
              <w:right w:val="single" w:sz="4" w:space="0" w:color="auto"/>
            </w:tcBorders>
            <w:shd w:val="clear" w:color="auto" w:fill="auto"/>
            <w:vAlign w:val="center"/>
            <w:hideMark/>
          </w:tcPr>
          <w:p w:rsidR="007C350A" w:rsidRPr="00F66CE6" w:rsidRDefault="007C350A" w:rsidP="00F66CE6">
            <w:pPr>
              <w:spacing w:after="0" w:line="240" w:lineRule="auto"/>
              <w:rPr>
                <w:rFonts w:ascii="Arial" w:eastAsia="Times New Roman" w:hAnsi="Arial" w:cs="Arial"/>
                <w:color w:val="000000" w:themeColor="text1"/>
                <w:sz w:val="20"/>
                <w:szCs w:val="20"/>
                <w:lang w:eastAsia="es-CO"/>
              </w:rPr>
            </w:pPr>
            <w:r w:rsidRPr="00F66CE6">
              <w:rPr>
                <w:rFonts w:ascii="Arial" w:eastAsia="Times New Roman" w:hAnsi="Arial" w:cs="Arial"/>
                <w:color w:val="000000" w:themeColor="text1"/>
                <w:sz w:val="20"/>
                <w:szCs w:val="20"/>
                <w:lang w:eastAsia="es-CO"/>
              </w:rPr>
              <w:t>INVERSIONES ADMINISTRACION DE LIQU</w:t>
            </w:r>
            <w:r w:rsidRPr="002B1497">
              <w:rPr>
                <w:rFonts w:ascii="Arial" w:eastAsia="Times New Roman" w:hAnsi="Arial" w:cs="Arial"/>
                <w:color w:val="000000" w:themeColor="text1"/>
                <w:sz w:val="20"/>
                <w:szCs w:val="20"/>
                <w:lang w:eastAsia="es-CO"/>
              </w:rPr>
              <w:t>IDEZ EN TITULOS PARTICIPACION (</w:t>
            </w:r>
            <w:r w:rsidRPr="00F66CE6">
              <w:rPr>
                <w:rFonts w:ascii="Arial" w:eastAsia="Times New Roman" w:hAnsi="Arial" w:cs="Arial"/>
                <w:color w:val="000000" w:themeColor="text1"/>
                <w:sz w:val="20"/>
                <w:szCs w:val="20"/>
                <w:lang w:eastAsia="es-CO"/>
              </w:rPr>
              <w:t>Acciones, cuotas o partes de Interés Social, Derechos en Bonos o Fiducias)</w:t>
            </w:r>
          </w:p>
        </w:tc>
        <w:tc>
          <w:tcPr>
            <w:tcW w:w="1289" w:type="dxa"/>
            <w:tcBorders>
              <w:top w:val="nil"/>
              <w:left w:val="nil"/>
              <w:bottom w:val="single" w:sz="4" w:space="0" w:color="auto"/>
              <w:right w:val="single" w:sz="4" w:space="0" w:color="auto"/>
            </w:tcBorders>
            <w:shd w:val="clear" w:color="auto" w:fill="auto"/>
            <w:noWrap/>
            <w:vAlign w:val="center"/>
            <w:hideMark/>
          </w:tcPr>
          <w:p w:rsidR="007C350A" w:rsidRPr="007C350A" w:rsidRDefault="007C350A" w:rsidP="007C350A">
            <w:pPr>
              <w:spacing w:after="0" w:line="240" w:lineRule="auto"/>
              <w:jc w:val="right"/>
              <w:rPr>
                <w:rFonts w:ascii="Arial" w:hAnsi="Arial" w:cs="Arial"/>
                <w:sz w:val="20"/>
                <w:szCs w:val="18"/>
              </w:rPr>
            </w:pPr>
            <w:r w:rsidRPr="007C350A">
              <w:rPr>
                <w:rFonts w:ascii="Arial" w:hAnsi="Arial" w:cs="Arial"/>
                <w:sz w:val="20"/>
                <w:szCs w:val="18"/>
              </w:rPr>
              <w:t>1.156</w:t>
            </w:r>
          </w:p>
        </w:tc>
        <w:tc>
          <w:tcPr>
            <w:tcW w:w="1320" w:type="dxa"/>
            <w:tcBorders>
              <w:top w:val="nil"/>
              <w:left w:val="nil"/>
              <w:bottom w:val="single" w:sz="4" w:space="0" w:color="auto"/>
              <w:right w:val="single" w:sz="4" w:space="0" w:color="auto"/>
            </w:tcBorders>
            <w:shd w:val="clear" w:color="auto" w:fill="auto"/>
            <w:noWrap/>
            <w:vAlign w:val="center"/>
            <w:hideMark/>
          </w:tcPr>
          <w:p w:rsidR="007C350A" w:rsidRPr="007C350A" w:rsidRDefault="007C350A" w:rsidP="007C350A">
            <w:pPr>
              <w:spacing w:after="0" w:line="240" w:lineRule="auto"/>
              <w:jc w:val="right"/>
              <w:rPr>
                <w:rFonts w:ascii="Arial" w:hAnsi="Arial" w:cs="Arial"/>
                <w:sz w:val="20"/>
                <w:szCs w:val="18"/>
              </w:rPr>
            </w:pPr>
            <w:r w:rsidRPr="007C350A">
              <w:rPr>
                <w:rFonts w:ascii="Arial" w:hAnsi="Arial" w:cs="Arial"/>
                <w:sz w:val="20"/>
                <w:szCs w:val="18"/>
              </w:rPr>
              <w:t>1.156</w:t>
            </w:r>
          </w:p>
        </w:tc>
      </w:tr>
      <w:tr w:rsidR="007C350A" w:rsidRPr="00F66CE6" w:rsidTr="007C350A">
        <w:trPr>
          <w:trHeight w:val="480"/>
          <w:jc w:val="center"/>
        </w:trPr>
        <w:tc>
          <w:tcPr>
            <w:tcW w:w="5729" w:type="dxa"/>
            <w:tcBorders>
              <w:top w:val="nil"/>
              <w:left w:val="single" w:sz="4" w:space="0" w:color="auto"/>
              <w:bottom w:val="single" w:sz="4" w:space="0" w:color="auto"/>
              <w:right w:val="single" w:sz="4" w:space="0" w:color="auto"/>
            </w:tcBorders>
            <w:shd w:val="clear" w:color="auto" w:fill="auto"/>
            <w:vAlign w:val="center"/>
            <w:hideMark/>
          </w:tcPr>
          <w:p w:rsidR="007C350A" w:rsidRPr="00F66CE6" w:rsidRDefault="007C350A" w:rsidP="002B1497">
            <w:pPr>
              <w:spacing w:after="0" w:line="240" w:lineRule="auto"/>
              <w:rPr>
                <w:rFonts w:ascii="Arial" w:eastAsia="Times New Roman" w:hAnsi="Arial" w:cs="Arial"/>
                <w:color w:val="000000" w:themeColor="text1"/>
                <w:sz w:val="20"/>
                <w:szCs w:val="20"/>
                <w:lang w:eastAsia="es-CO"/>
              </w:rPr>
            </w:pPr>
            <w:r w:rsidRPr="00F66CE6">
              <w:rPr>
                <w:rFonts w:ascii="Arial" w:eastAsia="Times New Roman" w:hAnsi="Arial" w:cs="Arial"/>
                <w:color w:val="000000" w:themeColor="text1"/>
                <w:sz w:val="20"/>
                <w:szCs w:val="20"/>
                <w:lang w:eastAsia="es-CO"/>
              </w:rPr>
              <w:t xml:space="preserve">INVERSIONES ADMISIBLES (CDT, </w:t>
            </w:r>
            <w:r w:rsidRPr="002B1497">
              <w:rPr>
                <w:rFonts w:ascii="Arial" w:eastAsia="Times New Roman" w:hAnsi="Arial" w:cs="Arial"/>
                <w:color w:val="000000" w:themeColor="text1"/>
                <w:sz w:val="20"/>
                <w:szCs w:val="20"/>
                <w:lang w:eastAsia="es-CO"/>
              </w:rPr>
              <w:t>Títulos</w:t>
            </w:r>
            <w:r w:rsidRPr="00F66CE6">
              <w:rPr>
                <w:rFonts w:ascii="Arial" w:eastAsia="Times New Roman" w:hAnsi="Arial" w:cs="Arial"/>
                <w:color w:val="000000" w:themeColor="text1"/>
                <w:sz w:val="20"/>
                <w:szCs w:val="20"/>
                <w:lang w:eastAsia="es-CO"/>
              </w:rPr>
              <w:t xml:space="preserve"> de </w:t>
            </w:r>
            <w:r w:rsidRPr="002B1497">
              <w:rPr>
                <w:rFonts w:ascii="Arial" w:eastAsia="Times New Roman" w:hAnsi="Arial" w:cs="Arial"/>
                <w:color w:val="000000" w:themeColor="text1"/>
                <w:sz w:val="20"/>
                <w:szCs w:val="20"/>
                <w:lang w:eastAsia="es-CO"/>
              </w:rPr>
              <w:t>Tesorería</w:t>
            </w:r>
            <w:r w:rsidRPr="00F66CE6">
              <w:rPr>
                <w:rFonts w:ascii="Arial" w:eastAsia="Times New Roman" w:hAnsi="Arial" w:cs="Arial"/>
                <w:color w:val="000000" w:themeColor="text1"/>
                <w:sz w:val="20"/>
                <w:szCs w:val="20"/>
                <w:lang w:eastAsia="es-CO"/>
              </w:rPr>
              <w:t>, Derechos Fiduciarios)</w:t>
            </w:r>
          </w:p>
        </w:tc>
        <w:tc>
          <w:tcPr>
            <w:tcW w:w="1289" w:type="dxa"/>
            <w:tcBorders>
              <w:top w:val="nil"/>
              <w:left w:val="nil"/>
              <w:bottom w:val="single" w:sz="4" w:space="0" w:color="auto"/>
              <w:right w:val="single" w:sz="4" w:space="0" w:color="auto"/>
            </w:tcBorders>
            <w:shd w:val="clear" w:color="auto" w:fill="auto"/>
            <w:noWrap/>
            <w:vAlign w:val="center"/>
            <w:hideMark/>
          </w:tcPr>
          <w:p w:rsidR="007C350A" w:rsidRPr="007C350A" w:rsidRDefault="007C350A" w:rsidP="007C350A">
            <w:pPr>
              <w:spacing w:after="0" w:line="240" w:lineRule="auto"/>
              <w:jc w:val="right"/>
              <w:rPr>
                <w:rFonts w:ascii="Arial" w:hAnsi="Arial" w:cs="Arial"/>
                <w:sz w:val="20"/>
                <w:szCs w:val="18"/>
              </w:rPr>
            </w:pPr>
            <w:r w:rsidRPr="007C350A">
              <w:rPr>
                <w:rFonts w:ascii="Arial" w:hAnsi="Arial" w:cs="Arial"/>
                <w:sz w:val="20"/>
                <w:szCs w:val="18"/>
              </w:rPr>
              <w:t>27.915</w:t>
            </w:r>
          </w:p>
        </w:tc>
        <w:tc>
          <w:tcPr>
            <w:tcW w:w="1320" w:type="dxa"/>
            <w:tcBorders>
              <w:top w:val="nil"/>
              <w:left w:val="nil"/>
              <w:bottom w:val="single" w:sz="4" w:space="0" w:color="auto"/>
              <w:right w:val="single" w:sz="4" w:space="0" w:color="auto"/>
            </w:tcBorders>
            <w:shd w:val="clear" w:color="auto" w:fill="auto"/>
            <w:noWrap/>
            <w:vAlign w:val="center"/>
            <w:hideMark/>
          </w:tcPr>
          <w:p w:rsidR="007C350A" w:rsidRPr="007C350A" w:rsidRDefault="007C350A" w:rsidP="007C350A">
            <w:pPr>
              <w:spacing w:after="0" w:line="240" w:lineRule="auto"/>
              <w:jc w:val="right"/>
              <w:rPr>
                <w:rFonts w:ascii="Arial" w:hAnsi="Arial" w:cs="Arial"/>
                <w:sz w:val="20"/>
                <w:szCs w:val="18"/>
              </w:rPr>
            </w:pPr>
            <w:r w:rsidRPr="007C350A">
              <w:rPr>
                <w:rFonts w:ascii="Arial" w:hAnsi="Arial" w:cs="Arial"/>
                <w:sz w:val="20"/>
                <w:szCs w:val="18"/>
              </w:rPr>
              <w:t>22.708</w:t>
            </w:r>
          </w:p>
        </w:tc>
      </w:tr>
      <w:tr w:rsidR="007C350A" w:rsidRPr="00F66CE6" w:rsidTr="007C350A">
        <w:trPr>
          <w:trHeight w:val="480"/>
          <w:jc w:val="center"/>
        </w:trPr>
        <w:tc>
          <w:tcPr>
            <w:tcW w:w="5729" w:type="dxa"/>
            <w:tcBorders>
              <w:top w:val="nil"/>
              <w:left w:val="single" w:sz="4" w:space="0" w:color="auto"/>
              <w:bottom w:val="single" w:sz="4" w:space="0" w:color="auto"/>
              <w:right w:val="single" w:sz="4" w:space="0" w:color="auto"/>
            </w:tcBorders>
            <w:shd w:val="clear" w:color="auto" w:fill="auto"/>
            <w:vAlign w:val="center"/>
            <w:hideMark/>
          </w:tcPr>
          <w:p w:rsidR="007C350A" w:rsidRPr="00F66CE6" w:rsidRDefault="007C350A" w:rsidP="002B1497">
            <w:pPr>
              <w:spacing w:after="0" w:line="240" w:lineRule="auto"/>
              <w:rPr>
                <w:rFonts w:ascii="Arial" w:eastAsia="Times New Roman" w:hAnsi="Arial" w:cs="Arial"/>
                <w:color w:val="000000" w:themeColor="text1"/>
                <w:sz w:val="20"/>
                <w:szCs w:val="20"/>
                <w:lang w:eastAsia="es-CO"/>
              </w:rPr>
            </w:pPr>
            <w:r w:rsidRPr="00F66CE6">
              <w:rPr>
                <w:rFonts w:ascii="Arial" w:eastAsia="Times New Roman" w:hAnsi="Arial" w:cs="Arial"/>
                <w:color w:val="000000" w:themeColor="text1"/>
                <w:sz w:val="20"/>
                <w:szCs w:val="20"/>
                <w:lang w:eastAsia="es-CO"/>
              </w:rPr>
              <w:t xml:space="preserve">INVERSIONES OBLIGATORIAS (CDT, </w:t>
            </w:r>
            <w:r w:rsidRPr="002B1497">
              <w:rPr>
                <w:rFonts w:ascii="Arial" w:eastAsia="Times New Roman" w:hAnsi="Arial" w:cs="Arial"/>
                <w:color w:val="000000" w:themeColor="text1"/>
                <w:sz w:val="20"/>
                <w:szCs w:val="20"/>
                <w:lang w:eastAsia="es-CO"/>
              </w:rPr>
              <w:t>Títulos</w:t>
            </w:r>
            <w:r w:rsidRPr="00F66CE6">
              <w:rPr>
                <w:rFonts w:ascii="Arial" w:eastAsia="Times New Roman" w:hAnsi="Arial" w:cs="Arial"/>
                <w:color w:val="000000" w:themeColor="text1"/>
                <w:sz w:val="20"/>
                <w:szCs w:val="20"/>
                <w:lang w:eastAsia="es-CO"/>
              </w:rPr>
              <w:t xml:space="preserve"> de </w:t>
            </w:r>
            <w:r w:rsidRPr="002B1497">
              <w:rPr>
                <w:rFonts w:ascii="Arial" w:eastAsia="Times New Roman" w:hAnsi="Arial" w:cs="Arial"/>
                <w:color w:val="000000" w:themeColor="text1"/>
                <w:sz w:val="20"/>
                <w:szCs w:val="20"/>
                <w:lang w:eastAsia="es-CO"/>
              </w:rPr>
              <w:t>Tesorería</w:t>
            </w:r>
            <w:r w:rsidRPr="00F66CE6">
              <w:rPr>
                <w:rFonts w:ascii="Arial" w:eastAsia="Times New Roman" w:hAnsi="Arial" w:cs="Arial"/>
                <w:color w:val="000000" w:themeColor="text1"/>
                <w:sz w:val="20"/>
                <w:szCs w:val="20"/>
                <w:lang w:eastAsia="es-CO"/>
              </w:rPr>
              <w:t>, Derechos Fiduciarios)</w:t>
            </w:r>
          </w:p>
        </w:tc>
        <w:tc>
          <w:tcPr>
            <w:tcW w:w="1289" w:type="dxa"/>
            <w:tcBorders>
              <w:top w:val="nil"/>
              <w:left w:val="nil"/>
              <w:bottom w:val="single" w:sz="4" w:space="0" w:color="auto"/>
              <w:right w:val="single" w:sz="4" w:space="0" w:color="auto"/>
            </w:tcBorders>
            <w:shd w:val="clear" w:color="auto" w:fill="auto"/>
            <w:noWrap/>
            <w:vAlign w:val="center"/>
            <w:hideMark/>
          </w:tcPr>
          <w:p w:rsidR="007C350A" w:rsidRPr="007C350A" w:rsidRDefault="007C350A" w:rsidP="007C350A">
            <w:pPr>
              <w:spacing w:after="0" w:line="240" w:lineRule="auto"/>
              <w:jc w:val="right"/>
              <w:rPr>
                <w:rFonts w:ascii="Arial" w:hAnsi="Arial" w:cs="Arial"/>
                <w:sz w:val="20"/>
                <w:szCs w:val="18"/>
              </w:rPr>
            </w:pPr>
            <w:r w:rsidRPr="007C350A">
              <w:rPr>
                <w:rFonts w:ascii="Arial" w:hAnsi="Arial" w:cs="Arial"/>
                <w:sz w:val="20"/>
                <w:szCs w:val="18"/>
              </w:rPr>
              <w:t>9.695</w:t>
            </w:r>
          </w:p>
        </w:tc>
        <w:tc>
          <w:tcPr>
            <w:tcW w:w="1320" w:type="dxa"/>
            <w:tcBorders>
              <w:top w:val="nil"/>
              <w:left w:val="nil"/>
              <w:bottom w:val="single" w:sz="4" w:space="0" w:color="auto"/>
              <w:right w:val="single" w:sz="4" w:space="0" w:color="auto"/>
            </w:tcBorders>
            <w:shd w:val="clear" w:color="auto" w:fill="auto"/>
            <w:noWrap/>
            <w:vAlign w:val="center"/>
            <w:hideMark/>
          </w:tcPr>
          <w:p w:rsidR="007C350A" w:rsidRPr="007C350A" w:rsidRDefault="007C350A" w:rsidP="007C350A">
            <w:pPr>
              <w:spacing w:after="0" w:line="240" w:lineRule="auto"/>
              <w:jc w:val="right"/>
              <w:rPr>
                <w:rFonts w:ascii="Arial" w:hAnsi="Arial" w:cs="Arial"/>
                <w:sz w:val="20"/>
                <w:szCs w:val="18"/>
              </w:rPr>
            </w:pPr>
            <w:r w:rsidRPr="007C350A">
              <w:rPr>
                <w:rFonts w:ascii="Arial" w:hAnsi="Arial" w:cs="Arial"/>
                <w:sz w:val="20"/>
                <w:szCs w:val="18"/>
              </w:rPr>
              <w:t>6.107</w:t>
            </w:r>
          </w:p>
        </w:tc>
      </w:tr>
      <w:tr w:rsidR="007C350A" w:rsidRPr="00F66CE6" w:rsidTr="007C350A">
        <w:trPr>
          <w:trHeight w:val="300"/>
          <w:jc w:val="center"/>
        </w:trPr>
        <w:tc>
          <w:tcPr>
            <w:tcW w:w="5729" w:type="dxa"/>
            <w:tcBorders>
              <w:top w:val="nil"/>
              <w:left w:val="single" w:sz="4" w:space="0" w:color="auto"/>
              <w:bottom w:val="single" w:sz="4" w:space="0" w:color="auto"/>
              <w:right w:val="single" w:sz="4" w:space="0" w:color="auto"/>
            </w:tcBorders>
            <w:shd w:val="clear" w:color="auto" w:fill="auto"/>
            <w:vAlign w:val="center"/>
            <w:hideMark/>
          </w:tcPr>
          <w:p w:rsidR="007C350A" w:rsidRPr="00F66CE6" w:rsidRDefault="007C350A" w:rsidP="00F66CE6">
            <w:pPr>
              <w:spacing w:after="0" w:line="240" w:lineRule="auto"/>
              <w:rPr>
                <w:rFonts w:ascii="Arial" w:eastAsia="Times New Roman" w:hAnsi="Arial" w:cs="Arial"/>
                <w:b/>
                <w:color w:val="000000" w:themeColor="text1"/>
                <w:sz w:val="20"/>
                <w:szCs w:val="20"/>
                <w:lang w:eastAsia="es-CO"/>
              </w:rPr>
            </w:pPr>
            <w:r w:rsidRPr="00F66CE6">
              <w:rPr>
                <w:rFonts w:ascii="Arial" w:eastAsia="Times New Roman" w:hAnsi="Arial" w:cs="Arial"/>
                <w:b/>
                <w:color w:val="000000" w:themeColor="text1"/>
                <w:sz w:val="20"/>
                <w:szCs w:val="20"/>
                <w:lang w:eastAsia="es-CO"/>
              </w:rPr>
              <w:t>TOTAL</w:t>
            </w:r>
          </w:p>
        </w:tc>
        <w:tc>
          <w:tcPr>
            <w:tcW w:w="1289" w:type="dxa"/>
            <w:tcBorders>
              <w:top w:val="nil"/>
              <w:left w:val="nil"/>
              <w:bottom w:val="single" w:sz="4" w:space="0" w:color="auto"/>
              <w:right w:val="single" w:sz="4" w:space="0" w:color="auto"/>
            </w:tcBorders>
            <w:shd w:val="clear" w:color="auto" w:fill="auto"/>
            <w:noWrap/>
            <w:vAlign w:val="center"/>
            <w:hideMark/>
          </w:tcPr>
          <w:p w:rsidR="007C350A" w:rsidRPr="007C350A" w:rsidRDefault="007C350A" w:rsidP="007C350A">
            <w:pPr>
              <w:spacing w:after="0" w:line="240" w:lineRule="auto"/>
              <w:jc w:val="right"/>
              <w:rPr>
                <w:rFonts w:ascii="Arial" w:hAnsi="Arial" w:cs="Arial"/>
                <w:b/>
                <w:color w:val="000000"/>
                <w:sz w:val="20"/>
                <w:szCs w:val="18"/>
              </w:rPr>
            </w:pPr>
            <w:r w:rsidRPr="007C350A">
              <w:rPr>
                <w:rFonts w:ascii="Arial" w:hAnsi="Arial" w:cs="Arial"/>
                <w:b/>
                <w:color w:val="000000"/>
                <w:sz w:val="20"/>
                <w:szCs w:val="18"/>
              </w:rPr>
              <w:t>38.766</w:t>
            </w:r>
          </w:p>
        </w:tc>
        <w:tc>
          <w:tcPr>
            <w:tcW w:w="1320" w:type="dxa"/>
            <w:tcBorders>
              <w:top w:val="nil"/>
              <w:left w:val="nil"/>
              <w:bottom w:val="single" w:sz="4" w:space="0" w:color="auto"/>
              <w:right w:val="single" w:sz="4" w:space="0" w:color="auto"/>
            </w:tcBorders>
            <w:shd w:val="clear" w:color="auto" w:fill="auto"/>
            <w:noWrap/>
            <w:vAlign w:val="center"/>
            <w:hideMark/>
          </w:tcPr>
          <w:p w:rsidR="007C350A" w:rsidRPr="007C350A" w:rsidRDefault="007C350A" w:rsidP="007C350A">
            <w:pPr>
              <w:spacing w:after="0" w:line="240" w:lineRule="auto"/>
              <w:jc w:val="right"/>
              <w:rPr>
                <w:rFonts w:ascii="Arial" w:hAnsi="Arial" w:cs="Arial"/>
                <w:b/>
                <w:color w:val="000000"/>
                <w:sz w:val="20"/>
                <w:szCs w:val="18"/>
              </w:rPr>
            </w:pPr>
            <w:r w:rsidRPr="007C350A">
              <w:rPr>
                <w:rFonts w:ascii="Arial" w:hAnsi="Arial" w:cs="Arial"/>
                <w:b/>
                <w:color w:val="000000"/>
                <w:sz w:val="20"/>
                <w:szCs w:val="18"/>
              </w:rPr>
              <w:t>29.972</w:t>
            </w:r>
          </w:p>
        </w:tc>
      </w:tr>
    </w:tbl>
    <w:p w:rsidR="00A60184" w:rsidRPr="00530BFA" w:rsidRDefault="00A60184" w:rsidP="00A60184">
      <w:pPr>
        <w:pStyle w:val="Prrafodelista"/>
        <w:widowControl w:val="0"/>
        <w:spacing w:after="0" w:line="240" w:lineRule="auto"/>
        <w:ind w:left="567"/>
        <w:rPr>
          <w:rFonts w:ascii="Arial" w:hAnsi="Arial" w:cs="Arial"/>
          <w:color w:val="000000"/>
          <w:sz w:val="28"/>
        </w:rPr>
      </w:pPr>
      <w:r w:rsidRPr="00530BFA">
        <w:rPr>
          <w:rFonts w:ascii="Arial" w:hAnsi="Arial" w:cs="Arial"/>
          <w:color w:val="000000"/>
          <w:sz w:val="20"/>
          <w:szCs w:val="16"/>
        </w:rPr>
        <w:t>FUENTE: Información reportada por las EPS</w:t>
      </w:r>
      <w:r>
        <w:rPr>
          <w:rFonts w:ascii="Arial" w:hAnsi="Arial" w:cs="Arial"/>
          <w:color w:val="000000"/>
          <w:sz w:val="20"/>
          <w:szCs w:val="16"/>
        </w:rPr>
        <w:t xml:space="preserve"> – Circular Única</w:t>
      </w:r>
    </w:p>
    <w:p w:rsidR="00F66CE6" w:rsidRDefault="00F66CE6" w:rsidP="005F7502">
      <w:pPr>
        <w:widowControl w:val="0"/>
        <w:spacing w:after="0" w:line="240" w:lineRule="auto"/>
        <w:jc w:val="both"/>
        <w:rPr>
          <w:rFonts w:ascii="Arial" w:hAnsi="Arial" w:cs="Arial"/>
        </w:rPr>
      </w:pPr>
    </w:p>
    <w:p w:rsidR="005F7502" w:rsidRDefault="006E2242" w:rsidP="005F7502">
      <w:pPr>
        <w:widowControl w:val="0"/>
        <w:spacing w:after="0" w:line="240" w:lineRule="auto"/>
        <w:jc w:val="both"/>
        <w:rPr>
          <w:rFonts w:ascii="Arial" w:hAnsi="Arial" w:cs="Arial"/>
        </w:rPr>
      </w:pPr>
      <w:r>
        <w:rPr>
          <w:rFonts w:ascii="Arial" w:hAnsi="Arial" w:cs="Arial"/>
        </w:rPr>
        <w:t>En el Régimen Subsidiado, con corte a marzo de 2011, se presenta una disminución en las inversiones de $8.795</w:t>
      </w:r>
      <w:r w:rsidR="004820CC">
        <w:rPr>
          <w:rFonts w:ascii="Arial" w:hAnsi="Arial" w:cs="Arial"/>
        </w:rPr>
        <w:t xml:space="preserve"> millones</w:t>
      </w:r>
      <w:r>
        <w:rPr>
          <w:rFonts w:ascii="Arial" w:hAnsi="Arial" w:cs="Arial"/>
        </w:rPr>
        <w:t>, el 23% frente a diciembre de 2010.</w:t>
      </w:r>
    </w:p>
    <w:p w:rsidR="00F17FC3" w:rsidRDefault="00F17FC3" w:rsidP="005F7502">
      <w:pPr>
        <w:widowControl w:val="0"/>
        <w:spacing w:after="0" w:line="240" w:lineRule="auto"/>
        <w:jc w:val="both"/>
        <w:rPr>
          <w:rFonts w:ascii="Arial" w:hAnsi="Arial" w:cs="Arial"/>
        </w:rPr>
      </w:pPr>
    </w:p>
    <w:p w:rsidR="00B35F79" w:rsidRDefault="004820CC" w:rsidP="005F7502">
      <w:pPr>
        <w:widowControl w:val="0"/>
        <w:spacing w:after="0" w:line="240" w:lineRule="auto"/>
        <w:jc w:val="both"/>
        <w:rPr>
          <w:rFonts w:ascii="Arial" w:hAnsi="Arial" w:cs="Arial"/>
        </w:rPr>
      </w:pPr>
      <w:r>
        <w:rPr>
          <w:rFonts w:ascii="Arial" w:hAnsi="Arial" w:cs="Arial"/>
        </w:rPr>
        <w:t xml:space="preserve">La disminución se </w:t>
      </w:r>
      <w:r w:rsidR="00B35F79">
        <w:rPr>
          <w:rFonts w:ascii="Arial" w:hAnsi="Arial" w:cs="Arial"/>
        </w:rPr>
        <w:t>ve reflejada en las Inversiones Admisibles, con $5.207 millones, y las Inversiones Obligatorias, con $3.588 millones</w:t>
      </w:r>
      <w:r w:rsidR="00E6197C">
        <w:rPr>
          <w:rFonts w:ascii="Arial" w:hAnsi="Arial" w:cs="Arial"/>
        </w:rPr>
        <w:t>.</w:t>
      </w:r>
    </w:p>
    <w:p w:rsidR="00CF6C4C" w:rsidRPr="005F7502" w:rsidRDefault="00CF6C4C" w:rsidP="005F7502">
      <w:pPr>
        <w:widowControl w:val="0"/>
        <w:spacing w:after="0" w:line="240" w:lineRule="auto"/>
        <w:jc w:val="both"/>
        <w:rPr>
          <w:rFonts w:ascii="Arial" w:hAnsi="Arial" w:cs="Arial"/>
        </w:rPr>
      </w:pPr>
    </w:p>
    <w:p w:rsidR="007D4D78" w:rsidRPr="00B737E9" w:rsidRDefault="007D4D78" w:rsidP="00CF6C4C">
      <w:pPr>
        <w:pStyle w:val="Prrafodelista"/>
        <w:widowControl w:val="0"/>
        <w:numPr>
          <w:ilvl w:val="0"/>
          <w:numId w:val="5"/>
        </w:numPr>
        <w:spacing w:after="0" w:line="240" w:lineRule="auto"/>
        <w:ind w:left="426" w:hanging="426"/>
        <w:jc w:val="both"/>
        <w:rPr>
          <w:rFonts w:ascii="Arial" w:hAnsi="Arial" w:cs="Arial"/>
          <w:b/>
          <w:i/>
        </w:rPr>
      </w:pPr>
      <w:r w:rsidRPr="00B737E9">
        <w:rPr>
          <w:rFonts w:ascii="Arial" w:hAnsi="Arial" w:cs="Arial"/>
          <w:b/>
          <w:i/>
        </w:rPr>
        <w:t>Cuales EPS presentan indicadores que las hacen susceptibles de liquidación, cual es el número de sus afiliados, el valor de sus cuentas por pagar, el valor de sus activos corrientes y fijo</w:t>
      </w:r>
      <w:proofErr w:type="gramStart"/>
      <w:r w:rsidRPr="00B737E9">
        <w:rPr>
          <w:rFonts w:ascii="Arial" w:hAnsi="Arial" w:cs="Arial"/>
          <w:b/>
          <w:i/>
        </w:rPr>
        <w:t>?.</w:t>
      </w:r>
      <w:proofErr w:type="gramEnd"/>
    </w:p>
    <w:p w:rsidR="00E11D58" w:rsidRDefault="00E11D58" w:rsidP="00CF6C4C">
      <w:pPr>
        <w:pStyle w:val="Prrafodelista"/>
        <w:widowControl w:val="0"/>
        <w:spacing w:after="0" w:line="240" w:lineRule="auto"/>
        <w:ind w:left="426" w:hanging="426"/>
        <w:jc w:val="both"/>
        <w:rPr>
          <w:rFonts w:ascii="Arial" w:hAnsi="Arial" w:cs="Arial"/>
          <w:b/>
        </w:rPr>
      </w:pPr>
    </w:p>
    <w:p w:rsidR="001369BA" w:rsidRDefault="001369BA" w:rsidP="00CF6C4C">
      <w:pPr>
        <w:pStyle w:val="Prrafodelista"/>
        <w:widowControl w:val="0"/>
        <w:spacing w:after="0" w:line="240" w:lineRule="auto"/>
        <w:ind w:left="426" w:hanging="426"/>
        <w:jc w:val="both"/>
        <w:rPr>
          <w:rFonts w:ascii="Arial" w:hAnsi="Arial" w:cs="Arial"/>
          <w:b/>
        </w:rPr>
      </w:pPr>
    </w:p>
    <w:p w:rsidR="00EA3DAE" w:rsidRPr="00EA3DAE" w:rsidRDefault="00EA3DAE" w:rsidP="00CF6C4C">
      <w:pPr>
        <w:pStyle w:val="Prrafodelista"/>
        <w:widowControl w:val="0"/>
        <w:numPr>
          <w:ilvl w:val="0"/>
          <w:numId w:val="12"/>
        </w:numPr>
        <w:spacing w:after="0" w:line="240" w:lineRule="auto"/>
        <w:jc w:val="both"/>
        <w:rPr>
          <w:rFonts w:ascii="Arial" w:hAnsi="Arial" w:cs="Arial"/>
          <w:b/>
        </w:rPr>
      </w:pPr>
      <w:r w:rsidRPr="00EA3DAE">
        <w:rPr>
          <w:rFonts w:ascii="Arial" w:hAnsi="Arial" w:cs="Arial"/>
          <w:b/>
        </w:rPr>
        <w:t>Régimen Contributivo</w:t>
      </w:r>
    </w:p>
    <w:p w:rsidR="00EA3DAE" w:rsidRDefault="00EA3DAE" w:rsidP="00CF6C4C">
      <w:pPr>
        <w:pStyle w:val="Prrafodelista"/>
        <w:widowControl w:val="0"/>
        <w:spacing w:after="0" w:line="240" w:lineRule="auto"/>
        <w:ind w:left="0"/>
        <w:jc w:val="both"/>
        <w:rPr>
          <w:rFonts w:ascii="Arial" w:hAnsi="Arial" w:cs="Arial"/>
        </w:rPr>
      </w:pPr>
    </w:p>
    <w:p w:rsidR="00056B45" w:rsidRDefault="00056B45" w:rsidP="00CF6C4C">
      <w:pPr>
        <w:pStyle w:val="Prrafodelista"/>
        <w:widowControl w:val="0"/>
        <w:spacing w:after="0" w:line="240" w:lineRule="auto"/>
        <w:ind w:left="0"/>
        <w:jc w:val="both"/>
        <w:rPr>
          <w:rFonts w:ascii="Arial" w:hAnsi="Arial" w:cs="Arial"/>
        </w:rPr>
      </w:pPr>
      <w:r w:rsidRPr="002675F9">
        <w:rPr>
          <w:rFonts w:ascii="Arial" w:hAnsi="Arial" w:cs="Arial"/>
        </w:rPr>
        <w:t xml:space="preserve">De </w:t>
      </w:r>
      <w:r>
        <w:rPr>
          <w:rFonts w:ascii="Arial" w:hAnsi="Arial" w:cs="Arial"/>
        </w:rPr>
        <w:t xml:space="preserve">acuerdo con el reporte de Circular Única por parte de las EPS del Régimen Contributivo y una vez analizada la información financiera, </w:t>
      </w:r>
      <w:r w:rsidR="00C3190B">
        <w:rPr>
          <w:rFonts w:ascii="Arial" w:hAnsi="Arial" w:cs="Arial"/>
        </w:rPr>
        <w:t xml:space="preserve">con corte a </w:t>
      </w:r>
      <w:r w:rsidR="005441E5">
        <w:rPr>
          <w:rFonts w:ascii="Arial" w:hAnsi="Arial" w:cs="Arial"/>
        </w:rPr>
        <w:t>marzo</w:t>
      </w:r>
      <w:r w:rsidR="00C3190B">
        <w:rPr>
          <w:rFonts w:ascii="Arial" w:hAnsi="Arial" w:cs="Arial"/>
        </w:rPr>
        <w:t xml:space="preserve"> de 2011, </w:t>
      </w:r>
      <w:r>
        <w:rPr>
          <w:rFonts w:ascii="Arial" w:hAnsi="Arial" w:cs="Arial"/>
        </w:rPr>
        <w:t>relacionada con margen de solvencia y patrimonio mínimo, las siguientes entidades registran un nivel de riesgo, calificad</w:t>
      </w:r>
      <w:r w:rsidR="00B737E9">
        <w:rPr>
          <w:rFonts w:ascii="Arial" w:hAnsi="Arial" w:cs="Arial"/>
        </w:rPr>
        <w:t>o entre medio, alto y muy alto:</w:t>
      </w:r>
    </w:p>
    <w:p w:rsidR="00BE675E" w:rsidRDefault="00BE675E" w:rsidP="00B737E9">
      <w:pPr>
        <w:pStyle w:val="Prrafodelista"/>
        <w:spacing w:after="0" w:line="240" w:lineRule="auto"/>
        <w:ind w:left="0"/>
        <w:jc w:val="both"/>
        <w:rPr>
          <w:rFonts w:ascii="Arial" w:hAnsi="Arial" w:cs="Arial"/>
        </w:rPr>
      </w:pPr>
    </w:p>
    <w:tbl>
      <w:tblPr>
        <w:tblW w:w="7638"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3"/>
        <w:gridCol w:w="2410"/>
        <w:gridCol w:w="1354"/>
        <w:gridCol w:w="739"/>
        <w:gridCol w:w="862"/>
      </w:tblGrid>
      <w:tr w:rsidR="005441E5" w:rsidRPr="005441E5" w:rsidTr="005441E5">
        <w:trPr>
          <w:trHeight w:val="300"/>
          <w:jc w:val="center"/>
        </w:trPr>
        <w:tc>
          <w:tcPr>
            <w:tcW w:w="2273" w:type="dxa"/>
            <w:vMerge w:val="restart"/>
            <w:shd w:val="clear" w:color="auto" w:fill="auto"/>
            <w:noWrap/>
            <w:vAlign w:val="center"/>
            <w:hideMark/>
          </w:tcPr>
          <w:p w:rsidR="005441E5" w:rsidRPr="005441E5" w:rsidRDefault="005441E5" w:rsidP="005441E5">
            <w:pPr>
              <w:spacing w:after="0" w:line="240" w:lineRule="auto"/>
              <w:jc w:val="center"/>
              <w:rPr>
                <w:rFonts w:ascii="Arial" w:eastAsia="Times New Roman" w:hAnsi="Arial" w:cs="Arial"/>
                <w:b/>
                <w:bCs/>
                <w:color w:val="000000"/>
                <w:sz w:val="20"/>
                <w:szCs w:val="20"/>
                <w:lang w:eastAsia="es-CO"/>
              </w:rPr>
            </w:pPr>
            <w:r w:rsidRPr="005441E5">
              <w:rPr>
                <w:rFonts w:ascii="Arial" w:eastAsia="Times New Roman" w:hAnsi="Arial" w:cs="Arial"/>
                <w:b/>
                <w:bCs/>
                <w:color w:val="000000"/>
                <w:sz w:val="20"/>
                <w:szCs w:val="20"/>
                <w:lang w:eastAsia="es-CO"/>
              </w:rPr>
              <w:t>INDICADOR</w:t>
            </w:r>
          </w:p>
        </w:tc>
        <w:tc>
          <w:tcPr>
            <w:tcW w:w="2410" w:type="dxa"/>
            <w:vMerge w:val="restart"/>
            <w:shd w:val="clear" w:color="auto" w:fill="auto"/>
            <w:noWrap/>
            <w:vAlign w:val="center"/>
            <w:hideMark/>
          </w:tcPr>
          <w:p w:rsidR="005441E5" w:rsidRPr="005441E5" w:rsidRDefault="005441E5" w:rsidP="005441E5">
            <w:pPr>
              <w:spacing w:after="0" w:line="240" w:lineRule="auto"/>
              <w:jc w:val="center"/>
              <w:rPr>
                <w:rFonts w:ascii="Arial" w:eastAsia="Times New Roman" w:hAnsi="Arial" w:cs="Arial"/>
                <w:b/>
                <w:bCs/>
                <w:color w:val="000000"/>
                <w:sz w:val="20"/>
                <w:szCs w:val="20"/>
                <w:lang w:eastAsia="es-CO"/>
              </w:rPr>
            </w:pPr>
            <w:r w:rsidRPr="005441E5">
              <w:rPr>
                <w:rFonts w:ascii="Arial" w:eastAsia="Times New Roman" w:hAnsi="Arial" w:cs="Arial"/>
                <w:b/>
                <w:bCs/>
                <w:color w:val="000000"/>
                <w:sz w:val="20"/>
                <w:szCs w:val="20"/>
                <w:lang w:eastAsia="es-CO"/>
              </w:rPr>
              <w:t>MARZO 2011</w:t>
            </w:r>
          </w:p>
        </w:tc>
        <w:tc>
          <w:tcPr>
            <w:tcW w:w="2955" w:type="dxa"/>
            <w:gridSpan w:val="3"/>
            <w:shd w:val="clear" w:color="auto" w:fill="auto"/>
            <w:noWrap/>
            <w:vAlign w:val="center"/>
            <w:hideMark/>
          </w:tcPr>
          <w:p w:rsidR="005441E5" w:rsidRPr="005441E5" w:rsidRDefault="005441E5" w:rsidP="005441E5">
            <w:pPr>
              <w:spacing w:after="0" w:line="240" w:lineRule="auto"/>
              <w:jc w:val="center"/>
              <w:rPr>
                <w:rFonts w:ascii="Arial" w:eastAsia="Times New Roman" w:hAnsi="Arial" w:cs="Arial"/>
                <w:b/>
                <w:bCs/>
                <w:color w:val="000000"/>
                <w:sz w:val="20"/>
                <w:szCs w:val="20"/>
                <w:lang w:eastAsia="es-CO"/>
              </w:rPr>
            </w:pPr>
            <w:r w:rsidRPr="005441E5">
              <w:rPr>
                <w:rFonts w:ascii="Arial" w:eastAsia="Times New Roman" w:hAnsi="Arial" w:cs="Arial"/>
                <w:b/>
                <w:bCs/>
                <w:color w:val="000000"/>
                <w:sz w:val="20"/>
                <w:szCs w:val="20"/>
                <w:lang w:eastAsia="es-CO"/>
              </w:rPr>
              <w:t>NIVEL DE RIESGO</w:t>
            </w:r>
          </w:p>
        </w:tc>
      </w:tr>
      <w:tr w:rsidR="005441E5" w:rsidRPr="005441E5" w:rsidTr="005441E5">
        <w:trPr>
          <w:trHeight w:val="300"/>
          <w:jc w:val="center"/>
        </w:trPr>
        <w:tc>
          <w:tcPr>
            <w:tcW w:w="2273" w:type="dxa"/>
            <w:vMerge/>
            <w:vAlign w:val="center"/>
            <w:hideMark/>
          </w:tcPr>
          <w:p w:rsidR="005441E5" w:rsidRPr="005441E5" w:rsidRDefault="005441E5" w:rsidP="005441E5">
            <w:pPr>
              <w:spacing w:after="0" w:line="240" w:lineRule="auto"/>
              <w:jc w:val="center"/>
              <w:rPr>
                <w:rFonts w:ascii="Arial" w:eastAsia="Times New Roman" w:hAnsi="Arial" w:cs="Arial"/>
                <w:b/>
                <w:bCs/>
                <w:color w:val="000000"/>
                <w:sz w:val="20"/>
                <w:szCs w:val="20"/>
                <w:lang w:eastAsia="es-CO"/>
              </w:rPr>
            </w:pPr>
          </w:p>
        </w:tc>
        <w:tc>
          <w:tcPr>
            <w:tcW w:w="2410" w:type="dxa"/>
            <w:vMerge/>
            <w:vAlign w:val="center"/>
            <w:hideMark/>
          </w:tcPr>
          <w:p w:rsidR="005441E5" w:rsidRPr="005441E5" w:rsidRDefault="005441E5" w:rsidP="005441E5">
            <w:pPr>
              <w:spacing w:after="0" w:line="240" w:lineRule="auto"/>
              <w:jc w:val="center"/>
              <w:rPr>
                <w:rFonts w:ascii="Arial" w:eastAsia="Times New Roman" w:hAnsi="Arial" w:cs="Arial"/>
                <w:b/>
                <w:bCs/>
                <w:color w:val="000000"/>
                <w:sz w:val="20"/>
                <w:szCs w:val="20"/>
                <w:lang w:eastAsia="es-CO"/>
              </w:rPr>
            </w:pPr>
          </w:p>
        </w:tc>
        <w:tc>
          <w:tcPr>
            <w:tcW w:w="1354" w:type="dxa"/>
            <w:shd w:val="clear" w:color="auto" w:fill="auto"/>
            <w:noWrap/>
            <w:vAlign w:val="center"/>
            <w:hideMark/>
          </w:tcPr>
          <w:p w:rsidR="005441E5" w:rsidRPr="005441E5" w:rsidRDefault="005441E5" w:rsidP="005441E5">
            <w:pPr>
              <w:spacing w:after="0" w:line="240" w:lineRule="auto"/>
              <w:jc w:val="center"/>
              <w:rPr>
                <w:rFonts w:ascii="Arial" w:eastAsia="Times New Roman" w:hAnsi="Arial" w:cs="Arial"/>
                <w:b/>
                <w:bCs/>
                <w:color w:val="000000"/>
                <w:sz w:val="20"/>
                <w:szCs w:val="20"/>
                <w:lang w:eastAsia="es-CO"/>
              </w:rPr>
            </w:pPr>
            <w:r w:rsidRPr="005441E5">
              <w:rPr>
                <w:rFonts w:ascii="Arial" w:eastAsia="Times New Roman" w:hAnsi="Arial" w:cs="Arial"/>
                <w:b/>
                <w:bCs/>
                <w:color w:val="000000"/>
                <w:sz w:val="20"/>
                <w:szCs w:val="20"/>
                <w:lang w:eastAsia="es-CO"/>
              </w:rPr>
              <w:t>MUY ALTO</w:t>
            </w:r>
          </w:p>
        </w:tc>
        <w:tc>
          <w:tcPr>
            <w:tcW w:w="739" w:type="dxa"/>
            <w:shd w:val="clear" w:color="auto" w:fill="auto"/>
            <w:noWrap/>
            <w:vAlign w:val="center"/>
            <w:hideMark/>
          </w:tcPr>
          <w:p w:rsidR="005441E5" w:rsidRPr="005441E5" w:rsidRDefault="005441E5" w:rsidP="005441E5">
            <w:pPr>
              <w:spacing w:after="0" w:line="240" w:lineRule="auto"/>
              <w:jc w:val="center"/>
              <w:rPr>
                <w:rFonts w:ascii="Arial" w:eastAsia="Times New Roman" w:hAnsi="Arial" w:cs="Arial"/>
                <w:b/>
                <w:bCs/>
                <w:color w:val="000000"/>
                <w:sz w:val="20"/>
                <w:szCs w:val="20"/>
                <w:lang w:eastAsia="es-CO"/>
              </w:rPr>
            </w:pPr>
            <w:r w:rsidRPr="005441E5">
              <w:rPr>
                <w:rFonts w:ascii="Arial" w:eastAsia="Times New Roman" w:hAnsi="Arial" w:cs="Arial"/>
                <w:b/>
                <w:bCs/>
                <w:color w:val="000000"/>
                <w:sz w:val="20"/>
                <w:szCs w:val="20"/>
                <w:lang w:eastAsia="es-CO"/>
              </w:rPr>
              <w:t>ALTO</w:t>
            </w:r>
          </w:p>
        </w:tc>
        <w:tc>
          <w:tcPr>
            <w:tcW w:w="862" w:type="dxa"/>
            <w:shd w:val="clear" w:color="auto" w:fill="auto"/>
            <w:noWrap/>
            <w:vAlign w:val="center"/>
            <w:hideMark/>
          </w:tcPr>
          <w:p w:rsidR="005441E5" w:rsidRPr="005441E5" w:rsidRDefault="005441E5" w:rsidP="005441E5">
            <w:pPr>
              <w:spacing w:after="0" w:line="240" w:lineRule="auto"/>
              <w:jc w:val="center"/>
              <w:rPr>
                <w:rFonts w:ascii="Arial" w:eastAsia="Times New Roman" w:hAnsi="Arial" w:cs="Arial"/>
                <w:b/>
                <w:bCs/>
                <w:color w:val="000000"/>
                <w:sz w:val="20"/>
                <w:szCs w:val="20"/>
                <w:lang w:eastAsia="es-CO"/>
              </w:rPr>
            </w:pPr>
            <w:r w:rsidRPr="005441E5">
              <w:rPr>
                <w:rFonts w:ascii="Arial" w:eastAsia="Times New Roman" w:hAnsi="Arial" w:cs="Arial"/>
                <w:b/>
                <w:bCs/>
                <w:color w:val="000000"/>
                <w:sz w:val="20"/>
                <w:szCs w:val="20"/>
                <w:lang w:eastAsia="es-CO"/>
              </w:rPr>
              <w:t>MEDIO</w:t>
            </w:r>
          </w:p>
        </w:tc>
      </w:tr>
      <w:tr w:rsidR="005441E5" w:rsidRPr="005441E5" w:rsidTr="005441E5">
        <w:trPr>
          <w:trHeight w:val="300"/>
          <w:jc w:val="center"/>
        </w:trPr>
        <w:tc>
          <w:tcPr>
            <w:tcW w:w="2273" w:type="dxa"/>
            <w:shd w:val="clear" w:color="auto" w:fill="auto"/>
            <w:noWrap/>
            <w:vAlign w:val="center"/>
            <w:hideMark/>
          </w:tcPr>
          <w:p w:rsidR="005441E5" w:rsidRPr="005441E5" w:rsidRDefault="005441E5" w:rsidP="005441E5">
            <w:pPr>
              <w:spacing w:after="0" w:line="240" w:lineRule="auto"/>
              <w:jc w:val="center"/>
              <w:rPr>
                <w:rFonts w:ascii="Arial" w:eastAsia="Times New Roman" w:hAnsi="Arial" w:cs="Arial"/>
                <w:b/>
                <w:bCs/>
                <w:color w:val="000000"/>
                <w:sz w:val="20"/>
                <w:szCs w:val="20"/>
                <w:lang w:eastAsia="es-CO"/>
              </w:rPr>
            </w:pPr>
            <w:r w:rsidRPr="005441E5">
              <w:rPr>
                <w:rFonts w:ascii="Arial" w:eastAsia="Times New Roman" w:hAnsi="Arial" w:cs="Arial"/>
                <w:b/>
                <w:bCs/>
                <w:color w:val="000000"/>
                <w:sz w:val="20"/>
                <w:szCs w:val="20"/>
                <w:lang w:eastAsia="es-CO"/>
              </w:rPr>
              <w:t>PATRIMONIO MINIMO</w:t>
            </w:r>
          </w:p>
        </w:tc>
        <w:tc>
          <w:tcPr>
            <w:tcW w:w="2410" w:type="dxa"/>
            <w:shd w:val="clear" w:color="auto" w:fill="auto"/>
            <w:noWrap/>
            <w:vAlign w:val="bottom"/>
            <w:hideMark/>
          </w:tcPr>
          <w:p w:rsidR="005441E5" w:rsidRPr="005441E5" w:rsidRDefault="005441E5" w:rsidP="005441E5">
            <w:pPr>
              <w:spacing w:after="0" w:line="240" w:lineRule="auto"/>
              <w:rPr>
                <w:rFonts w:ascii="Arial" w:eastAsia="Times New Roman" w:hAnsi="Arial" w:cs="Arial"/>
                <w:color w:val="000000"/>
                <w:sz w:val="20"/>
                <w:szCs w:val="20"/>
                <w:lang w:eastAsia="es-CO"/>
              </w:rPr>
            </w:pPr>
            <w:r w:rsidRPr="005441E5">
              <w:rPr>
                <w:rFonts w:ascii="Arial" w:eastAsia="Times New Roman" w:hAnsi="Arial" w:cs="Arial"/>
                <w:color w:val="000000"/>
                <w:sz w:val="20"/>
                <w:szCs w:val="20"/>
                <w:lang w:eastAsia="es-CO"/>
              </w:rPr>
              <w:t>COMFENALCO VALLE</w:t>
            </w:r>
          </w:p>
        </w:tc>
        <w:tc>
          <w:tcPr>
            <w:tcW w:w="1354" w:type="dxa"/>
            <w:shd w:val="clear" w:color="auto" w:fill="auto"/>
            <w:noWrap/>
            <w:vAlign w:val="center"/>
            <w:hideMark/>
          </w:tcPr>
          <w:p w:rsidR="005441E5" w:rsidRPr="005441E5" w:rsidRDefault="005441E5" w:rsidP="005441E5">
            <w:pPr>
              <w:spacing w:after="0" w:line="240" w:lineRule="auto"/>
              <w:jc w:val="center"/>
              <w:rPr>
                <w:rFonts w:ascii="Arial" w:eastAsia="Times New Roman" w:hAnsi="Arial" w:cs="Arial"/>
                <w:color w:val="000000"/>
                <w:sz w:val="20"/>
                <w:szCs w:val="20"/>
                <w:lang w:eastAsia="es-CO"/>
              </w:rPr>
            </w:pPr>
            <w:r w:rsidRPr="005441E5">
              <w:rPr>
                <w:rFonts w:ascii="Arial" w:eastAsia="Times New Roman" w:hAnsi="Arial" w:cs="Arial"/>
                <w:color w:val="000000"/>
                <w:sz w:val="20"/>
                <w:szCs w:val="20"/>
                <w:lang w:eastAsia="es-CO"/>
              </w:rPr>
              <w:t> </w:t>
            </w:r>
          </w:p>
        </w:tc>
        <w:tc>
          <w:tcPr>
            <w:tcW w:w="739" w:type="dxa"/>
            <w:shd w:val="clear" w:color="auto" w:fill="auto"/>
            <w:noWrap/>
            <w:vAlign w:val="center"/>
            <w:hideMark/>
          </w:tcPr>
          <w:p w:rsidR="005441E5" w:rsidRPr="005441E5" w:rsidRDefault="005441E5" w:rsidP="005441E5">
            <w:pPr>
              <w:spacing w:after="0" w:line="240" w:lineRule="auto"/>
              <w:jc w:val="center"/>
              <w:rPr>
                <w:rFonts w:ascii="Arial" w:eastAsia="Times New Roman" w:hAnsi="Arial" w:cs="Arial"/>
                <w:color w:val="000000"/>
                <w:sz w:val="20"/>
                <w:szCs w:val="20"/>
                <w:lang w:eastAsia="es-CO"/>
              </w:rPr>
            </w:pPr>
            <w:r w:rsidRPr="005441E5">
              <w:rPr>
                <w:rFonts w:ascii="Arial" w:eastAsia="Times New Roman" w:hAnsi="Arial" w:cs="Arial"/>
                <w:color w:val="000000"/>
                <w:sz w:val="20"/>
                <w:szCs w:val="20"/>
                <w:lang w:eastAsia="es-CO"/>
              </w:rPr>
              <w:t> </w:t>
            </w:r>
          </w:p>
        </w:tc>
        <w:tc>
          <w:tcPr>
            <w:tcW w:w="862" w:type="dxa"/>
            <w:shd w:val="clear" w:color="auto" w:fill="auto"/>
            <w:noWrap/>
            <w:vAlign w:val="bottom"/>
            <w:hideMark/>
          </w:tcPr>
          <w:p w:rsidR="005441E5" w:rsidRPr="005441E5" w:rsidRDefault="005441E5" w:rsidP="005441E5">
            <w:pPr>
              <w:spacing w:after="0" w:line="240" w:lineRule="auto"/>
              <w:jc w:val="center"/>
              <w:rPr>
                <w:rFonts w:ascii="Arial" w:eastAsia="Times New Roman" w:hAnsi="Arial" w:cs="Arial"/>
                <w:color w:val="000000"/>
                <w:sz w:val="20"/>
                <w:szCs w:val="20"/>
                <w:lang w:eastAsia="es-CO"/>
              </w:rPr>
            </w:pPr>
            <w:r w:rsidRPr="005441E5">
              <w:rPr>
                <w:rFonts w:ascii="Arial" w:eastAsia="Times New Roman" w:hAnsi="Arial" w:cs="Arial"/>
                <w:color w:val="000000"/>
                <w:sz w:val="20"/>
                <w:szCs w:val="20"/>
                <w:lang w:eastAsia="es-CO"/>
              </w:rPr>
              <w:t>X</w:t>
            </w:r>
          </w:p>
        </w:tc>
      </w:tr>
    </w:tbl>
    <w:p w:rsidR="00C3190B" w:rsidRDefault="00C3190B" w:rsidP="00C3190B">
      <w:pPr>
        <w:pStyle w:val="Prrafodelista"/>
        <w:ind w:left="709"/>
        <w:jc w:val="both"/>
        <w:rPr>
          <w:rFonts w:ascii="Arial" w:hAnsi="Arial" w:cs="Arial"/>
        </w:rPr>
      </w:pPr>
      <w:r w:rsidRPr="00603DBE">
        <w:rPr>
          <w:rFonts w:ascii="Arial" w:eastAsia="Times New Roman" w:hAnsi="Arial" w:cs="Arial"/>
          <w:color w:val="000000"/>
          <w:lang w:eastAsia="es-CO"/>
        </w:rPr>
        <w:t>Fuente: información suministrada por las EPS</w:t>
      </w:r>
    </w:p>
    <w:p w:rsidR="00C3190B" w:rsidRDefault="00C3190B" w:rsidP="00B87B7A">
      <w:pPr>
        <w:pStyle w:val="Prrafodelista"/>
        <w:spacing w:after="0" w:line="240" w:lineRule="auto"/>
        <w:ind w:left="0"/>
        <w:jc w:val="both"/>
        <w:rPr>
          <w:rFonts w:ascii="Arial" w:hAnsi="Arial" w:cs="Arial"/>
        </w:rPr>
      </w:pPr>
    </w:p>
    <w:p w:rsidR="00CF6C4C" w:rsidRDefault="00CF6C4C" w:rsidP="00B87B7A">
      <w:pPr>
        <w:pStyle w:val="Prrafodelista"/>
        <w:spacing w:after="0" w:line="240" w:lineRule="auto"/>
        <w:ind w:left="0"/>
        <w:jc w:val="both"/>
        <w:rPr>
          <w:rFonts w:ascii="Arial" w:hAnsi="Arial" w:cs="Arial"/>
        </w:rPr>
      </w:pPr>
    </w:p>
    <w:p w:rsidR="00B87B7A" w:rsidRDefault="00B87B7A" w:rsidP="00B87B7A">
      <w:pPr>
        <w:pStyle w:val="Prrafodelista"/>
        <w:spacing w:after="0" w:line="240" w:lineRule="auto"/>
        <w:ind w:left="0"/>
        <w:jc w:val="both"/>
        <w:rPr>
          <w:rFonts w:ascii="Arial" w:hAnsi="Arial" w:cs="Arial"/>
        </w:rPr>
      </w:pPr>
      <w:r>
        <w:rPr>
          <w:rFonts w:ascii="Arial" w:hAnsi="Arial" w:cs="Arial"/>
        </w:rPr>
        <w:t>El nivel de riesgo muy alto se da cuando la entidad presenta insuficiencia patrimonial para margen de  solvencia y patrimonio mínimo.</w:t>
      </w:r>
    </w:p>
    <w:p w:rsidR="00195F5D" w:rsidRDefault="00195F5D" w:rsidP="00B87B7A">
      <w:pPr>
        <w:pStyle w:val="Prrafodelista"/>
        <w:spacing w:after="0" w:line="240" w:lineRule="auto"/>
        <w:ind w:left="0"/>
        <w:jc w:val="both"/>
        <w:rPr>
          <w:rFonts w:ascii="Arial" w:hAnsi="Arial" w:cs="Arial"/>
        </w:rPr>
      </w:pPr>
    </w:p>
    <w:p w:rsidR="00195F5D" w:rsidRDefault="00195F5D" w:rsidP="00B87B7A">
      <w:pPr>
        <w:pStyle w:val="Prrafodelista"/>
        <w:spacing w:after="0" w:line="240" w:lineRule="auto"/>
        <w:ind w:left="0"/>
        <w:jc w:val="both"/>
        <w:rPr>
          <w:rFonts w:ascii="Arial" w:hAnsi="Arial" w:cs="Arial"/>
        </w:rPr>
      </w:pPr>
      <w:r>
        <w:rPr>
          <w:rFonts w:ascii="Arial" w:hAnsi="Arial" w:cs="Arial"/>
        </w:rPr>
        <w:t>El riesgo alto esta dado por incumplimiento del margen de solvencia. El riesgo medio se da cuando se incumple con el patrimonio mínimo.</w:t>
      </w:r>
    </w:p>
    <w:p w:rsidR="00195F5D" w:rsidRDefault="00195F5D" w:rsidP="00B87B7A">
      <w:pPr>
        <w:pStyle w:val="Prrafodelista"/>
        <w:spacing w:after="0" w:line="240" w:lineRule="auto"/>
        <w:ind w:left="0"/>
        <w:jc w:val="both"/>
        <w:rPr>
          <w:rFonts w:ascii="Arial" w:hAnsi="Arial" w:cs="Arial"/>
        </w:rPr>
      </w:pPr>
    </w:p>
    <w:p w:rsidR="00056B45" w:rsidRDefault="00056B45" w:rsidP="00B87B7A">
      <w:pPr>
        <w:pStyle w:val="Prrafodelista"/>
        <w:spacing w:after="0" w:line="240" w:lineRule="auto"/>
        <w:ind w:left="0"/>
        <w:jc w:val="both"/>
        <w:rPr>
          <w:rFonts w:ascii="Arial" w:hAnsi="Arial" w:cs="Arial"/>
        </w:rPr>
      </w:pPr>
      <w:r>
        <w:rPr>
          <w:rFonts w:ascii="Arial" w:hAnsi="Arial" w:cs="Arial"/>
        </w:rPr>
        <w:t xml:space="preserve">Los </w:t>
      </w:r>
      <w:r w:rsidR="00044426">
        <w:rPr>
          <w:rFonts w:ascii="Arial" w:hAnsi="Arial" w:cs="Arial"/>
        </w:rPr>
        <w:t>a</w:t>
      </w:r>
      <w:r>
        <w:rPr>
          <w:rFonts w:ascii="Arial" w:hAnsi="Arial" w:cs="Arial"/>
        </w:rPr>
        <w:t>filiados, las Cuentas por Pagar, el Activo Corriente y los Activos fijos</w:t>
      </w:r>
      <w:r w:rsidR="0097614B">
        <w:rPr>
          <w:rFonts w:ascii="Arial" w:hAnsi="Arial" w:cs="Arial"/>
        </w:rPr>
        <w:t xml:space="preserve">, con corte a </w:t>
      </w:r>
      <w:r w:rsidR="00D51A53">
        <w:rPr>
          <w:rFonts w:ascii="Arial" w:hAnsi="Arial" w:cs="Arial"/>
        </w:rPr>
        <w:t>marzo</w:t>
      </w:r>
      <w:r w:rsidR="0097614B">
        <w:rPr>
          <w:rFonts w:ascii="Arial" w:hAnsi="Arial" w:cs="Arial"/>
        </w:rPr>
        <w:t xml:space="preserve"> de 2011,</w:t>
      </w:r>
      <w:r>
        <w:rPr>
          <w:rFonts w:ascii="Arial" w:hAnsi="Arial" w:cs="Arial"/>
        </w:rPr>
        <w:t xml:space="preserve"> de las EPS </w:t>
      </w:r>
      <w:r w:rsidR="0097614B">
        <w:rPr>
          <w:rFonts w:ascii="Arial" w:hAnsi="Arial" w:cs="Arial"/>
        </w:rPr>
        <w:t xml:space="preserve">que se encuentran en nivel de riesgo muy alto, alto y medio, </w:t>
      </w:r>
      <w:r>
        <w:rPr>
          <w:rFonts w:ascii="Arial" w:hAnsi="Arial" w:cs="Arial"/>
        </w:rPr>
        <w:t>son los siguientes:</w:t>
      </w:r>
    </w:p>
    <w:p w:rsidR="00056B45" w:rsidRDefault="00056B45" w:rsidP="00B87B7A">
      <w:pPr>
        <w:pStyle w:val="Prrafodelista"/>
        <w:spacing w:after="0" w:line="240" w:lineRule="auto"/>
        <w:ind w:left="0"/>
        <w:jc w:val="both"/>
        <w:rPr>
          <w:rFonts w:ascii="Arial" w:hAnsi="Arial" w:cs="Arial"/>
        </w:rPr>
      </w:pPr>
    </w:p>
    <w:p w:rsidR="00104EC1" w:rsidRPr="00603DBE" w:rsidRDefault="0097614B" w:rsidP="00104EC1">
      <w:pPr>
        <w:widowControl w:val="0"/>
        <w:spacing w:after="0" w:line="240" w:lineRule="auto"/>
        <w:ind w:right="332"/>
        <w:jc w:val="right"/>
        <w:rPr>
          <w:rFonts w:ascii="Arial" w:hAnsi="Arial" w:cs="Arial"/>
        </w:rPr>
      </w:pPr>
      <w:r w:rsidRPr="0097614B">
        <w:rPr>
          <w:rFonts w:ascii="Arial" w:eastAsia="Times New Roman" w:hAnsi="Arial" w:cs="Arial"/>
          <w:color w:val="000000"/>
          <w:sz w:val="20"/>
          <w:szCs w:val="18"/>
          <w:lang w:eastAsia="es-CO"/>
        </w:rPr>
        <w:t>Cifras en millones</w:t>
      </w:r>
      <w:r w:rsidR="00104EC1" w:rsidRPr="00603DBE">
        <w:rPr>
          <w:rFonts w:ascii="Arial" w:eastAsia="Times New Roman" w:hAnsi="Arial" w:cs="Arial"/>
          <w:color w:val="000000"/>
          <w:lang w:eastAsia="es-CO"/>
        </w:rPr>
        <w:t xml:space="preserve"> de pesos</w:t>
      </w:r>
    </w:p>
    <w:tbl>
      <w:tblPr>
        <w:tblW w:w="852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5"/>
        <w:gridCol w:w="1619"/>
        <w:gridCol w:w="1701"/>
        <w:gridCol w:w="1418"/>
        <w:gridCol w:w="1417"/>
      </w:tblGrid>
      <w:tr w:rsidR="00056B45" w:rsidRPr="0097614B" w:rsidTr="0097614B">
        <w:trPr>
          <w:trHeight w:val="480"/>
          <w:jc w:val="center"/>
        </w:trPr>
        <w:tc>
          <w:tcPr>
            <w:tcW w:w="2365" w:type="dxa"/>
            <w:shd w:val="clear" w:color="auto" w:fill="auto"/>
            <w:noWrap/>
            <w:vAlign w:val="center"/>
            <w:hideMark/>
          </w:tcPr>
          <w:p w:rsidR="00056B45" w:rsidRPr="0097614B" w:rsidRDefault="00B6150B" w:rsidP="0097614B">
            <w:pPr>
              <w:spacing w:after="0" w:line="240" w:lineRule="auto"/>
              <w:jc w:val="center"/>
              <w:rPr>
                <w:rFonts w:ascii="Arial" w:eastAsia="Times New Roman" w:hAnsi="Arial" w:cs="Arial"/>
                <w:b/>
                <w:bCs/>
                <w:color w:val="000000"/>
                <w:sz w:val="20"/>
                <w:szCs w:val="18"/>
                <w:lang w:eastAsia="es-CO"/>
              </w:rPr>
            </w:pPr>
            <w:r>
              <w:rPr>
                <w:rFonts w:ascii="Arial" w:eastAsia="Times New Roman" w:hAnsi="Arial" w:cs="Arial"/>
                <w:b/>
                <w:bCs/>
                <w:color w:val="000000"/>
                <w:sz w:val="20"/>
                <w:szCs w:val="18"/>
                <w:lang w:eastAsia="es-CO"/>
              </w:rPr>
              <w:t>ENTIDADES</w:t>
            </w:r>
          </w:p>
        </w:tc>
        <w:tc>
          <w:tcPr>
            <w:tcW w:w="1619" w:type="dxa"/>
            <w:shd w:val="clear" w:color="auto" w:fill="auto"/>
            <w:noWrap/>
            <w:vAlign w:val="center"/>
            <w:hideMark/>
          </w:tcPr>
          <w:p w:rsidR="00056B45" w:rsidRPr="0097614B" w:rsidRDefault="00056B45" w:rsidP="0097614B">
            <w:pPr>
              <w:spacing w:after="0" w:line="240" w:lineRule="auto"/>
              <w:jc w:val="center"/>
              <w:rPr>
                <w:rFonts w:ascii="Arial" w:eastAsia="Times New Roman" w:hAnsi="Arial" w:cs="Arial"/>
                <w:b/>
                <w:bCs/>
                <w:color w:val="000000"/>
                <w:sz w:val="20"/>
                <w:szCs w:val="18"/>
                <w:lang w:eastAsia="es-CO"/>
              </w:rPr>
            </w:pPr>
            <w:r w:rsidRPr="0097614B">
              <w:rPr>
                <w:rFonts w:ascii="Arial" w:eastAsia="Times New Roman" w:hAnsi="Arial" w:cs="Arial"/>
                <w:b/>
                <w:bCs/>
                <w:color w:val="000000"/>
                <w:sz w:val="20"/>
                <w:szCs w:val="18"/>
                <w:lang w:eastAsia="es-CO"/>
              </w:rPr>
              <w:t>NUMERO AFILIADOS</w:t>
            </w:r>
          </w:p>
        </w:tc>
        <w:tc>
          <w:tcPr>
            <w:tcW w:w="1701" w:type="dxa"/>
            <w:shd w:val="clear" w:color="auto" w:fill="auto"/>
            <w:noWrap/>
            <w:vAlign w:val="center"/>
            <w:hideMark/>
          </w:tcPr>
          <w:p w:rsidR="00056B45" w:rsidRPr="0097614B" w:rsidRDefault="00056B45" w:rsidP="0097614B">
            <w:pPr>
              <w:spacing w:after="0" w:line="240" w:lineRule="auto"/>
              <w:jc w:val="center"/>
              <w:rPr>
                <w:rFonts w:ascii="Arial" w:eastAsia="Times New Roman" w:hAnsi="Arial" w:cs="Arial"/>
                <w:b/>
                <w:bCs/>
                <w:color w:val="000000"/>
                <w:sz w:val="20"/>
                <w:szCs w:val="18"/>
                <w:lang w:eastAsia="es-CO"/>
              </w:rPr>
            </w:pPr>
            <w:r w:rsidRPr="0097614B">
              <w:rPr>
                <w:rFonts w:ascii="Arial" w:eastAsia="Times New Roman" w:hAnsi="Arial" w:cs="Arial"/>
                <w:b/>
                <w:bCs/>
                <w:color w:val="000000"/>
                <w:sz w:val="20"/>
                <w:szCs w:val="18"/>
                <w:lang w:eastAsia="es-CO"/>
              </w:rPr>
              <w:t>CUENTAS POR PAGAR</w:t>
            </w:r>
          </w:p>
        </w:tc>
        <w:tc>
          <w:tcPr>
            <w:tcW w:w="1418" w:type="dxa"/>
            <w:shd w:val="clear" w:color="auto" w:fill="auto"/>
            <w:noWrap/>
            <w:vAlign w:val="center"/>
            <w:hideMark/>
          </w:tcPr>
          <w:p w:rsidR="00056B45" w:rsidRPr="0097614B" w:rsidRDefault="00056B45" w:rsidP="0097614B">
            <w:pPr>
              <w:spacing w:after="0" w:line="240" w:lineRule="auto"/>
              <w:jc w:val="center"/>
              <w:rPr>
                <w:rFonts w:ascii="Arial" w:eastAsia="Times New Roman" w:hAnsi="Arial" w:cs="Arial"/>
                <w:b/>
                <w:bCs/>
                <w:color w:val="000000"/>
                <w:sz w:val="20"/>
                <w:szCs w:val="18"/>
                <w:lang w:eastAsia="es-CO"/>
              </w:rPr>
            </w:pPr>
            <w:r w:rsidRPr="0097614B">
              <w:rPr>
                <w:rFonts w:ascii="Arial" w:eastAsia="Times New Roman" w:hAnsi="Arial" w:cs="Arial"/>
                <w:b/>
                <w:bCs/>
                <w:color w:val="000000"/>
                <w:sz w:val="20"/>
                <w:szCs w:val="18"/>
                <w:lang w:eastAsia="es-CO"/>
              </w:rPr>
              <w:t>ACTIVO CORRIENTE</w:t>
            </w:r>
          </w:p>
        </w:tc>
        <w:tc>
          <w:tcPr>
            <w:tcW w:w="1417" w:type="dxa"/>
            <w:shd w:val="clear" w:color="auto" w:fill="auto"/>
            <w:noWrap/>
            <w:vAlign w:val="center"/>
            <w:hideMark/>
          </w:tcPr>
          <w:p w:rsidR="00056B45" w:rsidRPr="0097614B" w:rsidRDefault="00056B45" w:rsidP="0097614B">
            <w:pPr>
              <w:spacing w:after="0" w:line="240" w:lineRule="auto"/>
              <w:jc w:val="center"/>
              <w:rPr>
                <w:rFonts w:ascii="Arial" w:eastAsia="Times New Roman" w:hAnsi="Arial" w:cs="Arial"/>
                <w:b/>
                <w:bCs/>
                <w:color w:val="000000"/>
                <w:sz w:val="20"/>
                <w:szCs w:val="18"/>
                <w:lang w:eastAsia="es-CO"/>
              </w:rPr>
            </w:pPr>
            <w:r w:rsidRPr="0097614B">
              <w:rPr>
                <w:rFonts w:ascii="Arial" w:eastAsia="Times New Roman" w:hAnsi="Arial" w:cs="Arial"/>
                <w:b/>
                <w:bCs/>
                <w:color w:val="000000"/>
                <w:sz w:val="20"/>
                <w:szCs w:val="18"/>
                <w:lang w:eastAsia="es-CO"/>
              </w:rPr>
              <w:t>ACTIVO FIJO</w:t>
            </w:r>
          </w:p>
        </w:tc>
      </w:tr>
      <w:tr w:rsidR="00056B45" w:rsidRPr="0097614B" w:rsidTr="0097614B">
        <w:trPr>
          <w:trHeight w:val="300"/>
          <w:jc w:val="center"/>
        </w:trPr>
        <w:tc>
          <w:tcPr>
            <w:tcW w:w="2365" w:type="dxa"/>
            <w:shd w:val="clear" w:color="auto" w:fill="auto"/>
            <w:noWrap/>
            <w:vAlign w:val="bottom"/>
            <w:hideMark/>
          </w:tcPr>
          <w:p w:rsidR="00056B45" w:rsidRPr="0097614B" w:rsidRDefault="00056B45" w:rsidP="00F5047D">
            <w:pPr>
              <w:spacing w:after="0" w:line="240" w:lineRule="auto"/>
              <w:rPr>
                <w:rFonts w:ascii="Arial" w:eastAsia="Times New Roman" w:hAnsi="Arial" w:cs="Arial"/>
                <w:color w:val="000000"/>
                <w:sz w:val="20"/>
                <w:szCs w:val="18"/>
                <w:lang w:eastAsia="es-CO"/>
              </w:rPr>
            </w:pPr>
            <w:r w:rsidRPr="0097614B">
              <w:rPr>
                <w:rFonts w:ascii="Arial" w:eastAsia="Times New Roman" w:hAnsi="Arial" w:cs="Arial"/>
                <w:color w:val="000000"/>
                <w:sz w:val="20"/>
                <w:szCs w:val="18"/>
                <w:lang w:eastAsia="es-CO"/>
              </w:rPr>
              <w:t>COMFENALCO VALLE</w:t>
            </w:r>
          </w:p>
        </w:tc>
        <w:tc>
          <w:tcPr>
            <w:tcW w:w="1619" w:type="dxa"/>
            <w:shd w:val="clear" w:color="auto" w:fill="auto"/>
            <w:noWrap/>
            <w:vAlign w:val="bottom"/>
            <w:hideMark/>
          </w:tcPr>
          <w:p w:rsidR="00056B45" w:rsidRPr="006E73DE" w:rsidRDefault="00056B45" w:rsidP="006E73DE">
            <w:pPr>
              <w:spacing w:after="0" w:line="240" w:lineRule="auto"/>
              <w:jc w:val="right"/>
              <w:rPr>
                <w:rFonts w:ascii="Arial" w:eastAsia="Times New Roman" w:hAnsi="Arial" w:cs="Arial"/>
                <w:color w:val="000000"/>
                <w:sz w:val="20"/>
                <w:szCs w:val="18"/>
                <w:lang w:eastAsia="es-CO"/>
              </w:rPr>
            </w:pPr>
            <w:r w:rsidRPr="006E73DE">
              <w:rPr>
                <w:rFonts w:ascii="Arial" w:eastAsia="Times New Roman" w:hAnsi="Arial" w:cs="Arial"/>
                <w:color w:val="000000"/>
                <w:sz w:val="20"/>
                <w:szCs w:val="18"/>
                <w:lang w:eastAsia="es-CO"/>
              </w:rPr>
              <w:t>37</w:t>
            </w:r>
            <w:r w:rsidR="006E73DE" w:rsidRPr="006E73DE">
              <w:rPr>
                <w:rFonts w:ascii="Arial" w:eastAsia="Times New Roman" w:hAnsi="Arial" w:cs="Arial"/>
                <w:color w:val="000000"/>
                <w:sz w:val="20"/>
                <w:szCs w:val="18"/>
                <w:lang w:eastAsia="es-CO"/>
              </w:rPr>
              <w:t>9</w:t>
            </w:r>
            <w:r w:rsidRPr="006E73DE">
              <w:rPr>
                <w:rFonts w:ascii="Arial" w:eastAsia="Times New Roman" w:hAnsi="Arial" w:cs="Arial"/>
                <w:color w:val="000000"/>
                <w:sz w:val="20"/>
                <w:szCs w:val="18"/>
                <w:lang w:eastAsia="es-CO"/>
              </w:rPr>
              <w:t>.</w:t>
            </w:r>
            <w:r w:rsidR="006E73DE" w:rsidRPr="006E73DE">
              <w:rPr>
                <w:rFonts w:ascii="Arial" w:eastAsia="Times New Roman" w:hAnsi="Arial" w:cs="Arial"/>
                <w:color w:val="000000"/>
                <w:sz w:val="20"/>
                <w:szCs w:val="18"/>
                <w:lang w:eastAsia="es-CO"/>
              </w:rPr>
              <w:t>636</w:t>
            </w:r>
          </w:p>
        </w:tc>
        <w:tc>
          <w:tcPr>
            <w:tcW w:w="1701" w:type="dxa"/>
            <w:shd w:val="clear" w:color="auto" w:fill="auto"/>
            <w:noWrap/>
            <w:vAlign w:val="bottom"/>
            <w:hideMark/>
          </w:tcPr>
          <w:p w:rsidR="00056B45" w:rsidRPr="006E73DE" w:rsidRDefault="006E73DE" w:rsidP="0097614B">
            <w:pPr>
              <w:spacing w:after="0" w:line="240" w:lineRule="auto"/>
              <w:jc w:val="right"/>
              <w:rPr>
                <w:rFonts w:ascii="Arial" w:eastAsia="Times New Roman" w:hAnsi="Arial" w:cs="Arial"/>
                <w:color w:val="000000"/>
                <w:sz w:val="20"/>
                <w:szCs w:val="18"/>
                <w:lang w:eastAsia="es-CO"/>
              </w:rPr>
            </w:pPr>
            <w:r w:rsidRPr="006E73DE">
              <w:rPr>
                <w:rFonts w:ascii="Arial" w:eastAsia="Times New Roman" w:hAnsi="Arial" w:cs="Arial"/>
                <w:color w:val="000000"/>
                <w:sz w:val="20"/>
                <w:szCs w:val="18"/>
                <w:lang w:eastAsia="es-CO"/>
              </w:rPr>
              <w:t>0</w:t>
            </w:r>
          </w:p>
        </w:tc>
        <w:tc>
          <w:tcPr>
            <w:tcW w:w="1418" w:type="dxa"/>
            <w:shd w:val="clear" w:color="auto" w:fill="auto"/>
            <w:noWrap/>
            <w:vAlign w:val="bottom"/>
            <w:hideMark/>
          </w:tcPr>
          <w:p w:rsidR="00056B45" w:rsidRPr="006E73DE" w:rsidRDefault="00056B45" w:rsidP="006E73DE">
            <w:pPr>
              <w:spacing w:after="0" w:line="240" w:lineRule="auto"/>
              <w:jc w:val="right"/>
              <w:rPr>
                <w:rFonts w:ascii="Arial" w:eastAsia="Times New Roman" w:hAnsi="Arial" w:cs="Arial"/>
                <w:color w:val="000000"/>
                <w:sz w:val="20"/>
                <w:szCs w:val="18"/>
                <w:lang w:eastAsia="es-CO"/>
              </w:rPr>
            </w:pPr>
            <w:r w:rsidRPr="006E73DE">
              <w:rPr>
                <w:rFonts w:ascii="Arial" w:eastAsia="Times New Roman" w:hAnsi="Arial" w:cs="Arial"/>
                <w:color w:val="000000"/>
                <w:sz w:val="20"/>
                <w:szCs w:val="18"/>
                <w:lang w:eastAsia="es-CO"/>
              </w:rPr>
              <w:t>3</w:t>
            </w:r>
            <w:r w:rsidR="006E73DE" w:rsidRPr="006E73DE">
              <w:rPr>
                <w:rFonts w:ascii="Arial" w:eastAsia="Times New Roman" w:hAnsi="Arial" w:cs="Arial"/>
                <w:color w:val="000000"/>
                <w:sz w:val="20"/>
                <w:szCs w:val="18"/>
                <w:lang w:eastAsia="es-CO"/>
              </w:rPr>
              <w:t>5</w:t>
            </w:r>
            <w:r w:rsidRPr="006E73DE">
              <w:rPr>
                <w:rFonts w:ascii="Arial" w:eastAsia="Times New Roman" w:hAnsi="Arial" w:cs="Arial"/>
                <w:color w:val="000000"/>
                <w:sz w:val="20"/>
                <w:szCs w:val="18"/>
                <w:lang w:eastAsia="es-CO"/>
              </w:rPr>
              <w:t>.8</w:t>
            </w:r>
            <w:r w:rsidR="006E73DE" w:rsidRPr="006E73DE">
              <w:rPr>
                <w:rFonts w:ascii="Arial" w:eastAsia="Times New Roman" w:hAnsi="Arial" w:cs="Arial"/>
                <w:color w:val="000000"/>
                <w:sz w:val="20"/>
                <w:szCs w:val="18"/>
                <w:lang w:eastAsia="es-CO"/>
              </w:rPr>
              <w:t>8</w:t>
            </w:r>
            <w:r w:rsidRPr="006E73DE">
              <w:rPr>
                <w:rFonts w:ascii="Arial" w:eastAsia="Times New Roman" w:hAnsi="Arial" w:cs="Arial"/>
                <w:color w:val="000000"/>
                <w:sz w:val="20"/>
                <w:szCs w:val="18"/>
                <w:lang w:eastAsia="es-CO"/>
              </w:rPr>
              <w:t>9</w:t>
            </w:r>
          </w:p>
        </w:tc>
        <w:tc>
          <w:tcPr>
            <w:tcW w:w="1417" w:type="dxa"/>
            <w:shd w:val="clear" w:color="auto" w:fill="auto"/>
            <w:noWrap/>
            <w:vAlign w:val="bottom"/>
            <w:hideMark/>
          </w:tcPr>
          <w:p w:rsidR="00056B45" w:rsidRPr="006E73DE" w:rsidRDefault="006E73DE" w:rsidP="006E73DE">
            <w:pPr>
              <w:spacing w:after="0" w:line="240" w:lineRule="auto"/>
              <w:jc w:val="right"/>
              <w:rPr>
                <w:rFonts w:ascii="Arial" w:eastAsia="Times New Roman" w:hAnsi="Arial" w:cs="Arial"/>
                <w:color w:val="000000"/>
                <w:sz w:val="20"/>
                <w:szCs w:val="18"/>
                <w:lang w:eastAsia="es-CO"/>
              </w:rPr>
            </w:pPr>
            <w:r w:rsidRPr="006E73DE">
              <w:rPr>
                <w:rFonts w:ascii="Arial" w:eastAsia="Times New Roman" w:hAnsi="Arial" w:cs="Arial"/>
                <w:color w:val="000000"/>
                <w:sz w:val="20"/>
                <w:szCs w:val="18"/>
                <w:lang w:eastAsia="es-CO"/>
              </w:rPr>
              <w:t>3</w:t>
            </w:r>
            <w:r w:rsidR="00056B45" w:rsidRPr="006E73DE">
              <w:rPr>
                <w:rFonts w:ascii="Arial" w:eastAsia="Times New Roman" w:hAnsi="Arial" w:cs="Arial"/>
                <w:color w:val="000000"/>
                <w:sz w:val="20"/>
                <w:szCs w:val="18"/>
                <w:lang w:eastAsia="es-CO"/>
              </w:rPr>
              <w:t>.</w:t>
            </w:r>
            <w:r w:rsidRPr="006E73DE">
              <w:rPr>
                <w:rFonts w:ascii="Arial" w:eastAsia="Times New Roman" w:hAnsi="Arial" w:cs="Arial"/>
                <w:color w:val="000000"/>
                <w:sz w:val="20"/>
                <w:szCs w:val="18"/>
                <w:lang w:eastAsia="es-CO"/>
              </w:rPr>
              <w:t>112</w:t>
            </w:r>
          </w:p>
        </w:tc>
      </w:tr>
    </w:tbl>
    <w:p w:rsidR="0097614B" w:rsidRPr="0097614B" w:rsidRDefault="0097614B" w:rsidP="0097614B">
      <w:pPr>
        <w:spacing w:after="0" w:line="240" w:lineRule="auto"/>
        <w:ind w:left="426"/>
        <w:rPr>
          <w:rFonts w:ascii="Arial" w:eastAsia="Times New Roman" w:hAnsi="Arial" w:cs="Arial"/>
          <w:color w:val="000000"/>
          <w:sz w:val="20"/>
          <w:szCs w:val="16"/>
          <w:lang w:eastAsia="es-CO"/>
        </w:rPr>
      </w:pPr>
      <w:r w:rsidRPr="0097614B">
        <w:rPr>
          <w:rFonts w:ascii="Arial" w:eastAsia="Times New Roman" w:hAnsi="Arial" w:cs="Arial"/>
          <w:color w:val="000000"/>
          <w:sz w:val="20"/>
          <w:szCs w:val="16"/>
          <w:lang w:eastAsia="es-CO"/>
        </w:rPr>
        <w:t>Fuente: información suministrada por las EPS</w:t>
      </w:r>
    </w:p>
    <w:p w:rsidR="0097614B" w:rsidRDefault="0097614B" w:rsidP="00F5047D">
      <w:pPr>
        <w:tabs>
          <w:tab w:val="left" w:pos="4039"/>
          <w:tab w:val="left" w:pos="5740"/>
          <w:tab w:val="left" w:pos="7158"/>
        </w:tabs>
        <w:spacing w:after="0" w:line="240" w:lineRule="auto"/>
        <w:ind w:left="55"/>
        <w:rPr>
          <w:rFonts w:ascii="Arial" w:eastAsia="Times New Roman" w:hAnsi="Arial" w:cs="Arial"/>
          <w:color w:val="000000"/>
          <w:lang w:eastAsia="es-CO"/>
        </w:rPr>
      </w:pPr>
    </w:p>
    <w:p w:rsidR="00CF6C4C" w:rsidRPr="00494A2C" w:rsidRDefault="00CF6C4C" w:rsidP="00F5047D">
      <w:pPr>
        <w:tabs>
          <w:tab w:val="left" w:pos="4039"/>
          <w:tab w:val="left" w:pos="5740"/>
          <w:tab w:val="left" w:pos="7158"/>
        </w:tabs>
        <w:spacing w:after="0" w:line="240" w:lineRule="auto"/>
        <w:ind w:left="55"/>
        <w:rPr>
          <w:rFonts w:ascii="Arial" w:eastAsia="Times New Roman" w:hAnsi="Arial" w:cs="Arial"/>
          <w:color w:val="000000"/>
          <w:lang w:eastAsia="es-CO"/>
        </w:rPr>
      </w:pPr>
    </w:p>
    <w:p w:rsidR="00056B45" w:rsidRDefault="00056B45" w:rsidP="008C5AD7">
      <w:pPr>
        <w:pStyle w:val="Prrafodelista"/>
        <w:widowControl w:val="0"/>
        <w:numPr>
          <w:ilvl w:val="0"/>
          <w:numId w:val="12"/>
        </w:numPr>
        <w:spacing w:after="0" w:line="240" w:lineRule="auto"/>
        <w:jc w:val="both"/>
        <w:rPr>
          <w:rFonts w:ascii="Arial" w:hAnsi="Arial" w:cs="Arial"/>
          <w:b/>
        </w:rPr>
      </w:pPr>
      <w:r w:rsidRPr="00986321">
        <w:rPr>
          <w:rFonts w:ascii="Arial" w:hAnsi="Arial" w:cs="Arial"/>
          <w:b/>
        </w:rPr>
        <w:t xml:space="preserve">Régimen Subsidiado </w:t>
      </w:r>
    </w:p>
    <w:p w:rsidR="008C5AD7" w:rsidRPr="0059196E" w:rsidRDefault="008C5AD7" w:rsidP="0059196E">
      <w:pPr>
        <w:widowControl w:val="0"/>
        <w:spacing w:after="0" w:line="240" w:lineRule="auto"/>
        <w:jc w:val="both"/>
        <w:rPr>
          <w:rFonts w:ascii="Arial" w:hAnsi="Arial" w:cs="Arial"/>
          <w:b/>
        </w:rPr>
      </w:pPr>
    </w:p>
    <w:p w:rsidR="0059196E" w:rsidRDefault="0059196E" w:rsidP="0059196E">
      <w:pPr>
        <w:pStyle w:val="Prrafodelista"/>
        <w:spacing w:after="0" w:line="240" w:lineRule="auto"/>
        <w:ind w:left="0"/>
        <w:jc w:val="both"/>
        <w:rPr>
          <w:rFonts w:ascii="Arial" w:hAnsi="Arial" w:cs="Arial"/>
        </w:rPr>
      </w:pPr>
      <w:r w:rsidRPr="002675F9">
        <w:rPr>
          <w:rFonts w:ascii="Arial" w:hAnsi="Arial" w:cs="Arial"/>
        </w:rPr>
        <w:t xml:space="preserve">De </w:t>
      </w:r>
      <w:r>
        <w:rPr>
          <w:rFonts w:ascii="Arial" w:hAnsi="Arial" w:cs="Arial"/>
        </w:rPr>
        <w:t xml:space="preserve">acuerdo con el reporte de Circular Única por parte de las EPS del Régimen </w:t>
      </w:r>
      <w:r w:rsidR="00F856B2">
        <w:rPr>
          <w:rFonts w:ascii="Arial" w:hAnsi="Arial" w:cs="Arial"/>
        </w:rPr>
        <w:t xml:space="preserve">Subsidiado </w:t>
      </w:r>
      <w:r>
        <w:rPr>
          <w:rFonts w:ascii="Arial" w:hAnsi="Arial" w:cs="Arial"/>
        </w:rPr>
        <w:t>y una vez analizada la información financiera, con corte a</w:t>
      </w:r>
      <w:r w:rsidR="000774D9">
        <w:rPr>
          <w:rFonts w:ascii="Arial" w:hAnsi="Arial" w:cs="Arial"/>
        </w:rPr>
        <w:t xml:space="preserve"> marzo</w:t>
      </w:r>
      <w:r>
        <w:rPr>
          <w:rFonts w:ascii="Arial" w:hAnsi="Arial" w:cs="Arial"/>
        </w:rPr>
        <w:t xml:space="preserve"> de 2011, relacionada con margen de solvencia y patrimonio mínimo, las siguientes entidades registran un nivel de riesgo, calificado entre medio, alto y muy alto:</w:t>
      </w:r>
    </w:p>
    <w:p w:rsidR="001369BA" w:rsidRDefault="001369BA" w:rsidP="0059196E">
      <w:pPr>
        <w:pStyle w:val="Prrafodelista"/>
        <w:spacing w:after="0" w:line="240" w:lineRule="auto"/>
        <w:ind w:left="0"/>
        <w:jc w:val="both"/>
        <w:rPr>
          <w:rFonts w:ascii="Arial" w:hAnsi="Arial" w:cs="Arial"/>
        </w:rPr>
      </w:pPr>
    </w:p>
    <w:p w:rsidR="00CF6C4C" w:rsidRDefault="00CF6C4C" w:rsidP="0059196E">
      <w:pPr>
        <w:pStyle w:val="Prrafodelista"/>
        <w:spacing w:after="0" w:line="240" w:lineRule="auto"/>
        <w:ind w:left="0"/>
        <w:jc w:val="both"/>
        <w:rPr>
          <w:rFonts w:ascii="Arial" w:hAnsi="Arial" w:cs="Arial"/>
        </w:rPr>
      </w:pPr>
    </w:p>
    <w:p w:rsidR="00CF6C4C" w:rsidRDefault="00CF6C4C" w:rsidP="0059196E">
      <w:pPr>
        <w:pStyle w:val="Prrafodelista"/>
        <w:spacing w:after="0" w:line="240" w:lineRule="auto"/>
        <w:ind w:left="0"/>
        <w:jc w:val="both"/>
        <w:rPr>
          <w:rFonts w:ascii="Arial" w:hAnsi="Arial" w:cs="Arial"/>
        </w:rPr>
      </w:pPr>
    </w:p>
    <w:p w:rsidR="008C5AD7" w:rsidRPr="008C5AD7" w:rsidRDefault="008C5AD7" w:rsidP="008C5AD7">
      <w:pPr>
        <w:widowControl w:val="0"/>
        <w:spacing w:after="0" w:line="240" w:lineRule="auto"/>
        <w:jc w:val="both"/>
        <w:rPr>
          <w:rFonts w:ascii="Arial" w:hAnsi="Arial" w:cs="Arial"/>
          <w:b/>
        </w:rPr>
      </w:pPr>
    </w:p>
    <w:tbl>
      <w:tblPr>
        <w:tblW w:w="9339" w:type="dxa"/>
        <w:jc w:val="center"/>
        <w:tblInd w:w="65" w:type="dxa"/>
        <w:tblCellMar>
          <w:left w:w="70" w:type="dxa"/>
          <w:right w:w="70" w:type="dxa"/>
        </w:tblCellMar>
        <w:tblLook w:val="04A0" w:firstRow="1" w:lastRow="0" w:firstColumn="1" w:lastColumn="0" w:noHBand="0" w:noVBand="1"/>
      </w:tblPr>
      <w:tblGrid>
        <w:gridCol w:w="1720"/>
        <w:gridCol w:w="1971"/>
        <w:gridCol w:w="2693"/>
        <w:gridCol w:w="1354"/>
        <w:gridCol w:w="739"/>
        <w:gridCol w:w="862"/>
      </w:tblGrid>
      <w:tr w:rsidR="00144623" w:rsidRPr="00144623" w:rsidTr="00494A2C">
        <w:trPr>
          <w:trHeight w:val="300"/>
          <w:tblHeader/>
          <w:jc w:val="center"/>
        </w:trPr>
        <w:tc>
          <w:tcPr>
            <w:tcW w:w="1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b/>
                <w:bCs/>
                <w:color w:val="000000"/>
                <w:sz w:val="20"/>
                <w:szCs w:val="20"/>
                <w:lang w:eastAsia="es-CO"/>
              </w:rPr>
            </w:pPr>
            <w:r w:rsidRPr="00144623">
              <w:rPr>
                <w:rFonts w:ascii="Arial" w:eastAsia="Times New Roman" w:hAnsi="Arial" w:cs="Arial"/>
                <w:b/>
                <w:bCs/>
                <w:color w:val="000000"/>
                <w:sz w:val="20"/>
                <w:szCs w:val="20"/>
                <w:lang w:eastAsia="es-CO"/>
              </w:rPr>
              <w:t>INDICADOR</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b/>
                <w:bCs/>
                <w:color w:val="000000"/>
                <w:sz w:val="20"/>
                <w:szCs w:val="20"/>
                <w:lang w:eastAsia="es-CO"/>
              </w:rPr>
            </w:pPr>
            <w:r w:rsidRPr="00144623">
              <w:rPr>
                <w:rFonts w:ascii="Arial" w:eastAsia="Times New Roman" w:hAnsi="Arial" w:cs="Arial"/>
                <w:b/>
                <w:bCs/>
                <w:color w:val="000000"/>
                <w:sz w:val="20"/>
                <w:szCs w:val="20"/>
                <w:lang w:eastAsia="es-CO"/>
              </w:rPr>
              <w:t>TIPO ENTIDAD</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b/>
                <w:bCs/>
                <w:color w:val="000000"/>
                <w:sz w:val="20"/>
                <w:szCs w:val="20"/>
                <w:lang w:eastAsia="es-CO"/>
              </w:rPr>
            </w:pPr>
            <w:r w:rsidRPr="00144623">
              <w:rPr>
                <w:rFonts w:ascii="Arial" w:eastAsia="Times New Roman" w:hAnsi="Arial" w:cs="Arial"/>
                <w:b/>
                <w:bCs/>
                <w:color w:val="000000"/>
                <w:sz w:val="20"/>
                <w:szCs w:val="20"/>
                <w:lang w:eastAsia="es-CO"/>
              </w:rPr>
              <w:t>ENTIDAD</w:t>
            </w:r>
          </w:p>
        </w:tc>
        <w:tc>
          <w:tcPr>
            <w:tcW w:w="2955" w:type="dxa"/>
            <w:gridSpan w:val="3"/>
            <w:tcBorders>
              <w:top w:val="single" w:sz="4" w:space="0" w:color="auto"/>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b/>
                <w:bCs/>
                <w:color w:val="000000"/>
                <w:sz w:val="20"/>
                <w:szCs w:val="20"/>
                <w:lang w:eastAsia="es-CO"/>
              </w:rPr>
            </w:pPr>
            <w:r w:rsidRPr="00144623">
              <w:rPr>
                <w:rFonts w:ascii="Arial" w:eastAsia="Times New Roman" w:hAnsi="Arial" w:cs="Arial"/>
                <w:b/>
                <w:bCs/>
                <w:color w:val="000000"/>
                <w:sz w:val="20"/>
                <w:szCs w:val="20"/>
                <w:lang w:eastAsia="es-CO"/>
              </w:rPr>
              <w:t>NIVEL DE RIESGO</w:t>
            </w:r>
          </w:p>
        </w:tc>
      </w:tr>
      <w:tr w:rsidR="00144623" w:rsidRPr="00144623" w:rsidTr="00494A2C">
        <w:trPr>
          <w:trHeight w:val="300"/>
          <w:tblHeader/>
          <w:jc w:val="center"/>
        </w:trPr>
        <w:tc>
          <w:tcPr>
            <w:tcW w:w="1720" w:type="dxa"/>
            <w:vMerge/>
            <w:tcBorders>
              <w:top w:val="single" w:sz="4" w:space="0" w:color="auto"/>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b/>
                <w:bCs/>
                <w:color w:val="000000"/>
                <w:sz w:val="20"/>
                <w:szCs w:val="20"/>
                <w:lang w:eastAsia="es-CO"/>
              </w:rPr>
            </w:pPr>
            <w:r w:rsidRPr="00144623">
              <w:rPr>
                <w:rFonts w:ascii="Arial" w:eastAsia="Times New Roman" w:hAnsi="Arial" w:cs="Arial"/>
                <w:b/>
                <w:bCs/>
                <w:color w:val="000000"/>
                <w:sz w:val="20"/>
                <w:szCs w:val="20"/>
                <w:lang w:eastAsia="es-CO"/>
              </w:rPr>
              <w:t>MUY ALTO</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b/>
                <w:bCs/>
                <w:color w:val="000000"/>
                <w:sz w:val="20"/>
                <w:szCs w:val="20"/>
                <w:lang w:eastAsia="es-CO"/>
              </w:rPr>
            </w:pPr>
            <w:r w:rsidRPr="00144623">
              <w:rPr>
                <w:rFonts w:ascii="Arial" w:eastAsia="Times New Roman" w:hAnsi="Arial" w:cs="Arial"/>
                <w:b/>
                <w:bCs/>
                <w:color w:val="000000"/>
                <w:sz w:val="20"/>
                <w:szCs w:val="20"/>
                <w:lang w:eastAsia="es-CO"/>
              </w:rPr>
              <w:t>ALTO</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b/>
                <w:bCs/>
                <w:color w:val="000000"/>
                <w:sz w:val="20"/>
                <w:szCs w:val="20"/>
                <w:lang w:eastAsia="es-CO"/>
              </w:rPr>
            </w:pPr>
            <w:r w:rsidRPr="00144623">
              <w:rPr>
                <w:rFonts w:ascii="Arial" w:eastAsia="Times New Roman" w:hAnsi="Arial" w:cs="Arial"/>
                <w:b/>
                <w:bCs/>
                <w:color w:val="000000"/>
                <w:sz w:val="20"/>
                <w:szCs w:val="20"/>
                <w:lang w:eastAsia="es-CO"/>
              </w:rPr>
              <w:t>MEDIO</w:t>
            </w:r>
          </w:p>
        </w:tc>
      </w:tr>
      <w:tr w:rsidR="00144623" w:rsidRPr="00144623" w:rsidTr="00D75C52">
        <w:trPr>
          <w:trHeight w:val="300"/>
          <w:jc w:val="center"/>
        </w:trPr>
        <w:tc>
          <w:tcPr>
            <w:tcW w:w="1720" w:type="dxa"/>
            <w:vMerge w:val="restart"/>
            <w:tcBorders>
              <w:top w:val="nil"/>
              <w:left w:val="single" w:sz="4" w:space="0" w:color="auto"/>
              <w:bottom w:val="nil"/>
              <w:right w:val="single" w:sz="4" w:space="0" w:color="auto"/>
            </w:tcBorders>
            <w:shd w:val="clear" w:color="auto" w:fill="auto"/>
            <w:vAlign w:val="center"/>
            <w:hideMark/>
          </w:tcPr>
          <w:p w:rsidR="00144623" w:rsidRPr="00144623" w:rsidRDefault="00144623" w:rsidP="00144623">
            <w:pPr>
              <w:spacing w:after="0" w:line="240" w:lineRule="auto"/>
              <w:jc w:val="center"/>
              <w:rPr>
                <w:rFonts w:ascii="Arial" w:eastAsia="Times New Roman" w:hAnsi="Arial" w:cs="Arial"/>
                <w:b/>
                <w:bCs/>
                <w:color w:val="000000"/>
                <w:sz w:val="20"/>
                <w:szCs w:val="20"/>
                <w:lang w:eastAsia="es-CO"/>
              </w:rPr>
            </w:pPr>
            <w:r w:rsidRPr="00144623">
              <w:rPr>
                <w:rFonts w:ascii="Arial" w:eastAsia="Times New Roman" w:hAnsi="Arial" w:cs="Arial"/>
                <w:b/>
                <w:bCs/>
                <w:color w:val="000000"/>
                <w:sz w:val="20"/>
                <w:szCs w:val="20"/>
                <w:lang w:eastAsia="es-CO"/>
              </w:rPr>
              <w:t>MARGEN DE SOLVENCIA</w:t>
            </w:r>
          </w:p>
        </w:tc>
        <w:tc>
          <w:tcPr>
            <w:tcW w:w="19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4623" w:rsidRPr="00144623" w:rsidRDefault="00144623" w:rsidP="00D75C52">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EPS- PRIVADAS</w:t>
            </w:r>
          </w:p>
        </w:tc>
        <w:tc>
          <w:tcPr>
            <w:tcW w:w="2693"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xml:space="preserve">CAFESALUD </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D75C52">
        <w:trPr>
          <w:trHeight w:val="300"/>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D75C52">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HUMANA</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D75C52">
        <w:trPr>
          <w:trHeight w:val="300"/>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D75C52">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SALUD VIDA</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D75C52">
        <w:trPr>
          <w:trHeight w:val="300"/>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tcBorders>
              <w:top w:val="nil"/>
              <w:left w:val="single" w:sz="4" w:space="0" w:color="auto"/>
              <w:bottom w:val="single" w:sz="4" w:space="0" w:color="auto"/>
              <w:right w:val="single" w:sz="4" w:space="0" w:color="auto"/>
            </w:tcBorders>
            <w:shd w:val="clear" w:color="auto" w:fill="auto"/>
            <w:noWrap/>
            <w:vAlign w:val="center"/>
            <w:hideMark/>
          </w:tcPr>
          <w:p w:rsidR="00144623" w:rsidRPr="00144623" w:rsidRDefault="00144623" w:rsidP="00D75C52">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EPS- PUBLICAS</w:t>
            </w: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CAPRECOM</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D75C52">
        <w:trPr>
          <w:trHeight w:val="300"/>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D75C52">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EPS-SOLIDARIAS</w:t>
            </w: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AMBUQ</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D75C52">
        <w:trPr>
          <w:trHeight w:val="300"/>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D75C52">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EPS- INDIGENAS</w:t>
            </w:r>
          </w:p>
        </w:tc>
        <w:tc>
          <w:tcPr>
            <w:tcW w:w="2693"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xml:space="preserve">MALLAMAS </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D75C52">
        <w:trPr>
          <w:trHeight w:val="315"/>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4623" w:rsidRPr="00144623" w:rsidRDefault="00144623" w:rsidP="00D75C52">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PROGRAMAS DE SALUD CCF</w:t>
            </w:r>
          </w:p>
        </w:tc>
        <w:tc>
          <w:tcPr>
            <w:tcW w:w="2693"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CAJASAN</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COMFENALCO TOLIMA</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NARIÑO</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COMFAMILIAR CARTAGENA</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COMFASUCRE</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COMFANORTE</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nil"/>
              <w:left w:val="single" w:sz="4" w:space="0" w:color="auto"/>
              <w:bottom w:val="nil"/>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COMFABOY</w:t>
            </w:r>
          </w:p>
        </w:tc>
        <w:tc>
          <w:tcPr>
            <w:tcW w:w="1354"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4623" w:rsidRPr="00144623" w:rsidRDefault="00144623" w:rsidP="00144623">
            <w:pPr>
              <w:spacing w:after="0" w:line="240" w:lineRule="auto"/>
              <w:jc w:val="center"/>
              <w:rPr>
                <w:rFonts w:ascii="Arial" w:eastAsia="Times New Roman" w:hAnsi="Arial" w:cs="Arial"/>
                <w:b/>
                <w:bCs/>
                <w:color w:val="000000"/>
                <w:sz w:val="20"/>
                <w:szCs w:val="20"/>
                <w:lang w:eastAsia="es-CO"/>
              </w:rPr>
            </w:pPr>
            <w:r w:rsidRPr="00144623">
              <w:rPr>
                <w:rFonts w:ascii="Arial" w:eastAsia="Times New Roman" w:hAnsi="Arial" w:cs="Arial"/>
                <w:b/>
                <w:bCs/>
                <w:color w:val="000000"/>
                <w:sz w:val="20"/>
                <w:szCs w:val="20"/>
                <w:lang w:eastAsia="es-CO"/>
              </w:rPr>
              <w:t>PATRIMONIO MINIMO</w:t>
            </w:r>
          </w:p>
        </w:tc>
        <w:tc>
          <w:tcPr>
            <w:tcW w:w="19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EPS- PRIVADAS</w:t>
            </w: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CAFESALUD</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CONVIDA</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tcBorders>
              <w:top w:val="nil"/>
              <w:left w:val="single" w:sz="4" w:space="0" w:color="auto"/>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r w:rsidR="000774D9" w:rsidRPr="00144623">
              <w:rPr>
                <w:rFonts w:ascii="Arial" w:eastAsia="Times New Roman" w:hAnsi="Arial" w:cs="Arial"/>
                <w:color w:val="000000"/>
                <w:sz w:val="20"/>
                <w:szCs w:val="20"/>
                <w:lang w:eastAsia="es-CO"/>
              </w:rPr>
              <w:t>EPS- PUBLICAS</w:t>
            </w: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CAPRECOM</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4623" w:rsidRPr="00144623" w:rsidRDefault="00D75C52"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EPS- INDIGENAS</w:t>
            </w: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MANEXCA</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xml:space="preserve">MALLAMAS </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SANTANDER</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COMFAMA</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CAFABA</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COMFENALCO TOLIMA</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NARIÑO</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xml:space="preserve">CCF COMFASUCRE </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COMFANORTE</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COMFABOY</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CCF COMFAORIENTE</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r>
      <w:tr w:rsidR="00144623" w:rsidRPr="00144623" w:rsidTr="00144623">
        <w:trPr>
          <w:trHeight w:val="315"/>
          <w:jc w:val="center"/>
        </w:trPr>
        <w:tc>
          <w:tcPr>
            <w:tcW w:w="1720" w:type="dxa"/>
            <w:vMerge/>
            <w:tcBorders>
              <w:top w:val="single" w:sz="4" w:space="0" w:color="auto"/>
              <w:left w:val="single" w:sz="4" w:space="0" w:color="auto"/>
              <w:bottom w:val="single" w:sz="4" w:space="0" w:color="000000"/>
              <w:right w:val="single" w:sz="4" w:space="0" w:color="auto"/>
            </w:tcBorders>
            <w:vAlign w:val="center"/>
            <w:hideMark/>
          </w:tcPr>
          <w:p w:rsidR="00144623" w:rsidRPr="00144623" w:rsidRDefault="00144623" w:rsidP="00144623">
            <w:pPr>
              <w:spacing w:after="0" w:line="240" w:lineRule="auto"/>
              <w:rPr>
                <w:rFonts w:ascii="Arial" w:eastAsia="Times New Roman" w:hAnsi="Arial" w:cs="Arial"/>
                <w:b/>
                <w:bCs/>
                <w:color w:val="000000"/>
                <w:sz w:val="20"/>
                <w:szCs w:val="20"/>
                <w:lang w:eastAsia="es-CO"/>
              </w:rPr>
            </w:pPr>
          </w:p>
        </w:tc>
        <w:tc>
          <w:tcPr>
            <w:tcW w:w="1971" w:type="dxa"/>
            <w:vMerge/>
            <w:tcBorders>
              <w:top w:val="nil"/>
              <w:left w:val="single" w:sz="4" w:space="0" w:color="auto"/>
              <w:bottom w:val="single" w:sz="4" w:space="0" w:color="auto"/>
              <w:right w:val="single" w:sz="4" w:space="0" w:color="auto"/>
            </w:tcBorders>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p>
        </w:tc>
        <w:tc>
          <w:tcPr>
            <w:tcW w:w="2693" w:type="dxa"/>
            <w:tcBorders>
              <w:top w:val="nil"/>
              <w:left w:val="nil"/>
              <w:bottom w:val="single" w:sz="4" w:space="0" w:color="auto"/>
              <w:right w:val="single" w:sz="4" w:space="0" w:color="auto"/>
            </w:tcBorders>
            <w:shd w:val="clear" w:color="auto" w:fill="auto"/>
            <w:noWrap/>
            <w:vAlign w:val="center"/>
            <w:hideMark/>
          </w:tcPr>
          <w:p w:rsidR="00144623" w:rsidRPr="00144623" w:rsidRDefault="00144623" w:rsidP="00144623">
            <w:pPr>
              <w:spacing w:after="0" w:line="240" w:lineRule="auto"/>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COMFENALCO ANTIOQUIA</w:t>
            </w:r>
          </w:p>
        </w:tc>
        <w:tc>
          <w:tcPr>
            <w:tcW w:w="1354"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739"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 </w:t>
            </w:r>
          </w:p>
        </w:tc>
        <w:tc>
          <w:tcPr>
            <w:tcW w:w="862" w:type="dxa"/>
            <w:tcBorders>
              <w:top w:val="nil"/>
              <w:left w:val="nil"/>
              <w:bottom w:val="single" w:sz="4" w:space="0" w:color="auto"/>
              <w:right w:val="single" w:sz="4" w:space="0" w:color="auto"/>
            </w:tcBorders>
            <w:shd w:val="clear" w:color="auto" w:fill="auto"/>
            <w:noWrap/>
            <w:vAlign w:val="bottom"/>
            <w:hideMark/>
          </w:tcPr>
          <w:p w:rsidR="00144623" w:rsidRPr="00144623" w:rsidRDefault="00144623" w:rsidP="00144623">
            <w:pPr>
              <w:spacing w:after="0" w:line="240" w:lineRule="auto"/>
              <w:jc w:val="center"/>
              <w:rPr>
                <w:rFonts w:ascii="Arial" w:eastAsia="Times New Roman" w:hAnsi="Arial" w:cs="Arial"/>
                <w:color w:val="000000"/>
                <w:sz w:val="20"/>
                <w:szCs w:val="20"/>
                <w:lang w:eastAsia="es-CO"/>
              </w:rPr>
            </w:pPr>
            <w:r w:rsidRPr="00144623">
              <w:rPr>
                <w:rFonts w:ascii="Arial" w:eastAsia="Times New Roman" w:hAnsi="Arial" w:cs="Arial"/>
                <w:color w:val="000000"/>
                <w:sz w:val="20"/>
                <w:szCs w:val="20"/>
                <w:lang w:eastAsia="es-CO"/>
              </w:rPr>
              <w:t>X</w:t>
            </w:r>
          </w:p>
        </w:tc>
      </w:tr>
    </w:tbl>
    <w:p w:rsidR="00104EC1" w:rsidRDefault="00104EC1" w:rsidP="00F856B2">
      <w:pPr>
        <w:pStyle w:val="Prrafodelista"/>
        <w:spacing w:after="0" w:line="240" w:lineRule="auto"/>
        <w:ind w:left="0"/>
        <w:jc w:val="both"/>
        <w:rPr>
          <w:rFonts w:ascii="Arial" w:hAnsi="Arial" w:cs="Arial"/>
        </w:rPr>
      </w:pPr>
    </w:p>
    <w:p w:rsidR="001369BA" w:rsidRDefault="001369BA" w:rsidP="00F856B2">
      <w:pPr>
        <w:pStyle w:val="Prrafodelista"/>
        <w:spacing w:after="0" w:line="240" w:lineRule="auto"/>
        <w:ind w:left="0"/>
        <w:jc w:val="both"/>
        <w:rPr>
          <w:rFonts w:ascii="Arial" w:hAnsi="Arial" w:cs="Arial"/>
        </w:rPr>
      </w:pPr>
    </w:p>
    <w:p w:rsidR="00F856B2" w:rsidRDefault="00F856B2" w:rsidP="00F856B2">
      <w:pPr>
        <w:pStyle w:val="Prrafodelista"/>
        <w:spacing w:after="0" w:line="240" w:lineRule="auto"/>
        <w:ind w:left="0"/>
        <w:jc w:val="both"/>
        <w:rPr>
          <w:rFonts w:ascii="Arial" w:hAnsi="Arial" w:cs="Arial"/>
        </w:rPr>
      </w:pPr>
      <w:r>
        <w:rPr>
          <w:rFonts w:ascii="Arial" w:hAnsi="Arial" w:cs="Arial"/>
        </w:rPr>
        <w:t>El nivel de riesgo muy alto se da cuando la entidad presenta insuficiencia patrimonial para margen de  solvencia y patrimonio mínimo.</w:t>
      </w:r>
    </w:p>
    <w:p w:rsidR="00F856B2" w:rsidRDefault="00F856B2" w:rsidP="00F856B2">
      <w:pPr>
        <w:pStyle w:val="Prrafodelista"/>
        <w:spacing w:after="0" w:line="240" w:lineRule="auto"/>
        <w:ind w:left="0"/>
        <w:jc w:val="both"/>
        <w:rPr>
          <w:rFonts w:ascii="Arial" w:hAnsi="Arial" w:cs="Arial"/>
        </w:rPr>
      </w:pPr>
    </w:p>
    <w:p w:rsidR="00F856B2" w:rsidRDefault="00F856B2" w:rsidP="00F856B2">
      <w:pPr>
        <w:pStyle w:val="Prrafodelista"/>
        <w:spacing w:after="0" w:line="240" w:lineRule="auto"/>
        <w:ind w:left="0"/>
        <w:jc w:val="both"/>
        <w:rPr>
          <w:rFonts w:ascii="Arial" w:hAnsi="Arial" w:cs="Arial"/>
        </w:rPr>
      </w:pPr>
      <w:r>
        <w:rPr>
          <w:rFonts w:ascii="Arial" w:hAnsi="Arial" w:cs="Arial"/>
        </w:rPr>
        <w:t>El riesgo alto esta dado por incumplimiento del margen de solvencia. El riesgo medio se da cuando se incumple con el patrimonio mínimo.</w:t>
      </w:r>
    </w:p>
    <w:p w:rsidR="00F856B2" w:rsidRDefault="00F856B2" w:rsidP="00104EC1">
      <w:pPr>
        <w:pStyle w:val="Prrafodelista"/>
        <w:widowControl w:val="0"/>
        <w:spacing w:after="0" w:line="240" w:lineRule="auto"/>
        <w:ind w:left="0"/>
        <w:jc w:val="both"/>
        <w:rPr>
          <w:rFonts w:ascii="Arial" w:hAnsi="Arial" w:cs="Arial"/>
        </w:rPr>
      </w:pPr>
    </w:p>
    <w:p w:rsidR="00F856B2" w:rsidRDefault="00F856B2" w:rsidP="00104EC1">
      <w:pPr>
        <w:pStyle w:val="Prrafodelista"/>
        <w:widowControl w:val="0"/>
        <w:spacing w:after="0" w:line="240" w:lineRule="auto"/>
        <w:ind w:left="0"/>
        <w:jc w:val="both"/>
        <w:rPr>
          <w:rFonts w:ascii="Arial" w:hAnsi="Arial" w:cs="Arial"/>
        </w:rPr>
      </w:pPr>
      <w:r>
        <w:rPr>
          <w:rFonts w:ascii="Arial" w:hAnsi="Arial" w:cs="Arial"/>
        </w:rPr>
        <w:t xml:space="preserve">Los afiliados, las Cuentas por Pagar, el Activo Corriente y los Activos fijos, con corte a </w:t>
      </w:r>
      <w:r w:rsidR="00D51A53">
        <w:rPr>
          <w:rFonts w:ascii="Arial" w:hAnsi="Arial" w:cs="Arial"/>
        </w:rPr>
        <w:t>marzo</w:t>
      </w:r>
      <w:r>
        <w:rPr>
          <w:rFonts w:ascii="Arial" w:hAnsi="Arial" w:cs="Arial"/>
        </w:rPr>
        <w:t xml:space="preserve"> de 2011, de las EPS que se encuentran en nivel de riesgo muy alto, alto y medio, son los siguientes:</w:t>
      </w:r>
    </w:p>
    <w:p w:rsidR="001369BA" w:rsidRDefault="001369BA" w:rsidP="00104EC1">
      <w:pPr>
        <w:pStyle w:val="Prrafodelista"/>
        <w:widowControl w:val="0"/>
        <w:spacing w:after="0" w:line="240" w:lineRule="auto"/>
        <w:ind w:left="0"/>
        <w:jc w:val="both"/>
        <w:rPr>
          <w:rFonts w:ascii="Arial" w:hAnsi="Arial" w:cs="Arial"/>
        </w:rPr>
      </w:pPr>
    </w:p>
    <w:p w:rsidR="00056B45" w:rsidRPr="001369BA" w:rsidRDefault="00104EC1" w:rsidP="00104EC1">
      <w:pPr>
        <w:widowControl w:val="0"/>
        <w:spacing w:after="0" w:line="240" w:lineRule="auto"/>
        <w:ind w:right="332"/>
        <w:jc w:val="right"/>
        <w:rPr>
          <w:rFonts w:ascii="Arial" w:hAnsi="Arial" w:cs="Arial"/>
          <w:sz w:val="20"/>
        </w:rPr>
      </w:pPr>
      <w:r w:rsidRPr="001369BA">
        <w:rPr>
          <w:rFonts w:ascii="Arial" w:eastAsia="Times New Roman" w:hAnsi="Arial" w:cs="Arial"/>
          <w:color w:val="000000"/>
          <w:sz w:val="20"/>
          <w:lang w:eastAsia="es-CO"/>
        </w:rPr>
        <w:t>Cifras en millones de pesos</w:t>
      </w:r>
    </w:p>
    <w:tbl>
      <w:tblPr>
        <w:tblW w:w="8662" w:type="dxa"/>
        <w:jc w:val="center"/>
        <w:tblInd w:w="55" w:type="dxa"/>
        <w:tblCellMar>
          <w:left w:w="70" w:type="dxa"/>
          <w:right w:w="70" w:type="dxa"/>
        </w:tblCellMar>
        <w:tblLook w:val="04A0" w:firstRow="1" w:lastRow="0" w:firstColumn="1" w:lastColumn="0" w:noHBand="0" w:noVBand="1"/>
      </w:tblPr>
      <w:tblGrid>
        <w:gridCol w:w="2567"/>
        <w:gridCol w:w="1559"/>
        <w:gridCol w:w="1559"/>
        <w:gridCol w:w="1560"/>
        <w:gridCol w:w="1417"/>
      </w:tblGrid>
      <w:tr w:rsidR="00857F57" w:rsidRPr="00857F57" w:rsidTr="001369BA">
        <w:trPr>
          <w:trHeight w:val="300"/>
          <w:tblHeader/>
          <w:jc w:val="center"/>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center"/>
              <w:rPr>
                <w:rFonts w:ascii="Arial" w:eastAsia="Times New Roman" w:hAnsi="Arial" w:cs="Arial"/>
                <w:b/>
                <w:bCs/>
                <w:color w:val="000000"/>
                <w:sz w:val="20"/>
                <w:szCs w:val="20"/>
                <w:lang w:eastAsia="es-CO"/>
              </w:rPr>
            </w:pPr>
            <w:r w:rsidRPr="00857F57">
              <w:rPr>
                <w:rFonts w:ascii="Arial" w:eastAsia="Times New Roman" w:hAnsi="Arial" w:cs="Arial"/>
                <w:b/>
                <w:bCs/>
                <w:color w:val="000000"/>
                <w:sz w:val="20"/>
                <w:szCs w:val="20"/>
                <w:lang w:eastAsia="es-CO"/>
              </w:rPr>
              <w:t>ENTIDAD</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center"/>
              <w:rPr>
                <w:rFonts w:ascii="Arial" w:eastAsia="Times New Roman" w:hAnsi="Arial" w:cs="Arial"/>
                <w:b/>
                <w:bCs/>
                <w:color w:val="000000"/>
                <w:sz w:val="20"/>
                <w:szCs w:val="20"/>
                <w:lang w:eastAsia="es-CO"/>
              </w:rPr>
            </w:pPr>
            <w:r w:rsidRPr="00857F57">
              <w:rPr>
                <w:rFonts w:ascii="Arial" w:eastAsia="Times New Roman" w:hAnsi="Arial" w:cs="Arial"/>
                <w:b/>
                <w:bCs/>
                <w:color w:val="000000"/>
                <w:sz w:val="20"/>
                <w:szCs w:val="20"/>
                <w:lang w:eastAsia="es-CO"/>
              </w:rPr>
              <w:t>NUMERO AFILIADOS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center"/>
              <w:rPr>
                <w:rFonts w:ascii="Arial" w:eastAsia="Times New Roman" w:hAnsi="Arial" w:cs="Arial"/>
                <w:b/>
                <w:bCs/>
                <w:color w:val="000000"/>
                <w:sz w:val="20"/>
                <w:szCs w:val="20"/>
                <w:lang w:eastAsia="es-CO"/>
              </w:rPr>
            </w:pPr>
            <w:r w:rsidRPr="00857F57">
              <w:rPr>
                <w:rFonts w:ascii="Arial" w:eastAsia="Times New Roman" w:hAnsi="Arial" w:cs="Arial"/>
                <w:b/>
                <w:bCs/>
                <w:color w:val="000000"/>
                <w:sz w:val="20"/>
                <w:szCs w:val="20"/>
                <w:lang w:eastAsia="es-CO"/>
              </w:rPr>
              <w:t>CUENTAS POR PAGAR</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center"/>
              <w:rPr>
                <w:rFonts w:ascii="Arial" w:eastAsia="Times New Roman" w:hAnsi="Arial" w:cs="Arial"/>
                <w:b/>
                <w:bCs/>
                <w:color w:val="000000"/>
                <w:sz w:val="20"/>
                <w:szCs w:val="20"/>
                <w:lang w:eastAsia="es-CO"/>
              </w:rPr>
            </w:pPr>
            <w:r w:rsidRPr="00857F57">
              <w:rPr>
                <w:rFonts w:ascii="Arial" w:eastAsia="Times New Roman" w:hAnsi="Arial" w:cs="Arial"/>
                <w:b/>
                <w:bCs/>
                <w:color w:val="000000"/>
                <w:sz w:val="20"/>
                <w:szCs w:val="20"/>
                <w:lang w:eastAsia="es-CO"/>
              </w:rPr>
              <w:t>ACTIVO CORRIENTE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center"/>
              <w:rPr>
                <w:rFonts w:ascii="Arial" w:eastAsia="Times New Roman" w:hAnsi="Arial" w:cs="Arial"/>
                <w:b/>
                <w:bCs/>
                <w:color w:val="000000"/>
                <w:sz w:val="20"/>
                <w:szCs w:val="20"/>
                <w:lang w:eastAsia="es-CO"/>
              </w:rPr>
            </w:pPr>
            <w:r w:rsidRPr="00857F57">
              <w:rPr>
                <w:rFonts w:ascii="Arial" w:eastAsia="Times New Roman" w:hAnsi="Arial" w:cs="Arial"/>
                <w:b/>
                <w:bCs/>
                <w:color w:val="000000"/>
                <w:sz w:val="20"/>
                <w:szCs w:val="20"/>
                <w:lang w:eastAsia="es-CO"/>
              </w:rPr>
              <w:t>ACTIVO FIJO</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 xml:space="preserve">CAFESALUD </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1.345.663</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1.525</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76.462</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172</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HUMANA</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563.493</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4.251</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75.645</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345.636</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SALUD VIDA</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976.488</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10.841</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111.039</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5.701</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CAPRECOM</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3.244.707</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130.535</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635.860</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0</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AMBUQ</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684.108</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21.983</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115.871</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1.028</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 xml:space="preserve">MALLAMAS </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254.198</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0</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37.048</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0</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CAJASAN</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41.559</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5.742</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7.997</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436</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COMFENALCO TOLIMA</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161.794</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3.168</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12.496</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48</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CCF NARIÑO</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118.230</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156</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7.846</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88</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COMFAMILIAR CARTAGENA</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226.517</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5.561</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37.836</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0</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CCF COMFASUCRE</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99.483</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722</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9.096</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89</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CCF COMFANORTE</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204.159</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623</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17.182</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75</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CCF COMFABOY</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99.813</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599</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6.272</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38</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CONVIDA</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446.119</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0</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20.023</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0</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MANEXCA</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217.732</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11.275</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17.590</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0</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CCF SANTANDER</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49.287</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112</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4.213</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13</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CCF CAFABA</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124.868</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2.558</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22.484</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69</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CCF COMFAORIENTE</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137.281</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2.232</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19.461</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5</w:t>
            </w:r>
          </w:p>
        </w:tc>
      </w:tr>
      <w:tr w:rsidR="00857F57" w:rsidRPr="00857F57" w:rsidTr="001369BA">
        <w:trPr>
          <w:trHeight w:val="300"/>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COMFENALCO ANTIOQUIA</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409.752</w:t>
            </w:r>
          </w:p>
        </w:tc>
        <w:tc>
          <w:tcPr>
            <w:tcW w:w="1559"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12.050</w:t>
            </w:r>
          </w:p>
        </w:tc>
        <w:tc>
          <w:tcPr>
            <w:tcW w:w="1560"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27.953</w:t>
            </w:r>
          </w:p>
        </w:tc>
        <w:tc>
          <w:tcPr>
            <w:tcW w:w="1417" w:type="dxa"/>
            <w:tcBorders>
              <w:top w:val="nil"/>
              <w:left w:val="nil"/>
              <w:bottom w:val="single" w:sz="4" w:space="0" w:color="auto"/>
              <w:right w:val="single" w:sz="4" w:space="0" w:color="auto"/>
            </w:tcBorders>
            <w:shd w:val="clear" w:color="auto" w:fill="auto"/>
            <w:noWrap/>
            <w:vAlign w:val="center"/>
            <w:hideMark/>
          </w:tcPr>
          <w:p w:rsidR="00857F57" w:rsidRPr="00857F57" w:rsidRDefault="00857F57" w:rsidP="001369BA">
            <w:pPr>
              <w:spacing w:after="0" w:line="240" w:lineRule="auto"/>
              <w:jc w:val="right"/>
              <w:rPr>
                <w:rFonts w:ascii="Arial" w:eastAsia="Times New Roman" w:hAnsi="Arial" w:cs="Arial"/>
                <w:color w:val="000000"/>
                <w:sz w:val="20"/>
                <w:szCs w:val="20"/>
                <w:lang w:eastAsia="es-CO"/>
              </w:rPr>
            </w:pPr>
            <w:r w:rsidRPr="00857F57">
              <w:rPr>
                <w:rFonts w:ascii="Arial" w:eastAsia="Times New Roman" w:hAnsi="Arial" w:cs="Arial"/>
                <w:color w:val="000000"/>
                <w:sz w:val="20"/>
                <w:szCs w:val="20"/>
                <w:lang w:eastAsia="es-CO"/>
              </w:rPr>
              <w:t>112</w:t>
            </w:r>
          </w:p>
        </w:tc>
      </w:tr>
    </w:tbl>
    <w:p w:rsidR="00056B45" w:rsidRPr="00B6150B" w:rsidRDefault="00B6150B" w:rsidP="00B6150B">
      <w:pPr>
        <w:widowControl w:val="0"/>
        <w:spacing w:after="0" w:line="240" w:lineRule="auto"/>
        <w:ind w:left="284"/>
        <w:jc w:val="both"/>
        <w:rPr>
          <w:rFonts w:ascii="Arial" w:hAnsi="Arial" w:cs="Arial"/>
        </w:rPr>
      </w:pPr>
      <w:r w:rsidRPr="00B6150B">
        <w:rPr>
          <w:rFonts w:ascii="Arial" w:eastAsia="Times New Roman" w:hAnsi="Arial" w:cs="Arial"/>
          <w:color w:val="000000"/>
          <w:sz w:val="20"/>
          <w:szCs w:val="20"/>
          <w:lang w:eastAsia="es-CO"/>
        </w:rPr>
        <w:t>Fuente: información suministrada por las EPS</w:t>
      </w:r>
    </w:p>
    <w:p w:rsidR="00056B45" w:rsidRPr="00603DBE" w:rsidRDefault="00056B45" w:rsidP="00104EC1">
      <w:pPr>
        <w:widowControl w:val="0"/>
        <w:spacing w:after="0" w:line="240" w:lineRule="auto"/>
        <w:jc w:val="both"/>
        <w:rPr>
          <w:rFonts w:ascii="Arial" w:hAnsi="Arial" w:cs="Arial"/>
        </w:rPr>
      </w:pPr>
    </w:p>
    <w:p w:rsidR="00056B45" w:rsidRPr="00603DBE" w:rsidRDefault="00056B45" w:rsidP="00104EC1">
      <w:pPr>
        <w:widowControl w:val="0"/>
        <w:spacing w:after="0" w:line="240" w:lineRule="auto"/>
        <w:jc w:val="both"/>
        <w:rPr>
          <w:rFonts w:ascii="Arial" w:hAnsi="Arial" w:cs="Arial"/>
        </w:rPr>
      </w:pPr>
    </w:p>
    <w:p w:rsidR="00056B45" w:rsidRPr="00603DBE" w:rsidRDefault="00056B45" w:rsidP="00104EC1">
      <w:pPr>
        <w:widowControl w:val="0"/>
        <w:spacing w:after="0" w:line="240" w:lineRule="auto"/>
        <w:jc w:val="both"/>
        <w:rPr>
          <w:rFonts w:ascii="Arial" w:hAnsi="Arial" w:cs="Arial"/>
        </w:rPr>
      </w:pPr>
    </w:p>
    <w:p w:rsidR="00056B45" w:rsidRPr="00BE675E" w:rsidRDefault="00056B45" w:rsidP="00BE675E">
      <w:pPr>
        <w:widowControl w:val="0"/>
        <w:spacing w:after="0" w:line="240" w:lineRule="auto"/>
        <w:jc w:val="both"/>
        <w:rPr>
          <w:rFonts w:ascii="Arial" w:hAnsi="Arial" w:cs="Arial"/>
          <w:b/>
        </w:rPr>
      </w:pPr>
      <w:bookmarkStart w:id="2" w:name="_GoBack"/>
      <w:bookmarkEnd w:id="2"/>
    </w:p>
    <w:sectPr w:rsidR="00056B45" w:rsidRPr="00BE675E" w:rsidSect="00DF76BF">
      <w:headerReference w:type="default" r:id="rId12"/>
      <w:footerReference w:type="default" r:id="rId13"/>
      <w:pgSz w:w="12240" w:h="20160" w:code="5"/>
      <w:pgMar w:top="1134" w:right="1418" w:bottom="1701" w:left="1418" w:header="284"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828" w:rsidRDefault="00732828" w:rsidP="00FC4577">
      <w:pPr>
        <w:spacing w:after="0" w:line="240" w:lineRule="auto"/>
      </w:pPr>
      <w:r>
        <w:separator/>
      </w:r>
    </w:p>
  </w:endnote>
  <w:endnote w:type="continuationSeparator" w:id="0">
    <w:p w:rsidR="00732828" w:rsidRDefault="00732828" w:rsidP="00FC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C52" w:rsidRDefault="00D75C52">
    <w:pPr>
      <w:pStyle w:val="Piedepgina"/>
      <w:jc w:val="right"/>
    </w:pPr>
  </w:p>
  <w:p w:rsidR="00D75C52" w:rsidRDefault="00D75C52" w:rsidP="007F7339">
    <w:pPr>
      <w:pStyle w:val="Piedepgina"/>
      <w:jc w:val="right"/>
      <w:rPr>
        <w:b/>
        <w:noProof/>
        <w:sz w:val="20"/>
        <w:lang w:val="es-ES"/>
      </w:rPr>
    </w:pPr>
    <w:r w:rsidRPr="007A08D5">
      <w:rPr>
        <w:sz w:val="20"/>
        <w:lang w:val="es-ES"/>
      </w:rPr>
      <w:t xml:space="preserve">Página </w:t>
    </w:r>
    <w:r w:rsidRPr="007A08D5">
      <w:rPr>
        <w:b/>
        <w:sz w:val="20"/>
      </w:rPr>
      <w:fldChar w:fldCharType="begin"/>
    </w:r>
    <w:r w:rsidRPr="007A08D5">
      <w:rPr>
        <w:b/>
        <w:sz w:val="20"/>
      </w:rPr>
      <w:instrText>PAGE  \* Arabic  \* MERGEFORMAT</w:instrText>
    </w:r>
    <w:r w:rsidRPr="007A08D5">
      <w:rPr>
        <w:b/>
        <w:sz w:val="20"/>
      </w:rPr>
      <w:fldChar w:fldCharType="separate"/>
    </w:r>
    <w:r w:rsidR="00DF76BF" w:rsidRPr="00DF76BF">
      <w:rPr>
        <w:b/>
        <w:noProof/>
        <w:sz w:val="20"/>
        <w:lang w:val="es-ES"/>
      </w:rPr>
      <w:t>15</w:t>
    </w:r>
    <w:r w:rsidRPr="007A08D5">
      <w:rPr>
        <w:b/>
        <w:sz w:val="20"/>
      </w:rPr>
      <w:fldChar w:fldCharType="end"/>
    </w:r>
    <w:r w:rsidRPr="007A08D5">
      <w:rPr>
        <w:sz w:val="20"/>
        <w:lang w:val="es-ES"/>
      </w:rPr>
      <w:t xml:space="preserve"> de </w:t>
    </w:r>
    <w:r w:rsidR="00732828">
      <w:fldChar w:fldCharType="begin"/>
    </w:r>
    <w:r w:rsidR="00732828">
      <w:instrText>NUMPAGES  \* Arabic  \* MERGEFORMAT</w:instrText>
    </w:r>
    <w:r w:rsidR="00732828">
      <w:fldChar w:fldCharType="separate"/>
    </w:r>
    <w:r w:rsidR="00DF76BF" w:rsidRPr="00DF76BF">
      <w:rPr>
        <w:b/>
        <w:noProof/>
        <w:sz w:val="20"/>
        <w:lang w:val="es-ES"/>
      </w:rPr>
      <w:t>15</w:t>
    </w:r>
    <w:r w:rsidR="00732828">
      <w:rPr>
        <w:b/>
        <w:noProof/>
        <w:sz w:val="20"/>
        <w:lang w:val="es-ES"/>
      </w:rPr>
      <w:fldChar w:fldCharType="end"/>
    </w:r>
  </w:p>
  <w:p w:rsidR="00D75C52" w:rsidRDefault="00D75C52" w:rsidP="007F7339">
    <w:pPr>
      <w:pStyle w:val="Piedepgina"/>
    </w:pPr>
    <w:r>
      <w:rPr>
        <w:noProof/>
        <w:lang w:eastAsia="es-CO"/>
      </w:rPr>
      <w:drawing>
        <wp:inline distT="0" distB="0" distL="0" distR="0" wp14:anchorId="71452B3B" wp14:editId="059872AB">
          <wp:extent cx="5998210" cy="782955"/>
          <wp:effectExtent l="0" t="0" r="2540" b="0"/>
          <wp:docPr id="6" name="Imagen 5" descr="cartaneg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aneg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8210" cy="782955"/>
                  </a:xfrm>
                  <a:prstGeom prst="rect">
                    <a:avLst/>
                  </a:prstGeom>
                  <a:noFill/>
                  <a:ln>
                    <a:noFill/>
                  </a:ln>
                </pic:spPr>
              </pic:pic>
            </a:graphicData>
          </a:graphic>
        </wp:inline>
      </w:drawing>
    </w:r>
  </w:p>
  <w:p w:rsidR="00D75C52" w:rsidRDefault="00D75C52" w:rsidP="007F73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828" w:rsidRDefault="00732828" w:rsidP="00FC4577">
      <w:pPr>
        <w:spacing w:after="0" w:line="240" w:lineRule="auto"/>
      </w:pPr>
      <w:r>
        <w:separator/>
      </w:r>
    </w:p>
  </w:footnote>
  <w:footnote w:type="continuationSeparator" w:id="0">
    <w:p w:rsidR="00732828" w:rsidRDefault="00732828" w:rsidP="00FC4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C52" w:rsidRPr="006E7241" w:rsidRDefault="00D75C52" w:rsidP="007F7339">
    <w:pPr>
      <w:pStyle w:val="Encabezado"/>
      <w:jc w:val="center"/>
    </w:pPr>
    <w:r>
      <w:rPr>
        <w:noProof/>
        <w:lang w:eastAsia="es-CO"/>
      </w:rPr>
      <w:drawing>
        <wp:inline distT="0" distB="0" distL="0" distR="0" wp14:anchorId="0B5AD2C5" wp14:editId="36548C69">
          <wp:extent cx="1360805" cy="1016635"/>
          <wp:effectExtent l="0" t="0" r="0" b="0"/>
          <wp:docPr id="1" name="Imagen 4" descr="prosperidad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peridad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1016635"/>
                  </a:xfrm>
                  <a:prstGeom prst="rect">
                    <a:avLst/>
                  </a:prstGeom>
                  <a:noFill/>
                  <a:ln>
                    <a:noFill/>
                  </a:ln>
                </pic:spPr>
              </pic:pic>
            </a:graphicData>
          </a:graphic>
        </wp:inline>
      </w:drawing>
    </w:r>
    <w:r>
      <w:rPr>
        <w:noProof/>
        <w:lang w:eastAsia="fr-CH"/>
      </w:rPr>
      <w:tab/>
    </w:r>
    <w:r>
      <w:rPr>
        <w:noProof/>
        <w:lang w:eastAsia="fr-CH"/>
      </w:rPr>
      <w:tab/>
    </w:r>
    <w:r>
      <w:rPr>
        <w:noProof/>
        <w:lang w:eastAsia="es-CO"/>
      </w:rPr>
      <w:drawing>
        <wp:inline distT="0" distB="0" distL="0" distR="0" wp14:anchorId="649B5E80" wp14:editId="378543D8">
          <wp:extent cx="1982470" cy="570865"/>
          <wp:effectExtent l="0" t="0" r="0" b="635"/>
          <wp:docPr id="5" name="Imagen 3" descr="cabezotef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abezotefa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470" cy="570865"/>
                  </a:xfrm>
                  <a:prstGeom prst="rect">
                    <a:avLst/>
                  </a:prstGeom>
                  <a:noFill/>
                  <a:ln>
                    <a:noFill/>
                  </a:ln>
                </pic:spPr>
              </pic:pic>
            </a:graphicData>
          </a:graphic>
        </wp:inline>
      </w:drawing>
    </w:r>
  </w:p>
  <w:p w:rsidR="00D75C52" w:rsidRDefault="00D75C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B6015C"/>
    <w:lvl w:ilvl="0">
      <w:numFmt w:val="bullet"/>
      <w:lvlText w:val="*"/>
      <w:lvlJc w:val="left"/>
    </w:lvl>
  </w:abstractNum>
  <w:abstractNum w:abstractNumId="1">
    <w:nsid w:val="0C7B7845"/>
    <w:multiLevelType w:val="hybridMultilevel"/>
    <w:tmpl w:val="D6D424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0540719"/>
    <w:multiLevelType w:val="hybridMultilevel"/>
    <w:tmpl w:val="990E59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72B4BE8"/>
    <w:multiLevelType w:val="hybridMultilevel"/>
    <w:tmpl w:val="82AA50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7553100"/>
    <w:multiLevelType w:val="hybridMultilevel"/>
    <w:tmpl w:val="1270C0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285217F8"/>
    <w:multiLevelType w:val="hybridMultilevel"/>
    <w:tmpl w:val="01E2A3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0264CF0"/>
    <w:multiLevelType w:val="hybridMultilevel"/>
    <w:tmpl w:val="E586C4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1122E94"/>
    <w:multiLevelType w:val="hybridMultilevel"/>
    <w:tmpl w:val="59604E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5C2707F3"/>
    <w:multiLevelType w:val="hybridMultilevel"/>
    <w:tmpl w:val="C248BC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5C557406"/>
    <w:multiLevelType w:val="hybridMultilevel"/>
    <w:tmpl w:val="478674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69F63FCE"/>
    <w:multiLevelType w:val="hybridMultilevel"/>
    <w:tmpl w:val="04A819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6CFB346D"/>
    <w:multiLevelType w:val="hybridMultilevel"/>
    <w:tmpl w:val="DC3811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lvlOverride w:ilvl="0">
      <w:lvl w:ilvl="0">
        <w:numFmt w:val="bullet"/>
        <w:lvlText w:val=""/>
        <w:legacy w:legacy="1" w:legacySpace="0" w:legacyIndent="0"/>
        <w:lvlJc w:val="left"/>
        <w:rPr>
          <w:rFonts w:ascii="Symbol" w:hAnsi="Symbol" w:hint="default"/>
          <w:sz w:val="22"/>
        </w:rPr>
      </w:lvl>
    </w:lvlOverride>
  </w:num>
  <w:num w:numId="5">
    <w:abstractNumId w:val="11"/>
  </w:num>
  <w:num w:numId="6">
    <w:abstractNumId w:val="4"/>
  </w:num>
  <w:num w:numId="7">
    <w:abstractNumId w:val="7"/>
  </w:num>
  <w:num w:numId="8">
    <w:abstractNumId w:val="1"/>
  </w:num>
  <w:num w:numId="9">
    <w:abstractNumId w:val="8"/>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6BE9"/>
    <w:rsid w:val="00004AA5"/>
    <w:rsid w:val="00041E3E"/>
    <w:rsid w:val="00044426"/>
    <w:rsid w:val="00050C6B"/>
    <w:rsid w:val="00052013"/>
    <w:rsid w:val="000522B4"/>
    <w:rsid w:val="00056B45"/>
    <w:rsid w:val="00056BE9"/>
    <w:rsid w:val="000579E2"/>
    <w:rsid w:val="0006767E"/>
    <w:rsid w:val="000731FF"/>
    <w:rsid w:val="00074781"/>
    <w:rsid w:val="0007634E"/>
    <w:rsid w:val="000774D9"/>
    <w:rsid w:val="00083AAC"/>
    <w:rsid w:val="000948B9"/>
    <w:rsid w:val="000A3E33"/>
    <w:rsid w:val="000A48E8"/>
    <w:rsid w:val="000B3A3E"/>
    <w:rsid w:val="000C1A0F"/>
    <w:rsid w:val="000D4E9D"/>
    <w:rsid w:val="000D7E19"/>
    <w:rsid w:val="00104EC1"/>
    <w:rsid w:val="0010737B"/>
    <w:rsid w:val="001369BA"/>
    <w:rsid w:val="00144623"/>
    <w:rsid w:val="00145AB4"/>
    <w:rsid w:val="0015769C"/>
    <w:rsid w:val="0016008C"/>
    <w:rsid w:val="00160F64"/>
    <w:rsid w:val="00163599"/>
    <w:rsid w:val="001848BE"/>
    <w:rsid w:val="001875FA"/>
    <w:rsid w:val="001904B7"/>
    <w:rsid w:val="0019412E"/>
    <w:rsid w:val="00195F5D"/>
    <w:rsid w:val="001A1075"/>
    <w:rsid w:val="001A3B97"/>
    <w:rsid w:val="001A6519"/>
    <w:rsid w:val="001B1E87"/>
    <w:rsid w:val="001B5C30"/>
    <w:rsid w:val="001B7548"/>
    <w:rsid w:val="001B7A96"/>
    <w:rsid w:val="001D0C11"/>
    <w:rsid w:val="001D50F6"/>
    <w:rsid w:val="001E3AC2"/>
    <w:rsid w:val="001E498F"/>
    <w:rsid w:val="00211594"/>
    <w:rsid w:val="002175A3"/>
    <w:rsid w:val="00224242"/>
    <w:rsid w:val="0022576A"/>
    <w:rsid w:val="00261165"/>
    <w:rsid w:val="002675F9"/>
    <w:rsid w:val="00274CE7"/>
    <w:rsid w:val="002765B4"/>
    <w:rsid w:val="0028416C"/>
    <w:rsid w:val="002858F2"/>
    <w:rsid w:val="00294249"/>
    <w:rsid w:val="00297C0C"/>
    <w:rsid w:val="002A616D"/>
    <w:rsid w:val="002B1497"/>
    <w:rsid w:val="002C5545"/>
    <w:rsid w:val="002C766D"/>
    <w:rsid w:val="002D1825"/>
    <w:rsid w:val="002D1E0C"/>
    <w:rsid w:val="002D341B"/>
    <w:rsid w:val="002D78BA"/>
    <w:rsid w:val="002E21A0"/>
    <w:rsid w:val="002F2CA2"/>
    <w:rsid w:val="00301B8F"/>
    <w:rsid w:val="00303DD4"/>
    <w:rsid w:val="0030585E"/>
    <w:rsid w:val="0031679F"/>
    <w:rsid w:val="00322004"/>
    <w:rsid w:val="003468E7"/>
    <w:rsid w:val="00351925"/>
    <w:rsid w:val="00356F0B"/>
    <w:rsid w:val="00361CF6"/>
    <w:rsid w:val="00362F08"/>
    <w:rsid w:val="0038678B"/>
    <w:rsid w:val="00390CF0"/>
    <w:rsid w:val="0039724C"/>
    <w:rsid w:val="003B0574"/>
    <w:rsid w:val="003B1B8E"/>
    <w:rsid w:val="003C2A5A"/>
    <w:rsid w:val="003C3824"/>
    <w:rsid w:val="003D04BD"/>
    <w:rsid w:val="003E024D"/>
    <w:rsid w:val="003F5836"/>
    <w:rsid w:val="003F61B3"/>
    <w:rsid w:val="00412415"/>
    <w:rsid w:val="00441A9D"/>
    <w:rsid w:val="004557C2"/>
    <w:rsid w:val="00461CDE"/>
    <w:rsid w:val="004624F4"/>
    <w:rsid w:val="00465775"/>
    <w:rsid w:val="004820CC"/>
    <w:rsid w:val="00494A2C"/>
    <w:rsid w:val="004A6495"/>
    <w:rsid w:val="004A6AFF"/>
    <w:rsid w:val="004A783B"/>
    <w:rsid w:val="004F3540"/>
    <w:rsid w:val="00511779"/>
    <w:rsid w:val="00524486"/>
    <w:rsid w:val="00526371"/>
    <w:rsid w:val="005273C2"/>
    <w:rsid w:val="0052784E"/>
    <w:rsid w:val="00527BAE"/>
    <w:rsid w:val="00530BFA"/>
    <w:rsid w:val="00541954"/>
    <w:rsid w:val="005441E5"/>
    <w:rsid w:val="005623CE"/>
    <w:rsid w:val="005644BF"/>
    <w:rsid w:val="00564D77"/>
    <w:rsid w:val="00567C5C"/>
    <w:rsid w:val="0057243B"/>
    <w:rsid w:val="00583F43"/>
    <w:rsid w:val="0059196E"/>
    <w:rsid w:val="00595C46"/>
    <w:rsid w:val="005A0CAC"/>
    <w:rsid w:val="005A4343"/>
    <w:rsid w:val="005A5435"/>
    <w:rsid w:val="005B2FBC"/>
    <w:rsid w:val="005D4D55"/>
    <w:rsid w:val="005E5417"/>
    <w:rsid w:val="005E6534"/>
    <w:rsid w:val="005F00B0"/>
    <w:rsid w:val="005F50F4"/>
    <w:rsid w:val="005F7502"/>
    <w:rsid w:val="00603368"/>
    <w:rsid w:val="00603DBE"/>
    <w:rsid w:val="006054BF"/>
    <w:rsid w:val="00622F71"/>
    <w:rsid w:val="00642D98"/>
    <w:rsid w:val="00666DA7"/>
    <w:rsid w:val="00670BE0"/>
    <w:rsid w:val="006A3519"/>
    <w:rsid w:val="006A6D9A"/>
    <w:rsid w:val="006A7C88"/>
    <w:rsid w:val="006B57D7"/>
    <w:rsid w:val="006C1049"/>
    <w:rsid w:val="006D1876"/>
    <w:rsid w:val="006E2242"/>
    <w:rsid w:val="006E73DE"/>
    <w:rsid w:val="007018F7"/>
    <w:rsid w:val="00703970"/>
    <w:rsid w:val="00705731"/>
    <w:rsid w:val="00717C46"/>
    <w:rsid w:val="00720C03"/>
    <w:rsid w:val="00723A17"/>
    <w:rsid w:val="00730AF5"/>
    <w:rsid w:val="00732828"/>
    <w:rsid w:val="007375ED"/>
    <w:rsid w:val="007464B3"/>
    <w:rsid w:val="00746DC4"/>
    <w:rsid w:val="0074788C"/>
    <w:rsid w:val="00751A57"/>
    <w:rsid w:val="00775232"/>
    <w:rsid w:val="007A3C1D"/>
    <w:rsid w:val="007B3D25"/>
    <w:rsid w:val="007C2D15"/>
    <w:rsid w:val="007C350A"/>
    <w:rsid w:val="007C4725"/>
    <w:rsid w:val="007D4D78"/>
    <w:rsid w:val="007E5C64"/>
    <w:rsid w:val="007E6269"/>
    <w:rsid w:val="007F35D5"/>
    <w:rsid w:val="007F7339"/>
    <w:rsid w:val="008027D7"/>
    <w:rsid w:val="00803CA2"/>
    <w:rsid w:val="0081587B"/>
    <w:rsid w:val="00846F57"/>
    <w:rsid w:val="00853B53"/>
    <w:rsid w:val="0085611D"/>
    <w:rsid w:val="008564D0"/>
    <w:rsid w:val="00857F57"/>
    <w:rsid w:val="00862D58"/>
    <w:rsid w:val="00871ADE"/>
    <w:rsid w:val="008A474F"/>
    <w:rsid w:val="008A52F2"/>
    <w:rsid w:val="008B654C"/>
    <w:rsid w:val="008C5AD7"/>
    <w:rsid w:val="008D3B9E"/>
    <w:rsid w:val="008D7C86"/>
    <w:rsid w:val="008E293B"/>
    <w:rsid w:val="008E3197"/>
    <w:rsid w:val="008F7F04"/>
    <w:rsid w:val="00910F3A"/>
    <w:rsid w:val="009147B2"/>
    <w:rsid w:val="009242D0"/>
    <w:rsid w:val="00930E48"/>
    <w:rsid w:val="00934980"/>
    <w:rsid w:val="00956E43"/>
    <w:rsid w:val="0096116C"/>
    <w:rsid w:val="00973226"/>
    <w:rsid w:val="009756EF"/>
    <w:rsid w:val="0097614B"/>
    <w:rsid w:val="00993C96"/>
    <w:rsid w:val="009A6A1F"/>
    <w:rsid w:val="009C73D9"/>
    <w:rsid w:val="009D6035"/>
    <w:rsid w:val="009E12DB"/>
    <w:rsid w:val="009F3730"/>
    <w:rsid w:val="00A03919"/>
    <w:rsid w:val="00A11C2F"/>
    <w:rsid w:val="00A12CB2"/>
    <w:rsid w:val="00A17FAA"/>
    <w:rsid w:val="00A26632"/>
    <w:rsid w:val="00A3367A"/>
    <w:rsid w:val="00A4262C"/>
    <w:rsid w:val="00A47868"/>
    <w:rsid w:val="00A60184"/>
    <w:rsid w:val="00A65041"/>
    <w:rsid w:val="00A766A9"/>
    <w:rsid w:val="00A93DD3"/>
    <w:rsid w:val="00A951CB"/>
    <w:rsid w:val="00AB25B8"/>
    <w:rsid w:val="00AB2B54"/>
    <w:rsid w:val="00AB4A9C"/>
    <w:rsid w:val="00B06B66"/>
    <w:rsid w:val="00B07F2B"/>
    <w:rsid w:val="00B13728"/>
    <w:rsid w:val="00B22D1E"/>
    <w:rsid w:val="00B27AF0"/>
    <w:rsid w:val="00B32EB5"/>
    <w:rsid w:val="00B35F79"/>
    <w:rsid w:val="00B373F1"/>
    <w:rsid w:val="00B47AB2"/>
    <w:rsid w:val="00B6150B"/>
    <w:rsid w:val="00B702EE"/>
    <w:rsid w:val="00B71B94"/>
    <w:rsid w:val="00B71C5E"/>
    <w:rsid w:val="00B737E9"/>
    <w:rsid w:val="00B73B93"/>
    <w:rsid w:val="00B73EEA"/>
    <w:rsid w:val="00B750B7"/>
    <w:rsid w:val="00B83C7F"/>
    <w:rsid w:val="00B8559D"/>
    <w:rsid w:val="00B87B7A"/>
    <w:rsid w:val="00B940CB"/>
    <w:rsid w:val="00BA4EBB"/>
    <w:rsid w:val="00BB0122"/>
    <w:rsid w:val="00BB1BAF"/>
    <w:rsid w:val="00BB4D9C"/>
    <w:rsid w:val="00BB6099"/>
    <w:rsid w:val="00BD3609"/>
    <w:rsid w:val="00BE1433"/>
    <w:rsid w:val="00BE675E"/>
    <w:rsid w:val="00BF2AA3"/>
    <w:rsid w:val="00BF2B0F"/>
    <w:rsid w:val="00C03E0C"/>
    <w:rsid w:val="00C03E69"/>
    <w:rsid w:val="00C05958"/>
    <w:rsid w:val="00C125C5"/>
    <w:rsid w:val="00C17430"/>
    <w:rsid w:val="00C21E43"/>
    <w:rsid w:val="00C2218A"/>
    <w:rsid w:val="00C30498"/>
    <w:rsid w:val="00C3190B"/>
    <w:rsid w:val="00C41B12"/>
    <w:rsid w:val="00C41B38"/>
    <w:rsid w:val="00C50F12"/>
    <w:rsid w:val="00C52184"/>
    <w:rsid w:val="00C5732A"/>
    <w:rsid w:val="00C7583F"/>
    <w:rsid w:val="00C8074B"/>
    <w:rsid w:val="00C838B8"/>
    <w:rsid w:val="00C94BBE"/>
    <w:rsid w:val="00CB3E1B"/>
    <w:rsid w:val="00CB5BE4"/>
    <w:rsid w:val="00CB65BE"/>
    <w:rsid w:val="00CC6EFA"/>
    <w:rsid w:val="00CD204D"/>
    <w:rsid w:val="00CD588C"/>
    <w:rsid w:val="00CE01D3"/>
    <w:rsid w:val="00CE1174"/>
    <w:rsid w:val="00CE1991"/>
    <w:rsid w:val="00CE2319"/>
    <w:rsid w:val="00CE3772"/>
    <w:rsid w:val="00CE5165"/>
    <w:rsid w:val="00CE6C21"/>
    <w:rsid w:val="00CE7E77"/>
    <w:rsid w:val="00CF6C4C"/>
    <w:rsid w:val="00D00903"/>
    <w:rsid w:val="00D17C0F"/>
    <w:rsid w:val="00D2344B"/>
    <w:rsid w:val="00D26B74"/>
    <w:rsid w:val="00D51A53"/>
    <w:rsid w:val="00D55E71"/>
    <w:rsid w:val="00D57018"/>
    <w:rsid w:val="00D63033"/>
    <w:rsid w:val="00D75C52"/>
    <w:rsid w:val="00D76B99"/>
    <w:rsid w:val="00D76FDA"/>
    <w:rsid w:val="00D770EB"/>
    <w:rsid w:val="00D8255E"/>
    <w:rsid w:val="00D837E4"/>
    <w:rsid w:val="00D838DA"/>
    <w:rsid w:val="00D842B0"/>
    <w:rsid w:val="00D8739B"/>
    <w:rsid w:val="00D90807"/>
    <w:rsid w:val="00DA1E4A"/>
    <w:rsid w:val="00DA2420"/>
    <w:rsid w:val="00DA7D6C"/>
    <w:rsid w:val="00DD035C"/>
    <w:rsid w:val="00DE51E3"/>
    <w:rsid w:val="00DF694F"/>
    <w:rsid w:val="00DF76BF"/>
    <w:rsid w:val="00E02E0E"/>
    <w:rsid w:val="00E11D58"/>
    <w:rsid w:val="00E202B5"/>
    <w:rsid w:val="00E2291C"/>
    <w:rsid w:val="00E233F6"/>
    <w:rsid w:val="00E42B66"/>
    <w:rsid w:val="00E46F47"/>
    <w:rsid w:val="00E52DBF"/>
    <w:rsid w:val="00E6197C"/>
    <w:rsid w:val="00E6212C"/>
    <w:rsid w:val="00E62892"/>
    <w:rsid w:val="00E82D8A"/>
    <w:rsid w:val="00E83A1D"/>
    <w:rsid w:val="00E868B1"/>
    <w:rsid w:val="00E979B5"/>
    <w:rsid w:val="00EA3063"/>
    <w:rsid w:val="00EA3DAE"/>
    <w:rsid w:val="00EA4912"/>
    <w:rsid w:val="00EB5FB0"/>
    <w:rsid w:val="00EB77DD"/>
    <w:rsid w:val="00EC134E"/>
    <w:rsid w:val="00ED1E72"/>
    <w:rsid w:val="00EF3856"/>
    <w:rsid w:val="00F015FE"/>
    <w:rsid w:val="00F12640"/>
    <w:rsid w:val="00F1778D"/>
    <w:rsid w:val="00F17FC3"/>
    <w:rsid w:val="00F32BF1"/>
    <w:rsid w:val="00F32D94"/>
    <w:rsid w:val="00F37C56"/>
    <w:rsid w:val="00F42E2E"/>
    <w:rsid w:val="00F5047D"/>
    <w:rsid w:val="00F50DCE"/>
    <w:rsid w:val="00F617B3"/>
    <w:rsid w:val="00F66CE6"/>
    <w:rsid w:val="00F856B2"/>
    <w:rsid w:val="00F85AF4"/>
    <w:rsid w:val="00F85BDA"/>
    <w:rsid w:val="00F87792"/>
    <w:rsid w:val="00F90233"/>
    <w:rsid w:val="00F9083A"/>
    <w:rsid w:val="00F94E25"/>
    <w:rsid w:val="00F973BB"/>
    <w:rsid w:val="00FA0F76"/>
    <w:rsid w:val="00FA4A73"/>
    <w:rsid w:val="00FB2357"/>
    <w:rsid w:val="00FC4577"/>
    <w:rsid w:val="00FD14E5"/>
    <w:rsid w:val="00FD1827"/>
    <w:rsid w:val="00FF39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6BE9"/>
    <w:pPr>
      <w:ind w:left="720"/>
      <w:contextualSpacing/>
    </w:pPr>
  </w:style>
  <w:style w:type="paragraph" w:styleId="Textodeglobo">
    <w:name w:val="Balloon Text"/>
    <w:basedOn w:val="Normal"/>
    <w:link w:val="TextodegloboCar"/>
    <w:uiPriority w:val="99"/>
    <w:semiHidden/>
    <w:unhideWhenUsed/>
    <w:rsid w:val="00FA0F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0F76"/>
    <w:rPr>
      <w:rFonts w:ascii="Tahoma" w:hAnsi="Tahoma" w:cs="Tahoma"/>
      <w:sz w:val="16"/>
      <w:szCs w:val="16"/>
    </w:rPr>
  </w:style>
  <w:style w:type="paragraph" w:styleId="Encabezado">
    <w:name w:val="header"/>
    <w:basedOn w:val="Normal"/>
    <w:link w:val="EncabezadoCar"/>
    <w:uiPriority w:val="99"/>
    <w:unhideWhenUsed/>
    <w:rsid w:val="00FC45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577"/>
  </w:style>
  <w:style w:type="paragraph" w:styleId="Piedepgina">
    <w:name w:val="footer"/>
    <w:basedOn w:val="Normal"/>
    <w:link w:val="PiedepginaCar"/>
    <w:uiPriority w:val="99"/>
    <w:unhideWhenUsed/>
    <w:rsid w:val="00FC45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577"/>
  </w:style>
  <w:style w:type="paragraph" w:styleId="NormalWeb">
    <w:name w:val="Normal (Web)"/>
    <w:basedOn w:val="Normal"/>
    <w:uiPriority w:val="99"/>
    <w:semiHidden/>
    <w:unhideWhenUsed/>
    <w:rsid w:val="005B2FBC"/>
    <w:pPr>
      <w:spacing w:before="100" w:beforeAutospacing="1" w:after="100" w:afterAutospacing="1" w:line="240" w:lineRule="auto"/>
    </w:pPr>
    <w:rPr>
      <w:rFonts w:ascii="Times New Roman" w:eastAsia="Times New Roman" w:hAnsi="Times New Roman" w:cs="Times New Roman"/>
      <w:color w:val="663300"/>
      <w:sz w:val="24"/>
      <w:szCs w:val="24"/>
      <w:lang w:eastAsia="es-CO"/>
    </w:rPr>
  </w:style>
  <w:style w:type="table" w:styleId="Tablaconcuadrcula">
    <w:name w:val="Table Grid"/>
    <w:basedOn w:val="Tablanormal"/>
    <w:uiPriority w:val="59"/>
    <w:rsid w:val="005B2FB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7375ED"/>
    <w:rPr>
      <w:color w:val="0000FF"/>
      <w:u w:val="single"/>
    </w:rPr>
  </w:style>
  <w:style w:type="character" w:customStyle="1" w:styleId="textonavy1">
    <w:name w:val="texto_navy1"/>
    <w:basedOn w:val="Fuentedeprrafopredeter"/>
    <w:rsid w:val="007375ED"/>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6BE9"/>
    <w:pPr>
      <w:ind w:left="720"/>
      <w:contextualSpacing/>
    </w:pPr>
  </w:style>
  <w:style w:type="paragraph" w:styleId="Textodeglobo">
    <w:name w:val="Balloon Text"/>
    <w:basedOn w:val="Normal"/>
    <w:link w:val="TextodegloboCar"/>
    <w:uiPriority w:val="99"/>
    <w:semiHidden/>
    <w:unhideWhenUsed/>
    <w:rsid w:val="00FA0F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0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554">
      <w:bodyDiv w:val="1"/>
      <w:marLeft w:val="0"/>
      <w:marRight w:val="0"/>
      <w:marTop w:val="0"/>
      <w:marBottom w:val="0"/>
      <w:divBdr>
        <w:top w:val="none" w:sz="0" w:space="0" w:color="auto"/>
        <w:left w:val="none" w:sz="0" w:space="0" w:color="auto"/>
        <w:bottom w:val="none" w:sz="0" w:space="0" w:color="auto"/>
        <w:right w:val="none" w:sz="0" w:space="0" w:color="auto"/>
      </w:divBdr>
    </w:div>
    <w:div w:id="9720189">
      <w:bodyDiv w:val="1"/>
      <w:marLeft w:val="0"/>
      <w:marRight w:val="0"/>
      <w:marTop w:val="0"/>
      <w:marBottom w:val="0"/>
      <w:divBdr>
        <w:top w:val="none" w:sz="0" w:space="0" w:color="auto"/>
        <w:left w:val="none" w:sz="0" w:space="0" w:color="auto"/>
        <w:bottom w:val="none" w:sz="0" w:space="0" w:color="auto"/>
        <w:right w:val="none" w:sz="0" w:space="0" w:color="auto"/>
      </w:divBdr>
    </w:div>
    <w:div w:id="102773503">
      <w:bodyDiv w:val="1"/>
      <w:marLeft w:val="0"/>
      <w:marRight w:val="0"/>
      <w:marTop w:val="0"/>
      <w:marBottom w:val="0"/>
      <w:divBdr>
        <w:top w:val="none" w:sz="0" w:space="0" w:color="auto"/>
        <w:left w:val="none" w:sz="0" w:space="0" w:color="auto"/>
        <w:bottom w:val="none" w:sz="0" w:space="0" w:color="auto"/>
        <w:right w:val="none" w:sz="0" w:space="0" w:color="auto"/>
      </w:divBdr>
    </w:div>
    <w:div w:id="161050256">
      <w:bodyDiv w:val="1"/>
      <w:marLeft w:val="0"/>
      <w:marRight w:val="0"/>
      <w:marTop w:val="0"/>
      <w:marBottom w:val="0"/>
      <w:divBdr>
        <w:top w:val="none" w:sz="0" w:space="0" w:color="auto"/>
        <w:left w:val="none" w:sz="0" w:space="0" w:color="auto"/>
        <w:bottom w:val="none" w:sz="0" w:space="0" w:color="auto"/>
        <w:right w:val="none" w:sz="0" w:space="0" w:color="auto"/>
      </w:divBdr>
    </w:div>
    <w:div w:id="259141077">
      <w:bodyDiv w:val="1"/>
      <w:marLeft w:val="0"/>
      <w:marRight w:val="0"/>
      <w:marTop w:val="0"/>
      <w:marBottom w:val="0"/>
      <w:divBdr>
        <w:top w:val="none" w:sz="0" w:space="0" w:color="auto"/>
        <w:left w:val="none" w:sz="0" w:space="0" w:color="auto"/>
        <w:bottom w:val="none" w:sz="0" w:space="0" w:color="auto"/>
        <w:right w:val="none" w:sz="0" w:space="0" w:color="auto"/>
      </w:divBdr>
    </w:div>
    <w:div w:id="283388057">
      <w:bodyDiv w:val="1"/>
      <w:marLeft w:val="0"/>
      <w:marRight w:val="0"/>
      <w:marTop w:val="0"/>
      <w:marBottom w:val="0"/>
      <w:divBdr>
        <w:top w:val="none" w:sz="0" w:space="0" w:color="auto"/>
        <w:left w:val="none" w:sz="0" w:space="0" w:color="auto"/>
        <w:bottom w:val="none" w:sz="0" w:space="0" w:color="auto"/>
        <w:right w:val="none" w:sz="0" w:space="0" w:color="auto"/>
      </w:divBdr>
    </w:div>
    <w:div w:id="301928389">
      <w:bodyDiv w:val="1"/>
      <w:marLeft w:val="0"/>
      <w:marRight w:val="0"/>
      <w:marTop w:val="0"/>
      <w:marBottom w:val="0"/>
      <w:divBdr>
        <w:top w:val="none" w:sz="0" w:space="0" w:color="auto"/>
        <w:left w:val="none" w:sz="0" w:space="0" w:color="auto"/>
        <w:bottom w:val="none" w:sz="0" w:space="0" w:color="auto"/>
        <w:right w:val="none" w:sz="0" w:space="0" w:color="auto"/>
      </w:divBdr>
    </w:div>
    <w:div w:id="423572491">
      <w:bodyDiv w:val="1"/>
      <w:marLeft w:val="0"/>
      <w:marRight w:val="0"/>
      <w:marTop w:val="0"/>
      <w:marBottom w:val="0"/>
      <w:divBdr>
        <w:top w:val="none" w:sz="0" w:space="0" w:color="auto"/>
        <w:left w:val="none" w:sz="0" w:space="0" w:color="auto"/>
        <w:bottom w:val="none" w:sz="0" w:space="0" w:color="auto"/>
        <w:right w:val="none" w:sz="0" w:space="0" w:color="auto"/>
      </w:divBdr>
    </w:div>
    <w:div w:id="431587012">
      <w:bodyDiv w:val="1"/>
      <w:marLeft w:val="0"/>
      <w:marRight w:val="0"/>
      <w:marTop w:val="0"/>
      <w:marBottom w:val="0"/>
      <w:divBdr>
        <w:top w:val="none" w:sz="0" w:space="0" w:color="auto"/>
        <w:left w:val="none" w:sz="0" w:space="0" w:color="auto"/>
        <w:bottom w:val="none" w:sz="0" w:space="0" w:color="auto"/>
        <w:right w:val="none" w:sz="0" w:space="0" w:color="auto"/>
      </w:divBdr>
    </w:div>
    <w:div w:id="462234929">
      <w:bodyDiv w:val="1"/>
      <w:marLeft w:val="0"/>
      <w:marRight w:val="0"/>
      <w:marTop w:val="0"/>
      <w:marBottom w:val="0"/>
      <w:divBdr>
        <w:top w:val="none" w:sz="0" w:space="0" w:color="auto"/>
        <w:left w:val="none" w:sz="0" w:space="0" w:color="auto"/>
        <w:bottom w:val="none" w:sz="0" w:space="0" w:color="auto"/>
        <w:right w:val="none" w:sz="0" w:space="0" w:color="auto"/>
      </w:divBdr>
    </w:div>
    <w:div w:id="463041187">
      <w:bodyDiv w:val="1"/>
      <w:marLeft w:val="0"/>
      <w:marRight w:val="0"/>
      <w:marTop w:val="0"/>
      <w:marBottom w:val="0"/>
      <w:divBdr>
        <w:top w:val="none" w:sz="0" w:space="0" w:color="auto"/>
        <w:left w:val="none" w:sz="0" w:space="0" w:color="auto"/>
        <w:bottom w:val="none" w:sz="0" w:space="0" w:color="auto"/>
        <w:right w:val="none" w:sz="0" w:space="0" w:color="auto"/>
      </w:divBdr>
    </w:div>
    <w:div w:id="48517391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77111227">
          <w:marLeft w:val="0"/>
          <w:marRight w:val="0"/>
          <w:marTop w:val="0"/>
          <w:marBottom w:val="0"/>
          <w:divBdr>
            <w:top w:val="none" w:sz="0" w:space="0" w:color="auto"/>
            <w:left w:val="none" w:sz="0" w:space="0" w:color="auto"/>
            <w:bottom w:val="none" w:sz="0" w:space="0" w:color="auto"/>
            <w:right w:val="none" w:sz="0" w:space="0" w:color="auto"/>
          </w:divBdr>
        </w:div>
        <w:div w:id="1065448032">
          <w:marLeft w:val="0"/>
          <w:marRight w:val="0"/>
          <w:marTop w:val="0"/>
          <w:marBottom w:val="0"/>
          <w:divBdr>
            <w:top w:val="none" w:sz="0" w:space="0" w:color="auto"/>
            <w:left w:val="none" w:sz="0" w:space="0" w:color="auto"/>
            <w:bottom w:val="none" w:sz="0" w:space="0" w:color="auto"/>
            <w:right w:val="none" w:sz="0" w:space="0" w:color="auto"/>
          </w:divBdr>
        </w:div>
        <w:div w:id="1991323785">
          <w:marLeft w:val="0"/>
          <w:marRight w:val="0"/>
          <w:marTop w:val="0"/>
          <w:marBottom w:val="0"/>
          <w:divBdr>
            <w:top w:val="none" w:sz="0" w:space="0" w:color="auto"/>
            <w:left w:val="none" w:sz="0" w:space="0" w:color="auto"/>
            <w:bottom w:val="none" w:sz="0" w:space="0" w:color="auto"/>
            <w:right w:val="none" w:sz="0" w:space="0" w:color="auto"/>
          </w:divBdr>
        </w:div>
      </w:divsChild>
    </w:div>
    <w:div w:id="487938091">
      <w:bodyDiv w:val="1"/>
      <w:marLeft w:val="0"/>
      <w:marRight w:val="0"/>
      <w:marTop w:val="0"/>
      <w:marBottom w:val="0"/>
      <w:divBdr>
        <w:top w:val="none" w:sz="0" w:space="0" w:color="auto"/>
        <w:left w:val="none" w:sz="0" w:space="0" w:color="auto"/>
        <w:bottom w:val="none" w:sz="0" w:space="0" w:color="auto"/>
        <w:right w:val="none" w:sz="0" w:space="0" w:color="auto"/>
      </w:divBdr>
    </w:div>
    <w:div w:id="496699726">
      <w:bodyDiv w:val="1"/>
      <w:marLeft w:val="0"/>
      <w:marRight w:val="0"/>
      <w:marTop w:val="0"/>
      <w:marBottom w:val="0"/>
      <w:divBdr>
        <w:top w:val="none" w:sz="0" w:space="0" w:color="auto"/>
        <w:left w:val="none" w:sz="0" w:space="0" w:color="auto"/>
        <w:bottom w:val="none" w:sz="0" w:space="0" w:color="auto"/>
        <w:right w:val="none" w:sz="0" w:space="0" w:color="auto"/>
      </w:divBdr>
    </w:div>
    <w:div w:id="555049702">
      <w:bodyDiv w:val="1"/>
      <w:marLeft w:val="0"/>
      <w:marRight w:val="0"/>
      <w:marTop w:val="0"/>
      <w:marBottom w:val="0"/>
      <w:divBdr>
        <w:top w:val="none" w:sz="0" w:space="0" w:color="auto"/>
        <w:left w:val="none" w:sz="0" w:space="0" w:color="auto"/>
        <w:bottom w:val="none" w:sz="0" w:space="0" w:color="auto"/>
        <w:right w:val="none" w:sz="0" w:space="0" w:color="auto"/>
      </w:divBdr>
    </w:div>
    <w:div w:id="557787262">
      <w:bodyDiv w:val="1"/>
      <w:marLeft w:val="0"/>
      <w:marRight w:val="0"/>
      <w:marTop w:val="0"/>
      <w:marBottom w:val="0"/>
      <w:divBdr>
        <w:top w:val="none" w:sz="0" w:space="0" w:color="auto"/>
        <w:left w:val="none" w:sz="0" w:space="0" w:color="auto"/>
        <w:bottom w:val="none" w:sz="0" w:space="0" w:color="auto"/>
        <w:right w:val="none" w:sz="0" w:space="0" w:color="auto"/>
      </w:divBdr>
    </w:div>
    <w:div w:id="598215285">
      <w:bodyDiv w:val="1"/>
      <w:marLeft w:val="0"/>
      <w:marRight w:val="0"/>
      <w:marTop w:val="0"/>
      <w:marBottom w:val="0"/>
      <w:divBdr>
        <w:top w:val="none" w:sz="0" w:space="0" w:color="auto"/>
        <w:left w:val="none" w:sz="0" w:space="0" w:color="auto"/>
        <w:bottom w:val="none" w:sz="0" w:space="0" w:color="auto"/>
        <w:right w:val="none" w:sz="0" w:space="0" w:color="auto"/>
      </w:divBdr>
    </w:div>
    <w:div w:id="603196011">
      <w:bodyDiv w:val="1"/>
      <w:marLeft w:val="0"/>
      <w:marRight w:val="0"/>
      <w:marTop w:val="0"/>
      <w:marBottom w:val="0"/>
      <w:divBdr>
        <w:top w:val="none" w:sz="0" w:space="0" w:color="auto"/>
        <w:left w:val="none" w:sz="0" w:space="0" w:color="auto"/>
        <w:bottom w:val="none" w:sz="0" w:space="0" w:color="auto"/>
        <w:right w:val="none" w:sz="0" w:space="0" w:color="auto"/>
      </w:divBdr>
    </w:div>
    <w:div w:id="733435623">
      <w:bodyDiv w:val="1"/>
      <w:marLeft w:val="0"/>
      <w:marRight w:val="0"/>
      <w:marTop w:val="0"/>
      <w:marBottom w:val="0"/>
      <w:divBdr>
        <w:top w:val="none" w:sz="0" w:space="0" w:color="auto"/>
        <w:left w:val="none" w:sz="0" w:space="0" w:color="auto"/>
        <w:bottom w:val="none" w:sz="0" w:space="0" w:color="auto"/>
        <w:right w:val="none" w:sz="0" w:space="0" w:color="auto"/>
      </w:divBdr>
    </w:div>
    <w:div w:id="766341010">
      <w:bodyDiv w:val="1"/>
      <w:marLeft w:val="0"/>
      <w:marRight w:val="0"/>
      <w:marTop w:val="0"/>
      <w:marBottom w:val="0"/>
      <w:divBdr>
        <w:top w:val="none" w:sz="0" w:space="0" w:color="auto"/>
        <w:left w:val="none" w:sz="0" w:space="0" w:color="auto"/>
        <w:bottom w:val="none" w:sz="0" w:space="0" w:color="auto"/>
        <w:right w:val="none" w:sz="0" w:space="0" w:color="auto"/>
      </w:divBdr>
    </w:div>
    <w:div w:id="781530738">
      <w:bodyDiv w:val="1"/>
      <w:marLeft w:val="0"/>
      <w:marRight w:val="0"/>
      <w:marTop w:val="0"/>
      <w:marBottom w:val="0"/>
      <w:divBdr>
        <w:top w:val="none" w:sz="0" w:space="0" w:color="auto"/>
        <w:left w:val="none" w:sz="0" w:space="0" w:color="auto"/>
        <w:bottom w:val="none" w:sz="0" w:space="0" w:color="auto"/>
        <w:right w:val="none" w:sz="0" w:space="0" w:color="auto"/>
      </w:divBdr>
    </w:div>
    <w:div w:id="807934980">
      <w:bodyDiv w:val="1"/>
      <w:marLeft w:val="0"/>
      <w:marRight w:val="0"/>
      <w:marTop w:val="0"/>
      <w:marBottom w:val="0"/>
      <w:divBdr>
        <w:top w:val="none" w:sz="0" w:space="0" w:color="auto"/>
        <w:left w:val="none" w:sz="0" w:space="0" w:color="auto"/>
        <w:bottom w:val="none" w:sz="0" w:space="0" w:color="auto"/>
        <w:right w:val="none" w:sz="0" w:space="0" w:color="auto"/>
      </w:divBdr>
    </w:div>
    <w:div w:id="810245919">
      <w:bodyDiv w:val="1"/>
      <w:marLeft w:val="0"/>
      <w:marRight w:val="0"/>
      <w:marTop w:val="0"/>
      <w:marBottom w:val="0"/>
      <w:divBdr>
        <w:top w:val="none" w:sz="0" w:space="0" w:color="auto"/>
        <w:left w:val="none" w:sz="0" w:space="0" w:color="auto"/>
        <w:bottom w:val="none" w:sz="0" w:space="0" w:color="auto"/>
        <w:right w:val="none" w:sz="0" w:space="0" w:color="auto"/>
      </w:divBdr>
    </w:div>
    <w:div w:id="849680839">
      <w:bodyDiv w:val="1"/>
      <w:marLeft w:val="0"/>
      <w:marRight w:val="0"/>
      <w:marTop w:val="0"/>
      <w:marBottom w:val="0"/>
      <w:divBdr>
        <w:top w:val="none" w:sz="0" w:space="0" w:color="auto"/>
        <w:left w:val="none" w:sz="0" w:space="0" w:color="auto"/>
        <w:bottom w:val="none" w:sz="0" w:space="0" w:color="auto"/>
        <w:right w:val="none" w:sz="0" w:space="0" w:color="auto"/>
      </w:divBdr>
    </w:div>
    <w:div w:id="852769685">
      <w:bodyDiv w:val="1"/>
      <w:marLeft w:val="0"/>
      <w:marRight w:val="0"/>
      <w:marTop w:val="0"/>
      <w:marBottom w:val="0"/>
      <w:divBdr>
        <w:top w:val="none" w:sz="0" w:space="0" w:color="auto"/>
        <w:left w:val="none" w:sz="0" w:space="0" w:color="auto"/>
        <w:bottom w:val="none" w:sz="0" w:space="0" w:color="auto"/>
        <w:right w:val="none" w:sz="0" w:space="0" w:color="auto"/>
      </w:divBdr>
    </w:div>
    <w:div w:id="893274695">
      <w:bodyDiv w:val="1"/>
      <w:marLeft w:val="0"/>
      <w:marRight w:val="0"/>
      <w:marTop w:val="0"/>
      <w:marBottom w:val="0"/>
      <w:divBdr>
        <w:top w:val="none" w:sz="0" w:space="0" w:color="auto"/>
        <w:left w:val="none" w:sz="0" w:space="0" w:color="auto"/>
        <w:bottom w:val="none" w:sz="0" w:space="0" w:color="auto"/>
        <w:right w:val="none" w:sz="0" w:space="0" w:color="auto"/>
      </w:divBdr>
    </w:div>
    <w:div w:id="901647144">
      <w:bodyDiv w:val="1"/>
      <w:marLeft w:val="0"/>
      <w:marRight w:val="0"/>
      <w:marTop w:val="0"/>
      <w:marBottom w:val="0"/>
      <w:divBdr>
        <w:top w:val="none" w:sz="0" w:space="0" w:color="auto"/>
        <w:left w:val="none" w:sz="0" w:space="0" w:color="auto"/>
        <w:bottom w:val="none" w:sz="0" w:space="0" w:color="auto"/>
        <w:right w:val="none" w:sz="0" w:space="0" w:color="auto"/>
      </w:divBdr>
    </w:div>
    <w:div w:id="961418004">
      <w:bodyDiv w:val="1"/>
      <w:marLeft w:val="0"/>
      <w:marRight w:val="0"/>
      <w:marTop w:val="0"/>
      <w:marBottom w:val="0"/>
      <w:divBdr>
        <w:top w:val="none" w:sz="0" w:space="0" w:color="auto"/>
        <w:left w:val="none" w:sz="0" w:space="0" w:color="auto"/>
        <w:bottom w:val="none" w:sz="0" w:space="0" w:color="auto"/>
        <w:right w:val="none" w:sz="0" w:space="0" w:color="auto"/>
      </w:divBdr>
    </w:div>
    <w:div w:id="998001019">
      <w:bodyDiv w:val="1"/>
      <w:marLeft w:val="0"/>
      <w:marRight w:val="0"/>
      <w:marTop w:val="0"/>
      <w:marBottom w:val="0"/>
      <w:divBdr>
        <w:top w:val="none" w:sz="0" w:space="0" w:color="auto"/>
        <w:left w:val="none" w:sz="0" w:space="0" w:color="auto"/>
        <w:bottom w:val="none" w:sz="0" w:space="0" w:color="auto"/>
        <w:right w:val="none" w:sz="0" w:space="0" w:color="auto"/>
      </w:divBdr>
    </w:div>
    <w:div w:id="1040857932">
      <w:bodyDiv w:val="1"/>
      <w:marLeft w:val="0"/>
      <w:marRight w:val="0"/>
      <w:marTop w:val="0"/>
      <w:marBottom w:val="0"/>
      <w:divBdr>
        <w:top w:val="none" w:sz="0" w:space="0" w:color="auto"/>
        <w:left w:val="none" w:sz="0" w:space="0" w:color="auto"/>
        <w:bottom w:val="none" w:sz="0" w:space="0" w:color="auto"/>
        <w:right w:val="none" w:sz="0" w:space="0" w:color="auto"/>
      </w:divBdr>
    </w:div>
    <w:div w:id="1159463220">
      <w:bodyDiv w:val="1"/>
      <w:marLeft w:val="0"/>
      <w:marRight w:val="0"/>
      <w:marTop w:val="0"/>
      <w:marBottom w:val="0"/>
      <w:divBdr>
        <w:top w:val="none" w:sz="0" w:space="0" w:color="auto"/>
        <w:left w:val="none" w:sz="0" w:space="0" w:color="auto"/>
        <w:bottom w:val="none" w:sz="0" w:space="0" w:color="auto"/>
        <w:right w:val="none" w:sz="0" w:space="0" w:color="auto"/>
      </w:divBdr>
    </w:div>
    <w:div w:id="1226185163">
      <w:bodyDiv w:val="1"/>
      <w:marLeft w:val="0"/>
      <w:marRight w:val="0"/>
      <w:marTop w:val="0"/>
      <w:marBottom w:val="0"/>
      <w:divBdr>
        <w:top w:val="none" w:sz="0" w:space="0" w:color="auto"/>
        <w:left w:val="none" w:sz="0" w:space="0" w:color="auto"/>
        <w:bottom w:val="none" w:sz="0" w:space="0" w:color="auto"/>
        <w:right w:val="none" w:sz="0" w:space="0" w:color="auto"/>
      </w:divBdr>
    </w:div>
    <w:div w:id="1329676195">
      <w:bodyDiv w:val="1"/>
      <w:marLeft w:val="0"/>
      <w:marRight w:val="0"/>
      <w:marTop w:val="0"/>
      <w:marBottom w:val="0"/>
      <w:divBdr>
        <w:top w:val="none" w:sz="0" w:space="0" w:color="auto"/>
        <w:left w:val="none" w:sz="0" w:space="0" w:color="auto"/>
        <w:bottom w:val="none" w:sz="0" w:space="0" w:color="auto"/>
        <w:right w:val="none" w:sz="0" w:space="0" w:color="auto"/>
      </w:divBdr>
    </w:div>
    <w:div w:id="1344940277">
      <w:bodyDiv w:val="1"/>
      <w:marLeft w:val="0"/>
      <w:marRight w:val="0"/>
      <w:marTop w:val="0"/>
      <w:marBottom w:val="0"/>
      <w:divBdr>
        <w:top w:val="none" w:sz="0" w:space="0" w:color="auto"/>
        <w:left w:val="none" w:sz="0" w:space="0" w:color="auto"/>
        <w:bottom w:val="none" w:sz="0" w:space="0" w:color="auto"/>
        <w:right w:val="none" w:sz="0" w:space="0" w:color="auto"/>
      </w:divBdr>
    </w:div>
    <w:div w:id="1480027524">
      <w:bodyDiv w:val="1"/>
      <w:marLeft w:val="0"/>
      <w:marRight w:val="0"/>
      <w:marTop w:val="0"/>
      <w:marBottom w:val="0"/>
      <w:divBdr>
        <w:top w:val="none" w:sz="0" w:space="0" w:color="auto"/>
        <w:left w:val="none" w:sz="0" w:space="0" w:color="auto"/>
        <w:bottom w:val="none" w:sz="0" w:space="0" w:color="auto"/>
        <w:right w:val="none" w:sz="0" w:space="0" w:color="auto"/>
      </w:divBdr>
    </w:div>
    <w:div w:id="1498031492">
      <w:bodyDiv w:val="1"/>
      <w:marLeft w:val="0"/>
      <w:marRight w:val="0"/>
      <w:marTop w:val="0"/>
      <w:marBottom w:val="0"/>
      <w:divBdr>
        <w:top w:val="none" w:sz="0" w:space="0" w:color="auto"/>
        <w:left w:val="none" w:sz="0" w:space="0" w:color="auto"/>
        <w:bottom w:val="none" w:sz="0" w:space="0" w:color="auto"/>
        <w:right w:val="none" w:sz="0" w:space="0" w:color="auto"/>
      </w:divBdr>
    </w:div>
    <w:div w:id="1519150471">
      <w:bodyDiv w:val="1"/>
      <w:marLeft w:val="0"/>
      <w:marRight w:val="0"/>
      <w:marTop w:val="0"/>
      <w:marBottom w:val="0"/>
      <w:divBdr>
        <w:top w:val="none" w:sz="0" w:space="0" w:color="auto"/>
        <w:left w:val="none" w:sz="0" w:space="0" w:color="auto"/>
        <w:bottom w:val="none" w:sz="0" w:space="0" w:color="auto"/>
        <w:right w:val="none" w:sz="0" w:space="0" w:color="auto"/>
      </w:divBdr>
    </w:div>
    <w:div w:id="1528326726">
      <w:bodyDiv w:val="1"/>
      <w:marLeft w:val="0"/>
      <w:marRight w:val="0"/>
      <w:marTop w:val="0"/>
      <w:marBottom w:val="0"/>
      <w:divBdr>
        <w:top w:val="none" w:sz="0" w:space="0" w:color="auto"/>
        <w:left w:val="none" w:sz="0" w:space="0" w:color="auto"/>
        <w:bottom w:val="none" w:sz="0" w:space="0" w:color="auto"/>
        <w:right w:val="none" w:sz="0" w:space="0" w:color="auto"/>
      </w:divBdr>
    </w:div>
    <w:div w:id="1549488025">
      <w:bodyDiv w:val="1"/>
      <w:marLeft w:val="0"/>
      <w:marRight w:val="0"/>
      <w:marTop w:val="0"/>
      <w:marBottom w:val="0"/>
      <w:divBdr>
        <w:top w:val="none" w:sz="0" w:space="0" w:color="auto"/>
        <w:left w:val="none" w:sz="0" w:space="0" w:color="auto"/>
        <w:bottom w:val="none" w:sz="0" w:space="0" w:color="auto"/>
        <w:right w:val="none" w:sz="0" w:space="0" w:color="auto"/>
      </w:divBdr>
    </w:div>
    <w:div w:id="1573152093">
      <w:bodyDiv w:val="1"/>
      <w:marLeft w:val="0"/>
      <w:marRight w:val="0"/>
      <w:marTop w:val="0"/>
      <w:marBottom w:val="0"/>
      <w:divBdr>
        <w:top w:val="none" w:sz="0" w:space="0" w:color="auto"/>
        <w:left w:val="none" w:sz="0" w:space="0" w:color="auto"/>
        <w:bottom w:val="none" w:sz="0" w:space="0" w:color="auto"/>
        <w:right w:val="none" w:sz="0" w:space="0" w:color="auto"/>
      </w:divBdr>
    </w:div>
    <w:div w:id="1694066356">
      <w:bodyDiv w:val="1"/>
      <w:marLeft w:val="0"/>
      <w:marRight w:val="0"/>
      <w:marTop w:val="0"/>
      <w:marBottom w:val="0"/>
      <w:divBdr>
        <w:top w:val="none" w:sz="0" w:space="0" w:color="auto"/>
        <w:left w:val="none" w:sz="0" w:space="0" w:color="auto"/>
        <w:bottom w:val="none" w:sz="0" w:space="0" w:color="auto"/>
        <w:right w:val="none" w:sz="0" w:space="0" w:color="auto"/>
      </w:divBdr>
    </w:div>
    <w:div w:id="1707608218">
      <w:bodyDiv w:val="1"/>
      <w:marLeft w:val="0"/>
      <w:marRight w:val="0"/>
      <w:marTop w:val="0"/>
      <w:marBottom w:val="0"/>
      <w:divBdr>
        <w:top w:val="none" w:sz="0" w:space="0" w:color="auto"/>
        <w:left w:val="none" w:sz="0" w:space="0" w:color="auto"/>
        <w:bottom w:val="none" w:sz="0" w:space="0" w:color="auto"/>
        <w:right w:val="none" w:sz="0" w:space="0" w:color="auto"/>
      </w:divBdr>
    </w:div>
    <w:div w:id="1733504680">
      <w:bodyDiv w:val="1"/>
      <w:marLeft w:val="0"/>
      <w:marRight w:val="0"/>
      <w:marTop w:val="0"/>
      <w:marBottom w:val="0"/>
      <w:divBdr>
        <w:top w:val="none" w:sz="0" w:space="0" w:color="auto"/>
        <w:left w:val="none" w:sz="0" w:space="0" w:color="auto"/>
        <w:bottom w:val="none" w:sz="0" w:space="0" w:color="auto"/>
        <w:right w:val="none" w:sz="0" w:space="0" w:color="auto"/>
      </w:divBdr>
    </w:div>
    <w:div w:id="1754013753">
      <w:bodyDiv w:val="1"/>
      <w:marLeft w:val="0"/>
      <w:marRight w:val="0"/>
      <w:marTop w:val="0"/>
      <w:marBottom w:val="0"/>
      <w:divBdr>
        <w:top w:val="none" w:sz="0" w:space="0" w:color="auto"/>
        <w:left w:val="none" w:sz="0" w:space="0" w:color="auto"/>
        <w:bottom w:val="none" w:sz="0" w:space="0" w:color="auto"/>
        <w:right w:val="none" w:sz="0" w:space="0" w:color="auto"/>
      </w:divBdr>
    </w:div>
    <w:div w:id="1760321693">
      <w:bodyDiv w:val="1"/>
      <w:marLeft w:val="0"/>
      <w:marRight w:val="0"/>
      <w:marTop w:val="0"/>
      <w:marBottom w:val="0"/>
      <w:divBdr>
        <w:top w:val="none" w:sz="0" w:space="0" w:color="auto"/>
        <w:left w:val="none" w:sz="0" w:space="0" w:color="auto"/>
        <w:bottom w:val="none" w:sz="0" w:space="0" w:color="auto"/>
        <w:right w:val="none" w:sz="0" w:space="0" w:color="auto"/>
      </w:divBdr>
    </w:div>
    <w:div w:id="1763914797">
      <w:bodyDiv w:val="1"/>
      <w:marLeft w:val="0"/>
      <w:marRight w:val="0"/>
      <w:marTop w:val="0"/>
      <w:marBottom w:val="0"/>
      <w:divBdr>
        <w:top w:val="none" w:sz="0" w:space="0" w:color="auto"/>
        <w:left w:val="none" w:sz="0" w:space="0" w:color="auto"/>
        <w:bottom w:val="none" w:sz="0" w:space="0" w:color="auto"/>
        <w:right w:val="none" w:sz="0" w:space="0" w:color="auto"/>
      </w:divBdr>
    </w:div>
    <w:div w:id="1772966927">
      <w:bodyDiv w:val="1"/>
      <w:marLeft w:val="0"/>
      <w:marRight w:val="0"/>
      <w:marTop w:val="0"/>
      <w:marBottom w:val="0"/>
      <w:divBdr>
        <w:top w:val="none" w:sz="0" w:space="0" w:color="auto"/>
        <w:left w:val="none" w:sz="0" w:space="0" w:color="auto"/>
        <w:bottom w:val="none" w:sz="0" w:space="0" w:color="auto"/>
        <w:right w:val="none" w:sz="0" w:space="0" w:color="auto"/>
      </w:divBdr>
    </w:div>
    <w:div w:id="1785075920">
      <w:bodyDiv w:val="1"/>
      <w:marLeft w:val="0"/>
      <w:marRight w:val="0"/>
      <w:marTop w:val="0"/>
      <w:marBottom w:val="0"/>
      <w:divBdr>
        <w:top w:val="none" w:sz="0" w:space="0" w:color="auto"/>
        <w:left w:val="none" w:sz="0" w:space="0" w:color="auto"/>
        <w:bottom w:val="none" w:sz="0" w:space="0" w:color="auto"/>
        <w:right w:val="none" w:sz="0" w:space="0" w:color="auto"/>
      </w:divBdr>
    </w:div>
    <w:div w:id="1826706715">
      <w:bodyDiv w:val="1"/>
      <w:marLeft w:val="0"/>
      <w:marRight w:val="0"/>
      <w:marTop w:val="0"/>
      <w:marBottom w:val="0"/>
      <w:divBdr>
        <w:top w:val="none" w:sz="0" w:space="0" w:color="auto"/>
        <w:left w:val="none" w:sz="0" w:space="0" w:color="auto"/>
        <w:bottom w:val="none" w:sz="0" w:space="0" w:color="auto"/>
        <w:right w:val="none" w:sz="0" w:space="0" w:color="auto"/>
      </w:divBdr>
    </w:div>
    <w:div w:id="1864250496">
      <w:bodyDiv w:val="1"/>
      <w:marLeft w:val="0"/>
      <w:marRight w:val="0"/>
      <w:marTop w:val="0"/>
      <w:marBottom w:val="0"/>
      <w:divBdr>
        <w:top w:val="none" w:sz="0" w:space="0" w:color="auto"/>
        <w:left w:val="none" w:sz="0" w:space="0" w:color="auto"/>
        <w:bottom w:val="none" w:sz="0" w:space="0" w:color="auto"/>
        <w:right w:val="none" w:sz="0" w:space="0" w:color="auto"/>
      </w:divBdr>
    </w:div>
    <w:div w:id="1882357062">
      <w:bodyDiv w:val="1"/>
      <w:marLeft w:val="0"/>
      <w:marRight w:val="0"/>
      <w:marTop w:val="0"/>
      <w:marBottom w:val="0"/>
      <w:divBdr>
        <w:top w:val="none" w:sz="0" w:space="0" w:color="auto"/>
        <w:left w:val="none" w:sz="0" w:space="0" w:color="auto"/>
        <w:bottom w:val="none" w:sz="0" w:space="0" w:color="auto"/>
        <w:right w:val="none" w:sz="0" w:space="0" w:color="auto"/>
      </w:divBdr>
    </w:div>
    <w:div w:id="1885362178">
      <w:bodyDiv w:val="1"/>
      <w:marLeft w:val="0"/>
      <w:marRight w:val="0"/>
      <w:marTop w:val="0"/>
      <w:marBottom w:val="0"/>
      <w:divBdr>
        <w:top w:val="none" w:sz="0" w:space="0" w:color="auto"/>
        <w:left w:val="none" w:sz="0" w:space="0" w:color="auto"/>
        <w:bottom w:val="none" w:sz="0" w:space="0" w:color="auto"/>
        <w:right w:val="none" w:sz="0" w:space="0" w:color="auto"/>
      </w:divBdr>
    </w:div>
    <w:div w:id="1910768575">
      <w:bodyDiv w:val="1"/>
      <w:marLeft w:val="0"/>
      <w:marRight w:val="0"/>
      <w:marTop w:val="0"/>
      <w:marBottom w:val="0"/>
      <w:divBdr>
        <w:top w:val="none" w:sz="0" w:space="0" w:color="auto"/>
        <w:left w:val="none" w:sz="0" w:space="0" w:color="auto"/>
        <w:bottom w:val="none" w:sz="0" w:space="0" w:color="auto"/>
        <w:right w:val="none" w:sz="0" w:space="0" w:color="auto"/>
      </w:divBdr>
    </w:div>
    <w:div w:id="1994478893">
      <w:bodyDiv w:val="1"/>
      <w:marLeft w:val="0"/>
      <w:marRight w:val="0"/>
      <w:marTop w:val="0"/>
      <w:marBottom w:val="0"/>
      <w:divBdr>
        <w:top w:val="none" w:sz="0" w:space="0" w:color="auto"/>
        <w:left w:val="none" w:sz="0" w:space="0" w:color="auto"/>
        <w:bottom w:val="none" w:sz="0" w:space="0" w:color="auto"/>
        <w:right w:val="none" w:sz="0" w:space="0" w:color="auto"/>
      </w:divBdr>
    </w:div>
    <w:div w:id="2006981028">
      <w:bodyDiv w:val="1"/>
      <w:marLeft w:val="0"/>
      <w:marRight w:val="0"/>
      <w:marTop w:val="0"/>
      <w:marBottom w:val="0"/>
      <w:divBdr>
        <w:top w:val="none" w:sz="0" w:space="0" w:color="auto"/>
        <w:left w:val="none" w:sz="0" w:space="0" w:color="auto"/>
        <w:bottom w:val="none" w:sz="0" w:space="0" w:color="auto"/>
        <w:right w:val="none" w:sz="0" w:space="0" w:color="auto"/>
      </w:divBdr>
    </w:div>
    <w:div w:id="2007708193">
      <w:bodyDiv w:val="1"/>
      <w:marLeft w:val="0"/>
      <w:marRight w:val="0"/>
      <w:marTop w:val="0"/>
      <w:marBottom w:val="0"/>
      <w:divBdr>
        <w:top w:val="none" w:sz="0" w:space="0" w:color="auto"/>
        <w:left w:val="none" w:sz="0" w:space="0" w:color="auto"/>
        <w:bottom w:val="none" w:sz="0" w:space="0" w:color="auto"/>
        <w:right w:val="none" w:sz="0" w:space="0" w:color="auto"/>
      </w:divBdr>
    </w:div>
    <w:div w:id="2045208552">
      <w:bodyDiv w:val="1"/>
      <w:marLeft w:val="0"/>
      <w:marRight w:val="0"/>
      <w:marTop w:val="0"/>
      <w:marBottom w:val="0"/>
      <w:divBdr>
        <w:top w:val="none" w:sz="0" w:space="0" w:color="auto"/>
        <w:left w:val="none" w:sz="0" w:space="0" w:color="auto"/>
        <w:bottom w:val="none" w:sz="0" w:space="0" w:color="auto"/>
        <w:right w:val="none" w:sz="0" w:space="0" w:color="auto"/>
      </w:divBdr>
    </w:div>
    <w:div w:id="2100641155">
      <w:bodyDiv w:val="1"/>
      <w:marLeft w:val="0"/>
      <w:marRight w:val="0"/>
      <w:marTop w:val="0"/>
      <w:marBottom w:val="0"/>
      <w:divBdr>
        <w:top w:val="none" w:sz="0" w:space="0" w:color="auto"/>
        <w:left w:val="none" w:sz="0" w:space="0" w:color="auto"/>
        <w:bottom w:val="none" w:sz="0" w:space="0" w:color="auto"/>
        <w:right w:val="none" w:sz="0" w:space="0" w:color="auto"/>
      </w:divBdr>
    </w:div>
    <w:div w:id="21160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ley/1993/ley_0100_1993_pr008.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cretariasenado.gov.co/senado/basedoc/ley/1993/ley_0100_1993_pr008.html" TargetMode="External"/><Relationship Id="rId4" Type="http://schemas.microsoft.com/office/2007/relationships/stylesWithEffects" Target="stylesWithEffects.xml"/><Relationship Id="rId9" Type="http://schemas.openxmlformats.org/officeDocument/2006/relationships/hyperlink" Target="http://www.icbf.gov.co/transparencia/derechobienestar/ley/ley_0550_1999.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67026-9EA6-4226-B0C9-556F4A3A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5965</Words>
  <Characters>32810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Dario Calderon Marentes</dc:creator>
  <cp:lastModifiedBy>Esperanza Jimenez</cp:lastModifiedBy>
  <cp:revision>239</cp:revision>
  <cp:lastPrinted>2011-09-13T07:49:00Z</cp:lastPrinted>
  <dcterms:created xsi:type="dcterms:W3CDTF">2011-09-13T01:05:00Z</dcterms:created>
  <dcterms:modified xsi:type="dcterms:W3CDTF">2011-09-13T08:05:00Z</dcterms:modified>
</cp:coreProperties>
</file>