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6E3A" w:rsidRPr="00EF0607" w:rsidRDefault="00A66E3A" w:rsidP="00A66E3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"/>
        </w:rPr>
      </w:pPr>
      <w:r w:rsidRPr="00EF0607">
        <w:rPr>
          <w:rFonts w:ascii="Arial" w:hAnsi="Arial" w:cs="Arial"/>
          <w:b/>
          <w:sz w:val="24"/>
          <w:szCs w:val="24"/>
          <w:lang w:val="es-ES"/>
        </w:rPr>
        <w:t>CUESTIONARIO - CONGRESO</w:t>
      </w:r>
    </w:p>
    <w:p w:rsidR="00A66E3A" w:rsidRPr="00EF0607" w:rsidRDefault="00A66E3A" w:rsidP="00A66E3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"/>
        </w:rPr>
      </w:pPr>
      <w:r w:rsidRPr="00EF0607">
        <w:rPr>
          <w:rFonts w:ascii="Arial" w:hAnsi="Arial" w:cs="Arial"/>
          <w:b/>
          <w:sz w:val="24"/>
          <w:szCs w:val="24"/>
          <w:lang w:val="es-ES"/>
        </w:rPr>
        <w:t xml:space="preserve">Necesidades Presupuestales </w:t>
      </w:r>
    </w:p>
    <w:p w:rsidR="00A66E3A" w:rsidRPr="00EF0607" w:rsidRDefault="00A66E3A" w:rsidP="00A66E3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"/>
        </w:rPr>
      </w:pPr>
      <w:r w:rsidRPr="00EF0607">
        <w:rPr>
          <w:rFonts w:ascii="Arial" w:hAnsi="Arial" w:cs="Arial"/>
          <w:b/>
          <w:sz w:val="24"/>
          <w:szCs w:val="24"/>
          <w:lang w:val="es-ES"/>
        </w:rPr>
        <w:t>CONSEJO NACIONAL ELECTORAL</w:t>
      </w:r>
    </w:p>
    <w:p w:rsidR="00A66E3A" w:rsidRPr="00EF0607" w:rsidRDefault="00A66E3A" w:rsidP="00A66E3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"/>
        </w:rPr>
      </w:pPr>
      <w:r w:rsidRPr="00EF0607">
        <w:rPr>
          <w:rFonts w:ascii="Arial" w:hAnsi="Arial" w:cs="Arial"/>
          <w:b/>
          <w:sz w:val="24"/>
          <w:szCs w:val="24"/>
          <w:lang w:val="es-ES"/>
        </w:rPr>
        <w:t>Vigencia 2021 - 2022</w:t>
      </w:r>
    </w:p>
    <w:p w:rsidR="00A66E3A" w:rsidRPr="00EF0607" w:rsidRDefault="00A66E3A" w:rsidP="00A66E3A">
      <w:pPr>
        <w:jc w:val="both"/>
        <w:rPr>
          <w:rFonts w:ascii="Arial" w:hAnsi="Arial" w:cs="Arial"/>
          <w:sz w:val="24"/>
          <w:szCs w:val="24"/>
          <w:lang w:val="es-ES"/>
        </w:rPr>
      </w:pPr>
    </w:p>
    <w:p w:rsidR="00A66E3A" w:rsidRPr="00EF0607" w:rsidRDefault="00A66E3A" w:rsidP="00A66E3A">
      <w:pPr>
        <w:jc w:val="both"/>
        <w:rPr>
          <w:rFonts w:ascii="Arial" w:hAnsi="Arial" w:cs="Arial"/>
          <w:sz w:val="24"/>
          <w:szCs w:val="24"/>
          <w:lang w:val="es-ES"/>
        </w:rPr>
      </w:pPr>
      <w:r w:rsidRPr="00EF0607">
        <w:rPr>
          <w:rFonts w:ascii="Arial" w:hAnsi="Arial" w:cs="Arial"/>
          <w:b/>
          <w:bCs/>
          <w:sz w:val="24"/>
          <w:szCs w:val="24"/>
          <w:lang w:val="es-ES"/>
        </w:rPr>
        <w:t>1.</w:t>
      </w:r>
      <w:r w:rsidRPr="00EF0607">
        <w:rPr>
          <w:rFonts w:ascii="Arial" w:hAnsi="Arial" w:cs="Arial"/>
          <w:sz w:val="24"/>
          <w:szCs w:val="24"/>
          <w:lang w:val="es-ES"/>
        </w:rPr>
        <w:t xml:space="preserve"> Sírvase informar que planes, programas y/o proyectos prioritarios conforme a los objetivos misionales, de la entidad a su cargo, no han podido implementar durante las vigencias 2020 y lo que va corrido de la vigencia 2021, por carencia de las apropiaciones presupuestales necesarias para su debida ejecución.  </w:t>
      </w:r>
    </w:p>
    <w:p w:rsidR="00A66E3A" w:rsidRPr="00EF0607" w:rsidRDefault="00A66E3A" w:rsidP="00A66E3A">
      <w:pPr>
        <w:jc w:val="both"/>
        <w:rPr>
          <w:rFonts w:ascii="Arial" w:hAnsi="Arial" w:cs="Arial"/>
          <w:sz w:val="24"/>
          <w:szCs w:val="24"/>
          <w:lang w:val="es-ES"/>
        </w:rPr>
      </w:pPr>
      <w:r w:rsidRPr="00EF0607">
        <w:rPr>
          <w:rFonts w:ascii="Arial" w:hAnsi="Arial" w:cs="Arial"/>
          <w:sz w:val="24"/>
          <w:szCs w:val="24"/>
          <w:lang w:val="es-ES"/>
        </w:rPr>
        <w:t>A la pregunta anterior sírvase discriminar por tipo de planes, programas o proyectos, así como las apropiaciones que hubiesen sido necesarias para la ejecución de las mismas año por año.</w:t>
      </w:r>
    </w:p>
    <w:p w:rsidR="00A66E3A" w:rsidRPr="00EF0607" w:rsidRDefault="00A66E3A" w:rsidP="00A66E3A">
      <w:pPr>
        <w:jc w:val="both"/>
        <w:rPr>
          <w:rFonts w:ascii="Arial" w:hAnsi="Arial" w:cs="Arial"/>
          <w:sz w:val="24"/>
          <w:szCs w:val="24"/>
          <w:lang w:val="es-ES"/>
        </w:rPr>
      </w:pPr>
      <w:r w:rsidRPr="00EF0607">
        <w:rPr>
          <w:rFonts w:ascii="Arial" w:hAnsi="Arial" w:cs="Arial"/>
          <w:b/>
          <w:bCs/>
          <w:sz w:val="24"/>
          <w:szCs w:val="24"/>
          <w:lang w:val="es-ES"/>
        </w:rPr>
        <w:t xml:space="preserve">RTA: </w:t>
      </w:r>
      <w:r w:rsidRPr="00EF0607">
        <w:rPr>
          <w:rFonts w:ascii="Arial" w:hAnsi="Arial" w:cs="Arial"/>
          <w:sz w:val="24"/>
          <w:szCs w:val="24"/>
          <w:lang w:val="es-ES"/>
        </w:rPr>
        <w:t>Para la vigencia del 2020 se solicitaron recursos que no tuvieron respuesta positiva, de acuerdo con el cuadro siguiente:</w:t>
      </w:r>
    </w:p>
    <w:tbl>
      <w:tblPr>
        <w:tblW w:w="8824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00"/>
        <w:gridCol w:w="5043"/>
        <w:gridCol w:w="1681"/>
      </w:tblGrid>
      <w:tr w:rsidR="00A66E3A" w:rsidTr="00A66E3A">
        <w:trPr>
          <w:trHeight w:val="315"/>
        </w:trPr>
        <w:tc>
          <w:tcPr>
            <w:tcW w:w="882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A66E3A" w:rsidRDefault="00A66E3A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</w:rPr>
              <w:t>CONSEJO NACIONAL ELECTORAL</w:t>
            </w:r>
          </w:p>
        </w:tc>
      </w:tr>
      <w:tr w:rsidR="00A66E3A" w:rsidTr="00A66E3A">
        <w:trPr>
          <w:trHeight w:val="315"/>
        </w:trPr>
        <w:tc>
          <w:tcPr>
            <w:tcW w:w="88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noWrap/>
            <w:vAlign w:val="center"/>
            <w:hideMark/>
          </w:tcPr>
          <w:p w:rsidR="00A66E3A" w:rsidRDefault="00A66E3A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</w:rPr>
              <w:t>PROYECTOS DE INVERSIÓN  PARA LA VIGENCIA 2020</w:t>
            </w:r>
          </w:p>
        </w:tc>
      </w:tr>
      <w:tr w:rsidR="00A66E3A" w:rsidTr="00A66E3A">
        <w:trPr>
          <w:trHeight w:val="801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66E3A" w:rsidRDefault="00A66E3A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</w:rPr>
              <w:t>Nombre del Proyecto de Inversión</w:t>
            </w:r>
          </w:p>
        </w:tc>
        <w:tc>
          <w:tcPr>
            <w:tcW w:w="5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A66E3A" w:rsidRDefault="00A66E3A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</w:rPr>
              <w:t>Descripción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A66E3A" w:rsidRDefault="00A66E3A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</w:rPr>
              <w:t>Presupuesto Solicitado</w:t>
            </w:r>
          </w:p>
        </w:tc>
      </w:tr>
      <w:tr w:rsidR="00A66E3A" w:rsidTr="00A66E3A">
        <w:trPr>
          <w:trHeight w:val="847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E3A" w:rsidRDefault="00A66E3A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Adquisición de Sede del Consejo Nacional Electoral</w:t>
            </w:r>
          </w:p>
        </w:tc>
        <w:tc>
          <w:tcPr>
            <w:tcW w:w="5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6E3A" w:rsidRDefault="00A66E3A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 xml:space="preserve">El Consejo Nacional Electoral requiere trasladar su sede fuera de las instalaciones de la Registraduría Nacional del Estado Civil, en razón a que actualmente su funcionariado se encuentra laborando en condiciones de hacinamiento, dispersos y en puestos de trabajo que no cumplen estándares establecidos en normas ISO y NTC, lo cual pone en riesgo su integridad física y mental.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6E3A" w:rsidRDefault="00A66E3A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 xml:space="preserve"> $        50,000,000,000 </w:t>
            </w:r>
          </w:p>
        </w:tc>
      </w:tr>
      <w:tr w:rsidR="00A66E3A" w:rsidTr="00A66E3A">
        <w:trPr>
          <w:trHeight w:val="847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E3A" w:rsidRDefault="00A66E3A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Sistema de Gestión Documental del Consejo Nacional Electoral</w:t>
            </w:r>
          </w:p>
        </w:tc>
        <w:tc>
          <w:tcPr>
            <w:tcW w:w="5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6E3A" w:rsidRDefault="00A66E3A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 xml:space="preserve">Consiste en diseñar e implementar el Sistema de Gestión Documental de la entidad, capacitar a los funcionarios en conocimientos archivísticos e inventariar y organizar el Fondo Documental Acumulado del CNE.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6E3A" w:rsidRDefault="00A66E3A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 xml:space="preserve"> $        19,361,419,893 </w:t>
            </w:r>
          </w:p>
        </w:tc>
      </w:tr>
      <w:tr w:rsidR="00A66E3A" w:rsidTr="00A66E3A">
        <w:trPr>
          <w:trHeight w:val="1818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E3A" w:rsidRDefault="00A66E3A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Arquitectura Empresarial</w:t>
            </w:r>
          </w:p>
        </w:tc>
        <w:tc>
          <w:tcPr>
            <w:tcW w:w="5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6E3A" w:rsidRDefault="00A66E3A">
            <w:p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En el contexto de la implementación de autonomía y presupuestal otorgada al Consejo Nacional Electoral mediante el Decreto 2085 de 2019, se hace necesario poner emprender actividades que permitan a la entidad; desde el análisis de su nueva perspectiva estratégica, capacidades, necesidades y requerimientos organizacional, así como el uso de tecnologías de la información; direccionar iniciativas que propendan al fortalecimiento de la participación política, la cultura ciudadana y el reconocimiento institucional de la Corporación.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6E3A" w:rsidRDefault="00A66E3A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 xml:space="preserve"> $        15,000,000,000 </w:t>
            </w:r>
          </w:p>
        </w:tc>
      </w:tr>
      <w:tr w:rsidR="00A66E3A" w:rsidTr="00A66E3A">
        <w:trPr>
          <w:trHeight w:val="1037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E3A" w:rsidRDefault="00A66E3A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Instituto de Estudios Electorales</w:t>
            </w:r>
          </w:p>
        </w:tc>
        <w:tc>
          <w:tcPr>
            <w:tcW w:w="5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6E3A" w:rsidRDefault="00A66E3A">
            <w:p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Crear e implementar el Instituto de Estudios Electorales que potencie la gestión del conocimiento del Consejo Nacional Electoral y promueva buenas prácticas que aporten a la consolidación de una cultura política democrática a través de mecanismos de educación, investigación y pedagogía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6E3A" w:rsidRDefault="00A66E3A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 xml:space="preserve"> $         5,510,882,971 </w:t>
            </w:r>
          </w:p>
        </w:tc>
      </w:tr>
      <w:tr w:rsidR="00A66E3A" w:rsidTr="00A66E3A">
        <w:trPr>
          <w:trHeight w:val="904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E3A" w:rsidRDefault="00A66E3A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 xml:space="preserve">Modernización del Consejo Nacional Electoral. </w:t>
            </w:r>
          </w:p>
        </w:tc>
        <w:tc>
          <w:tcPr>
            <w:tcW w:w="5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6E3A" w:rsidRDefault="00A66E3A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 xml:space="preserve">A través de este proyecto, el CNE pretende optimizar los sistemas de información relativos a la </w:t>
            </w:r>
            <w:proofErr w:type="spellStart"/>
            <w:r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misionalidad</w:t>
            </w:r>
            <w:proofErr w:type="spellEnd"/>
            <w:r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 xml:space="preserve"> de la entidad y generar interoperabilidad entre ellos de cara la Ley de Transparencia y del Derecho de Acceso a la Información Pública Nacional.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6E3A" w:rsidRDefault="00A66E3A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 xml:space="preserve"> $        20,000,000,000 </w:t>
            </w:r>
          </w:p>
        </w:tc>
      </w:tr>
      <w:tr w:rsidR="00A66E3A" w:rsidTr="00A66E3A">
        <w:trPr>
          <w:trHeight w:val="449"/>
        </w:trPr>
        <w:tc>
          <w:tcPr>
            <w:tcW w:w="7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A66E3A" w:rsidRDefault="00A66E3A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A66E3A" w:rsidRDefault="00A66E3A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</w:rPr>
              <w:t xml:space="preserve"> $      109,872,302,864 </w:t>
            </w:r>
          </w:p>
        </w:tc>
      </w:tr>
    </w:tbl>
    <w:p w:rsidR="00A66E3A" w:rsidRDefault="00A66E3A" w:rsidP="00A66E3A">
      <w:pPr>
        <w:jc w:val="both"/>
        <w:rPr>
          <w:rFonts w:ascii="Arial" w:eastAsiaTheme="minorHAnsi" w:hAnsi="Arial" w:cs="Arial"/>
          <w:sz w:val="24"/>
          <w:szCs w:val="24"/>
          <w:lang w:val="es-ES" w:eastAsia="en-US"/>
        </w:rPr>
      </w:pPr>
    </w:p>
    <w:p w:rsidR="00A66E3A" w:rsidRDefault="00A66E3A" w:rsidP="00A66E3A">
      <w:p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Para el 2021 se reiteró la solicitud y se obtuvieron los siguientes recursos:</w:t>
      </w:r>
    </w:p>
    <w:tbl>
      <w:tblPr>
        <w:tblW w:w="872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7"/>
        <w:gridCol w:w="5103"/>
        <w:gridCol w:w="1492"/>
      </w:tblGrid>
      <w:tr w:rsidR="00A66E3A" w:rsidTr="00A66E3A">
        <w:trPr>
          <w:trHeight w:val="243"/>
        </w:trPr>
        <w:tc>
          <w:tcPr>
            <w:tcW w:w="872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A66E3A" w:rsidRDefault="00A66E3A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16"/>
                <w:szCs w:val="16"/>
              </w:rPr>
              <w:t>CONSEJO NACIONAL ELECTORAL</w:t>
            </w:r>
          </w:p>
        </w:tc>
      </w:tr>
      <w:tr w:rsidR="00A66E3A" w:rsidTr="00A66E3A">
        <w:trPr>
          <w:trHeight w:val="243"/>
        </w:trPr>
        <w:tc>
          <w:tcPr>
            <w:tcW w:w="872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noWrap/>
            <w:vAlign w:val="center"/>
            <w:hideMark/>
          </w:tcPr>
          <w:p w:rsidR="00A66E3A" w:rsidRDefault="00A66E3A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16"/>
                <w:szCs w:val="16"/>
              </w:rPr>
              <w:t>PROYECTOS DE INVERSIÓN  PARA LA VIGENCIA 2020</w:t>
            </w:r>
          </w:p>
        </w:tc>
      </w:tr>
      <w:tr w:rsidR="00A66E3A" w:rsidTr="00A66E3A">
        <w:trPr>
          <w:trHeight w:val="618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66E3A" w:rsidRDefault="00A66E3A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16"/>
                <w:szCs w:val="16"/>
              </w:rPr>
              <w:t>Nombre del Proyecto de Inversión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A66E3A" w:rsidRDefault="00A66E3A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16"/>
                <w:szCs w:val="16"/>
              </w:rPr>
              <w:t>Descripción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A66E3A" w:rsidRDefault="00A66E3A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16"/>
                <w:szCs w:val="16"/>
              </w:rPr>
              <w:t>Presupuesto Asignado</w:t>
            </w:r>
          </w:p>
        </w:tc>
      </w:tr>
      <w:tr w:rsidR="00A66E3A" w:rsidTr="00A66E3A">
        <w:trPr>
          <w:trHeight w:val="653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E3A" w:rsidRDefault="00A66E3A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6"/>
                <w:szCs w:val="16"/>
              </w:rPr>
            </w:pPr>
            <w:r>
              <w:rPr>
                <w:rFonts w:ascii="Arial Narrow" w:eastAsia="Times New Roman" w:hAnsi="Arial Narrow"/>
                <w:color w:val="000000"/>
                <w:sz w:val="16"/>
                <w:szCs w:val="16"/>
              </w:rPr>
              <w:t>Sistema de Gestión Documental del Consejo Nacional Electoral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6E3A" w:rsidRDefault="00A66E3A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6"/>
                <w:szCs w:val="16"/>
              </w:rPr>
            </w:pPr>
            <w:r>
              <w:rPr>
                <w:rFonts w:ascii="Arial Narrow" w:eastAsia="Times New Roman" w:hAnsi="Arial Narrow"/>
                <w:color w:val="000000"/>
                <w:sz w:val="16"/>
                <w:szCs w:val="16"/>
              </w:rPr>
              <w:t xml:space="preserve">Consiste en diseñar e implementar el Sistema de Gestión Documental de la entidad, capacitar a los funcionarios en conocimientos archivísticos e inventariar y organizar el Fondo Documental Acumulado del CNE.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6E3A" w:rsidRDefault="00A66E3A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6"/>
                <w:szCs w:val="16"/>
              </w:rPr>
            </w:pPr>
            <w:r>
              <w:rPr>
                <w:rFonts w:ascii="Arial Narrow" w:eastAsia="Times New Roman" w:hAnsi="Arial Narrow"/>
                <w:color w:val="000000"/>
                <w:sz w:val="16"/>
                <w:szCs w:val="16"/>
              </w:rPr>
              <w:t xml:space="preserve"> $        4,700,000,000 </w:t>
            </w:r>
          </w:p>
        </w:tc>
      </w:tr>
      <w:tr w:rsidR="00A66E3A" w:rsidTr="00A66E3A">
        <w:trPr>
          <w:trHeight w:val="14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E3A" w:rsidRDefault="00A66E3A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6"/>
                <w:szCs w:val="16"/>
              </w:rPr>
            </w:pPr>
            <w:r>
              <w:rPr>
                <w:rFonts w:ascii="Arial Narrow" w:eastAsia="Times New Roman" w:hAnsi="Arial Narrow"/>
                <w:color w:val="000000"/>
                <w:sz w:val="16"/>
                <w:szCs w:val="16"/>
              </w:rPr>
              <w:t>Arquitectura Empresarial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6E3A" w:rsidRDefault="00A66E3A">
            <w:p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16"/>
                <w:szCs w:val="16"/>
              </w:rPr>
            </w:pPr>
            <w:r>
              <w:rPr>
                <w:rFonts w:ascii="Arial Narrow" w:eastAsia="Times New Roman" w:hAnsi="Arial Narrow"/>
                <w:color w:val="000000"/>
                <w:sz w:val="16"/>
                <w:szCs w:val="16"/>
              </w:rPr>
              <w:t>En el contexto de la implementación de autonomía y presupuestal otorgada al Consejo Nacional Electoral mediante el Decreto 2085 de 2019, se hace necesario poner emprender actividades que permitan a la entidad; desde el análisis de su nueva perspectiva estratégica, capacidades, necesidades y requerimientos organizacional, así como el uso de tecnologías de la información; direccionar iniciativas que propendan al fortalecimiento de la participación política, la cultura ciudadana y el reconocimiento institucional de la Corporación.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6E3A" w:rsidRDefault="00A66E3A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6"/>
                <w:szCs w:val="16"/>
              </w:rPr>
            </w:pPr>
            <w:r>
              <w:rPr>
                <w:rFonts w:ascii="Arial Narrow" w:eastAsia="Times New Roman" w:hAnsi="Arial Narrow"/>
                <w:color w:val="000000"/>
                <w:sz w:val="16"/>
                <w:szCs w:val="16"/>
              </w:rPr>
              <w:t xml:space="preserve"> $        3,000,000,000 </w:t>
            </w:r>
          </w:p>
        </w:tc>
      </w:tr>
      <w:tr w:rsidR="00A66E3A" w:rsidTr="00A66E3A">
        <w:trPr>
          <w:trHeight w:val="315"/>
        </w:trPr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A66E3A" w:rsidRDefault="00A66E3A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A66E3A" w:rsidRDefault="00A66E3A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16"/>
                <w:szCs w:val="16"/>
              </w:rPr>
              <w:t xml:space="preserve"> $      7,700,000,000 </w:t>
            </w:r>
          </w:p>
        </w:tc>
      </w:tr>
    </w:tbl>
    <w:p w:rsidR="00A66E3A" w:rsidRDefault="00A66E3A" w:rsidP="00A66E3A">
      <w:pPr>
        <w:jc w:val="both"/>
        <w:rPr>
          <w:rFonts w:ascii="Arial" w:eastAsiaTheme="minorHAnsi" w:hAnsi="Arial" w:cs="Arial"/>
          <w:i/>
          <w:iCs/>
          <w:sz w:val="18"/>
          <w:szCs w:val="20"/>
          <w:lang w:val="es-ES" w:eastAsia="en-US"/>
        </w:rPr>
      </w:pPr>
    </w:p>
    <w:p w:rsidR="00A66E3A" w:rsidRDefault="00A66E3A" w:rsidP="00A66E3A">
      <w:pPr>
        <w:jc w:val="both"/>
        <w:rPr>
          <w:rFonts w:ascii="Arial" w:hAnsi="Arial" w:cs="Arial"/>
          <w:i/>
          <w:iCs/>
          <w:sz w:val="18"/>
          <w:szCs w:val="20"/>
          <w:lang w:val="es-ES"/>
        </w:rPr>
      </w:pPr>
      <w:r>
        <w:rPr>
          <w:rFonts w:ascii="Arial" w:hAnsi="Arial" w:cs="Arial"/>
          <w:i/>
          <w:iCs/>
          <w:sz w:val="18"/>
          <w:szCs w:val="20"/>
          <w:lang w:val="es-ES"/>
        </w:rPr>
        <w:t>*El Consejo Nacional Electoral se encuentra en el proceso de implementación de los Decretos 2085 y 2086 de 2019, para lo cual se destinan recursos de funcionamiento relacionado con Personal Supernumerario.</w:t>
      </w:r>
    </w:p>
    <w:p w:rsidR="00A66E3A" w:rsidRDefault="00A66E3A" w:rsidP="00A66E3A">
      <w:pPr>
        <w:jc w:val="both"/>
        <w:rPr>
          <w:rFonts w:ascii="Arial" w:hAnsi="Arial" w:cs="Arial"/>
          <w:i/>
          <w:iCs/>
          <w:sz w:val="18"/>
          <w:szCs w:val="20"/>
          <w:lang w:val="es-ES"/>
        </w:rPr>
      </w:pPr>
    </w:p>
    <w:p w:rsidR="00A66E3A" w:rsidRDefault="00A66E3A" w:rsidP="00A66E3A">
      <w:p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val="es-ES"/>
        </w:rPr>
        <w:t>2.</w:t>
      </w:r>
      <w:r>
        <w:rPr>
          <w:rFonts w:ascii="Arial" w:hAnsi="Arial" w:cs="Arial"/>
          <w:sz w:val="24"/>
          <w:szCs w:val="24"/>
          <w:lang w:val="es-ES"/>
        </w:rPr>
        <w:t xml:space="preserve"> Sírvase informar la composición y principales rubros presupuestales de cada componente (funcionamiento e inversión) del Presupuesto definitivo aprobado de los años 2020 y 2021 de cada una de las entidades que usted dirige.</w:t>
      </w:r>
    </w:p>
    <w:p w:rsidR="00A66E3A" w:rsidRDefault="00A66E3A" w:rsidP="00A66E3A">
      <w:pPr>
        <w:jc w:val="both"/>
        <w:rPr>
          <w:rFonts w:ascii="Arial" w:hAnsi="Arial" w:cs="Arial"/>
          <w:bCs/>
          <w:sz w:val="24"/>
          <w:szCs w:val="24"/>
          <w:lang w:val="es-ES"/>
        </w:rPr>
      </w:pPr>
      <w:r>
        <w:rPr>
          <w:rFonts w:ascii="Arial" w:hAnsi="Arial" w:cs="Arial"/>
          <w:b/>
          <w:bCs/>
          <w:sz w:val="24"/>
          <w:szCs w:val="24"/>
          <w:lang w:val="es-ES"/>
        </w:rPr>
        <w:t xml:space="preserve">RTA: </w:t>
      </w:r>
      <w:r>
        <w:rPr>
          <w:rFonts w:ascii="Arial" w:hAnsi="Arial" w:cs="Arial"/>
          <w:bCs/>
          <w:sz w:val="24"/>
          <w:szCs w:val="24"/>
          <w:lang w:val="es-ES"/>
        </w:rPr>
        <w:t>Para el año 2020 el presupuesto de funcionamiento se distribuye de la siguiente manera:</w:t>
      </w:r>
    </w:p>
    <w:p w:rsidR="00A66E3A" w:rsidRDefault="00A66E3A" w:rsidP="00A66E3A">
      <w:pPr>
        <w:jc w:val="both"/>
        <w:rPr>
          <w:rFonts w:ascii="Arial" w:hAnsi="Arial" w:cs="Arial"/>
          <w:bCs/>
          <w:sz w:val="24"/>
          <w:szCs w:val="24"/>
          <w:lang w:val="es-ES"/>
        </w:rPr>
      </w:pPr>
    </w:p>
    <w:tbl>
      <w:tblPr>
        <w:tblW w:w="746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8"/>
        <w:gridCol w:w="473"/>
        <w:gridCol w:w="4248"/>
        <w:gridCol w:w="2356"/>
      </w:tblGrid>
      <w:tr w:rsidR="00A66E3A" w:rsidTr="00A66E3A">
        <w:trPr>
          <w:trHeight w:val="394"/>
          <w:jc w:val="center"/>
        </w:trPr>
        <w:tc>
          <w:tcPr>
            <w:tcW w:w="746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A66E3A" w:rsidRDefault="00A66E3A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</w:rPr>
              <w:t xml:space="preserve">CONSEJO NACIONAL ELECTORAL </w:t>
            </w:r>
          </w:p>
        </w:tc>
      </w:tr>
      <w:tr w:rsidR="00A66E3A" w:rsidTr="00A66E3A">
        <w:trPr>
          <w:trHeight w:val="394"/>
          <w:jc w:val="center"/>
        </w:trPr>
        <w:tc>
          <w:tcPr>
            <w:tcW w:w="746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A66E3A" w:rsidRDefault="00A66E3A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</w:rPr>
              <w:t xml:space="preserve">DISTRIBUCIÓN PRESUPUESTAL 2020  NORMAL FUNCIONAMIENTO </w:t>
            </w:r>
          </w:p>
        </w:tc>
      </w:tr>
      <w:tr w:rsidR="00A66E3A" w:rsidTr="00A66E3A">
        <w:trPr>
          <w:trHeight w:val="315"/>
          <w:jc w:val="center"/>
        </w:trPr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A66E3A" w:rsidRDefault="00A66E3A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A66E3A" w:rsidRDefault="00A66E3A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66E3A" w:rsidRDefault="00A66E3A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</w:rPr>
              <w:t xml:space="preserve">CONCEPTO 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66E3A" w:rsidRDefault="00A66E3A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</w:rPr>
              <w:t xml:space="preserve"> VALOR  </w:t>
            </w:r>
          </w:p>
        </w:tc>
      </w:tr>
      <w:tr w:rsidR="00A66E3A" w:rsidTr="00A66E3A">
        <w:trPr>
          <w:trHeight w:val="315"/>
          <w:jc w:val="center"/>
        </w:trPr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A66E3A" w:rsidRDefault="00A66E3A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</w:rPr>
              <w:t>A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66E3A" w:rsidRDefault="00A66E3A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66E3A" w:rsidRDefault="00A66E3A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</w:rPr>
              <w:t>NORMAL FUNCIONAMIENTO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66E3A" w:rsidRDefault="00A66E3A">
            <w:pPr>
              <w:spacing w:after="0" w:line="240" w:lineRule="auto"/>
              <w:jc w:val="right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</w:rPr>
              <w:t xml:space="preserve"> $       34,242,000,000 </w:t>
            </w:r>
          </w:p>
        </w:tc>
      </w:tr>
      <w:tr w:rsidR="00A66E3A" w:rsidTr="00A66E3A">
        <w:trPr>
          <w:trHeight w:val="377"/>
          <w:jc w:val="center"/>
        </w:trPr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66E3A" w:rsidRDefault="00A66E3A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</w:rPr>
              <w:t>A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66E3A" w:rsidRDefault="00A66E3A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4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66E3A" w:rsidRDefault="00A66E3A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</w:rPr>
              <w:t xml:space="preserve">GASTO DE PERSONAL 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66E3A" w:rsidRDefault="00A66E3A">
            <w:pPr>
              <w:spacing w:after="0" w:line="240" w:lineRule="auto"/>
              <w:jc w:val="right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</w:rPr>
              <w:t xml:space="preserve"> $         3,938,000,000 </w:t>
            </w:r>
          </w:p>
        </w:tc>
      </w:tr>
      <w:tr w:rsidR="00A66E3A" w:rsidTr="00A66E3A">
        <w:trPr>
          <w:trHeight w:val="377"/>
          <w:jc w:val="center"/>
        </w:trPr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66E3A" w:rsidRDefault="00A66E3A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</w:rPr>
              <w:t>A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66E3A" w:rsidRDefault="00A66E3A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4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66E3A" w:rsidRDefault="00A66E3A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</w:rPr>
              <w:t xml:space="preserve">ADQUISICIÓN BIENES Y SERVICIOS 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66E3A" w:rsidRDefault="00A66E3A">
            <w:pPr>
              <w:spacing w:after="0" w:line="240" w:lineRule="auto"/>
              <w:jc w:val="right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</w:rPr>
              <w:t xml:space="preserve"> $         1,692,000,000 </w:t>
            </w:r>
          </w:p>
        </w:tc>
      </w:tr>
      <w:tr w:rsidR="00A66E3A" w:rsidTr="00A66E3A">
        <w:trPr>
          <w:trHeight w:val="377"/>
          <w:jc w:val="center"/>
        </w:trPr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66E3A" w:rsidRDefault="00A66E3A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</w:rPr>
              <w:t>A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66E3A" w:rsidRDefault="00A66E3A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4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66E3A" w:rsidRDefault="00A66E3A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</w:rPr>
              <w:t xml:space="preserve">TRANSFERENCIAS CORRIENTES 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66E3A" w:rsidRDefault="00A66E3A">
            <w:pPr>
              <w:spacing w:after="0" w:line="240" w:lineRule="auto"/>
              <w:jc w:val="right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</w:rPr>
              <w:t xml:space="preserve"> $       29,414,000,000 </w:t>
            </w:r>
          </w:p>
        </w:tc>
      </w:tr>
      <w:tr w:rsidR="00A66E3A" w:rsidTr="00A66E3A">
        <w:trPr>
          <w:trHeight w:val="377"/>
          <w:jc w:val="center"/>
        </w:trPr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66E3A" w:rsidRDefault="00A66E3A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</w:rPr>
              <w:t>A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66E3A" w:rsidRDefault="00A66E3A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4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66E3A" w:rsidRDefault="00A66E3A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</w:rPr>
              <w:t>DISMINUCIÓN DE PASIVOS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66E3A" w:rsidRDefault="00A66E3A">
            <w:pPr>
              <w:spacing w:after="0" w:line="240" w:lineRule="auto"/>
              <w:jc w:val="right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</w:rPr>
              <w:t xml:space="preserve"> $            198,000,000 </w:t>
            </w:r>
          </w:p>
        </w:tc>
      </w:tr>
      <w:tr w:rsidR="00A66E3A" w:rsidTr="00A66E3A">
        <w:trPr>
          <w:trHeight w:val="315"/>
          <w:jc w:val="center"/>
        </w:trPr>
        <w:tc>
          <w:tcPr>
            <w:tcW w:w="74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66E3A" w:rsidRDefault="00A66E3A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eastAsia="Times New Roman" w:hAnsi="Arial Narrow"/>
                <w:b/>
                <w:bCs/>
                <w:sz w:val="18"/>
                <w:szCs w:val="18"/>
              </w:rPr>
              <w:t>DECRETO 2411 DEL 30 DE DICIEMBRE 2019</w:t>
            </w:r>
          </w:p>
        </w:tc>
      </w:tr>
    </w:tbl>
    <w:p w:rsidR="00A66E3A" w:rsidRDefault="00A66E3A" w:rsidP="00A66E3A">
      <w:pPr>
        <w:jc w:val="both"/>
        <w:rPr>
          <w:rFonts w:ascii="Arial" w:eastAsiaTheme="minorHAnsi" w:hAnsi="Arial" w:cs="Arial"/>
          <w:b/>
          <w:bCs/>
          <w:sz w:val="24"/>
          <w:szCs w:val="24"/>
          <w:lang w:val="es-ES" w:eastAsia="en-US"/>
        </w:rPr>
      </w:pPr>
    </w:p>
    <w:p w:rsidR="00A66E3A" w:rsidRDefault="00A66E3A" w:rsidP="00A66E3A">
      <w:pPr>
        <w:jc w:val="both"/>
        <w:rPr>
          <w:rFonts w:ascii="Arial" w:hAnsi="Arial" w:cs="Arial"/>
          <w:bCs/>
          <w:sz w:val="24"/>
          <w:szCs w:val="24"/>
          <w:lang w:val="es-ES"/>
        </w:rPr>
      </w:pPr>
      <w:r>
        <w:rPr>
          <w:rFonts w:ascii="Arial" w:hAnsi="Arial" w:cs="Arial"/>
          <w:bCs/>
          <w:sz w:val="24"/>
          <w:szCs w:val="24"/>
          <w:lang w:val="es-ES"/>
        </w:rPr>
        <w:t xml:space="preserve">Aclarando que de las transferencias corrientes $27.602 millones corresponden a recursos con la restricción: “Previo concepto DGPPG”. </w:t>
      </w:r>
    </w:p>
    <w:p w:rsidR="00A66E3A" w:rsidRDefault="00A66E3A" w:rsidP="00A66E3A">
      <w:pPr>
        <w:jc w:val="both"/>
        <w:rPr>
          <w:rFonts w:ascii="Arial" w:hAnsi="Arial" w:cs="Arial"/>
          <w:bCs/>
          <w:sz w:val="24"/>
          <w:szCs w:val="24"/>
          <w:lang w:val="es-ES"/>
        </w:rPr>
      </w:pPr>
      <w:r>
        <w:rPr>
          <w:rFonts w:ascii="Arial" w:hAnsi="Arial" w:cs="Arial"/>
          <w:bCs/>
          <w:sz w:val="24"/>
          <w:szCs w:val="24"/>
          <w:lang w:val="es-ES"/>
        </w:rPr>
        <w:lastRenderedPageBreak/>
        <w:t>Para el año 2021 el presupuesto de funcionamiento se distribuye de la siguiente manera:</w:t>
      </w:r>
    </w:p>
    <w:tbl>
      <w:tblPr>
        <w:tblW w:w="720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0"/>
        <w:gridCol w:w="550"/>
        <w:gridCol w:w="4025"/>
        <w:gridCol w:w="2256"/>
      </w:tblGrid>
      <w:tr w:rsidR="00A66E3A" w:rsidTr="00A66E3A">
        <w:trPr>
          <w:trHeight w:val="398"/>
          <w:jc w:val="center"/>
        </w:trPr>
        <w:tc>
          <w:tcPr>
            <w:tcW w:w="720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A66E3A" w:rsidRDefault="00A66E3A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</w:rPr>
              <w:t xml:space="preserve">CONSEJO NACIONAL ELECTORAL </w:t>
            </w:r>
          </w:p>
        </w:tc>
      </w:tr>
      <w:tr w:rsidR="00A66E3A" w:rsidTr="00A66E3A">
        <w:trPr>
          <w:trHeight w:val="398"/>
          <w:jc w:val="center"/>
        </w:trPr>
        <w:tc>
          <w:tcPr>
            <w:tcW w:w="72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noWrap/>
            <w:vAlign w:val="center"/>
            <w:hideMark/>
          </w:tcPr>
          <w:p w:rsidR="00A66E3A" w:rsidRDefault="00A66E3A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</w:rPr>
              <w:t>DISTRIBUCIÓN PRESUPUESTAL 2021  NORMAL FUNCIONAMIENTO</w:t>
            </w:r>
          </w:p>
        </w:tc>
      </w:tr>
      <w:tr w:rsidR="00A66E3A" w:rsidTr="00A66E3A">
        <w:trPr>
          <w:trHeight w:val="317"/>
          <w:jc w:val="center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66E3A" w:rsidRDefault="00A66E3A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66E3A" w:rsidRDefault="00A66E3A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</w:rPr>
              <w:t xml:space="preserve">CONCEPTO 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66E3A" w:rsidRDefault="00A66E3A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</w:rPr>
              <w:t xml:space="preserve"> VALOR  </w:t>
            </w:r>
          </w:p>
        </w:tc>
      </w:tr>
      <w:tr w:rsidR="00A66E3A" w:rsidTr="00A66E3A">
        <w:trPr>
          <w:trHeight w:val="317"/>
          <w:jc w:val="center"/>
        </w:trPr>
        <w:tc>
          <w:tcPr>
            <w:tcW w:w="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A66E3A" w:rsidRDefault="00A66E3A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</w:rPr>
              <w:t>A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66E3A" w:rsidRDefault="00A66E3A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66E3A" w:rsidRDefault="00A66E3A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</w:rPr>
              <w:t>NORMAL FUNCIONAMIENTO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66E3A" w:rsidRDefault="00A66E3A">
            <w:pPr>
              <w:spacing w:after="0" w:line="240" w:lineRule="auto"/>
              <w:jc w:val="right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</w:rPr>
              <w:t xml:space="preserve"> $       36,410,000,000 </w:t>
            </w:r>
          </w:p>
        </w:tc>
      </w:tr>
      <w:tr w:rsidR="00A66E3A" w:rsidTr="00A66E3A">
        <w:trPr>
          <w:trHeight w:val="317"/>
          <w:jc w:val="center"/>
        </w:trPr>
        <w:tc>
          <w:tcPr>
            <w:tcW w:w="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66E3A" w:rsidRDefault="00A66E3A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</w:rPr>
              <w:t>A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66E3A" w:rsidRDefault="00A66E3A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66E3A" w:rsidRDefault="00A66E3A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</w:rPr>
              <w:t xml:space="preserve">GASTO DE PERSONAL 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66E3A" w:rsidRDefault="00A66E3A">
            <w:pPr>
              <w:spacing w:after="0" w:line="240" w:lineRule="auto"/>
              <w:jc w:val="right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</w:rPr>
              <w:t xml:space="preserve"> $         4,215,000,000 </w:t>
            </w:r>
          </w:p>
        </w:tc>
      </w:tr>
      <w:tr w:rsidR="00A66E3A" w:rsidTr="00A66E3A">
        <w:trPr>
          <w:trHeight w:val="317"/>
          <w:jc w:val="center"/>
        </w:trPr>
        <w:tc>
          <w:tcPr>
            <w:tcW w:w="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66E3A" w:rsidRDefault="00A66E3A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</w:rPr>
              <w:t>A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66E3A" w:rsidRDefault="00A66E3A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66E3A" w:rsidRDefault="00A66E3A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</w:rPr>
              <w:t xml:space="preserve">ADQUISICIÓN BIENES Y SERVICIOS 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66E3A" w:rsidRDefault="00A66E3A">
            <w:pPr>
              <w:spacing w:after="0" w:line="240" w:lineRule="auto"/>
              <w:jc w:val="right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</w:rPr>
              <w:t xml:space="preserve"> $         2,351,000,000 </w:t>
            </w:r>
          </w:p>
        </w:tc>
      </w:tr>
      <w:tr w:rsidR="00A66E3A" w:rsidTr="00A66E3A">
        <w:trPr>
          <w:trHeight w:val="317"/>
          <w:jc w:val="center"/>
        </w:trPr>
        <w:tc>
          <w:tcPr>
            <w:tcW w:w="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66E3A" w:rsidRDefault="00A66E3A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</w:rPr>
              <w:t>A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66E3A" w:rsidRDefault="00A66E3A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66E3A" w:rsidRDefault="00A66E3A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</w:rPr>
              <w:t xml:space="preserve">TRANSFERENCIAS CORRIENTES 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66E3A" w:rsidRDefault="00A66E3A">
            <w:pPr>
              <w:spacing w:after="0" w:line="240" w:lineRule="auto"/>
              <w:jc w:val="right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</w:rPr>
              <w:t xml:space="preserve"> $       29,640,000,000 </w:t>
            </w:r>
          </w:p>
        </w:tc>
      </w:tr>
      <w:tr w:rsidR="00A66E3A" w:rsidTr="00A66E3A">
        <w:trPr>
          <w:trHeight w:val="317"/>
          <w:jc w:val="center"/>
        </w:trPr>
        <w:tc>
          <w:tcPr>
            <w:tcW w:w="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66E3A" w:rsidRDefault="00A66E3A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</w:rPr>
              <w:t>A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66E3A" w:rsidRDefault="00A66E3A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66E3A" w:rsidRDefault="00A66E3A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</w:rPr>
              <w:t>DISMINUCIÓN DE PASIVOS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66E3A" w:rsidRDefault="00A66E3A">
            <w:pPr>
              <w:spacing w:after="0" w:line="240" w:lineRule="auto"/>
              <w:jc w:val="right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</w:rPr>
              <w:t xml:space="preserve"> $            204,000,000 </w:t>
            </w:r>
          </w:p>
        </w:tc>
      </w:tr>
      <w:tr w:rsidR="00A66E3A" w:rsidTr="00A66E3A">
        <w:trPr>
          <w:trHeight w:val="317"/>
          <w:jc w:val="center"/>
        </w:trPr>
        <w:tc>
          <w:tcPr>
            <w:tcW w:w="7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66E3A" w:rsidRDefault="00A66E3A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eastAsia="Times New Roman" w:hAnsi="Arial Narrow"/>
                <w:b/>
                <w:bCs/>
                <w:sz w:val="18"/>
                <w:szCs w:val="18"/>
              </w:rPr>
              <w:t>DECRETO 1805 DEL 31 DE DICIEMBRE 2020</w:t>
            </w:r>
          </w:p>
        </w:tc>
      </w:tr>
    </w:tbl>
    <w:p w:rsidR="00A66E3A" w:rsidRDefault="00A66E3A" w:rsidP="00A66E3A">
      <w:pPr>
        <w:jc w:val="both"/>
        <w:rPr>
          <w:rFonts w:ascii="Arial" w:eastAsiaTheme="minorHAnsi" w:hAnsi="Arial" w:cs="Arial"/>
          <w:sz w:val="24"/>
          <w:szCs w:val="24"/>
          <w:lang w:val="es-ES" w:eastAsia="en-US"/>
        </w:rPr>
      </w:pPr>
    </w:p>
    <w:p w:rsidR="00A66E3A" w:rsidRDefault="00A66E3A" w:rsidP="00A66E3A">
      <w:pPr>
        <w:jc w:val="both"/>
        <w:rPr>
          <w:rFonts w:ascii="Arial" w:hAnsi="Arial" w:cs="Arial"/>
          <w:bCs/>
          <w:sz w:val="24"/>
          <w:szCs w:val="24"/>
          <w:lang w:val="es-ES"/>
        </w:rPr>
      </w:pPr>
      <w:r>
        <w:rPr>
          <w:rFonts w:ascii="Arial" w:hAnsi="Arial" w:cs="Arial"/>
          <w:bCs/>
          <w:sz w:val="24"/>
          <w:szCs w:val="24"/>
          <w:lang w:val="es-ES"/>
        </w:rPr>
        <w:t>Aclarando que de las transferencias corrientes $29.617 millones corresponden a recursos con la restricción: “Previo concepto DGPPN”, circunstancia que limita la ejecución y de ninguna manera se puede atribuir a deficiente planeación institucional.</w:t>
      </w:r>
    </w:p>
    <w:p w:rsidR="00A66E3A" w:rsidRDefault="00A66E3A" w:rsidP="00A66E3A">
      <w:p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En cuanto a Inversión la distribución es la siguiente:</w:t>
      </w:r>
    </w:p>
    <w:tbl>
      <w:tblPr>
        <w:tblW w:w="872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7"/>
        <w:gridCol w:w="5103"/>
        <w:gridCol w:w="1492"/>
      </w:tblGrid>
      <w:tr w:rsidR="00A66E3A" w:rsidTr="00A66E3A">
        <w:trPr>
          <w:trHeight w:val="243"/>
        </w:trPr>
        <w:tc>
          <w:tcPr>
            <w:tcW w:w="872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A66E3A" w:rsidRDefault="00A66E3A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16"/>
                <w:szCs w:val="16"/>
              </w:rPr>
              <w:t>CONSEJO NACIONAL ELECTORAL</w:t>
            </w:r>
          </w:p>
        </w:tc>
      </w:tr>
      <w:tr w:rsidR="00A66E3A" w:rsidTr="00A66E3A">
        <w:trPr>
          <w:trHeight w:val="243"/>
        </w:trPr>
        <w:tc>
          <w:tcPr>
            <w:tcW w:w="872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noWrap/>
            <w:vAlign w:val="center"/>
            <w:hideMark/>
          </w:tcPr>
          <w:p w:rsidR="00A66E3A" w:rsidRDefault="00A66E3A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16"/>
                <w:szCs w:val="16"/>
              </w:rPr>
              <w:t>INVERSIÓN APROBADO  PARA LA VIGENCIA 2021</w:t>
            </w:r>
          </w:p>
        </w:tc>
      </w:tr>
      <w:tr w:rsidR="00A66E3A" w:rsidTr="00A66E3A">
        <w:trPr>
          <w:trHeight w:val="493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66E3A" w:rsidRDefault="00A66E3A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16"/>
                <w:szCs w:val="16"/>
              </w:rPr>
              <w:t>Nombre del Proyecto de Inversión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A66E3A" w:rsidRDefault="00A66E3A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16"/>
                <w:szCs w:val="16"/>
              </w:rPr>
              <w:t>Descripción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A66E3A" w:rsidRDefault="00A66E3A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16"/>
                <w:szCs w:val="16"/>
              </w:rPr>
              <w:t>Presupuesto Asignado</w:t>
            </w:r>
          </w:p>
        </w:tc>
      </w:tr>
      <w:tr w:rsidR="00A66E3A" w:rsidTr="00A66E3A">
        <w:trPr>
          <w:trHeight w:val="72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E3A" w:rsidRPr="00EF0607" w:rsidRDefault="00A66E3A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EF0607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Sistema de Gestión Documental del Consejo Nacional Electoral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6E3A" w:rsidRPr="00EF0607" w:rsidRDefault="00A66E3A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EF0607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 xml:space="preserve">Implementar el sistema de atención ciudadana y Gestión documental institucional con conocimientos archivísticos e inventariar y organizar el Fondo Documental Acumulado del CNE.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6E3A" w:rsidRPr="00EF0607" w:rsidRDefault="00A66E3A" w:rsidP="00EF0607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EF0607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 xml:space="preserve"> $      4,700,000,000 </w:t>
            </w:r>
          </w:p>
        </w:tc>
      </w:tr>
      <w:tr w:rsidR="00A66E3A" w:rsidTr="00A66E3A">
        <w:trPr>
          <w:trHeight w:val="951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E3A" w:rsidRPr="00EF0607" w:rsidRDefault="00A66E3A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EF0607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Arquitectura Empresarial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6E3A" w:rsidRPr="00EF0607" w:rsidRDefault="00A66E3A">
            <w:p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EF0607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Implementar la plataforma estratégica, las capacidades, y resolver las necesidades y requerimientos organizacional, así como el uso de tecnologías de la información; para el fortalecimiento de la participación política, la cultura ciudadana y el reconocimiento institucional de la Corporación.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6E3A" w:rsidRPr="00EF0607" w:rsidRDefault="00A66E3A" w:rsidP="00EF0607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EF0607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 xml:space="preserve"> $      3,000,000,000 </w:t>
            </w:r>
          </w:p>
        </w:tc>
      </w:tr>
      <w:tr w:rsidR="00A66E3A" w:rsidTr="00A66E3A">
        <w:trPr>
          <w:trHeight w:val="315"/>
        </w:trPr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A66E3A" w:rsidRDefault="00A66E3A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A66E3A" w:rsidRPr="00EF0607" w:rsidRDefault="00A66E3A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</w:rPr>
            </w:pPr>
            <w:r w:rsidRPr="00EF0607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</w:rPr>
              <w:t xml:space="preserve"> $      7,700,000,000 </w:t>
            </w:r>
          </w:p>
        </w:tc>
      </w:tr>
    </w:tbl>
    <w:p w:rsidR="00A66E3A" w:rsidRDefault="00A66E3A" w:rsidP="00A66E3A">
      <w:pPr>
        <w:jc w:val="both"/>
        <w:rPr>
          <w:rFonts w:ascii="Arial" w:eastAsiaTheme="minorHAnsi" w:hAnsi="Arial" w:cs="Arial"/>
          <w:sz w:val="24"/>
          <w:szCs w:val="24"/>
          <w:lang w:val="es-ES" w:eastAsia="en-US"/>
        </w:rPr>
      </w:pPr>
    </w:p>
    <w:p w:rsidR="00A66E3A" w:rsidRDefault="00A66E3A" w:rsidP="00A66E3A">
      <w:p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b/>
          <w:bCs/>
          <w:sz w:val="24"/>
          <w:szCs w:val="24"/>
          <w:lang w:val="es-ES"/>
        </w:rPr>
        <w:t>3.</w:t>
      </w:r>
      <w:r>
        <w:rPr>
          <w:rFonts w:ascii="Arial" w:hAnsi="Arial" w:cs="Arial"/>
          <w:sz w:val="24"/>
          <w:szCs w:val="24"/>
          <w:lang w:val="es-ES"/>
        </w:rPr>
        <w:t xml:space="preserve"> Sírvase informar el porcentaje y rubro destinado para el pago de los contratos de prestación de servicios y si este corresponde a la partida de inversión o gasto de funcionamiento.</w:t>
      </w:r>
    </w:p>
    <w:p w:rsidR="00A66E3A" w:rsidRDefault="00A66E3A" w:rsidP="00A66E3A">
      <w:p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b/>
          <w:bCs/>
          <w:sz w:val="24"/>
          <w:szCs w:val="24"/>
          <w:lang w:val="es-ES"/>
        </w:rPr>
        <w:t xml:space="preserve">RTA: </w:t>
      </w:r>
    </w:p>
    <w:tbl>
      <w:tblPr>
        <w:tblStyle w:val="Tablaconcuadrcula"/>
        <w:tblW w:w="0" w:type="auto"/>
        <w:tblInd w:w="846" w:type="dxa"/>
        <w:tblLook w:val="04A0" w:firstRow="1" w:lastRow="0" w:firstColumn="1" w:lastColumn="0" w:noHBand="0" w:noVBand="1"/>
      </w:tblPr>
      <w:tblGrid>
        <w:gridCol w:w="1700"/>
        <w:gridCol w:w="1391"/>
        <w:gridCol w:w="4537"/>
      </w:tblGrid>
      <w:tr w:rsidR="00A66E3A" w:rsidTr="00A66E3A">
        <w:trPr>
          <w:trHeight w:val="289"/>
        </w:trPr>
        <w:tc>
          <w:tcPr>
            <w:tcW w:w="7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66E3A" w:rsidRDefault="00A66E3A">
            <w:pPr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</w:rPr>
              <w:t>CONTRATOS DE PRESTACIÓN DE SERVICIOS VIGENCIA 2020</w:t>
            </w:r>
          </w:p>
        </w:tc>
      </w:tr>
      <w:tr w:rsidR="00A66E3A" w:rsidTr="00A66E3A">
        <w:trPr>
          <w:trHeight w:val="289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66E3A" w:rsidRDefault="00A66E3A">
            <w:pPr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</w:rPr>
              <w:t>RUBRO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66E3A" w:rsidRDefault="00A66E3A">
            <w:pPr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</w:rPr>
              <w:t>PARTIDA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66E3A" w:rsidRDefault="00A66E3A">
            <w:pPr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</w:rPr>
              <w:t>PORCENTAJE DESTINADO</w:t>
            </w:r>
          </w:p>
        </w:tc>
      </w:tr>
      <w:tr w:rsidR="00A66E3A" w:rsidTr="00A66E3A">
        <w:trPr>
          <w:trHeight w:val="870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E3A" w:rsidRDefault="00A66E3A">
            <w:pPr>
              <w:jc w:val="both"/>
              <w:rPr>
                <w:rFonts w:ascii="Arial Narrow" w:eastAsia="Times New Roman" w:hAnsi="Arial Narrow"/>
                <w:bCs/>
                <w:color w:val="000000"/>
                <w:sz w:val="18"/>
                <w:szCs w:val="18"/>
              </w:rPr>
            </w:pPr>
            <w:r>
              <w:rPr>
                <w:rFonts w:ascii="Arial Narrow" w:eastAsia="Times New Roman" w:hAnsi="Arial Narrow"/>
                <w:bCs/>
                <w:color w:val="000000"/>
                <w:sz w:val="18"/>
                <w:szCs w:val="18"/>
              </w:rPr>
              <w:t>A-02-02-02-008-003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E3A" w:rsidRDefault="00A66E3A">
            <w:pPr>
              <w:jc w:val="both"/>
              <w:rPr>
                <w:rFonts w:ascii="Arial Narrow" w:eastAsia="Times New Roman" w:hAnsi="Arial Narrow"/>
                <w:bCs/>
                <w:color w:val="000000"/>
                <w:sz w:val="18"/>
                <w:szCs w:val="18"/>
              </w:rPr>
            </w:pPr>
            <w:r>
              <w:rPr>
                <w:rFonts w:ascii="Arial Narrow" w:eastAsia="Times New Roman" w:hAnsi="Arial Narrow"/>
                <w:bCs/>
                <w:color w:val="000000"/>
                <w:sz w:val="18"/>
                <w:szCs w:val="18"/>
              </w:rPr>
              <w:t xml:space="preserve">Funcionamiento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E3A" w:rsidRDefault="00A66E3A">
            <w:pPr>
              <w:jc w:val="both"/>
              <w:rPr>
                <w:rFonts w:ascii="Arial Narrow" w:eastAsia="Times New Roman" w:hAnsi="Arial Narrow"/>
                <w:bCs/>
                <w:color w:val="000000"/>
                <w:sz w:val="18"/>
                <w:szCs w:val="18"/>
              </w:rPr>
            </w:pPr>
            <w:r>
              <w:rPr>
                <w:rFonts w:ascii="Arial Narrow" w:eastAsia="Times New Roman" w:hAnsi="Arial Narrow"/>
                <w:bCs/>
                <w:color w:val="000000"/>
                <w:sz w:val="18"/>
                <w:szCs w:val="18"/>
              </w:rPr>
              <w:t>$15.000.000 correspondiente al 0.92% del presupuesto asignado por funcionamiento (adquisición de bienes y servicios)</w:t>
            </w:r>
          </w:p>
        </w:tc>
      </w:tr>
    </w:tbl>
    <w:p w:rsidR="00A66E3A" w:rsidRDefault="00A66E3A" w:rsidP="00A66E3A">
      <w:pPr>
        <w:jc w:val="both"/>
        <w:rPr>
          <w:rFonts w:ascii="Arial" w:eastAsiaTheme="minorHAnsi" w:hAnsi="Arial" w:cs="Arial"/>
          <w:sz w:val="24"/>
          <w:szCs w:val="24"/>
          <w:lang w:val="es-ES" w:eastAsia="en-US"/>
        </w:rPr>
      </w:pPr>
    </w:p>
    <w:p w:rsidR="00A66E3A" w:rsidRDefault="00A66E3A" w:rsidP="00A66E3A">
      <w:p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Durante la vigencia 2021 el Consejo Nacional Electoral no ha suscrito contratos de prestación de servicios por concepto de funcionamiento ni inversión.</w:t>
      </w:r>
    </w:p>
    <w:p w:rsidR="00A66E3A" w:rsidRDefault="00A66E3A" w:rsidP="00A66E3A">
      <w:p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b/>
          <w:bCs/>
          <w:sz w:val="24"/>
          <w:szCs w:val="24"/>
          <w:lang w:val="es-ES"/>
        </w:rPr>
        <w:t>4.</w:t>
      </w:r>
      <w:r>
        <w:rPr>
          <w:rFonts w:ascii="Arial" w:hAnsi="Arial" w:cs="Arial"/>
          <w:sz w:val="24"/>
          <w:szCs w:val="24"/>
          <w:lang w:val="es-ES"/>
        </w:rPr>
        <w:t xml:space="preserve"> Sírvase informar y explicar si considera que sus necesidades presupuestales están incluidas en el proyecto de Presupuesto del año 2022.</w:t>
      </w:r>
    </w:p>
    <w:p w:rsidR="0061138D" w:rsidRDefault="00A66E3A" w:rsidP="00A66E3A">
      <w:pPr>
        <w:jc w:val="both"/>
        <w:rPr>
          <w:rFonts w:ascii="Arial" w:hAnsi="Arial" w:cs="Arial"/>
          <w:bCs/>
          <w:sz w:val="24"/>
          <w:szCs w:val="24"/>
          <w:lang w:val="es-ES"/>
        </w:rPr>
      </w:pPr>
      <w:r>
        <w:rPr>
          <w:rFonts w:ascii="Arial" w:hAnsi="Arial" w:cs="Arial"/>
          <w:b/>
          <w:bCs/>
          <w:sz w:val="24"/>
          <w:szCs w:val="24"/>
          <w:lang w:val="es-ES"/>
        </w:rPr>
        <w:t>RTA</w:t>
      </w:r>
      <w:r w:rsidRPr="00843A7A">
        <w:rPr>
          <w:rFonts w:ascii="Arial" w:hAnsi="Arial" w:cs="Arial"/>
          <w:b/>
          <w:bCs/>
          <w:sz w:val="24"/>
          <w:szCs w:val="24"/>
          <w:lang w:val="es-ES"/>
        </w:rPr>
        <w:t xml:space="preserve">: </w:t>
      </w:r>
      <w:r w:rsidRPr="00843A7A">
        <w:rPr>
          <w:rFonts w:ascii="Arial" w:hAnsi="Arial" w:cs="Arial"/>
          <w:bCs/>
          <w:sz w:val="24"/>
          <w:szCs w:val="24"/>
          <w:lang w:val="es-ES"/>
        </w:rPr>
        <w:t>No, no están incluidas. Es importante señalar que los recursos para atender las necesidades básicas misionales</w:t>
      </w:r>
      <w:r w:rsidR="00F931AD" w:rsidRPr="00843A7A">
        <w:rPr>
          <w:rFonts w:ascii="Arial" w:hAnsi="Arial" w:cs="Arial"/>
          <w:bCs/>
          <w:sz w:val="24"/>
          <w:szCs w:val="24"/>
          <w:lang w:val="es-ES"/>
        </w:rPr>
        <w:t xml:space="preserve"> </w:t>
      </w:r>
      <w:r w:rsidR="004836A0" w:rsidRPr="00843A7A">
        <w:rPr>
          <w:rFonts w:ascii="Arial" w:hAnsi="Arial" w:cs="Arial"/>
          <w:bCs/>
          <w:sz w:val="24"/>
          <w:szCs w:val="24"/>
          <w:lang w:val="es-ES"/>
        </w:rPr>
        <w:t>e implementar el</w:t>
      </w:r>
      <w:r w:rsidRPr="00843A7A">
        <w:rPr>
          <w:rFonts w:ascii="Arial" w:hAnsi="Arial" w:cs="Arial"/>
          <w:bCs/>
          <w:sz w:val="24"/>
          <w:szCs w:val="24"/>
          <w:lang w:val="es-ES"/>
        </w:rPr>
        <w:t xml:space="preserve"> Decreto 2085 de 2019</w:t>
      </w:r>
      <w:r w:rsidR="00473A13" w:rsidRPr="00843A7A">
        <w:rPr>
          <w:rStyle w:val="Refdenotaalpie"/>
          <w:rFonts w:ascii="Arial" w:hAnsi="Arial" w:cs="Arial"/>
          <w:bCs/>
          <w:sz w:val="24"/>
          <w:szCs w:val="24"/>
          <w:lang w:val="es-ES"/>
        </w:rPr>
        <w:footnoteReference w:id="1"/>
      </w:r>
      <w:r w:rsidR="004836A0" w:rsidRPr="00843A7A">
        <w:rPr>
          <w:rFonts w:ascii="Arial" w:hAnsi="Arial" w:cs="Arial"/>
          <w:bCs/>
          <w:sz w:val="24"/>
          <w:szCs w:val="24"/>
          <w:lang w:val="es-ES"/>
        </w:rPr>
        <w:t>,</w:t>
      </w:r>
      <w:r w:rsidR="00F931AD" w:rsidRPr="00843A7A">
        <w:rPr>
          <w:rFonts w:ascii="Arial" w:hAnsi="Arial" w:cs="Arial"/>
          <w:bCs/>
          <w:sz w:val="24"/>
          <w:szCs w:val="24"/>
          <w:lang w:val="es-ES"/>
        </w:rPr>
        <w:t xml:space="preserve"> </w:t>
      </w:r>
      <w:r w:rsidR="00037868" w:rsidRPr="00843A7A">
        <w:rPr>
          <w:rFonts w:ascii="Arial" w:hAnsi="Arial" w:cs="Arial"/>
          <w:bCs/>
          <w:sz w:val="24"/>
          <w:szCs w:val="24"/>
          <w:lang w:val="es-ES"/>
        </w:rPr>
        <w:t>no son suficientes</w:t>
      </w:r>
      <w:r w:rsidR="00EE7D28">
        <w:rPr>
          <w:rFonts w:ascii="Arial" w:hAnsi="Arial" w:cs="Arial"/>
          <w:bCs/>
          <w:sz w:val="24"/>
          <w:szCs w:val="24"/>
          <w:lang w:val="es-ES"/>
        </w:rPr>
        <w:t>, toda vez que el recurso humano con que se cuenta no alcanza para suplir las necesidades misionales de la entidad.</w:t>
      </w:r>
      <w:r w:rsidR="00037868" w:rsidRPr="00843A7A">
        <w:rPr>
          <w:rFonts w:ascii="Arial" w:hAnsi="Arial" w:cs="Arial"/>
          <w:bCs/>
          <w:sz w:val="24"/>
          <w:szCs w:val="24"/>
          <w:lang w:val="es-ES"/>
        </w:rPr>
        <w:t xml:space="preserve"> Así mismo se resalta </w:t>
      </w:r>
      <w:r w:rsidRPr="00843A7A">
        <w:rPr>
          <w:rFonts w:ascii="Arial" w:hAnsi="Arial" w:cs="Arial"/>
          <w:bCs/>
          <w:sz w:val="24"/>
          <w:szCs w:val="24"/>
          <w:lang w:val="es-ES"/>
        </w:rPr>
        <w:t xml:space="preserve">la condición de unidad ejecutora 280102 de la sección presupuestal 2801 Registraduría Nacional del Estado Civil, </w:t>
      </w:r>
      <w:r w:rsidR="004836A0" w:rsidRPr="00843A7A">
        <w:rPr>
          <w:rFonts w:ascii="Arial" w:hAnsi="Arial" w:cs="Arial"/>
          <w:bCs/>
          <w:sz w:val="24"/>
          <w:szCs w:val="24"/>
          <w:lang w:val="es-ES"/>
        </w:rPr>
        <w:t xml:space="preserve">en este sentido la entidad no </w:t>
      </w:r>
      <w:r w:rsidR="00843A7A" w:rsidRPr="00843A7A">
        <w:rPr>
          <w:rFonts w:ascii="Arial" w:hAnsi="Arial" w:cs="Arial"/>
          <w:bCs/>
          <w:sz w:val="24"/>
          <w:szCs w:val="24"/>
          <w:lang w:val="es-ES"/>
        </w:rPr>
        <w:t xml:space="preserve">se </w:t>
      </w:r>
      <w:r w:rsidR="004836A0" w:rsidRPr="00843A7A">
        <w:rPr>
          <w:rFonts w:ascii="Arial" w:hAnsi="Arial" w:cs="Arial"/>
          <w:bCs/>
          <w:sz w:val="24"/>
          <w:szCs w:val="24"/>
          <w:lang w:val="es-ES"/>
        </w:rPr>
        <w:t xml:space="preserve">tiene autonomía presupuestal, lo cual le impide adelantar, gestionar y tramitar de manera directa con </w:t>
      </w:r>
      <w:r w:rsidR="00037868" w:rsidRPr="00843A7A">
        <w:rPr>
          <w:rFonts w:ascii="Arial" w:hAnsi="Arial" w:cs="Arial"/>
          <w:bCs/>
          <w:sz w:val="24"/>
          <w:szCs w:val="24"/>
          <w:lang w:val="es-ES"/>
        </w:rPr>
        <w:t>el Ministerio de Hacienda y DNP, para una expedita, correcta y adecuada ejecución de su presupuesto.</w:t>
      </w:r>
    </w:p>
    <w:p w:rsidR="00A66E3A" w:rsidRDefault="00A66E3A" w:rsidP="00A66E3A">
      <w:p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b/>
          <w:bCs/>
          <w:sz w:val="24"/>
          <w:szCs w:val="24"/>
          <w:lang w:val="es-ES"/>
        </w:rPr>
        <w:t>5.</w:t>
      </w:r>
      <w:r>
        <w:rPr>
          <w:rFonts w:ascii="Arial" w:hAnsi="Arial" w:cs="Arial"/>
          <w:sz w:val="24"/>
          <w:szCs w:val="24"/>
          <w:lang w:val="es-ES"/>
        </w:rPr>
        <w:t xml:space="preserve"> Sírvase informar las metas trazadas por la entidad a su cargo para cumplir con el plan de austeridad en el gasto publico establecido por el Gobierno Nacional. Detallar los planes, programas y/o gastos de funcionamiento que se verán afectados.</w:t>
      </w:r>
    </w:p>
    <w:p w:rsidR="00A66E3A" w:rsidRDefault="00A66E3A" w:rsidP="00A66E3A">
      <w:pPr>
        <w:jc w:val="both"/>
        <w:rPr>
          <w:rFonts w:ascii="Arial" w:hAnsi="Arial" w:cs="Arial"/>
          <w:b/>
          <w:bCs/>
          <w:sz w:val="24"/>
          <w:szCs w:val="24"/>
          <w:lang w:val="es-ES"/>
        </w:rPr>
      </w:pPr>
      <w:r>
        <w:rPr>
          <w:rFonts w:ascii="Arial" w:hAnsi="Arial" w:cs="Arial"/>
          <w:b/>
          <w:bCs/>
          <w:sz w:val="24"/>
          <w:szCs w:val="24"/>
          <w:lang w:val="es-ES"/>
        </w:rPr>
        <w:t xml:space="preserve">RTA: </w:t>
      </w:r>
      <w:r>
        <w:rPr>
          <w:rFonts w:ascii="Arial" w:hAnsi="Arial" w:cs="Arial"/>
          <w:sz w:val="24"/>
          <w:szCs w:val="24"/>
          <w:lang w:val="es-ES"/>
        </w:rPr>
        <w:t>Para las vigencias del 2020 y 2021, el Consejo Nacional Electoral por ser una Unidad Ejecutora Especial</w:t>
      </w:r>
      <w:r>
        <w:rPr>
          <w:rStyle w:val="Refdenotaalpie"/>
          <w:rFonts w:ascii="Arial" w:hAnsi="Arial" w:cs="Arial"/>
          <w:sz w:val="24"/>
          <w:szCs w:val="24"/>
          <w:lang w:val="es-ES"/>
        </w:rPr>
        <w:footnoteReference w:id="2"/>
      </w:r>
      <w:r>
        <w:rPr>
          <w:rFonts w:ascii="Arial" w:hAnsi="Arial" w:cs="Arial"/>
          <w:sz w:val="24"/>
          <w:szCs w:val="24"/>
          <w:lang w:val="es-ES"/>
        </w:rPr>
        <w:t xml:space="preserve"> de la sección presupuestal de la Registraduría Nacional del Estado Civil, se acoge a las metas trazadas por la RNEC para cumplir con el plan de austeridad en el gasto público establecido por el Gobierno Nacional.</w:t>
      </w:r>
      <w:r>
        <w:rPr>
          <w:rFonts w:ascii="Arial" w:hAnsi="Arial" w:cs="Arial"/>
          <w:b/>
          <w:bCs/>
          <w:sz w:val="24"/>
          <w:szCs w:val="24"/>
          <w:lang w:val="es-ES"/>
        </w:rPr>
        <w:t xml:space="preserve"> </w:t>
      </w:r>
    </w:p>
    <w:p w:rsidR="00A66E3A" w:rsidRDefault="00A66E3A" w:rsidP="00A66E3A">
      <w:pPr>
        <w:jc w:val="both"/>
        <w:rPr>
          <w:rFonts w:ascii="Arial" w:hAnsi="Arial" w:cs="Arial"/>
          <w:b/>
          <w:bCs/>
          <w:sz w:val="16"/>
          <w:szCs w:val="16"/>
          <w:lang w:val="es-ES"/>
        </w:rPr>
      </w:pPr>
    </w:p>
    <w:p w:rsidR="00A66E3A" w:rsidRDefault="00A66E3A" w:rsidP="00A66E3A">
      <w:p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b/>
          <w:bCs/>
          <w:sz w:val="24"/>
          <w:szCs w:val="24"/>
          <w:lang w:val="es-ES"/>
        </w:rPr>
        <w:t>6.</w:t>
      </w:r>
      <w:r>
        <w:rPr>
          <w:rFonts w:ascii="Arial" w:hAnsi="Arial" w:cs="Arial"/>
          <w:sz w:val="24"/>
          <w:szCs w:val="24"/>
          <w:lang w:val="es-ES"/>
        </w:rPr>
        <w:t xml:space="preserve"> Sírvase informar la ejecución presupuestal y resultados misionales de los años 2020 y lo que va corrido del año 2021, por componentes y principales rubros presupuestales o programas, de cada una de las entidades que Usted dirige (por componentes de funcionamiento e inversión los rubros más importantes).</w:t>
      </w:r>
    </w:p>
    <w:p w:rsidR="00A66E3A" w:rsidRDefault="00A66E3A" w:rsidP="00A66E3A">
      <w:p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b/>
          <w:bCs/>
          <w:sz w:val="24"/>
          <w:szCs w:val="24"/>
          <w:lang w:val="es-ES"/>
        </w:rPr>
        <w:t xml:space="preserve">RTA: </w:t>
      </w:r>
      <w:r>
        <w:rPr>
          <w:rFonts w:ascii="Arial" w:hAnsi="Arial" w:cs="Arial"/>
          <w:sz w:val="24"/>
          <w:szCs w:val="24"/>
          <w:lang w:val="es-ES"/>
        </w:rPr>
        <w:t>Teniendo en cuenta que el CNE para la vigencia del 2020 no contaba con planes, programas y proyectos autónomos y su ejecución presupuestal gira en torno a los gastos de funcionamiento que incluyen los rubros necesarios para el cumplimiento de las funciones misionales de la entidad, se informa lo siguiente:</w:t>
      </w:r>
    </w:p>
    <w:p w:rsidR="00D010F9" w:rsidRDefault="00D010F9" w:rsidP="00A66E3A">
      <w:pPr>
        <w:jc w:val="both"/>
        <w:rPr>
          <w:rFonts w:ascii="Arial" w:hAnsi="Arial" w:cs="Arial"/>
          <w:sz w:val="24"/>
          <w:szCs w:val="24"/>
          <w:lang w:val="es-ES"/>
        </w:rPr>
      </w:pPr>
    </w:p>
    <w:p w:rsidR="00EF0607" w:rsidRDefault="00EF0607" w:rsidP="00A66E3A">
      <w:pPr>
        <w:jc w:val="both"/>
        <w:rPr>
          <w:rFonts w:ascii="Arial" w:hAnsi="Arial" w:cs="Arial"/>
          <w:sz w:val="24"/>
          <w:szCs w:val="24"/>
          <w:lang w:val="es-ES"/>
        </w:rPr>
      </w:pPr>
    </w:p>
    <w:p w:rsidR="00EF0607" w:rsidRDefault="00EF0607" w:rsidP="00A66E3A">
      <w:pPr>
        <w:jc w:val="both"/>
        <w:rPr>
          <w:rFonts w:ascii="Arial" w:hAnsi="Arial" w:cs="Arial"/>
          <w:sz w:val="24"/>
          <w:szCs w:val="24"/>
          <w:lang w:val="es-ES"/>
        </w:rPr>
      </w:pPr>
    </w:p>
    <w:p w:rsidR="00EF0607" w:rsidRDefault="00EF0607" w:rsidP="00A66E3A">
      <w:pPr>
        <w:jc w:val="both"/>
        <w:rPr>
          <w:rFonts w:ascii="Arial" w:hAnsi="Arial" w:cs="Arial"/>
          <w:sz w:val="24"/>
          <w:szCs w:val="24"/>
          <w:lang w:val="es-ES"/>
        </w:rPr>
      </w:pPr>
    </w:p>
    <w:p w:rsidR="00D010F9" w:rsidRDefault="00D010F9" w:rsidP="00A66E3A">
      <w:pPr>
        <w:jc w:val="both"/>
        <w:rPr>
          <w:rFonts w:ascii="Arial" w:hAnsi="Arial" w:cs="Arial"/>
          <w:sz w:val="24"/>
          <w:szCs w:val="24"/>
          <w:lang w:val="es-ES"/>
        </w:rPr>
      </w:pPr>
    </w:p>
    <w:tbl>
      <w:tblPr>
        <w:tblW w:w="855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1"/>
        <w:gridCol w:w="269"/>
        <w:gridCol w:w="4149"/>
        <w:gridCol w:w="1794"/>
        <w:gridCol w:w="2076"/>
      </w:tblGrid>
      <w:tr w:rsidR="00A66E3A" w:rsidTr="00700A63">
        <w:trPr>
          <w:trHeight w:val="338"/>
        </w:trPr>
        <w:tc>
          <w:tcPr>
            <w:tcW w:w="855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66E3A" w:rsidRDefault="00A66E3A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</w:rPr>
              <w:t>CONSEJO NACIONAL ELECTORAL</w:t>
            </w:r>
          </w:p>
        </w:tc>
      </w:tr>
      <w:tr w:rsidR="00A66E3A" w:rsidTr="00700A63">
        <w:trPr>
          <w:trHeight w:val="338"/>
        </w:trPr>
        <w:tc>
          <w:tcPr>
            <w:tcW w:w="855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66E3A" w:rsidRDefault="00A66E3A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</w:rPr>
              <w:t>EJECUCION PRESUPUESTAL CON CORTE AL 31 DICIEMBRE 2020</w:t>
            </w:r>
          </w:p>
        </w:tc>
      </w:tr>
      <w:tr w:rsidR="00A66E3A" w:rsidTr="00700A63">
        <w:trPr>
          <w:trHeight w:val="338"/>
        </w:trPr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66E3A" w:rsidRDefault="00A66E3A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</w:rPr>
              <w:t>G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66E3A" w:rsidRDefault="00A66E3A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</w:rPr>
              <w:t>C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66E3A" w:rsidRDefault="00A66E3A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</w:rPr>
              <w:t>CONCEPTO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66E3A" w:rsidRDefault="00A66E3A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</w:rPr>
              <w:t xml:space="preserve"> APROPIACION VIGENTE 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66E3A" w:rsidRDefault="00A66E3A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</w:rPr>
              <w:t xml:space="preserve"> COMPROMETIDO </w:t>
            </w:r>
          </w:p>
        </w:tc>
      </w:tr>
      <w:tr w:rsidR="00A66E3A" w:rsidTr="00700A63">
        <w:trPr>
          <w:trHeight w:val="576"/>
        </w:trPr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66E3A" w:rsidRDefault="00A66E3A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</w:rPr>
              <w:t>A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66E3A" w:rsidRDefault="00A66E3A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66E3A" w:rsidRDefault="00A66E3A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</w:rPr>
              <w:t xml:space="preserve">FUNCIONAMIENTO CONSEJO NACIONAL ELECTORAL 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66E3A" w:rsidRDefault="00A66E3A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</w:rPr>
              <w:t xml:space="preserve"> $ 20.824.554.978 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66E3A" w:rsidRDefault="00A66E3A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</w:rPr>
              <w:t xml:space="preserve"> $ 16.891.639.363 </w:t>
            </w:r>
          </w:p>
        </w:tc>
      </w:tr>
      <w:tr w:rsidR="00A66E3A" w:rsidTr="00700A63">
        <w:trPr>
          <w:trHeight w:val="576"/>
        </w:trPr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66E3A" w:rsidRDefault="00A66E3A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A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66E3A" w:rsidRDefault="00A66E3A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66E3A" w:rsidRDefault="00A66E3A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 xml:space="preserve">GASTOS PERSONAL SUPERNUMERARIOS 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66E3A" w:rsidRDefault="00A66E3A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 xml:space="preserve"> $  5.574.511.499 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66E3A" w:rsidRDefault="00A66E3A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 xml:space="preserve"> $    5.547.519.083 </w:t>
            </w:r>
          </w:p>
        </w:tc>
      </w:tr>
      <w:tr w:rsidR="00A66E3A" w:rsidTr="00700A63">
        <w:trPr>
          <w:trHeight w:val="576"/>
        </w:trPr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66E3A" w:rsidRDefault="00A66E3A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A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66E3A" w:rsidRDefault="00A66E3A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66E3A" w:rsidRDefault="00A66E3A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ADQUISICIÓN DE BIENES Y SERVICIOS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66E3A" w:rsidRDefault="00A66E3A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 xml:space="preserve"> $ 13.005.381.752 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66E3A" w:rsidRDefault="00A66E3A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 xml:space="preserve"> $   10.912.669.214 </w:t>
            </w:r>
          </w:p>
        </w:tc>
      </w:tr>
      <w:tr w:rsidR="00A66E3A" w:rsidTr="00700A63">
        <w:trPr>
          <w:trHeight w:val="576"/>
        </w:trPr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66E3A" w:rsidRDefault="00A66E3A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A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66E3A" w:rsidRDefault="00A66E3A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66E3A" w:rsidRDefault="00A66E3A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TRANSFERENCIAS CORRIENTES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66E3A" w:rsidRDefault="00A66E3A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 xml:space="preserve"> $  1.833.994.029 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66E3A" w:rsidRDefault="00A66E3A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 xml:space="preserve"> $          21.994.029 </w:t>
            </w:r>
          </w:p>
        </w:tc>
      </w:tr>
      <w:tr w:rsidR="00A66E3A" w:rsidTr="00700A63">
        <w:trPr>
          <w:trHeight w:val="418"/>
        </w:trPr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66E3A" w:rsidRDefault="00A66E3A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A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66E3A" w:rsidRDefault="00A66E3A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66E3A" w:rsidRDefault="00A66E3A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DISMINUCIÓN DE PASIVOS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66E3A" w:rsidRDefault="00A66E3A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 xml:space="preserve"> $      410.667.698 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66E3A" w:rsidRDefault="00A66E3A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 xml:space="preserve"> $        409.457.037 </w:t>
            </w:r>
          </w:p>
        </w:tc>
      </w:tr>
    </w:tbl>
    <w:p w:rsidR="00A66E3A" w:rsidRDefault="00A66E3A" w:rsidP="00A66E3A">
      <w:pPr>
        <w:jc w:val="both"/>
        <w:rPr>
          <w:rFonts w:ascii="Arial" w:eastAsiaTheme="minorHAnsi" w:hAnsi="Arial" w:cs="Arial"/>
          <w:sz w:val="24"/>
          <w:szCs w:val="24"/>
          <w:lang w:val="es-ES" w:eastAsia="en-US"/>
        </w:rPr>
      </w:pPr>
    </w:p>
    <w:tbl>
      <w:tblPr>
        <w:tblW w:w="863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7"/>
        <w:gridCol w:w="274"/>
        <w:gridCol w:w="4600"/>
        <w:gridCol w:w="1671"/>
        <w:gridCol w:w="1677"/>
      </w:tblGrid>
      <w:tr w:rsidR="00A66E3A" w:rsidTr="009A2584">
        <w:trPr>
          <w:trHeight w:val="268"/>
        </w:trPr>
        <w:tc>
          <w:tcPr>
            <w:tcW w:w="8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66E3A" w:rsidRDefault="00A66E3A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</w:rPr>
              <w:t>CONSEJO NACIONAL ELECTORAL</w:t>
            </w:r>
          </w:p>
        </w:tc>
      </w:tr>
      <w:tr w:rsidR="00A66E3A" w:rsidTr="009A2584">
        <w:trPr>
          <w:trHeight w:val="268"/>
        </w:trPr>
        <w:tc>
          <w:tcPr>
            <w:tcW w:w="8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66E3A" w:rsidRDefault="00A66E3A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</w:rPr>
              <w:t>EJECUCION PRESUPUESTAL CON CORTE AL 30 JUNIO 2021</w:t>
            </w:r>
          </w:p>
        </w:tc>
      </w:tr>
      <w:tr w:rsidR="00A66E3A" w:rsidTr="009A2584">
        <w:trPr>
          <w:trHeight w:val="496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66E3A" w:rsidRDefault="00A66E3A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</w:rPr>
              <w:t>G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66E3A" w:rsidRDefault="00A66E3A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</w:rPr>
              <w:t>C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66E3A" w:rsidRDefault="00A66E3A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</w:rPr>
              <w:t>CONCEPTO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66E3A" w:rsidRDefault="00A66E3A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</w:rPr>
              <w:t xml:space="preserve"> APROPIACION VIGENCIA 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66E3A" w:rsidRDefault="00A66E3A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</w:rPr>
              <w:t xml:space="preserve"> COMPROMETIDO </w:t>
            </w:r>
          </w:p>
        </w:tc>
      </w:tr>
      <w:tr w:rsidR="00A66E3A" w:rsidTr="009A2584">
        <w:trPr>
          <w:trHeight w:val="428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66E3A" w:rsidRDefault="00A66E3A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</w:rPr>
              <w:t>A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66E3A" w:rsidRDefault="00A66E3A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66E3A" w:rsidRDefault="00A66E3A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</w:rPr>
              <w:t xml:space="preserve">FUNCIONAMIENTO CONSEJO NACIONAL ELECTORAL 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66E3A" w:rsidRDefault="00A66E3A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</w:rPr>
              <w:t xml:space="preserve"> $      25.856.123.321 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66E3A" w:rsidRDefault="00A66E3A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</w:rPr>
              <w:t xml:space="preserve"> $         6.834.917.117 </w:t>
            </w:r>
          </w:p>
        </w:tc>
      </w:tr>
      <w:tr w:rsidR="00A66E3A" w:rsidTr="009A2584">
        <w:trPr>
          <w:trHeight w:val="494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66E3A" w:rsidRDefault="00A66E3A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A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66E3A" w:rsidRDefault="00A66E3A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66E3A" w:rsidRDefault="00A66E3A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 xml:space="preserve">GASTOS PERSONAL SUPERNUMERARIOS 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6E3A" w:rsidRDefault="00A66E3A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 xml:space="preserve"> $ 12.672.987.657 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6E3A" w:rsidRDefault="00A66E3A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 xml:space="preserve"> $     5.184.213.361</w:t>
            </w:r>
          </w:p>
          <w:p w:rsidR="00A66E3A" w:rsidRDefault="00A66E3A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</w:p>
        </w:tc>
      </w:tr>
      <w:tr w:rsidR="00A66E3A" w:rsidTr="009A2584">
        <w:trPr>
          <w:trHeight w:val="501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66E3A" w:rsidRDefault="00A66E3A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A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66E3A" w:rsidRDefault="00A66E3A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66E3A" w:rsidRDefault="00A66E3A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ADQUISICIÓN DE BIENES Y SERVICIOS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6E3A" w:rsidRDefault="00A66E3A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 xml:space="preserve"> $ 12.249.845.244 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6E3A" w:rsidRDefault="00A66E3A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 xml:space="preserve"> $     1.399.787.895 </w:t>
            </w:r>
          </w:p>
        </w:tc>
      </w:tr>
      <w:tr w:rsidR="00A66E3A" w:rsidTr="009A2584">
        <w:trPr>
          <w:trHeight w:val="519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66E3A" w:rsidRDefault="00A66E3A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A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66E3A" w:rsidRDefault="00A66E3A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66E3A" w:rsidRDefault="00A66E3A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TRANSFERENCIAS CORRIENTES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6E3A" w:rsidRDefault="00A66E3A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 xml:space="preserve"> $       143.000.000 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6E3A" w:rsidRDefault="00A66E3A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 xml:space="preserve"> $          13.241.189 </w:t>
            </w:r>
          </w:p>
        </w:tc>
      </w:tr>
      <w:tr w:rsidR="00A66E3A" w:rsidTr="009A2584">
        <w:trPr>
          <w:trHeight w:val="576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66E3A" w:rsidRDefault="00A66E3A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A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66E3A" w:rsidRDefault="00A66E3A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66E3A" w:rsidRDefault="00A66E3A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DISMINUCIÓN DE PASIVOS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6E3A" w:rsidRDefault="00A66E3A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 xml:space="preserve"> $       790.290.420 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6E3A" w:rsidRDefault="00A66E3A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 xml:space="preserve"> $        237.674.672 </w:t>
            </w:r>
          </w:p>
        </w:tc>
      </w:tr>
    </w:tbl>
    <w:p w:rsidR="00A66E3A" w:rsidRDefault="00A66E3A" w:rsidP="00A66E3A">
      <w:pPr>
        <w:jc w:val="both"/>
        <w:rPr>
          <w:rFonts w:ascii="Arial" w:eastAsiaTheme="minorHAnsi" w:hAnsi="Arial" w:cs="Arial"/>
          <w:bCs/>
          <w:sz w:val="18"/>
          <w:szCs w:val="18"/>
          <w:lang w:val="es-ES" w:eastAsia="en-US"/>
        </w:rPr>
      </w:pPr>
      <w:r>
        <w:rPr>
          <w:rFonts w:ascii="Arial" w:hAnsi="Arial" w:cs="Arial"/>
          <w:bCs/>
          <w:sz w:val="18"/>
          <w:szCs w:val="18"/>
          <w:lang w:val="es-ES"/>
        </w:rPr>
        <w:t>La tabla se construye con la información registrada en el SIIF respecto a los dineros ejecutados para el cumplimiento de la misión del CNE (Ejemplo: Trashumancia, Tribunales de Garantía, Delegados de Escrutinio, entre otros).</w:t>
      </w:r>
    </w:p>
    <w:p w:rsidR="00EF0607" w:rsidRPr="00A63649" w:rsidRDefault="00A63649" w:rsidP="00A66E3A">
      <w:pPr>
        <w:jc w:val="both"/>
        <w:rPr>
          <w:rFonts w:ascii="Arial" w:hAnsi="Arial" w:cs="Arial"/>
          <w:bCs/>
          <w:color w:val="000000" w:themeColor="text1"/>
          <w:sz w:val="24"/>
          <w:szCs w:val="24"/>
          <w:lang w:val="es-ES"/>
        </w:rPr>
      </w:pPr>
      <w:r w:rsidRPr="00A63649">
        <w:rPr>
          <w:rFonts w:ascii="Arial" w:hAnsi="Arial" w:cs="Arial"/>
          <w:bCs/>
          <w:color w:val="000000" w:themeColor="text1"/>
          <w:sz w:val="24"/>
          <w:szCs w:val="24"/>
          <w:lang w:val="es-ES"/>
        </w:rPr>
        <w:t xml:space="preserve">Anexo informe de gestión presentado ante el congreso vigencia 2020 </w:t>
      </w:r>
      <w:r>
        <w:rPr>
          <w:rFonts w:ascii="Arial" w:hAnsi="Arial" w:cs="Arial"/>
          <w:bCs/>
          <w:color w:val="000000" w:themeColor="text1"/>
          <w:sz w:val="24"/>
          <w:szCs w:val="24"/>
          <w:lang w:val="es-ES"/>
        </w:rPr>
        <w:t>–</w:t>
      </w:r>
      <w:r w:rsidRPr="00A63649">
        <w:rPr>
          <w:rFonts w:ascii="Arial" w:hAnsi="Arial" w:cs="Arial"/>
          <w:bCs/>
          <w:color w:val="000000" w:themeColor="text1"/>
          <w:sz w:val="24"/>
          <w:szCs w:val="24"/>
          <w:lang w:val="es-ES"/>
        </w:rPr>
        <w:t xml:space="preserve"> 2021</w:t>
      </w:r>
      <w:r>
        <w:rPr>
          <w:rFonts w:ascii="Arial" w:hAnsi="Arial" w:cs="Arial"/>
          <w:bCs/>
          <w:color w:val="000000" w:themeColor="text1"/>
          <w:sz w:val="24"/>
          <w:szCs w:val="24"/>
          <w:lang w:val="es-ES"/>
        </w:rPr>
        <w:t>.</w:t>
      </w:r>
    </w:p>
    <w:p w:rsidR="00A66E3A" w:rsidRDefault="00A66E3A" w:rsidP="00A66E3A">
      <w:p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  <w:lang w:val="es-ES"/>
        </w:rPr>
        <w:t>7.</w:t>
      </w:r>
      <w:r>
        <w:rPr>
          <w:rFonts w:ascii="Arial" w:hAnsi="Arial" w:cs="Arial"/>
          <w:sz w:val="24"/>
          <w:szCs w:val="24"/>
          <w:lang w:val="es-ES"/>
        </w:rPr>
        <w:t xml:space="preserve"> Sírvase informar el porcentaje de cumplimiento de metas y objetivos trazados conforme a metas de Gobierno y/o Entidad para los años 2020 y 2021 (Indicar línea base, meta y cumplimiento año a año hasta la fecha) de cada una de las entidades que Usted regenta.</w:t>
      </w:r>
    </w:p>
    <w:p w:rsidR="00A66E3A" w:rsidRDefault="00A66E3A" w:rsidP="00A66E3A">
      <w:p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b/>
          <w:bCs/>
          <w:sz w:val="24"/>
          <w:szCs w:val="24"/>
          <w:lang w:val="es-ES"/>
        </w:rPr>
        <w:t>RTA:</w:t>
      </w:r>
      <w:r>
        <w:rPr>
          <w:rFonts w:ascii="Arial" w:hAnsi="Arial" w:cs="Arial"/>
          <w:sz w:val="24"/>
          <w:szCs w:val="24"/>
          <w:lang w:val="es-ES"/>
        </w:rPr>
        <w:t xml:space="preserve"> La Ley 1955 del 25 de mayo de 2019 – Plan Nacional de Desarrollo “Pacto por Colombia, Pacto por la Equidad”, otorgó facultades extraordinarias al Presidente de la República por un periodo de 6 meses posteriores a la emisión de la Ley, para adoptar la estructura orgánica e interna y la planta de personal del </w:t>
      </w:r>
      <w:r>
        <w:rPr>
          <w:rFonts w:ascii="Arial" w:hAnsi="Arial" w:cs="Arial"/>
          <w:sz w:val="24"/>
          <w:szCs w:val="24"/>
          <w:lang w:val="es-ES"/>
        </w:rPr>
        <w:lastRenderedPageBreak/>
        <w:t xml:space="preserve">CNE para efectos de la autonomía administrativa y presupuestal definidos en la Constitución. </w:t>
      </w:r>
    </w:p>
    <w:p w:rsidR="00A66E3A" w:rsidRDefault="00A66E3A" w:rsidP="00A66E3A">
      <w:p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Teniendo en cuenta lo anterior y el mandato definido en los Decretos 2085 y 2086 de 2019, se trabajó en la construcción de la plataforma estratégica, la cual se formalizó a través de la Resolución 1040 del 14 de marzo de 2021 del Consejo Nacional Electoral. </w:t>
      </w:r>
    </w:p>
    <w:p w:rsidR="00A66E3A" w:rsidRDefault="00A66E3A" w:rsidP="00A66E3A">
      <w:p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El Consejo Nacional Electoral ha venido desarrollando de forma integral su  proceso de Transformación Digital, </w:t>
      </w:r>
      <w:r w:rsidR="00B029DD" w:rsidRPr="00EE7D28">
        <w:rPr>
          <w:rFonts w:ascii="Arial" w:hAnsi="Arial" w:cs="Arial"/>
          <w:sz w:val="24"/>
          <w:szCs w:val="24"/>
          <w:lang w:val="es-ES"/>
        </w:rPr>
        <w:t>avanzado en la modernización de su plataforma tecnológica, incorporando y optimizando soluciones tecnológicas</w:t>
      </w:r>
      <w:r w:rsidR="00B029DD">
        <w:rPr>
          <w:rFonts w:ascii="Arial" w:hAnsi="Arial" w:cs="Arial"/>
          <w:sz w:val="24"/>
          <w:szCs w:val="24"/>
          <w:lang w:val="es-ES"/>
        </w:rPr>
        <w:t xml:space="preserve"> de hardware y software de última generación, entre los que se encuentran el nuevo sistema ERP, el nuevo sistema Gestor Documental, los nuevos sistemas de apoyo a los procesos misionales, adicional a los sistemas de información Cuentas Claras, el Registro único de partidos y movimiento RUPYM, la Relatoría y la Pagina web </w:t>
      </w:r>
      <w:hyperlink r:id="rId8" w:history="1">
        <w:r w:rsidR="00B029DD" w:rsidRPr="00E87EC9">
          <w:rPr>
            <w:rStyle w:val="Hipervnculo"/>
            <w:rFonts w:ascii="Arial" w:hAnsi="Arial" w:cs="Arial"/>
            <w:sz w:val="24"/>
            <w:szCs w:val="24"/>
            <w:lang w:val="es-ES"/>
          </w:rPr>
          <w:t>www.cne.gov.co</w:t>
        </w:r>
      </w:hyperlink>
      <w:r w:rsidR="00B029DD">
        <w:rPr>
          <w:rFonts w:ascii="Arial" w:hAnsi="Arial" w:cs="Arial"/>
          <w:sz w:val="24"/>
          <w:szCs w:val="24"/>
          <w:lang w:val="es-ES"/>
        </w:rPr>
        <w:t>,</w:t>
      </w:r>
      <w:r w:rsidR="00B029DD">
        <w:rPr>
          <w:rFonts w:ascii="Arial" w:hAnsi="Arial" w:cs="Arial"/>
          <w:sz w:val="24"/>
          <w:szCs w:val="24"/>
          <w:lang w:val="es-ES"/>
        </w:rPr>
        <w:t xml:space="preserve"> </w:t>
      </w:r>
      <w:r>
        <w:rPr>
          <w:rFonts w:ascii="Arial" w:hAnsi="Arial" w:cs="Arial"/>
          <w:sz w:val="24"/>
          <w:szCs w:val="24"/>
          <w:lang w:val="es-ES"/>
        </w:rPr>
        <w:t xml:space="preserve">tecnología </w:t>
      </w:r>
      <w:r w:rsidR="00B029DD">
        <w:rPr>
          <w:rFonts w:ascii="Arial" w:hAnsi="Arial" w:cs="Arial"/>
          <w:sz w:val="24"/>
          <w:szCs w:val="24"/>
          <w:lang w:val="es-ES"/>
        </w:rPr>
        <w:t xml:space="preserve">necesaria para </w:t>
      </w:r>
      <w:r>
        <w:rPr>
          <w:rFonts w:ascii="Arial" w:hAnsi="Arial" w:cs="Arial"/>
          <w:sz w:val="24"/>
          <w:szCs w:val="24"/>
          <w:lang w:val="es-ES"/>
        </w:rPr>
        <w:t xml:space="preserve">avanzar en la  implementación de los </w:t>
      </w:r>
      <w:r w:rsidR="00D010F9">
        <w:rPr>
          <w:rFonts w:ascii="Arial" w:hAnsi="Arial" w:cs="Arial"/>
          <w:sz w:val="24"/>
          <w:szCs w:val="24"/>
          <w:lang w:val="es-ES"/>
        </w:rPr>
        <w:t>D</w:t>
      </w:r>
      <w:r>
        <w:rPr>
          <w:rFonts w:ascii="Arial" w:hAnsi="Arial" w:cs="Arial"/>
          <w:sz w:val="24"/>
          <w:szCs w:val="24"/>
          <w:lang w:val="es-ES"/>
        </w:rPr>
        <w:t xml:space="preserve">ecretos 2085 y 2086 de 2019, que finalmente le otorgan la autonomía administrativa, presupuestal y financiera a la Entidad CNE, con el objetivo de incrementar la capacidad de ejercer la labor constitucional de inspección y vigilancia, garantizando a los ciudadanos la transparencia y eficacia de los procesos de participación democrática en Colombia. </w:t>
      </w:r>
    </w:p>
    <w:p w:rsidR="00A66E3A" w:rsidRDefault="00A66E3A" w:rsidP="00A66E3A">
      <w:p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Adicional a lo anterior, se ha realizado la optimización de los procesos y procedimientos administrativos y misionales de la Entidad CNE, con la incorporación de mejores prácticas y el uso de las herramientas tecnológicas que agilizan y facilitan la gestión de la información.</w:t>
      </w:r>
    </w:p>
    <w:p w:rsidR="00A66E3A" w:rsidRDefault="00A66E3A" w:rsidP="00A66E3A">
      <w:p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Es de esta manera como el Consejo Nacional Electoral desde el año 2020 a la actualidad ha venido avanzando en el proceso de transición con su preparación tecnológica, procedimental y en el recurso humano, hacia su final autonomía administrativa, presupuestal y financiera derivada de la implementación de los decretos presidenciales 2085 y 2086 de 2019, esto acorde con las política de Gobierno Digital del gobierno nacional, siguiendo los lineamientos de las buenas prácticas informáticas y acorde a las nuevas necesidades de la sociedad moderna, encaminando la corporación a liderar procesos democráticos y participativos de forma ágil, eficiente y segura.</w:t>
      </w:r>
    </w:p>
    <w:p w:rsidR="00A66E3A" w:rsidRDefault="00A66E3A" w:rsidP="00A66E3A">
      <w:pPr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lang w:val="es-ES"/>
        </w:rPr>
      </w:pPr>
    </w:p>
    <w:p w:rsidR="00A66E3A" w:rsidRDefault="00A66E3A" w:rsidP="00A66E3A">
      <w:p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  <w:lang w:val="es-ES"/>
        </w:rPr>
        <w:t>8.</w:t>
      </w:r>
      <w:r>
        <w:rPr>
          <w:rFonts w:ascii="Arial" w:hAnsi="Arial" w:cs="Arial"/>
          <w:sz w:val="24"/>
          <w:szCs w:val="24"/>
          <w:lang w:val="es-ES"/>
        </w:rPr>
        <w:t xml:space="preserve"> Sírvase informar la composición y principales rubros presupuestales de las entidades que usted dirige, incorporados en el proyecto de Presupuesto del año 2022, indicando uso de los recursos.</w:t>
      </w:r>
    </w:p>
    <w:p w:rsidR="00A66E3A" w:rsidRDefault="00A66E3A" w:rsidP="00A66E3A">
      <w:pPr>
        <w:jc w:val="both"/>
        <w:rPr>
          <w:rFonts w:ascii="Arial" w:hAnsi="Arial" w:cs="Arial"/>
          <w:b/>
          <w:bCs/>
          <w:sz w:val="24"/>
          <w:szCs w:val="24"/>
          <w:lang w:val="es-ES"/>
        </w:rPr>
      </w:pPr>
      <w:r>
        <w:rPr>
          <w:rFonts w:ascii="Arial" w:hAnsi="Arial" w:cs="Arial"/>
          <w:b/>
          <w:bCs/>
          <w:sz w:val="24"/>
          <w:szCs w:val="24"/>
          <w:lang w:val="es-ES"/>
        </w:rPr>
        <w:t>RTA/</w:t>
      </w:r>
    </w:p>
    <w:tbl>
      <w:tblPr>
        <w:tblW w:w="860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6"/>
        <w:gridCol w:w="713"/>
        <w:gridCol w:w="4346"/>
        <w:gridCol w:w="2971"/>
      </w:tblGrid>
      <w:tr w:rsidR="00A66E3A" w:rsidTr="00700A63">
        <w:trPr>
          <w:trHeight w:val="455"/>
          <w:jc w:val="center"/>
        </w:trPr>
        <w:tc>
          <w:tcPr>
            <w:tcW w:w="8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A66E3A" w:rsidRDefault="00A66E3A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eastAsia="Times New Roman" w:hAnsi="Arial Narrow"/>
                <w:b/>
                <w:bCs/>
                <w:sz w:val="18"/>
                <w:szCs w:val="18"/>
              </w:rPr>
              <w:lastRenderedPageBreak/>
              <w:t>ANTEPROYECTO PRESUPUESTO 2022</w:t>
            </w:r>
          </w:p>
        </w:tc>
      </w:tr>
      <w:tr w:rsidR="00A66E3A" w:rsidTr="00700A63">
        <w:trPr>
          <w:trHeight w:val="48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  <w:vAlign w:val="center"/>
            <w:hideMark/>
          </w:tcPr>
          <w:p w:rsidR="00A66E3A" w:rsidRDefault="00A66E3A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eastAsia="Times New Roman" w:hAnsi="Arial Narrow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/>
            <w:vAlign w:val="center"/>
            <w:hideMark/>
          </w:tcPr>
          <w:p w:rsidR="00A66E3A" w:rsidRDefault="00A66E3A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eastAsia="Times New Roman" w:hAnsi="Arial Narrow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66E3A" w:rsidRDefault="00A66E3A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eastAsia="Times New Roman" w:hAnsi="Arial Narrow"/>
                <w:b/>
                <w:bCs/>
                <w:sz w:val="18"/>
                <w:szCs w:val="18"/>
              </w:rPr>
              <w:t>CONCEPTO</w:t>
            </w:r>
          </w:p>
        </w:tc>
        <w:tc>
          <w:tcPr>
            <w:tcW w:w="2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66E3A" w:rsidRDefault="00A66E3A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eastAsia="Times New Roman" w:hAnsi="Arial Narrow"/>
                <w:b/>
                <w:bCs/>
                <w:sz w:val="18"/>
                <w:szCs w:val="18"/>
              </w:rPr>
              <w:t>SOLICITUD NORMAL FUNCIONAMIENTO 2022</w:t>
            </w:r>
          </w:p>
        </w:tc>
      </w:tr>
      <w:tr w:rsidR="00A66E3A" w:rsidTr="00700A63">
        <w:trPr>
          <w:trHeight w:val="43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A66E3A" w:rsidRDefault="00A66E3A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eastAsia="Times New Roman" w:hAnsi="Arial Narrow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66E3A" w:rsidRDefault="00A66E3A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eastAsia="Times New Roman" w:hAnsi="Arial Narrow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3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vAlign w:val="center"/>
            <w:hideMark/>
          </w:tcPr>
          <w:p w:rsidR="00A66E3A" w:rsidRDefault="00A66E3A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eastAsia="Times New Roman" w:hAnsi="Arial Narrow"/>
                <w:b/>
                <w:bCs/>
                <w:sz w:val="18"/>
                <w:szCs w:val="18"/>
              </w:rPr>
              <w:t>FUNCIONAMIENTO</w:t>
            </w:r>
          </w:p>
        </w:tc>
        <w:tc>
          <w:tcPr>
            <w:tcW w:w="2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66E3A" w:rsidRDefault="00A66E3A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eastAsia="Times New Roman" w:hAnsi="Arial Narrow"/>
                <w:b/>
                <w:bCs/>
                <w:sz w:val="18"/>
                <w:szCs w:val="18"/>
              </w:rPr>
              <w:t xml:space="preserve"> $           44,562,053,593 </w:t>
            </w:r>
          </w:p>
        </w:tc>
      </w:tr>
      <w:tr w:rsidR="00A66E3A" w:rsidTr="00700A63">
        <w:trPr>
          <w:trHeight w:val="45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66E3A" w:rsidRDefault="00A66E3A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eastAsia="Times New Roman" w:hAnsi="Arial Narrow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66E3A" w:rsidRDefault="00A66E3A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eastAsia="Times New Roman" w:hAnsi="Arial Narrow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4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66E3A" w:rsidRDefault="00A66E3A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eastAsia="Times New Roman" w:hAnsi="Arial Narrow"/>
                <w:b/>
                <w:bCs/>
                <w:sz w:val="18"/>
                <w:szCs w:val="18"/>
              </w:rPr>
              <w:t>GASTOS DE PERSONAL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66E3A" w:rsidRDefault="00A66E3A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eastAsia="Times New Roman" w:hAnsi="Arial Narrow"/>
                <w:b/>
                <w:bCs/>
                <w:sz w:val="18"/>
                <w:szCs w:val="18"/>
              </w:rPr>
              <w:t xml:space="preserve"> $           22,492,675,476 </w:t>
            </w:r>
          </w:p>
        </w:tc>
      </w:tr>
      <w:tr w:rsidR="00A66E3A" w:rsidTr="00700A63">
        <w:trPr>
          <w:trHeight w:val="45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66E3A" w:rsidRDefault="00A66E3A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eastAsia="Times New Roman" w:hAnsi="Arial Narrow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66E3A" w:rsidRDefault="00A66E3A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eastAsia="Times New Roman" w:hAnsi="Arial Narrow"/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4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66E3A" w:rsidRDefault="00A66E3A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eastAsia="Times New Roman" w:hAnsi="Arial Narrow"/>
                <w:b/>
                <w:bCs/>
                <w:sz w:val="18"/>
                <w:szCs w:val="18"/>
              </w:rPr>
              <w:t>ADQUISICIÓN DE BIENES  Y SERVICIOS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66E3A" w:rsidRDefault="00A66E3A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eastAsia="Times New Roman" w:hAnsi="Arial Narrow"/>
                <w:b/>
                <w:bCs/>
                <w:sz w:val="18"/>
                <w:szCs w:val="18"/>
              </w:rPr>
              <w:t xml:space="preserve"> $           20,201,065,820 </w:t>
            </w:r>
          </w:p>
        </w:tc>
      </w:tr>
      <w:tr w:rsidR="00A66E3A" w:rsidTr="00700A63">
        <w:trPr>
          <w:trHeight w:val="384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66E3A" w:rsidRDefault="00A66E3A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eastAsia="Times New Roman" w:hAnsi="Arial Narrow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66E3A" w:rsidRDefault="00A66E3A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eastAsia="Times New Roman" w:hAnsi="Arial Narrow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4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66E3A" w:rsidRDefault="00A66E3A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eastAsia="Times New Roman" w:hAnsi="Arial Narrow"/>
                <w:b/>
                <w:bCs/>
                <w:sz w:val="18"/>
                <w:szCs w:val="18"/>
              </w:rPr>
              <w:t>TRANSFERENCIAS CORRIENTES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66E3A" w:rsidRDefault="00A66E3A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eastAsia="Times New Roman" w:hAnsi="Arial Narrow"/>
                <w:b/>
                <w:bCs/>
                <w:sz w:val="18"/>
                <w:szCs w:val="18"/>
              </w:rPr>
              <w:t xml:space="preserve"> $               277,888,702 </w:t>
            </w:r>
          </w:p>
        </w:tc>
      </w:tr>
      <w:tr w:rsidR="00A66E3A" w:rsidTr="00700A63">
        <w:trPr>
          <w:trHeight w:val="384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66E3A" w:rsidRDefault="00A66E3A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eastAsia="Times New Roman" w:hAnsi="Arial Narrow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66E3A" w:rsidRDefault="00A66E3A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eastAsia="Times New Roman" w:hAnsi="Arial Narrow"/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4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66E3A" w:rsidRDefault="00A66E3A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eastAsia="Times New Roman" w:hAnsi="Arial Narrow"/>
                <w:b/>
                <w:bCs/>
                <w:sz w:val="18"/>
                <w:szCs w:val="18"/>
              </w:rPr>
              <w:t>DISMINUCION DE PASIVOS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66E3A" w:rsidRDefault="00A66E3A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eastAsia="Times New Roman" w:hAnsi="Arial Narrow"/>
                <w:b/>
                <w:bCs/>
                <w:sz w:val="18"/>
                <w:szCs w:val="18"/>
              </w:rPr>
              <w:t xml:space="preserve"> $            1,590,423,595 </w:t>
            </w:r>
          </w:p>
        </w:tc>
      </w:tr>
    </w:tbl>
    <w:p w:rsidR="00A66E3A" w:rsidRDefault="00A66E3A" w:rsidP="00A66E3A">
      <w:pPr>
        <w:pStyle w:val="Sinespaciado"/>
        <w:rPr>
          <w:rFonts w:asciiTheme="minorHAnsi" w:eastAsiaTheme="minorHAnsi" w:hAnsiTheme="minorHAnsi" w:cstheme="minorBidi"/>
        </w:rPr>
      </w:pPr>
    </w:p>
    <w:p w:rsidR="00A66E3A" w:rsidRDefault="00A66E3A" w:rsidP="00A66E3A">
      <w:pPr>
        <w:pStyle w:val="Sinespaciado"/>
      </w:pPr>
    </w:p>
    <w:tbl>
      <w:tblPr>
        <w:tblW w:w="86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53"/>
        <w:gridCol w:w="1984"/>
      </w:tblGrid>
      <w:tr w:rsidR="00A66E3A" w:rsidTr="00440CA7">
        <w:trPr>
          <w:trHeight w:val="362"/>
        </w:trPr>
        <w:tc>
          <w:tcPr>
            <w:tcW w:w="86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  <w:hideMark/>
          </w:tcPr>
          <w:p w:rsidR="00A66E3A" w:rsidRDefault="00A66E3A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sz w:val="20"/>
                <w:szCs w:val="20"/>
              </w:rPr>
              <w:t>Implementación del Sistema de Gestión Integral del CNE</w:t>
            </w:r>
          </w:p>
        </w:tc>
      </w:tr>
      <w:tr w:rsidR="00A66E3A" w:rsidTr="00440CA7">
        <w:trPr>
          <w:trHeight w:val="465"/>
        </w:trPr>
        <w:tc>
          <w:tcPr>
            <w:tcW w:w="66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:rsidR="00A66E3A" w:rsidRDefault="00A66E3A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sz w:val="20"/>
                <w:szCs w:val="20"/>
              </w:rPr>
              <w:t>Objetivos/Componente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:rsidR="00A66E3A" w:rsidRDefault="00A66E3A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sz w:val="20"/>
                <w:szCs w:val="20"/>
              </w:rPr>
              <w:t>Costo por componente</w:t>
            </w:r>
          </w:p>
        </w:tc>
      </w:tr>
      <w:tr w:rsidR="00A66E3A" w:rsidTr="00440CA7">
        <w:trPr>
          <w:trHeight w:val="580"/>
        </w:trPr>
        <w:tc>
          <w:tcPr>
            <w:tcW w:w="66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66E3A" w:rsidRDefault="00A66E3A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Renovación la infraestructura y la organización de Sistemas de Información para gestión integral de documentos y archivos CNE y Fondo Nacional de Financiación Política.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66E3A" w:rsidRDefault="00A66E3A">
            <w:pPr>
              <w:spacing w:after="0" w:line="240" w:lineRule="auto"/>
              <w:ind w:firstLineChars="100" w:firstLine="200"/>
              <w:jc w:val="right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$ 13.148.164.793</w:t>
            </w:r>
          </w:p>
        </w:tc>
      </w:tr>
      <w:tr w:rsidR="00A66E3A" w:rsidTr="00440CA7">
        <w:trPr>
          <w:trHeight w:val="454"/>
        </w:trPr>
        <w:tc>
          <w:tcPr>
            <w:tcW w:w="66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66E3A" w:rsidRDefault="00A66E3A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Promoción de prácticas idóneas para el manejo de la información institucional (instrumentos archivísticos y capacitación del personal).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66E3A" w:rsidRDefault="00A66E3A">
            <w:pPr>
              <w:spacing w:after="0" w:line="240" w:lineRule="auto"/>
              <w:ind w:firstLineChars="100" w:firstLine="200"/>
              <w:jc w:val="right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$ 5.000.000.000</w:t>
            </w:r>
          </w:p>
        </w:tc>
      </w:tr>
      <w:tr w:rsidR="00A66E3A" w:rsidTr="00440CA7">
        <w:trPr>
          <w:trHeight w:val="577"/>
        </w:trPr>
        <w:tc>
          <w:tcPr>
            <w:tcW w:w="66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66E3A" w:rsidRDefault="00A66E3A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 xml:space="preserve">Caracterización y organización del Fondo Documental Acumulado de la entidad que actualmente es de aprox. 3.000 </w:t>
            </w:r>
            <w:proofErr w:type="spellStart"/>
            <w:r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mts</w:t>
            </w:r>
            <w:proofErr w:type="spellEnd"/>
            <w:r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 xml:space="preserve"> lineales.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66E3A" w:rsidRDefault="00A66E3A">
            <w:pPr>
              <w:spacing w:after="0" w:line="240" w:lineRule="auto"/>
              <w:ind w:firstLineChars="100" w:firstLine="200"/>
              <w:jc w:val="right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$ 2.000.000.000</w:t>
            </w:r>
          </w:p>
        </w:tc>
      </w:tr>
      <w:tr w:rsidR="00A66E3A" w:rsidTr="00440CA7">
        <w:trPr>
          <w:trHeight w:val="351"/>
        </w:trPr>
        <w:tc>
          <w:tcPr>
            <w:tcW w:w="66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  <w:hideMark/>
          </w:tcPr>
          <w:p w:rsidR="00A66E3A" w:rsidRDefault="00A66E3A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sz w:val="20"/>
                <w:szCs w:val="20"/>
              </w:rPr>
              <w:t>Presupuesto total Proyecto de inversión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  <w:hideMark/>
          </w:tcPr>
          <w:p w:rsidR="00A66E3A" w:rsidRDefault="00A66E3A">
            <w:pPr>
              <w:spacing w:after="0" w:line="240" w:lineRule="auto"/>
              <w:ind w:firstLineChars="100" w:firstLine="200"/>
              <w:jc w:val="right"/>
              <w:rPr>
                <w:rFonts w:ascii="Arial Narrow" w:eastAsia="Times New Roman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sz w:val="20"/>
                <w:szCs w:val="20"/>
              </w:rPr>
              <w:t>$ 20.148.164.793</w:t>
            </w:r>
          </w:p>
        </w:tc>
      </w:tr>
    </w:tbl>
    <w:p w:rsidR="00A66E3A" w:rsidRDefault="00A66E3A" w:rsidP="00A66E3A">
      <w:pPr>
        <w:jc w:val="both"/>
        <w:rPr>
          <w:rFonts w:ascii="Arial" w:eastAsiaTheme="minorHAnsi" w:hAnsi="Arial" w:cs="Arial"/>
          <w:sz w:val="24"/>
          <w:szCs w:val="24"/>
          <w:lang w:val="es-ES" w:eastAsia="en-US"/>
        </w:rPr>
      </w:pPr>
    </w:p>
    <w:tbl>
      <w:tblPr>
        <w:tblW w:w="86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13"/>
        <w:gridCol w:w="1924"/>
      </w:tblGrid>
      <w:tr w:rsidR="00A66E3A" w:rsidTr="00440CA7">
        <w:trPr>
          <w:trHeight w:val="455"/>
        </w:trPr>
        <w:tc>
          <w:tcPr>
            <w:tcW w:w="86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  <w:hideMark/>
          </w:tcPr>
          <w:p w:rsidR="00A66E3A" w:rsidRDefault="00A66E3A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sz w:val="20"/>
                <w:szCs w:val="20"/>
              </w:rPr>
              <w:t>Diseño e Implementación del Modelo de Arquitectura Empresarial para el Consejo Nacional Electoral</w:t>
            </w:r>
          </w:p>
        </w:tc>
      </w:tr>
      <w:tr w:rsidR="00A66E3A" w:rsidTr="00440CA7">
        <w:trPr>
          <w:trHeight w:val="263"/>
        </w:trPr>
        <w:tc>
          <w:tcPr>
            <w:tcW w:w="67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:rsidR="00A66E3A" w:rsidRDefault="00A66E3A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sz w:val="20"/>
                <w:szCs w:val="20"/>
              </w:rPr>
              <w:t>Objetivos/Componente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:rsidR="00A66E3A" w:rsidRDefault="00A66E3A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sz w:val="20"/>
                <w:szCs w:val="20"/>
              </w:rPr>
              <w:t>Costo por componente</w:t>
            </w:r>
          </w:p>
        </w:tc>
      </w:tr>
      <w:tr w:rsidR="00A66E3A" w:rsidTr="00440CA7">
        <w:trPr>
          <w:trHeight w:val="736"/>
        </w:trPr>
        <w:tc>
          <w:tcPr>
            <w:tcW w:w="67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66E3A" w:rsidRDefault="00A66E3A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Consolidar la infraestructura tecnológica que soporta la operación de la entidad. (Modernización de la infraestructura, Implementación del Sistema Integral de Información y capacitaciones técnicas/soporte).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66E3A" w:rsidRDefault="00A66E3A">
            <w:pPr>
              <w:spacing w:after="0" w:line="240" w:lineRule="auto"/>
              <w:ind w:firstLineChars="100" w:firstLine="200"/>
              <w:jc w:val="right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$ 9.988.698.586</w:t>
            </w:r>
          </w:p>
        </w:tc>
      </w:tr>
      <w:tr w:rsidR="00A66E3A" w:rsidTr="00440CA7">
        <w:trPr>
          <w:trHeight w:val="505"/>
        </w:trPr>
        <w:tc>
          <w:tcPr>
            <w:tcW w:w="67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66E3A" w:rsidRDefault="00A66E3A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Articulación de la plataforma estratégica con la nueva estructura organizacional del CNE (Decreto 2085 de 2019)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66E3A" w:rsidRDefault="00A66E3A">
            <w:pPr>
              <w:spacing w:after="0" w:line="240" w:lineRule="auto"/>
              <w:ind w:firstLineChars="100" w:firstLine="200"/>
              <w:jc w:val="right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$ 5.011.301.414</w:t>
            </w:r>
          </w:p>
        </w:tc>
      </w:tr>
      <w:tr w:rsidR="00A66E3A" w:rsidTr="00440CA7">
        <w:trPr>
          <w:trHeight w:val="399"/>
        </w:trPr>
        <w:tc>
          <w:tcPr>
            <w:tcW w:w="67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  <w:hideMark/>
          </w:tcPr>
          <w:p w:rsidR="00A66E3A" w:rsidRDefault="00A66E3A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sz w:val="20"/>
                <w:szCs w:val="20"/>
              </w:rPr>
              <w:t>Presupuesto total Proyecto de inversión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  <w:hideMark/>
          </w:tcPr>
          <w:p w:rsidR="00A66E3A" w:rsidRDefault="00A66E3A">
            <w:pPr>
              <w:spacing w:after="0" w:line="240" w:lineRule="auto"/>
              <w:ind w:firstLineChars="100" w:firstLine="200"/>
              <w:jc w:val="right"/>
              <w:rPr>
                <w:rFonts w:ascii="Arial Narrow" w:eastAsia="Times New Roman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sz w:val="20"/>
                <w:szCs w:val="20"/>
              </w:rPr>
              <w:t>$ 15.000.000.000</w:t>
            </w:r>
          </w:p>
        </w:tc>
      </w:tr>
    </w:tbl>
    <w:p w:rsidR="00A66E3A" w:rsidRDefault="00A66E3A" w:rsidP="00A66E3A">
      <w:pPr>
        <w:jc w:val="both"/>
        <w:rPr>
          <w:rFonts w:ascii="Arial" w:eastAsiaTheme="minorHAnsi" w:hAnsi="Arial" w:cs="Arial"/>
          <w:sz w:val="24"/>
          <w:szCs w:val="24"/>
          <w:lang w:val="es-ES" w:eastAsia="en-US"/>
        </w:rPr>
      </w:pPr>
    </w:p>
    <w:tbl>
      <w:tblPr>
        <w:tblW w:w="86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94"/>
        <w:gridCol w:w="1843"/>
      </w:tblGrid>
      <w:tr w:rsidR="00A66E3A" w:rsidTr="00440CA7">
        <w:trPr>
          <w:trHeight w:val="375"/>
        </w:trPr>
        <w:tc>
          <w:tcPr>
            <w:tcW w:w="86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  <w:hideMark/>
          </w:tcPr>
          <w:p w:rsidR="00A66E3A" w:rsidRDefault="00A66E3A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sz w:val="20"/>
                <w:szCs w:val="20"/>
              </w:rPr>
              <w:t>Instituto de Estudios Electorales</w:t>
            </w:r>
          </w:p>
        </w:tc>
      </w:tr>
      <w:tr w:rsidR="00A66E3A" w:rsidTr="00440CA7">
        <w:trPr>
          <w:trHeight w:val="375"/>
        </w:trPr>
        <w:tc>
          <w:tcPr>
            <w:tcW w:w="67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:rsidR="00A66E3A" w:rsidRDefault="00A66E3A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sz w:val="20"/>
                <w:szCs w:val="20"/>
              </w:rPr>
              <w:t>Objetivos/Componente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:rsidR="00A66E3A" w:rsidRDefault="00A66E3A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sz w:val="20"/>
                <w:szCs w:val="20"/>
              </w:rPr>
              <w:t>Costo por componente</w:t>
            </w:r>
          </w:p>
        </w:tc>
      </w:tr>
      <w:tr w:rsidR="00A66E3A" w:rsidTr="00440CA7">
        <w:trPr>
          <w:trHeight w:val="433"/>
        </w:trPr>
        <w:tc>
          <w:tcPr>
            <w:tcW w:w="67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66E3A" w:rsidRDefault="00A66E3A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Sistematizar el conocimiento especializado de la organización electoral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66E3A" w:rsidRDefault="00A66E3A">
            <w:pPr>
              <w:spacing w:after="0" w:line="240" w:lineRule="auto"/>
              <w:ind w:firstLineChars="100" w:firstLine="200"/>
              <w:jc w:val="right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$ 3.185.481.486</w:t>
            </w:r>
          </w:p>
        </w:tc>
      </w:tr>
      <w:tr w:rsidR="00A66E3A" w:rsidTr="00440CA7">
        <w:trPr>
          <w:trHeight w:val="433"/>
        </w:trPr>
        <w:tc>
          <w:tcPr>
            <w:tcW w:w="67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66E3A" w:rsidRDefault="00A66E3A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Promover los derechos políticos y la cultura democrática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66E3A" w:rsidRDefault="00A66E3A">
            <w:pPr>
              <w:spacing w:after="0" w:line="240" w:lineRule="auto"/>
              <w:ind w:firstLineChars="100" w:firstLine="200"/>
              <w:jc w:val="right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$ 2.123.654.324</w:t>
            </w:r>
          </w:p>
        </w:tc>
      </w:tr>
      <w:tr w:rsidR="00A66E3A" w:rsidTr="00440CA7">
        <w:trPr>
          <w:trHeight w:val="386"/>
        </w:trPr>
        <w:tc>
          <w:tcPr>
            <w:tcW w:w="67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  <w:hideMark/>
          </w:tcPr>
          <w:p w:rsidR="00A66E3A" w:rsidRDefault="00A66E3A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sz w:val="20"/>
                <w:szCs w:val="20"/>
              </w:rPr>
              <w:t>Presupuesto total Proyecto de inversión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  <w:hideMark/>
          </w:tcPr>
          <w:p w:rsidR="00A66E3A" w:rsidRDefault="00A66E3A">
            <w:pPr>
              <w:spacing w:after="0" w:line="240" w:lineRule="auto"/>
              <w:ind w:firstLineChars="100" w:firstLine="200"/>
              <w:jc w:val="right"/>
              <w:rPr>
                <w:rFonts w:ascii="Arial Narrow" w:eastAsia="Times New Roman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sz w:val="20"/>
                <w:szCs w:val="20"/>
              </w:rPr>
              <w:t>$ 5.309.135.810</w:t>
            </w:r>
          </w:p>
        </w:tc>
      </w:tr>
    </w:tbl>
    <w:p w:rsidR="00A66E3A" w:rsidRDefault="00A66E3A" w:rsidP="00A66E3A">
      <w:pPr>
        <w:jc w:val="both"/>
        <w:rPr>
          <w:rFonts w:ascii="Arial" w:eastAsiaTheme="minorHAnsi" w:hAnsi="Arial" w:cs="Arial"/>
          <w:sz w:val="24"/>
          <w:szCs w:val="24"/>
          <w:lang w:val="es-ES" w:eastAsia="en-US"/>
        </w:rPr>
      </w:pPr>
    </w:p>
    <w:tbl>
      <w:tblPr>
        <w:tblW w:w="85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94"/>
        <w:gridCol w:w="1760"/>
      </w:tblGrid>
      <w:tr w:rsidR="00A66E3A" w:rsidTr="00A66E3A">
        <w:trPr>
          <w:trHeight w:val="263"/>
        </w:trPr>
        <w:tc>
          <w:tcPr>
            <w:tcW w:w="85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  <w:hideMark/>
          </w:tcPr>
          <w:p w:rsidR="00A66E3A" w:rsidRDefault="00A66E3A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sz w:val="20"/>
                <w:szCs w:val="20"/>
              </w:rPr>
              <w:lastRenderedPageBreak/>
              <w:t xml:space="preserve">Adquisición de Sede para el CNE. </w:t>
            </w:r>
          </w:p>
        </w:tc>
      </w:tr>
      <w:tr w:rsidR="00A66E3A" w:rsidTr="009A2584">
        <w:trPr>
          <w:trHeight w:val="283"/>
        </w:trPr>
        <w:tc>
          <w:tcPr>
            <w:tcW w:w="67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:rsidR="00A66E3A" w:rsidRDefault="00A66E3A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sz w:val="20"/>
                <w:szCs w:val="20"/>
              </w:rPr>
              <w:t>Objetivos/Componente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:rsidR="00A66E3A" w:rsidRDefault="00A66E3A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sz w:val="20"/>
                <w:szCs w:val="20"/>
              </w:rPr>
              <w:t>Costo por componente</w:t>
            </w:r>
          </w:p>
        </w:tc>
      </w:tr>
      <w:tr w:rsidR="00A66E3A" w:rsidTr="009A2584">
        <w:trPr>
          <w:trHeight w:val="443"/>
        </w:trPr>
        <w:tc>
          <w:tcPr>
            <w:tcW w:w="67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66E3A" w:rsidRDefault="00A66E3A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 xml:space="preserve">Fortalecer la seguridad de la infraestructura física en que opera el CNE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66E3A" w:rsidRDefault="00A66E3A">
            <w:pPr>
              <w:spacing w:after="0" w:line="240" w:lineRule="auto"/>
              <w:ind w:firstLineChars="100" w:firstLine="200"/>
              <w:jc w:val="right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$ 43.200.000.000</w:t>
            </w:r>
          </w:p>
        </w:tc>
      </w:tr>
      <w:tr w:rsidR="00A66E3A" w:rsidTr="009A2584">
        <w:trPr>
          <w:trHeight w:val="443"/>
        </w:trPr>
        <w:tc>
          <w:tcPr>
            <w:tcW w:w="67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66E3A" w:rsidRDefault="00A66E3A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Implementar ambientes de trabajo adecuados y seguros para el desempeño de los servidores del CNE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66E3A" w:rsidRDefault="00A66E3A">
            <w:pPr>
              <w:spacing w:after="0" w:line="240" w:lineRule="auto"/>
              <w:ind w:firstLineChars="100" w:firstLine="200"/>
              <w:jc w:val="right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$ 6.800.000.000</w:t>
            </w:r>
          </w:p>
        </w:tc>
      </w:tr>
      <w:tr w:rsidR="00A66E3A" w:rsidTr="009A2584">
        <w:trPr>
          <w:trHeight w:val="323"/>
        </w:trPr>
        <w:tc>
          <w:tcPr>
            <w:tcW w:w="67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  <w:hideMark/>
          </w:tcPr>
          <w:p w:rsidR="00A66E3A" w:rsidRDefault="00A66E3A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sz w:val="20"/>
                <w:szCs w:val="20"/>
              </w:rPr>
              <w:t>Presupuesto total Proyecto de inversión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  <w:hideMark/>
          </w:tcPr>
          <w:p w:rsidR="00A66E3A" w:rsidRDefault="00A66E3A">
            <w:pPr>
              <w:spacing w:after="0" w:line="240" w:lineRule="auto"/>
              <w:ind w:firstLineChars="100" w:firstLine="200"/>
              <w:jc w:val="right"/>
              <w:rPr>
                <w:rFonts w:ascii="Arial Narrow" w:eastAsia="Times New Roman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sz w:val="20"/>
                <w:szCs w:val="20"/>
              </w:rPr>
              <w:t>$ 50.000.000.000</w:t>
            </w:r>
          </w:p>
        </w:tc>
      </w:tr>
    </w:tbl>
    <w:p w:rsidR="00A66E3A" w:rsidRDefault="00A66E3A" w:rsidP="00A66E3A">
      <w:pPr>
        <w:jc w:val="both"/>
        <w:rPr>
          <w:rFonts w:ascii="Arial" w:eastAsiaTheme="minorHAnsi" w:hAnsi="Arial" w:cs="Arial"/>
          <w:sz w:val="24"/>
          <w:szCs w:val="24"/>
          <w:lang w:val="es-ES" w:eastAsia="en-US"/>
        </w:rPr>
      </w:pPr>
    </w:p>
    <w:p w:rsidR="00A66E3A" w:rsidRDefault="00A66E3A" w:rsidP="00A66E3A">
      <w:pPr>
        <w:jc w:val="both"/>
        <w:rPr>
          <w:rFonts w:ascii="Arial" w:hAnsi="Arial" w:cs="Arial"/>
          <w:b/>
          <w:bCs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Es importante destacar que el año 2022 es año electoral, por tanto, se considera prioritario contar con el recurso humano y los recursos para las elecciones en cada una de sus etapas.</w:t>
      </w:r>
    </w:p>
    <w:p w:rsidR="00A66E3A" w:rsidRDefault="00A66E3A" w:rsidP="00A66E3A">
      <w:p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b/>
          <w:bCs/>
          <w:sz w:val="24"/>
          <w:szCs w:val="24"/>
          <w:lang w:val="es-ES"/>
        </w:rPr>
        <w:t>9.</w:t>
      </w:r>
      <w:r>
        <w:rPr>
          <w:rFonts w:ascii="Arial" w:hAnsi="Arial" w:cs="Arial"/>
          <w:sz w:val="24"/>
          <w:szCs w:val="24"/>
          <w:lang w:val="es-ES"/>
        </w:rPr>
        <w:t xml:space="preserve"> Sírvase indicar valor, monto y destinación de proyectos de inversión y/o gastos de funcionamiento que su respectiva cartera considera que son prioritarios para el logro de los objetivos misionales de la misma, y que no hayan sido incluidos en el proyecto de Presupuesto del año 2022. Sírvase explicitar porqué es importante que los mismos sean incluidos en el proyecto de presupuesto.</w:t>
      </w:r>
    </w:p>
    <w:p w:rsidR="00A66E3A" w:rsidRDefault="00A66E3A" w:rsidP="00A66E3A">
      <w:p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b/>
          <w:bCs/>
          <w:sz w:val="24"/>
          <w:szCs w:val="24"/>
          <w:lang w:val="es-ES"/>
        </w:rPr>
        <w:t xml:space="preserve">RTA: </w:t>
      </w:r>
      <w:bookmarkStart w:id="0" w:name="_GoBack"/>
      <w:bookmarkEnd w:id="0"/>
      <w:r w:rsidR="00DB34E9" w:rsidRPr="00843A7A">
        <w:rPr>
          <w:rFonts w:ascii="Arial" w:hAnsi="Arial" w:cs="Arial"/>
          <w:bCs/>
          <w:sz w:val="24"/>
          <w:szCs w:val="24"/>
          <w:lang w:val="es-ES"/>
        </w:rPr>
        <w:t>No, no están incluidas. Es importante señalar que los recursos para atender las necesidades básicas misionales e implementar el Decreto 2085 de 2019</w:t>
      </w:r>
      <w:r w:rsidR="00DB34E9" w:rsidRPr="00843A7A">
        <w:rPr>
          <w:rStyle w:val="Refdenotaalpie"/>
          <w:rFonts w:ascii="Arial" w:hAnsi="Arial" w:cs="Arial"/>
          <w:bCs/>
          <w:sz w:val="24"/>
          <w:szCs w:val="24"/>
          <w:lang w:val="es-ES"/>
        </w:rPr>
        <w:footnoteReference w:id="3"/>
      </w:r>
      <w:r w:rsidR="00DB34E9" w:rsidRPr="00843A7A">
        <w:rPr>
          <w:rFonts w:ascii="Arial" w:hAnsi="Arial" w:cs="Arial"/>
          <w:bCs/>
          <w:sz w:val="24"/>
          <w:szCs w:val="24"/>
          <w:lang w:val="es-ES"/>
        </w:rPr>
        <w:t>, no son suficientes</w:t>
      </w:r>
      <w:r w:rsidR="00DB34E9">
        <w:rPr>
          <w:rFonts w:ascii="Arial" w:hAnsi="Arial" w:cs="Arial"/>
          <w:bCs/>
          <w:sz w:val="24"/>
          <w:szCs w:val="24"/>
          <w:lang w:val="es-ES"/>
        </w:rPr>
        <w:t>, toda vez que el recurso humano con que se cuenta no alcanza para suplir las necesidades misionales de la entidad.</w:t>
      </w:r>
      <w:r w:rsidR="00DB34E9" w:rsidRPr="00843A7A">
        <w:rPr>
          <w:rFonts w:ascii="Arial" w:hAnsi="Arial" w:cs="Arial"/>
          <w:bCs/>
          <w:sz w:val="24"/>
          <w:szCs w:val="24"/>
          <w:lang w:val="es-ES"/>
        </w:rPr>
        <w:t xml:space="preserve"> Así mismo se resalta la condición de unidad ejecutora 280102 de la sección presupuestal 2801 </w:t>
      </w:r>
      <w:proofErr w:type="spellStart"/>
      <w:r w:rsidR="00DB34E9" w:rsidRPr="00843A7A">
        <w:rPr>
          <w:rFonts w:ascii="Arial" w:hAnsi="Arial" w:cs="Arial"/>
          <w:bCs/>
          <w:sz w:val="24"/>
          <w:szCs w:val="24"/>
          <w:lang w:val="es-ES"/>
        </w:rPr>
        <w:t>Registraduría</w:t>
      </w:r>
      <w:proofErr w:type="spellEnd"/>
      <w:r w:rsidR="00DB34E9" w:rsidRPr="00843A7A">
        <w:rPr>
          <w:rFonts w:ascii="Arial" w:hAnsi="Arial" w:cs="Arial"/>
          <w:bCs/>
          <w:sz w:val="24"/>
          <w:szCs w:val="24"/>
          <w:lang w:val="es-ES"/>
        </w:rPr>
        <w:t xml:space="preserve"> Nacional del Estado Civil, en este sentido la entidad no se tiene autonomía presupuestal, lo cual le impide adelantar, gestionar y tramitar de manera directa con el Ministerio de Hacienda y DNP, para una expedita, correcta y adecuada ejecución de su presupuesto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</w:p>
    <w:p w:rsidR="005545ED" w:rsidRPr="00A66E3A" w:rsidRDefault="005545ED" w:rsidP="00A66E3A"/>
    <w:sectPr w:rsidR="005545ED" w:rsidRPr="00A66E3A" w:rsidSect="0090076E">
      <w:headerReference w:type="default" r:id="rId9"/>
      <w:footerReference w:type="default" r:id="rId10"/>
      <w:pgSz w:w="12240" w:h="15840"/>
      <w:pgMar w:top="1843" w:right="1892" w:bottom="1276" w:left="1701" w:header="708" w:footer="55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27D0" w:rsidRDefault="00C127D0">
      <w:pPr>
        <w:spacing w:after="0" w:line="240" w:lineRule="auto"/>
      </w:pPr>
      <w:r>
        <w:separator/>
      </w:r>
    </w:p>
  </w:endnote>
  <w:endnote w:type="continuationSeparator" w:id="0">
    <w:p w:rsidR="00C127D0" w:rsidRDefault="00C127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1AC4" w:rsidRDefault="009A1AC4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i/>
        <w:color w:val="000000"/>
      </w:rPr>
    </w:pPr>
    <w:r>
      <w:rPr>
        <w:i/>
        <w:color w:val="000000"/>
      </w:rPr>
      <w:t xml:space="preserve">Avenida calle 26 #51-50 CAN Bogotá D.C., Teléfono 2200800, </w:t>
    </w:r>
    <w:hyperlink r:id="rId1">
      <w:r>
        <w:rPr>
          <w:b/>
          <w:i/>
          <w:color w:val="0563C1"/>
          <w:u w:val="single"/>
        </w:rPr>
        <w:t>www.cne.gov.co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27D0" w:rsidRDefault="00C127D0">
      <w:pPr>
        <w:spacing w:after="0" w:line="240" w:lineRule="auto"/>
      </w:pPr>
      <w:r>
        <w:separator/>
      </w:r>
    </w:p>
  </w:footnote>
  <w:footnote w:type="continuationSeparator" w:id="0">
    <w:p w:rsidR="00C127D0" w:rsidRDefault="00C127D0">
      <w:pPr>
        <w:spacing w:after="0" w:line="240" w:lineRule="auto"/>
      </w:pPr>
      <w:r>
        <w:continuationSeparator/>
      </w:r>
    </w:p>
  </w:footnote>
  <w:footnote w:id="1">
    <w:p w:rsidR="00473A13" w:rsidRDefault="00473A13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473A13">
        <w:t>Por el cual se establece la estructura orgánica e interna del Consejo Nacional Electoral</w:t>
      </w:r>
    </w:p>
  </w:footnote>
  <w:footnote w:id="2">
    <w:p w:rsidR="00A66E3A" w:rsidRDefault="00A66E3A" w:rsidP="00A66E3A">
      <w:pPr>
        <w:pStyle w:val="Textonotapie"/>
        <w:rPr>
          <w:rFonts w:asciiTheme="minorHAnsi" w:hAnsiTheme="minorHAnsi" w:cstheme="minorBidi"/>
        </w:rPr>
      </w:pPr>
      <w:r>
        <w:rPr>
          <w:rStyle w:val="Refdenotaalpie"/>
        </w:rPr>
        <w:footnoteRef/>
      </w:r>
      <w:r>
        <w:t xml:space="preserve"> Decreto 3487 del 13 de septiembre del 2007.</w:t>
      </w:r>
    </w:p>
  </w:footnote>
  <w:footnote w:id="3">
    <w:p w:rsidR="00DB34E9" w:rsidRDefault="00DB34E9" w:rsidP="00DB34E9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473A13">
        <w:t>Por el cual se establece la estructura orgánica e interna del Consejo Nacional Electoral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1AC4" w:rsidRDefault="009A1AC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-561974</wp:posOffset>
          </wp:positionH>
          <wp:positionV relativeFrom="paragraph">
            <wp:posOffset>-175259</wp:posOffset>
          </wp:positionV>
          <wp:extent cx="1409700" cy="685800"/>
          <wp:effectExtent l="0" t="0" r="0" b="0"/>
          <wp:wrapSquare wrapText="bothSides" distT="0" distB="0" distL="114300" distR="114300"/>
          <wp:docPr id="1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09700" cy="685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E3D54"/>
    <w:multiLevelType w:val="hybridMultilevel"/>
    <w:tmpl w:val="6E14954E"/>
    <w:lvl w:ilvl="0" w:tplc="633C685E">
      <w:start w:val="1"/>
      <w:numFmt w:val="decimal"/>
      <w:lvlText w:val="%1."/>
      <w:lvlJc w:val="left"/>
      <w:pPr>
        <w:ind w:left="1428" w:hanging="360"/>
      </w:pPr>
      <w:rPr>
        <w:i/>
        <w:iCs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6D6A396E"/>
    <w:multiLevelType w:val="hybridMultilevel"/>
    <w:tmpl w:val="C3180A44"/>
    <w:lvl w:ilvl="0" w:tplc="240A0017">
      <w:start w:val="1"/>
      <w:numFmt w:val="lowerLetter"/>
      <w:lvlText w:val="%1)"/>
      <w:lvlJc w:val="left"/>
      <w:pPr>
        <w:ind w:left="1068" w:hanging="360"/>
      </w:p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44F4F31"/>
    <w:multiLevelType w:val="hybridMultilevel"/>
    <w:tmpl w:val="941CA0D0"/>
    <w:lvl w:ilvl="0" w:tplc="240A0013">
      <w:start w:val="1"/>
      <w:numFmt w:val="upperRoman"/>
      <w:lvlText w:val="%1."/>
      <w:lvlJc w:val="right"/>
      <w:pPr>
        <w:ind w:left="710" w:hanging="360"/>
      </w:pPr>
    </w:lvl>
    <w:lvl w:ilvl="1" w:tplc="240A0019" w:tentative="1">
      <w:start w:val="1"/>
      <w:numFmt w:val="lowerLetter"/>
      <w:lvlText w:val="%2."/>
      <w:lvlJc w:val="left"/>
      <w:pPr>
        <w:ind w:left="1430" w:hanging="360"/>
      </w:pPr>
    </w:lvl>
    <w:lvl w:ilvl="2" w:tplc="240A001B" w:tentative="1">
      <w:start w:val="1"/>
      <w:numFmt w:val="lowerRoman"/>
      <w:lvlText w:val="%3."/>
      <w:lvlJc w:val="right"/>
      <w:pPr>
        <w:ind w:left="2150" w:hanging="180"/>
      </w:pPr>
    </w:lvl>
    <w:lvl w:ilvl="3" w:tplc="240A000F" w:tentative="1">
      <w:start w:val="1"/>
      <w:numFmt w:val="decimal"/>
      <w:lvlText w:val="%4."/>
      <w:lvlJc w:val="left"/>
      <w:pPr>
        <w:ind w:left="2870" w:hanging="360"/>
      </w:pPr>
    </w:lvl>
    <w:lvl w:ilvl="4" w:tplc="240A0019" w:tentative="1">
      <w:start w:val="1"/>
      <w:numFmt w:val="lowerLetter"/>
      <w:lvlText w:val="%5."/>
      <w:lvlJc w:val="left"/>
      <w:pPr>
        <w:ind w:left="3590" w:hanging="360"/>
      </w:pPr>
    </w:lvl>
    <w:lvl w:ilvl="5" w:tplc="240A001B" w:tentative="1">
      <w:start w:val="1"/>
      <w:numFmt w:val="lowerRoman"/>
      <w:lvlText w:val="%6."/>
      <w:lvlJc w:val="right"/>
      <w:pPr>
        <w:ind w:left="4310" w:hanging="180"/>
      </w:pPr>
    </w:lvl>
    <w:lvl w:ilvl="6" w:tplc="240A000F" w:tentative="1">
      <w:start w:val="1"/>
      <w:numFmt w:val="decimal"/>
      <w:lvlText w:val="%7."/>
      <w:lvlJc w:val="left"/>
      <w:pPr>
        <w:ind w:left="5030" w:hanging="360"/>
      </w:pPr>
    </w:lvl>
    <w:lvl w:ilvl="7" w:tplc="240A0019" w:tentative="1">
      <w:start w:val="1"/>
      <w:numFmt w:val="lowerLetter"/>
      <w:lvlText w:val="%8."/>
      <w:lvlJc w:val="left"/>
      <w:pPr>
        <w:ind w:left="5750" w:hanging="360"/>
      </w:pPr>
    </w:lvl>
    <w:lvl w:ilvl="8" w:tplc="240A001B" w:tentative="1">
      <w:start w:val="1"/>
      <w:numFmt w:val="lowerRoman"/>
      <w:lvlText w:val="%9."/>
      <w:lvlJc w:val="right"/>
      <w:pPr>
        <w:ind w:left="6470" w:hanging="180"/>
      </w:pPr>
    </w:lvl>
  </w:abstractNum>
  <w:num w:numId="1">
    <w:abstractNumId w:val="0"/>
  </w:num>
  <w:num w:numId="2">
    <w:abstractNumId w:val="2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FBD"/>
    <w:rsid w:val="00001869"/>
    <w:rsid w:val="0000192D"/>
    <w:rsid w:val="000075EA"/>
    <w:rsid w:val="0001566E"/>
    <w:rsid w:val="000179E3"/>
    <w:rsid w:val="00020075"/>
    <w:rsid w:val="00022FB9"/>
    <w:rsid w:val="00025D30"/>
    <w:rsid w:val="00026710"/>
    <w:rsid w:val="00030612"/>
    <w:rsid w:val="0003461B"/>
    <w:rsid w:val="00035B0C"/>
    <w:rsid w:val="00037868"/>
    <w:rsid w:val="0004291D"/>
    <w:rsid w:val="00044298"/>
    <w:rsid w:val="00052DC2"/>
    <w:rsid w:val="00057491"/>
    <w:rsid w:val="0005799F"/>
    <w:rsid w:val="0006499D"/>
    <w:rsid w:val="000725A7"/>
    <w:rsid w:val="000777BC"/>
    <w:rsid w:val="00081D54"/>
    <w:rsid w:val="000852E9"/>
    <w:rsid w:val="00092F18"/>
    <w:rsid w:val="000A10B3"/>
    <w:rsid w:val="000A23E3"/>
    <w:rsid w:val="000A4CFF"/>
    <w:rsid w:val="000A7C5F"/>
    <w:rsid w:val="000B33B7"/>
    <w:rsid w:val="000B6126"/>
    <w:rsid w:val="000B6FEC"/>
    <w:rsid w:val="000B7905"/>
    <w:rsid w:val="000C1F93"/>
    <w:rsid w:val="000C5B00"/>
    <w:rsid w:val="000D1D5D"/>
    <w:rsid w:val="000D1FF9"/>
    <w:rsid w:val="000D364C"/>
    <w:rsid w:val="000E621F"/>
    <w:rsid w:val="000F252B"/>
    <w:rsid w:val="000F2B2A"/>
    <w:rsid w:val="000F406F"/>
    <w:rsid w:val="00102857"/>
    <w:rsid w:val="00103C79"/>
    <w:rsid w:val="001114E4"/>
    <w:rsid w:val="00112086"/>
    <w:rsid w:val="001243DD"/>
    <w:rsid w:val="00124D96"/>
    <w:rsid w:val="00125171"/>
    <w:rsid w:val="00133753"/>
    <w:rsid w:val="00136BA5"/>
    <w:rsid w:val="00141D9E"/>
    <w:rsid w:val="00142708"/>
    <w:rsid w:val="00146B2E"/>
    <w:rsid w:val="00147298"/>
    <w:rsid w:val="00150481"/>
    <w:rsid w:val="001539BC"/>
    <w:rsid w:val="0016600F"/>
    <w:rsid w:val="0017388C"/>
    <w:rsid w:val="00175C0A"/>
    <w:rsid w:val="00175F80"/>
    <w:rsid w:val="001767AA"/>
    <w:rsid w:val="0018189E"/>
    <w:rsid w:val="00192261"/>
    <w:rsid w:val="001A3766"/>
    <w:rsid w:val="001B7A15"/>
    <w:rsid w:val="001B7D3C"/>
    <w:rsid w:val="001D5748"/>
    <w:rsid w:val="001F1C1B"/>
    <w:rsid w:val="001F2588"/>
    <w:rsid w:val="001F375A"/>
    <w:rsid w:val="001F6BE8"/>
    <w:rsid w:val="001F7D94"/>
    <w:rsid w:val="00206D49"/>
    <w:rsid w:val="00206F74"/>
    <w:rsid w:val="00213126"/>
    <w:rsid w:val="00224777"/>
    <w:rsid w:val="00225A61"/>
    <w:rsid w:val="00226C96"/>
    <w:rsid w:val="00234732"/>
    <w:rsid w:val="002360BA"/>
    <w:rsid w:val="00240C58"/>
    <w:rsid w:val="00240FD4"/>
    <w:rsid w:val="0024143C"/>
    <w:rsid w:val="00242F31"/>
    <w:rsid w:val="00245190"/>
    <w:rsid w:val="00255169"/>
    <w:rsid w:val="002738C5"/>
    <w:rsid w:val="00275B0E"/>
    <w:rsid w:val="00275F12"/>
    <w:rsid w:val="002803CD"/>
    <w:rsid w:val="002879A0"/>
    <w:rsid w:val="00287EA6"/>
    <w:rsid w:val="00290AB2"/>
    <w:rsid w:val="00294BBB"/>
    <w:rsid w:val="002A1219"/>
    <w:rsid w:val="002A13D9"/>
    <w:rsid w:val="002A3109"/>
    <w:rsid w:val="002A6BDE"/>
    <w:rsid w:val="002B4925"/>
    <w:rsid w:val="002B569D"/>
    <w:rsid w:val="002C1432"/>
    <w:rsid w:val="002C37B2"/>
    <w:rsid w:val="002D4DEE"/>
    <w:rsid w:val="002D5066"/>
    <w:rsid w:val="002E0E33"/>
    <w:rsid w:val="002E3514"/>
    <w:rsid w:val="002E3E7D"/>
    <w:rsid w:val="002F0687"/>
    <w:rsid w:val="002F2DDC"/>
    <w:rsid w:val="002F47B4"/>
    <w:rsid w:val="00306F52"/>
    <w:rsid w:val="00307E71"/>
    <w:rsid w:val="0031137B"/>
    <w:rsid w:val="0031398C"/>
    <w:rsid w:val="00313B36"/>
    <w:rsid w:val="00321457"/>
    <w:rsid w:val="00324F06"/>
    <w:rsid w:val="003263E8"/>
    <w:rsid w:val="00326FB9"/>
    <w:rsid w:val="00331663"/>
    <w:rsid w:val="0033176B"/>
    <w:rsid w:val="00335CEE"/>
    <w:rsid w:val="0033685A"/>
    <w:rsid w:val="00337464"/>
    <w:rsid w:val="003402B7"/>
    <w:rsid w:val="00342627"/>
    <w:rsid w:val="0034680F"/>
    <w:rsid w:val="00346918"/>
    <w:rsid w:val="00347F50"/>
    <w:rsid w:val="00350E58"/>
    <w:rsid w:val="0035258B"/>
    <w:rsid w:val="00353601"/>
    <w:rsid w:val="00353FB6"/>
    <w:rsid w:val="00354362"/>
    <w:rsid w:val="00356C19"/>
    <w:rsid w:val="00356FAB"/>
    <w:rsid w:val="00357ABF"/>
    <w:rsid w:val="0036044C"/>
    <w:rsid w:val="00365BC4"/>
    <w:rsid w:val="00372D93"/>
    <w:rsid w:val="003750AB"/>
    <w:rsid w:val="003821A9"/>
    <w:rsid w:val="00382EFD"/>
    <w:rsid w:val="00383AFD"/>
    <w:rsid w:val="00383F77"/>
    <w:rsid w:val="003A0234"/>
    <w:rsid w:val="003A24C7"/>
    <w:rsid w:val="003A4412"/>
    <w:rsid w:val="003B2B85"/>
    <w:rsid w:val="003B36D6"/>
    <w:rsid w:val="003B43FD"/>
    <w:rsid w:val="003C5F08"/>
    <w:rsid w:val="003D1CC9"/>
    <w:rsid w:val="003D7BED"/>
    <w:rsid w:val="0040128B"/>
    <w:rsid w:val="00402D68"/>
    <w:rsid w:val="00404AEC"/>
    <w:rsid w:val="00410DDE"/>
    <w:rsid w:val="00415B27"/>
    <w:rsid w:val="00416645"/>
    <w:rsid w:val="00422864"/>
    <w:rsid w:val="00426DDC"/>
    <w:rsid w:val="00427E23"/>
    <w:rsid w:val="00430A5D"/>
    <w:rsid w:val="00432880"/>
    <w:rsid w:val="0043428A"/>
    <w:rsid w:val="004353E5"/>
    <w:rsid w:val="004369B5"/>
    <w:rsid w:val="00440CA7"/>
    <w:rsid w:val="0044163D"/>
    <w:rsid w:val="00443203"/>
    <w:rsid w:val="00452134"/>
    <w:rsid w:val="004671A1"/>
    <w:rsid w:val="00467EEC"/>
    <w:rsid w:val="00473A13"/>
    <w:rsid w:val="00481120"/>
    <w:rsid w:val="00481671"/>
    <w:rsid w:val="004836A0"/>
    <w:rsid w:val="00484AF9"/>
    <w:rsid w:val="00490765"/>
    <w:rsid w:val="0049096F"/>
    <w:rsid w:val="00491103"/>
    <w:rsid w:val="0049160E"/>
    <w:rsid w:val="00496824"/>
    <w:rsid w:val="004A3E67"/>
    <w:rsid w:val="004A745E"/>
    <w:rsid w:val="004B416A"/>
    <w:rsid w:val="004C41BE"/>
    <w:rsid w:val="004C578D"/>
    <w:rsid w:val="004C5EE1"/>
    <w:rsid w:val="004C6186"/>
    <w:rsid w:val="004C780B"/>
    <w:rsid w:val="004C7907"/>
    <w:rsid w:val="004D00DD"/>
    <w:rsid w:val="004E76D6"/>
    <w:rsid w:val="004E7B15"/>
    <w:rsid w:val="004F06EB"/>
    <w:rsid w:val="004F0F38"/>
    <w:rsid w:val="005022B6"/>
    <w:rsid w:val="005036DD"/>
    <w:rsid w:val="005060F0"/>
    <w:rsid w:val="005107FB"/>
    <w:rsid w:val="00512001"/>
    <w:rsid w:val="00516136"/>
    <w:rsid w:val="00517CAF"/>
    <w:rsid w:val="0052164C"/>
    <w:rsid w:val="00524541"/>
    <w:rsid w:val="00526574"/>
    <w:rsid w:val="00530432"/>
    <w:rsid w:val="00531421"/>
    <w:rsid w:val="00531808"/>
    <w:rsid w:val="00535155"/>
    <w:rsid w:val="0053563C"/>
    <w:rsid w:val="00540160"/>
    <w:rsid w:val="005419B5"/>
    <w:rsid w:val="00542E7F"/>
    <w:rsid w:val="005434D9"/>
    <w:rsid w:val="00545719"/>
    <w:rsid w:val="00550E82"/>
    <w:rsid w:val="005536EC"/>
    <w:rsid w:val="005545ED"/>
    <w:rsid w:val="00554C31"/>
    <w:rsid w:val="005626C7"/>
    <w:rsid w:val="00563B77"/>
    <w:rsid w:val="0056403A"/>
    <w:rsid w:val="005716A9"/>
    <w:rsid w:val="00580D33"/>
    <w:rsid w:val="00585819"/>
    <w:rsid w:val="00585CC0"/>
    <w:rsid w:val="0058609D"/>
    <w:rsid w:val="00590624"/>
    <w:rsid w:val="005A2814"/>
    <w:rsid w:val="005A6781"/>
    <w:rsid w:val="005B6323"/>
    <w:rsid w:val="005C0F72"/>
    <w:rsid w:val="005C6115"/>
    <w:rsid w:val="005D1C39"/>
    <w:rsid w:val="005D6D35"/>
    <w:rsid w:val="005E4A34"/>
    <w:rsid w:val="005E575E"/>
    <w:rsid w:val="005E7A2F"/>
    <w:rsid w:val="005F4023"/>
    <w:rsid w:val="006025D1"/>
    <w:rsid w:val="00602A53"/>
    <w:rsid w:val="00607038"/>
    <w:rsid w:val="0061138D"/>
    <w:rsid w:val="00616BA3"/>
    <w:rsid w:val="00621415"/>
    <w:rsid w:val="00624DE1"/>
    <w:rsid w:val="00625AA3"/>
    <w:rsid w:val="00635934"/>
    <w:rsid w:val="00652F55"/>
    <w:rsid w:val="00653231"/>
    <w:rsid w:val="00663C8A"/>
    <w:rsid w:val="006A2EF4"/>
    <w:rsid w:val="006A5AE4"/>
    <w:rsid w:val="006A77B0"/>
    <w:rsid w:val="006B7CA9"/>
    <w:rsid w:val="006C7B0C"/>
    <w:rsid w:val="006E2070"/>
    <w:rsid w:val="006E3B28"/>
    <w:rsid w:val="006E778C"/>
    <w:rsid w:val="006F37CC"/>
    <w:rsid w:val="00700A63"/>
    <w:rsid w:val="007072BB"/>
    <w:rsid w:val="00710792"/>
    <w:rsid w:val="0071198B"/>
    <w:rsid w:val="007131E9"/>
    <w:rsid w:val="007159ED"/>
    <w:rsid w:val="007235F2"/>
    <w:rsid w:val="00727175"/>
    <w:rsid w:val="007275CA"/>
    <w:rsid w:val="0072793D"/>
    <w:rsid w:val="00730BE4"/>
    <w:rsid w:val="007338F0"/>
    <w:rsid w:val="007353A5"/>
    <w:rsid w:val="00740616"/>
    <w:rsid w:val="00744F7E"/>
    <w:rsid w:val="00746E30"/>
    <w:rsid w:val="00757C87"/>
    <w:rsid w:val="00762276"/>
    <w:rsid w:val="00774F0F"/>
    <w:rsid w:val="00775B9F"/>
    <w:rsid w:val="00776D7A"/>
    <w:rsid w:val="00782372"/>
    <w:rsid w:val="00783481"/>
    <w:rsid w:val="00791C5A"/>
    <w:rsid w:val="007946CE"/>
    <w:rsid w:val="007A1B8B"/>
    <w:rsid w:val="007A58BF"/>
    <w:rsid w:val="007A7D9C"/>
    <w:rsid w:val="007B0215"/>
    <w:rsid w:val="007B08C8"/>
    <w:rsid w:val="007B6ED1"/>
    <w:rsid w:val="007C0F24"/>
    <w:rsid w:val="007C52D4"/>
    <w:rsid w:val="007C7D71"/>
    <w:rsid w:val="007D00EE"/>
    <w:rsid w:val="007D095F"/>
    <w:rsid w:val="007D226D"/>
    <w:rsid w:val="007E1F88"/>
    <w:rsid w:val="0080564A"/>
    <w:rsid w:val="00806BFD"/>
    <w:rsid w:val="00807068"/>
    <w:rsid w:val="0081176E"/>
    <w:rsid w:val="0081495D"/>
    <w:rsid w:val="00815184"/>
    <w:rsid w:val="00817E01"/>
    <w:rsid w:val="00831D83"/>
    <w:rsid w:val="00843A7A"/>
    <w:rsid w:val="00844C91"/>
    <w:rsid w:val="0084797E"/>
    <w:rsid w:val="00856B8B"/>
    <w:rsid w:val="00856D8E"/>
    <w:rsid w:val="00857AB8"/>
    <w:rsid w:val="00863CF2"/>
    <w:rsid w:val="00864A4B"/>
    <w:rsid w:val="00873050"/>
    <w:rsid w:val="008731C1"/>
    <w:rsid w:val="00873847"/>
    <w:rsid w:val="00880B49"/>
    <w:rsid w:val="008972A9"/>
    <w:rsid w:val="008A1FBB"/>
    <w:rsid w:val="008A3481"/>
    <w:rsid w:val="008A3592"/>
    <w:rsid w:val="008A4D0D"/>
    <w:rsid w:val="008B6B70"/>
    <w:rsid w:val="008C2AF0"/>
    <w:rsid w:val="008C2AF8"/>
    <w:rsid w:val="008D042A"/>
    <w:rsid w:val="008D465F"/>
    <w:rsid w:val="008E25A3"/>
    <w:rsid w:val="008E4EB3"/>
    <w:rsid w:val="008E4F53"/>
    <w:rsid w:val="008E4FA1"/>
    <w:rsid w:val="008E6357"/>
    <w:rsid w:val="008F07A1"/>
    <w:rsid w:val="008F5B2B"/>
    <w:rsid w:val="008F7DEC"/>
    <w:rsid w:val="0090076E"/>
    <w:rsid w:val="00901D33"/>
    <w:rsid w:val="00903C8E"/>
    <w:rsid w:val="009110A0"/>
    <w:rsid w:val="00911E9C"/>
    <w:rsid w:val="0092423F"/>
    <w:rsid w:val="009243B7"/>
    <w:rsid w:val="00926F5F"/>
    <w:rsid w:val="00927A48"/>
    <w:rsid w:val="00932CF9"/>
    <w:rsid w:val="009418EA"/>
    <w:rsid w:val="00941C0E"/>
    <w:rsid w:val="0095007E"/>
    <w:rsid w:val="00950D1E"/>
    <w:rsid w:val="00953CCA"/>
    <w:rsid w:val="0095742F"/>
    <w:rsid w:val="00970FC6"/>
    <w:rsid w:val="00973D88"/>
    <w:rsid w:val="0097420A"/>
    <w:rsid w:val="0098442D"/>
    <w:rsid w:val="00986B50"/>
    <w:rsid w:val="00995510"/>
    <w:rsid w:val="00997651"/>
    <w:rsid w:val="009A1AC4"/>
    <w:rsid w:val="009A2584"/>
    <w:rsid w:val="009C3B4E"/>
    <w:rsid w:val="009C59D3"/>
    <w:rsid w:val="009C5F9A"/>
    <w:rsid w:val="009D7D7C"/>
    <w:rsid w:val="009F0D08"/>
    <w:rsid w:val="009F11A0"/>
    <w:rsid w:val="009F47B2"/>
    <w:rsid w:val="00A04933"/>
    <w:rsid w:val="00A04D6C"/>
    <w:rsid w:val="00A05318"/>
    <w:rsid w:val="00A11F36"/>
    <w:rsid w:val="00A12A66"/>
    <w:rsid w:val="00A13039"/>
    <w:rsid w:val="00A15440"/>
    <w:rsid w:val="00A269C1"/>
    <w:rsid w:val="00A31FD2"/>
    <w:rsid w:val="00A37101"/>
    <w:rsid w:val="00A41451"/>
    <w:rsid w:val="00A41D5C"/>
    <w:rsid w:val="00A47947"/>
    <w:rsid w:val="00A50C1E"/>
    <w:rsid w:val="00A5143B"/>
    <w:rsid w:val="00A56882"/>
    <w:rsid w:val="00A61650"/>
    <w:rsid w:val="00A62A64"/>
    <w:rsid w:val="00A635C7"/>
    <w:rsid w:val="00A63649"/>
    <w:rsid w:val="00A66E3A"/>
    <w:rsid w:val="00A77CBD"/>
    <w:rsid w:val="00A84480"/>
    <w:rsid w:val="00A85E8C"/>
    <w:rsid w:val="00A868DF"/>
    <w:rsid w:val="00A951CA"/>
    <w:rsid w:val="00A9595E"/>
    <w:rsid w:val="00A97F60"/>
    <w:rsid w:val="00AA3EE0"/>
    <w:rsid w:val="00AB1044"/>
    <w:rsid w:val="00AB4CC3"/>
    <w:rsid w:val="00AB6214"/>
    <w:rsid w:val="00AC28E3"/>
    <w:rsid w:val="00AC6CE1"/>
    <w:rsid w:val="00AC7E73"/>
    <w:rsid w:val="00AD309E"/>
    <w:rsid w:val="00AE3311"/>
    <w:rsid w:val="00AE5DC9"/>
    <w:rsid w:val="00AF30D5"/>
    <w:rsid w:val="00B00025"/>
    <w:rsid w:val="00B029DD"/>
    <w:rsid w:val="00B13CFD"/>
    <w:rsid w:val="00B14D92"/>
    <w:rsid w:val="00B20FB9"/>
    <w:rsid w:val="00B25FE1"/>
    <w:rsid w:val="00B304A8"/>
    <w:rsid w:val="00B31DC8"/>
    <w:rsid w:val="00B31E45"/>
    <w:rsid w:val="00B35360"/>
    <w:rsid w:val="00B40226"/>
    <w:rsid w:val="00B46DE6"/>
    <w:rsid w:val="00B61797"/>
    <w:rsid w:val="00B6195D"/>
    <w:rsid w:val="00B63792"/>
    <w:rsid w:val="00B65239"/>
    <w:rsid w:val="00B66E67"/>
    <w:rsid w:val="00B801E2"/>
    <w:rsid w:val="00B9656F"/>
    <w:rsid w:val="00BA36A4"/>
    <w:rsid w:val="00BA523E"/>
    <w:rsid w:val="00BB2538"/>
    <w:rsid w:val="00BB2BE8"/>
    <w:rsid w:val="00BD1F70"/>
    <w:rsid w:val="00BD3C5C"/>
    <w:rsid w:val="00BD40FC"/>
    <w:rsid w:val="00BD692B"/>
    <w:rsid w:val="00BE0DD1"/>
    <w:rsid w:val="00BE4869"/>
    <w:rsid w:val="00BF2F0B"/>
    <w:rsid w:val="00BF3F16"/>
    <w:rsid w:val="00BF3FDA"/>
    <w:rsid w:val="00BF4AAF"/>
    <w:rsid w:val="00BF6EA4"/>
    <w:rsid w:val="00BF7685"/>
    <w:rsid w:val="00BF7AAD"/>
    <w:rsid w:val="00BF7BB5"/>
    <w:rsid w:val="00C01274"/>
    <w:rsid w:val="00C045F4"/>
    <w:rsid w:val="00C10DC5"/>
    <w:rsid w:val="00C127D0"/>
    <w:rsid w:val="00C15810"/>
    <w:rsid w:val="00C15864"/>
    <w:rsid w:val="00C2424B"/>
    <w:rsid w:val="00C3398D"/>
    <w:rsid w:val="00C347AB"/>
    <w:rsid w:val="00C41C0B"/>
    <w:rsid w:val="00C422A0"/>
    <w:rsid w:val="00C5004A"/>
    <w:rsid w:val="00C53AC1"/>
    <w:rsid w:val="00C6132F"/>
    <w:rsid w:val="00C622DF"/>
    <w:rsid w:val="00C62777"/>
    <w:rsid w:val="00C67869"/>
    <w:rsid w:val="00C72E08"/>
    <w:rsid w:val="00C81C5D"/>
    <w:rsid w:val="00C83D0E"/>
    <w:rsid w:val="00C846FA"/>
    <w:rsid w:val="00C84F7D"/>
    <w:rsid w:val="00C87D34"/>
    <w:rsid w:val="00C9484A"/>
    <w:rsid w:val="00CA3C63"/>
    <w:rsid w:val="00CA5595"/>
    <w:rsid w:val="00CB1E2B"/>
    <w:rsid w:val="00CB6844"/>
    <w:rsid w:val="00CB77C1"/>
    <w:rsid w:val="00CC5592"/>
    <w:rsid w:val="00CC6E2D"/>
    <w:rsid w:val="00CD1FAF"/>
    <w:rsid w:val="00CD386B"/>
    <w:rsid w:val="00CE29A6"/>
    <w:rsid w:val="00CE365B"/>
    <w:rsid w:val="00CE4CD0"/>
    <w:rsid w:val="00CF378C"/>
    <w:rsid w:val="00CF50E0"/>
    <w:rsid w:val="00CF5DA1"/>
    <w:rsid w:val="00D010F9"/>
    <w:rsid w:val="00D06D04"/>
    <w:rsid w:val="00D132CD"/>
    <w:rsid w:val="00D20560"/>
    <w:rsid w:val="00D34770"/>
    <w:rsid w:val="00D43123"/>
    <w:rsid w:val="00D47EA3"/>
    <w:rsid w:val="00D510AE"/>
    <w:rsid w:val="00D6005B"/>
    <w:rsid w:val="00D61CD7"/>
    <w:rsid w:val="00D67048"/>
    <w:rsid w:val="00D745F9"/>
    <w:rsid w:val="00D8004D"/>
    <w:rsid w:val="00D87AA1"/>
    <w:rsid w:val="00D90A79"/>
    <w:rsid w:val="00D951F6"/>
    <w:rsid w:val="00D9612B"/>
    <w:rsid w:val="00D97487"/>
    <w:rsid w:val="00D976F1"/>
    <w:rsid w:val="00DA664D"/>
    <w:rsid w:val="00DA7858"/>
    <w:rsid w:val="00DB10E4"/>
    <w:rsid w:val="00DB1168"/>
    <w:rsid w:val="00DB34E9"/>
    <w:rsid w:val="00DC14D9"/>
    <w:rsid w:val="00DC222E"/>
    <w:rsid w:val="00DD047F"/>
    <w:rsid w:val="00DD3DD9"/>
    <w:rsid w:val="00DD6CA0"/>
    <w:rsid w:val="00DE1675"/>
    <w:rsid w:val="00E02176"/>
    <w:rsid w:val="00E03A65"/>
    <w:rsid w:val="00E07DD7"/>
    <w:rsid w:val="00E170F3"/>
    <w:rsid w:val="00E22246"/>
    <w:rsid w:val="00E50AA7"/>
    <w:rsid w:val="00E5290C"/>
    <w:rsid w:val="00E539D3"/>
    <w:rsid w:val="00E558F6"/>
    <w:rsid w:val="00E55A1F"/>
    <w:rsid w:val="00E62B9B"/>
    <w:rsid w:val="00E632CF"/>
    <w:rsid w:val="00E65913"/>
    <w:rsid w:val="00E74B38"/>
    <w:rsid w:val="00E82BB0"/>
    <w:rsid w:val="00E9772F"/>
    <w:rsid w:val="00E97D56"/>
    <w:rsid w:val="00EA032D"/>
    <w:rsid w:val="00EA1AA5"/>
    <w:rsid w:val="00EA3EA2"/>
    <w:rsid w:val="00EA5069"/>
    <w:rsid w:val="00EB2696"/>
    <w:rsid w:val="00EB2A8A"/>
    <w:rsid w:val="00EB3434"/>
    <w:rsid w:val="00EB5D30"/>
    <w:rsid w:val="00EB67C5"/>
    <w:rsid w:val="00EB6A6D"/>
    <w:rsid w:val="00EC0BD0"/>
    <w:rsid w:val="00EC2CA9"/>
    <w:rsid w:val="00EC3BB3"/>
    <w:rsid w:val="00EE3BF4"/>
    <w:rsid w:val="00EE3D20"/>
    <w:rsid w:val="00EE418D"/>
    <w:rsid w:val="00EE764F"/>
    <w:rsid w:val="00EE7D28"/>
    <w:rsid w:val="00EF0607"/>
    <w:rsid w:val="00EF28B2"/>
    <w:rsid w:val="00F04035"/>
    <w:rsid w:val="00F0421F"/>
    <w:rsid w:val="00F225CF"/>
    <w:rsid w:val="00F27502"/>
    <w:rsid w:val="00F312AD"/>
    <w:rsid w:val="00F315E5"/>
    <w:rsid w:val="00F33FE0"/>
    <w:rsid w:val="00F3434B"/>
    <w:rsid w:val="00F435E9"/>
    <w:rsid w:val="00F4597E"/>
    <w:rsid w:val="00F46AA1"/>
    <w:rsid w:val="00F51B73"/>
    <w:rsid w:val="00F5260E"/>
    <w:rsid w:val="00F600A0"/>
    <w:rsid w:val="00F6745D"/>
    <w:rsid w:val="00F701DC"/>
    <w:rsid w:val="00F91FBE"/>
    <w:rsid w:val="00F931AD"/>
    <w:rsid w:val="00FA3A7F"/>
    <w:rsid w:val="00FA4FBD"/>
    <w:rsid w:val="00FA5C66"/>
    <w:rsid w:val="00FB14C1"/>
    <w:rsid w:val="00FB178F"/>
    <w:rsid w:val="00FB4CA1"/>
    <w:rsid w:val="00FC12CD"/>
    <w:rsid w:val="00FC31DE"/>
    <w:rsid w:val="00FC3354"/>
    <w:rsid w:val="00FC4537"/>
    <w:rsid w:val="00FC5CB0"/>
    <w:rsid w:val="00FD04CA"/>
    <w:rsid w:val="00FD6FCC"/>
    <w:rsid w:val="00FD751F"/>
    <w:rsid w:val="00FD7C84"/>
    <w:rsid w:val="00FE3384"/>
    <w:rsid w:val="00FE4E04"/>
    <w:rsid w:val="00FE69A8"/>
    <w:rsid w:val="00FF1698"/>
    <w:rsid w:val="00FF5E6A"/>
    <w:rsid w:val="00FF6F96"/>
    <w:rsid w:val="00FF7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D97FAF"/>
  <w15:docId w15:val="{978F5320-E287-400D-9A96-5D637DD9E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F16"/>
  </w:style>
  <w:style w:type="paragraph" w:styleId="Ttulo1">
    <w:name w:val="heading 1"/>
    <w:basedOn w:val="Normal"/>
    <w:next w:val="Normal"/>
    <w:link w:val="Ttulo1Car"/>
    <w:uiPriority w:val="9"/>
    <w:qFormat/>
    <w:rsid w:val="00BF3F1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F3F1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link w:val="Ttulo3Car"/>
    <w:unhideWhenUsed/>
    <w:qFormat/>
    <w:rsid w:val="00BF3F1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BF3F1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BF3F16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BF3F1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rsid w:val="00BF3F1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BF3F16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rsid w:val="00BF3F1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BF3F1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rsid w:val="00BF3F1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rsid w:val="00BF3F16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F3F1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F3F16"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sid w:val="00BF3F16"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B68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6844"/>
    <w:rPr>
      <w:rFonts w:ascii="Segoe UI" w:hAnsi="Segoe UI" w:cs="Segoe UI"/>
      <w:sz w:val="18"/>
      <w:szCs w:val="18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E7B1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E7B15"/>
    <w:rPr>
      <w:b/>
      <w:bCs/>
      <w:sz w:val="20"/>
      <w:szCs w:val="20"/>
    </w:rPr>
  </w:style>
  <w:style w:type="paragraph" w:styleId="Prrafodelista">
    <w:name w:val="List Paragraph"/>
    <w:aliases w:val="List Paragraph1,Ha,List Paragraph,Lista multicolor - Énfasis 11,HOJA,Bolita,Párrafo de lista4,BOLADEF,Párrafo de lista3,Párrafo de lista21,BOLA,Bulletr List Paragraph,列出段落,列出段落1,List Paragraph2,List Paragraph21,Listeafsnit1,Listas,List"/>
    <w:basedOn w:val="Normal"/>
    <w:link w:val="PrrafodelistaCar"/>
    <w:uiPriority w:val="34"/>
    <w:qFormat/>
    <w:rsid w:val="00C62777"/>
    <w:pPr>
      <w:ind w:left="720"/>
      <w:contextualSpacing/>
    </w:pPr>
  </w:style>
  <w:style w:type="paragraph" w:customStyle="1" w:styleId="xmsonormal">
    <w:name w:val="x_msonormal"/>
    <w:basedOn w:val="Normal"/>
    <w:rsid w:val="00360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rrafodelistaCar">
    <w:name w:val="Párrafo de lista Car"/>
    <w:aliases w:val="List Paragraph1 Car,Ha Car,List Paragraph Car,Lista multicolor - Énfasis 11 Car,HOJA Car,Bolita Car,Párrafo de lista4 Car,BOLADEF Car,Párrafo de lista3 Car,Párrafo de lista21 Car,BOLA Car,Bulletr List Paragraph Car,列出段落 Car,List Car"/>
    <w:link w:val="Prrafodelista"/>
    <w:uiPriority w:val="34"/>
    <w:qFormat/>
    <w:rsid w:val="00C846FA"/>
  </w:style>
  <w:style w:type="paragraph" w:styleId="NormalWeb">
    <w:name w:val="Normal (Web)"/>
    <w:aliases w:val="Normal (Web) Char"/>
    <w:basedOn w:val="Normal"/>
    <w:link w:val="NormalWebCar"/>
    <w:uiPriority w:val="99"/>
    <w:unhideWhenUsed/>
    <w:rsid w:val="00350E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4C7907"/>
    <w:rPr>
      <w:b/>
      <w:bCs/>
    </w:rPr>
  </w:style>
  <w:style w:type="character" w:styleId="nfasis">
    <w:name w:val="Emphasis"/>
    <w:basedOn w:val="Fuentedeprrafopredeter"/>
    <w:uiPriority w:val="20"/>
    <w:qFormat/>
    <w:rsid w:val="00275B0E"/>
    <w:rPr>
      <w:i/>
      <w:iCs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D364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D364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0D364C"/>
    <w:rPr>
      <w:vertAlign w:val="superscript"/>
    </w:rPr>
  </w:style>
  <w:style w:type="table" w:styleId="Tablaconcuadrcula">
    <w:name w:val="Table Grid"/>
    <w:basedOn w:val="Tablanormal"/>
    <w:uiPriority w:val="59"/>
    <w:rsid w:val="00FE69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05799F"/>
    <w:pPr>
      <w:spacing w:after="0" w:line="240" w:lineRule="auto"/>
    </w:pPr>
    <w:rPr>
      <w:rFonts w:cs="Times New Roman"/>
      <w:lang w:val="es-ES" w:eastAsia="en-US"/>
    </w:rPr>
  </w:style>
  <w:style w:type="numbering" w:customStyle="1" w:styleId="Sinlista1">
    <w:name w:val="Sin lista1"/>
    <w:next w:val="Sinlista"/>
    <w:uiPriority w:val="99"/>
    <w:semiHidden/>
    <w:unhideWhenUsed/>
    <w:rsid w:val="005545ED"/>
  </w:style>
  <w:style w:type="character" w:customStyle="1" w:styleId="Ttulo1Car">
    <w:name w:val="Título 1 Car"/>
    <w:basedOn w:val="Fuentedeprrafopredeter"/>
    <w:link w:val="Ttulo1"/>
    <w:uiPriority w:val="9"/>
    <w:rsid w:val="005545ED"/>
    <w:rPr>
      <w:b/>
      <w:sz w:val="48"/>
      <w:szCs w:val="48"/>
    </w:rPr>
  </w:style>
  <w:style w:type="character" w:customStyle="1" w:styleId="Ttulo2Car">
    <w:name w:val="Título 2 Car"/>
    <w:basedOn w:val="Fuentedeprrafopredeter"/>
    <w:link w:val="Ttulo2"/>
    <w:uiPriority w:val="9"/>
    <w:rsid w:val="005545ED"/>
    <w:rPr>
      <w:b/>
      <w:sz w:val="36"/>
      <w:szCs w:val="36"/>
    </w:rPr>
  </w:style>
  <w:style w:type="table" w:customStyle="1" w:styleId="TableGrid">
    <w:name w:val="TableGrid"/>
    <w:rsid w:val="005545ED"/>
    <w:pPr>
      <w:spacing w:after="0" w:line="240" w:lineRule="auto"/>
    </w:pPr>
    <w:rPr>
      <w:rFonts w:eastAsia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5545ED"/>
    <w:pPr>
      <w:spacing w:after="0" w:line="240" w:lineRule="auto"/>
    </w:pPr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basedOn w:val="Fuentedeprrafopredeter"/>
    <w:link w:val="Ttulo3"/>
    <w:rsid w:val="005545ED"/>
    <w:rPr>
      <w:b/>
      <w:sz w:val="28"/>
      <w:szCs w:val="28"/>
    </w:rPr>
  </w:style>
  <w:style w:type="character" w:styleId="Hipervnculo">
    <w:name w:val="Hyperlink"/>
    <w:uiPriority w:val="99"/>
    <w:rsid w:val="005545ED"/>
    <w:rPr>
      <w:rFonts w:cs="Times New Roman"/>
      <w:color w:val="0000FF"/>
      <w:u w:val="single"/>
    </w:rPr>
  </w:style>
  <w:style w:type="character" w:customStyle="1" w:styleId="Cuerpodeltexto2">
    <w:name w:val="Cuerpo del texto (2)_"/>
    <w:link w:val="Cuerpodeltexto20"/>
    <w:rsid w:val="005545ED"/>
    <w:rPr>
      <w:rFonts w:ascii="Arial" w:eastAsia="Arial" w:hAnsi="Arial" w:cs="Arial"/>
      <w:shd w:val="clear" w:color="auto" w:fill="FFFFFF"/>
    </w:rPr>
  </w:style>
  <w:style w:type="paragraph" w:customStyle="1" w:styleId="Cuerpodeltexto20">
    <w:name w:val="Cuerpo del texto (2)"/>
    <w:basedOn w:val="Normal"/>
    <w:link w:val="Cuerpodeltexto2"/>
    <w:rsid w:val="005545ED"/>
    <w:pPr>
      <w:widowControl w:val="0"/>
      <w:shd w:val="clear" w:color="auto" w:fill="FFFFFF"/>
      <w:spacing w:before="300" w:after="180" w:line="249" w:lineRule="exact"/>
      <w:ind w:hanging="460"/>
      <w:jc w:val="both"/>
    </w:pPr>
    <w:rPr>
      <w:rFonts w:ascii="Arial" w:eastAsia="Arial" w:hAnsi="Arial" w:cs="Arial"/>
    </w:rPr>
  </w:style>
  <w:style w:type="paragraph" w:styleId="Revisin">
    <w:name w:val="Revision"/>
    <w:hidden/>
    <w:uiPriority w:val="99"/>
    <w:semiHidden/>
    <w:rsid w:val="005545ED"/>
    <w:pPr>
      <w:spacing w:after="0" w:line="240" w:lineRule="auto"/>
    </w:pPr>
    <w:rPr>
      <w:rFonts w:ascii="Arial" w:eastAsia="Arial" w:hAnsi="Arial" w:cs="Arial"/>
      <w:color w:val="000000"/>
      <w:sz w:val="24"/>
    </w:rPr>
  </w:style>
  <w:style w:type="character" w:customStyle="1" w:styleId="SinespaciadoCar">
    <w:name w:val="Sin espaciado Car"/>
    <w:link w:val="Sinespaciado"/>
    <w:uiPriority w:val="1"/>
    <w:rsid w:val="00FD6FCC"/>
    <w:rPr>
      <w:rFonts w:cs="Times New Roman"/>
      <w:lang w:val="es-ES" w:eastAsia="en-US"/>
    </w:rPr>
  </w:style>
  <w:style w:type="paragraph" w:customStyle="1" w:styleId="Estilo1">
    <w:name w:val="Estilo1"/>
    <w:basedOn w:val="Textonotapie"/>
    <w:qFormat/>
    <w:rsid w:val="00026710"/>
    <w:pPr>
      <w:jc w:val="both"/>
    </w:pPr>
    <w:rPr>
      <w:rFonts w:ascii="Cambria" w:eastAsia="Times New Roman" w:hAnsi="Cambria" w:cs="Arial"/>
      <w:sz w:val="18"/>
      <w:szCs w:val="18"/>
      <w:lang w:val="es-ES_tradnl" w:eastAsia="es-ES"/>
    </w:rPr>
  </w:style>
  <w:style w:type="character" w:customStyle="1" w:styleId="NormalWebCar">
    <w:name w:val="Normal (Web) Car"/>
    <w:aliases w:val="Normal (Web) Char Car"/>
    <w:link w:val="NormalWeb"/>
    <w:uiPriority w:val="99"/>
    <w:locked/>
    <w:rsid w:val="002E0E33"/>
    <w:rPr>
      <w:rFonts w:ascii="Times New Roman" w:eastAsia="Times New Roman" w:hAnsi="Times New Roman" w:cs="Times New Roman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A66E3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66E3A"/>
  </w:style>
  <w:style w:type="paragraph" w:styleId="Piedepgina">
    <w:name w:val="footer"/>
    <w:basedOn w:val="Normal"/>
    <w:link w:val="PiedepginaCar"/>
    <w:uiPriority w:val="99"/>
    <w:unhideWhenUsed/>
    <w:rsid w:val="00A66E3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66E3A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A66E3A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A66E3A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A66E3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8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9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6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ne.gov.c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ne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FB1D21-1347-4D85-AE0F-BA88E7560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2646</Words>
  <Characters>14559</Characters>
  <Application>Microsoft Office Word</Application>
  <DocSecurity>0</DocSecurity>
  <Lines>121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57310</dc:creator>
  <cp:lastModifiedBy>Jorge Eliecer Gil Perez</cp:lastModifiedBy>
  <cp:revision>2</cp:revision>
  <dcterms:created xsi:type="dcterms:W3CDTF">2021-08-10T18:00:00Z</dcterms:created>
  <dcterms:modified xsi:type="dcterms:W3CDTF">2021-08-10T18:00:00Z</dcterms:modified>
</cp:coreProperties>
</file>