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C2" w:rsidRPr="008A6F7E" w:rsidRDefault="00BA05C2" w:rsidP="00E30CFD">
      <w:pPr>
        <w:pStyle w:val="Sinespaciado"/>
        <w:jc w:val="both"/>
        <w:rPr>
          <w:rFonts w:cs="Calibri"/>
          <w:b/>
          <w:bCs/>
          <w:sz w:val="24"/>
          <w:szCs w:val="24"/>
        </w:rPr>
      </w:pPr>
      <w:bookmarkStart w:id="0" w:name="_GoBack"/>
      <w:bookmarkEnd w:id="0"/>
    </w:p>
    <w:p w:rsidR="00BA05C2" w:rsidRPr="008A6F7E" w:rsidRDefault="00BA05C2" w:rsidP="00E30CFD">
      <w:pPr>
        <w:spacing w:after="0" w:line="240" w:lineRule="auto"/>
        <w:jc w:val="both"/>
        <w:rPr>
          <w:rFonts w:cs="Calibri"/>
          <w:sz w:val="24"/>
          <w:szCs w:val="24"/>
        </w:rPr>
      </w:pPr>
      <w:r w:rsidRPr="008A6F7E">
        <w:rPr>
          <w:rFonts w:cs="Calibri"/>
          <w:sz w:val="24"/>
          <w:szCs w:val="24"/>
        </w:rPr>
        <w:t>10000-</w:t>
      </w:r>
    </w:p>
    <w:p w:rsidR="00BA05C2" w:rsidRDefault="00BA05C2" w:rsidP="00E30CFD">
      <w:pPr>
        <w:spacing w:after="0" w:line="240" w:lineRule="auto"/>
        <w:jc w:val="both"/>
        <w:rPr>
          <w:rFonts w:cs="Calibri"/>
          <w:sz w:val="24"/>
          <w:szCs w:val="24"/>
        </w:rPr>
      </w:pPr>
    </w:p>
    <w:p w:rsidR="009533A4" w:rsidRPr="008A6F7E" w:rsidRDefault="009533A4"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sz w:val="24"/>
          <w:szCs w:val="24"/>
        </w:rPr>
      </w:pPr>
      <w:r w:rsidRPr="008A6F7E">
        <w:rPr>
          <w:rFonts w:cs="Calibri"/>
          <w:sz w:val="24"/>
          <w:szCs w:val="24"/>
        </w:rPr>
        <w:t xml:space="preserve">Bogotá D.C. </w:t>
      </w:r>
    </w:p>
    <w:p w:rsidR="00BA05C2" w:rsidRPr="008A6F7E" w:rsidRDefault="00BA05C2"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b/>
          <w:sz w:val="24"/>
          <w:szCs w:val="24"/>
        </w:rPr>
      </w:pPr>
    </w:p>
    <w:p w:rsidR="00BA05C2" w:rsidRPr="008A6F7E" w:rsidRDefault="00BA05C2" w:rsidP="00E30CFD">
      <w:pPr>
        <w:spacing w:after="0" w:line="240" w:lineRule="auto"/>
        <w:jc w:val="both"/>
        <w:rPr>
          <w:rFonts w:cs="Calibri"/>
          <w:b/>
          <w:sz w:val="24"/>
          <w:szCs w:val="24"/>
        </w:rPr>
      </w:pPr>
      <w:r w:rsidRPr="008A6F7E">
        <w:rPr>
          <w:rFonts w:cs="Calibri"/>
          <w:b/>
          <w:sz w:val="24"/>
          <w:szCs w:val="24"/>
        </w:rPr>
        <w:t>Doctor</w:t>
      </w:r>
    </w:p>
    <w:p w:rsidR="00BA05C2" w:rsidRPr="008A6F7E" w:rsidRDefault="00BA05C2" w:rsidP="00E30CFD">
      <w:pPr>
        <w:spacing w:after="0" w:line="240" w:lineRule="auto"/>
        <w:jc w:val="both"/>
        <w:rPr>
          <w:rFonts w:cs="Calibri"/>
          <w:b/>
          <w:sz w:val="24"/>
          <w:szCs w:val="24"/>
        </w:rPr>
      </w:pPr>
      <w:r w:rsidRPr="008A6F7E">
        <w:rPr>
          <w:rFonts w:cs="Calibri"/>
          <w:b/>
          <w:sz w:val="24"/>
          <w:szCs w:val="24"/>
        </w:rPr>
        <w:t>JORGE HUMBERTO MANTILLA SERRANO</w:t>
      </w:r>
    </w:p>
    <w:p w:rsidR="00BA05C2" w:rsidRPr="008A6F7E" w:rsidRDefault="00BA05C2" w:rsidP="00E30CFD">
      <w:pPr>
        <w:spacing w:after="0" w:line="240" w:lineRule="auto"/>
        <w:jc w:val="both"/>
        <w:rPr>
          <w:rFonts w:cs="Calibri"/>
          <w:b/>
          <w:sz w:val="24"/>
          <w:szCs w:val="24"/>
        </w:rPr>
      </w:pPr>
      <w:r w:rsidRPr="008A6F7E">
        <w:rPr>
          <w:rFonts w:cs="Calibri"/>
          <w:b/>
          <w:sz w:val="24"/>
          <w:szCs w:val="24"/>
        </w:rPr>
        <w:t xml:space="preserve">Secretario General </w:t>
      </w:r>
    </w:p>
    <w:p w:rsidR="00BA05C2" w:rsidRPr="008A6F7E" w:rsidRDefault="00BA05C2" w:rsidP="00E30CFD">
      <w:pPr>
        <w:spacing w:after="0" w:line="240" w:lineRule="auto"/>
        <w:jc w:val="both"/>
        <w:rPr>
          <w:rFonts w:cs="Calibri"/>
          <w:b/>
          <w:sz w:val="24"/>
          <w:szCs w:val="24"/>
        </w:rPr>
      </w:pPr>
      <w:r w:rsidRPr="008A6F7E">
        <w:rPr>
          <w:rFonts w:cs="Calibri"/>
          <w:b/>
          <w:sz w:val="24"/>
          <w:szCs w:val="24"/>
        </w:rPr>
        <w:t>Cámara de Representantes</w:t>
      </w:r>
    </w:p>
    <w:p w:rsidR="00BA05C2" w:rsidRPr="008A6F7E" w:rsidRDefault="00BA05C2" w:rsidP="00E30CFD">
      <w:pPr>
        <w:spacing w:after="0" w:line="240" w:lineRule="auto"/>
        <w:jc w:val="both"/>
        <w:rPr>
          <w:rFonts w:cs="Calibri"/>
          <w:b/>
          <w:sz w:val="24"/>
          <w:szCs w:val="24"/>
        </w:rPr>
      </w:pPr>
      <w:r w:rsidRPr="008A6F7E">
        <w:rPr>
          <w:rFonts w:cs="Calibri"/>
          <w:b/>
          <w:sz w:val="24"/>
          <w:szCs w:val="24"/>
        </w:rPr>
        <w:t xml:space="preserve">CAPITOLIO NACIONAL </w:t>
      </w:r>
    </w:p>
    <w:p w:rsidR="00BA05C2" w:rsidRPr="008A6F7E" w:rsidRDefault="00BA05C2" w:rsidP="00E30CFD">
      <w:pPr>
        <w:spacing w:after="0" w:line="240" w:lineRule="auto"/>
        <w:jc w:val="both"/>
        <w:rPr>
          <w:rFonts w:cs="Calibri"/>
          <w:b/>
          <w:sz w:val="24"/>
          <w:szCs w:val="24"/>
          <w:highlight w:val="yellow"/>
        </w:rPr>
      </w:pPr>
      <w:r w:rsidRPr="008A6F7E">
        <w:rPr>
          <w:rFonts w:cs="Calibri"/>
          <w:b/>
          <w:sz w:val="24"/>
          <w:szCs w:val="24"/>
        </w:rPr>
        <w:t>Carrera 7 No. 10 – 0 primer Piso.</w:t>
      </w:r>
      <w:r w:rsidRPr="008A6F7E">
        <w:rPr>
          <w:rFonts w:cs="Calibri"/>
          <w:b/>
          <w:sz w:val="24"/>
          <w:szCs w:val="24"/>
          <w:highlight w:val="yellow"/>
        </w:rPr>
        <w:t xml:space="preserve"> </w:t>
      </w:r>
    </w:p>
    <w:p w:rsidR="00BA05C2" w:rsidRPr="008A6F7E" w:rsidRDefault="00BA05C2" w:rsidP="00E30CFD">
      <w:pPr>
        <w:spacing w:after="0" w:line="240" w:lineRule="auto"/>
        <w:jc w:val="both"/>
        <w:rPr>
          <w:rFonts w:cs="Calibri"/>
          <w:b/>
          <w:sz w:val="24"/>
          <w:szCs w:val="24"/>
        </w:rPr>
      </w:pPr>
      <w:smartTag w:uri="urn:schemas-microsoft-com:office:smarttags" w:element="PersonName">
        <w:smartTagPr>
          <w:attr w:name="ProductID" w:val="La Ciudad."/>
        </w:smartTagPr>
        <w:r w:rsidRPr="008A6F7E">
          <w:rPr>
            <w:rFonts w:cs="Calibri"/>
            <w:b/>
            <w:sz w:val="24"/>
            <w:szCs w:val="24"/>
          </w:rPr>
          <w:t>La Ciudad.</w:t>
        </w:r>
      </w:smartTag>
    </w:p>
    <w:p w:rsidR="00BA05C2" w:rsidRPr="008A6F7E" w:rsidRDefault="00BA05C2"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sz w:val="24"/>
          <w:szCs w:val="24"/>
        </w:rPr>
      </w:pPr>
      <w:r w:rsidRPr="008A6F7E">
        <w:rPr>
          <w:rFonts w:cs="Calibri"/>
          <w:b/>
          <w:sz w:val="24"/>
          <w:szCs w:val="24"/>
        </w:rPr>
        <w:t>Asunto: Respuesta a las proposiciones No. 138 y 139 aprobadas en la sesiones plenarias del 17 y 29 de abril de 2013, respectivamente.</w:t>
      </w:r>
      <w:r w:rsidRPr="008A6F7E">
        <w:rPr>
          <w:rFonts w:cs="Calibri"/>
          <w:sz w:val="24"/>
          <w:szCs w:val="24"/>
        </w:rPr>
        <w:t xml:space="preserve"> </w:t>
      </w:r>
    </w:p>
    <w:p w:rsidR="00BA05C2" w:rsidRPr="008A6F7E" w:rsidRDefault="00BA05C2"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sz w:val="24"/>
          <w:szCs w:val="24"/>
        </w:rPr>
      </w:pPr>
      <w:r w:rsidRPr="008A6F7E">
        <w:rPr>
          <w:rFonts w:cs="Calibri"/>
          <w:sz w:val="24"/>
          <w:szCs w:val="24"/>
        </w:rPr>
        <w:t>Cordial Saludo Doctor Mantilla,</w:t>
      </w:r>
    </w:p>
    <w:p w:rsidR="00BA05C2" w:rsidRPr="008A6F7E" w:rsidRDefault="00BA05C2"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sz w:val="24"/>
          <w:szCs w:val="24"/>
        </w:rPr>
      </w:pPr>
      <w:r w:rsidRPr="008A6F7E">
        <w:rPr>
          <w:rFonts w:cs="Calibri"/>
          <w:sz w:val="24"/>
          <w:szCs w:val="24"/>
        </w:rPr>
        <w:t>Con el fin de atender los planteamientos descritos en los</w:t>
      </w:r>
      <w:r>
        <w:rPr>
          <w:rFonts w:cs="Calibri"/>
          <w:sz w:val="24"/>
          <w:szCs w:val="24"/>
        </w:rPr>
        <w:t xml:space="preserve"> oficios del asunto, mediante los</w:t>
      </w:r>
      <w:r w:rsidRPr="008A6F7E">
        <w:rPr>
          <w:rFonts w:cs="Calibri"/>
          <w:sz w:val="24"/>
          <w:szCs w:val="24"/>
        </w:rPr>
        <w:t xml:space="preserve">  cual</w:t>
      </w:r>
      <w:r>
        <w:rPr>
          <w:rFonts w:cs="Calibri"/>
          <w:sz w:val="24"/>
          <w:szCs w:val="24"/>
        </w:rPr>
        <w:t>es</w:t>
      </w:r>
      <w:r w:rsidRPr="008A6F7E">
        <w:rPr>
          <w:rFonts w:cs="Calibri"/>
          <w:sz w:val="24"/>
          <w:szCs w:val="24"/>
        </w:rPr>
        <w:t xml:space="preserve"> </w:t>
      </w:r>
      <w:smartTag w:uri="urn:schemas-microsoft-com:office:smarttags" w:element="PersonName">
        <w:smartTagPr>
          <w:attr w:name="ProductID" w:val="la Plenaria"/>
        </w:smartTagPr>
        <w:r w:rsidRPr="008A6F7E">
          <w:rPr>
            <w:rFonts w:cs="Calibri"/>
            <w:sz w:val="24"/>
            <w:szCs w:val="24"/>
          </w:rPr>
          <w:t>la Plenaria</w:t>
        </w:r>
      </w:smartTag>
      <w:r w:rsidRPr="008A6F7E">
        <w:rPr>
          <w:rFonts w:cs="Calibri"/>
          <w:sz w:val="24"/>
          <w:szCs w:val="24"/>
        </w:rPr>
        <w:t xml:space="preserve"> de </w:t>
      </w:r>
      <w:smartTag w:uri="urn:schemas-microsoft-com:office:smarttags" w:element="PersonName">
        <w:smartTagPr>
          <w:attr w:name="ProductID" w:val="la C￡mara"/>
        </w:smartTagPr>
        <w:r w:rsidRPr="008A6F7E">
          <w:rPr>
            <w:rFonts w:cs="Calibri"/>
            <w:sz w:val="24"/>
            <w:szCs w:val="24"/>
          </w:rPr>
          <w:t>la Cámara</w:t>
        </w:r>
      </w:smartTag>
      <w:r w:rsidRPr="008A6F7E">
        <w:rPr>
          <w:rFonts w:cs="Calibri"/>
          <w:sz w:val="24"/>
          <w:szCs w:val="24"/>
        </w:rPr>
        <w:t xml:space="preserve"> de Representante realiza una citación a debate, para que absuelva un cuestionario adjunt</w:t>
      </w:r>
      <w:r>
        <w:rPr>
          <w:rFonts w:cs="Calibri"/>
          <w:sz w:val="24"/>
          <w:szCs w:val="24"/>
        </w:rPr>
        <w:t>o, procederemos a contestar en términos metodológicos, agrupando las preguntas que tiene contenidos afines.</w:t>
      </w:r>
    </w:p>
    <w:p w:rsidR="00BA05C2" w:rsidRPr="008A6F7E" w:rsidRDefault="00BA05C2" w:rsidP="00E30CFD">
      <w:pPr>
        <w:spacing w:after="0" w:line="240" w:lineRule="auto"/>
        <w:jc w:val="both"/>
        <w:rPr>
          <w:rFonts w:cs="Calibri"/>
          <w:sz w:val="24"/>
          <w:szCs w:val="24"/>
        </w:rPr>
      </w:pPr>
    </w:p>
    <w:p w:rsidR="00BA05C2" w:rsidRPr="008A6F7E" w:rsidRDefault="00BA05C2" w:rsidP="00E30CFD">
      <w:pPr>
        <w:spacing w:after="0" w:line="240" w:lineRule="auto"/>
        <w:jc w:val="both"/>
        <w:rPr>
          <w:rFonts w:cs="Calibri"/>
          <w:b/>
          <w:sz w:val="24"/>
          <w:szCs w:val="24"/>
        </w:rPr>
      </w:pPr>
      <w:r w:rsidRPr="008A6F7E">
        <w:rPr>
          <w:rFonts w:cs="Calibri"/>
          <w:b/>
          <w:sz w:val="24"/>
          <w:szCs w:val="24"/>
        </w:rPr>
        <w:t>Proposición No. 138</w:t>
      </w:r>
      <w:r>
        <w:rPr>
          <w:rFonts w:cs="Calibri"/>
          <w:b/>
          <w:sz w:val="24"/>
          <w:szCs w:val="24"/>
        </w:rPr>
        <w:t xml:space="preserve"> </w:t>
      </w:r>
    </w:p>
    <w:p w:rsidR="00BA05C2" w:rsidRPr="008A6F7E" w:rsidRDefault="00BA05C2" w:rsidP="00E30CFD">
      <w:pPr>
        <w:spacing w:after="0" w:line="240" w:lineRule="auto"/>
        <w:jc w:val="both"/>
        <w:rPr>
          <w:rFonts w:cs="Calibri"/>
          <w:sz w:val="24"/>
          <w:szCs w:val="24"/>
        </w:rPr>
      </w:pPr>
    </w:p>
    <w:p w:rsidR="00BA05C2" w:rsidRPr="008A6F7E" w:rsidRDefault="00BA05C2" w:rsidP="00E30CFD">
      <w:pPr>
        <w:pStyle w:val="Prrafodelista"/>
        <w:numPr>
          <w:ilvl w:val="0"/>
          <w:numId w:val="3"/>
        </w:numPr>
        <w:spacing w:after="0" w:line="240" w:lineRule="auto"/>
        <w:jc w:val="both"/>
        <w:rPr>
          <w:rFonts w:cs="Calibri"/>
          <w:b/>
          <w:sz w:val="24"/>
          <w:szCs w:val="24"/>
        </w:rPr>
      </w:pPr>
      <w:r w:rsidRPr="008A6F7E">
        <w:rPr>
          <w:rFonts w:cs="Calibri"/>
          <w:b/>
          <w:sz w:val="24"/>
          <w:szCs w:val="24"/>
        </w:rPr>
        <w:t>Sírvase informar el estado de avance y tramite en que se encuentra el protocolo general de traspaso del ISS en liquidación a Colpensiones, indicando el cronograma de entrega, la metodología utilizada, las cifras en los siguientes aspectos</w:t>
      </w:r>
    </w:p>
    <w:p w:rsidR="00BA05C2" w:rsidRPr="008A6F7E" w:rsidRDefault="00BA05C2" w:rsidP="00E30CFD">
      <w:pPr>
        <w:spacing w:after="0" w:line="240" w:lineRule="auto"/>
        <w:jc w:val="both"/>
        <w:rPr>
          <w:rFonts w:cs="Calibri"/>
          <w:b/>
          <w:sz w:val="24"/>
          <w:szCs w:val="24"/>
        </w:rPr>
      </w:pP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Solicitud de Reconocimiento de Prestaciones Sociales</w:t>
      </w: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Novedades de nómina</w:t>
      </w: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Corrección de historia laboral tradicional</w:t>
      </w: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Corrección de historia laboral Post. 95</w:t>
      </w: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Derechos de Petición</w:t>
      </w: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Bonos Pensiónales y otros</w:t>
      </w:r>
    </w:p>
    <w:p w:rsidR="00BA05C2" w:rsidRPr="008A6F7E" w:rsidRDefault="00BA05C2" w:rsidP="00E30CFD">
      <w:pPr>
        <w:pStyle w:val="Prrafodelista"/>
        <w:numPr>
          <w:ilvl w:val="0"/>
          <w:numId w:val="20"/>
        </w:numPr>
        <w:spacing w:after="0" w:line="240" w:lineRule="auto"/>
        <w:jc w:val="both"/>
        <w:rPr>
          <w:rFonts w:cs="Calibri"/>
          <w:b/>
          <w:sz w:val="24"/>
          <w:szCs w:val="24"/>
        </w:rPr>
      </w:pPr>
      <w:r w:rsidRPr="008A6F7E">
        <w:rPr>
          <w:rFonts w:cs="Calibri"/>
          <w:b/>
          <w:sz w:val="24"/>
          <w:szCs w:val="24"/>
        </w:rPr>
        <w:t>Cuotas Partes Pensionales y otros</w:t>
      </w:r>
    </w:p>
    <w:p w:rsidR="00BA05C2" w:rsidRPr="008A6F7E" w:rsidRDefault="00BA05C2" w:rsidP="00E30CFD">
      <w:pPr>
        <w:pStyle w:val="Prrafodelista"/>
        <w:spacing w:after="0" w:line="240" w:lineRule="auto"/>
        <w:ind w:left="0"/>
        <w:jc w:val="both"/>
        <w:rPr>
          <w:rFonts w:cs="Calibri"/>
          <w:b/>
          <w:sz w:val="24"/>
          <w:szCs w:val="24"/>
        </w:rPr>
      </w:pPr>
    </w:p>
    <w:p w:rsidR="009533A4" w:rsidRDefault="009533A4" w:rsidP="00E30CFD">
      <w:pPr>
        <w:spacing w:after="0" w:line="240" w:lineRule="auto"/>
        <w:jc w:val="both"/>
        <w:rPr>
          <w:rFonts w:cs="Tahoma"/>
          <w:b/>
          <w:sz w:val="24"/>
          <w:szCs w:val="24"/>
        </w:rPr>
      </w:pPr>
    </w:p>
    <w:p w:rsidR="00BA05C2" w:rsidRDefault="00BA05C2" w:rsidP="00E30CFD">
      <w:pPr>
        <w:spacing w:after="0" w:line="240" w:lineRule="auto"/>
        <w:jc w:val="both"/>
        <w:rPr>
          <w:rFonts w:cs="Tahoma"/>
          <w:b/>
          <w:sz w:val="24"/>
          <w:szCs w:val="24"/>
        </w:rPr>
      </w:pPr>
      <w:r>
        <w:rPr>
          <w:rFonts w:cs="Tahoma"/>
          <w:b/>
          <w:sz w:val="24"/>
          <w:szCs w:val="24"/>
        </w:rPr>
        <w:lastRenderedPageBreak/>
        <w:t xml:space="preserve">Proposición 139 </w:t>
      </w:r>
    </w:p>
    <w:p w:rsidR="00BA05C2" w:rsidRPr="008A6F7E" w:rsidRDefault="00BA05C2" w:rsidP="00E30CFD">
      <w:pPr>
        <w:spacing w:after="0" w:line="240" w:lineRule="auto"/>
        <w:jc w:val="both"/>
        <w:rPr>
          <w:rFonts w:cs="Calibri"/>
          <w:b/>
          <w:sz w:val="24"/>
          <w:szCs w:val="24"/>
        </w:rPr>
      </w:pPr>
    </w:p>
    <w:p w:rsidR="00BA05C2" w:rsidRPr="008A6F7E" w:rsidRDefault="00BA05C2" w:rsidP="00E30CFD">
      <w:pPr>
        <w:pStyle w:val="Prrafodelista"/>
        <w:numPr>
          <w:ilvl w:val="0"/>
          <w:numId w:val="23"/>
        </w:numPr>
        <w:spacing w:after="0" w:line="240" w:lineRule="auto"/>
        <w:jc w:val="both"/>
        <w:rPr>
          <w:rFonts w:cs="Calibri"/>
          <w:b/>
          <w:sz w:val="24"/>
          <w:szCs w:val="24"/>
        </w:rPr>
      </w:pPr>
      <w:r w:rsidRPr="008A6F7E">
        <w:rPr>
          <w:rFonts w:cs="Calibri"/>
          <w:b/>
          <w:sz w:val="24"/>
          <w:szCs w:val="24"/>
        </w:rPr>
        <w:t>Indicar el avance en el proceso de transferencia de información soportado en cifras y porcentajes de cumplimiento desde el inicio del empalme.</w:t>
      </w:r>
    </w:p>
    <w:p w:rsidR="00BA05C2" w:rsidRPr="008A6F7E" w:rsidRDefault="00BA05C2" w:rsidP="00E30CFD">
      <w:pPr>
        <w:pStyle w:val="Prrafodelista"/>
        <w:spacing w:after="0" w:line="240" w:lineRule="auto"/>
        <w:jc w:val="both"/>
        <w:rPr>
          <w:rFonts w:cs="Calibri"/>
          <w:b/>
          <w:sz w:val="24"/>
          <w:szCs w:val="24"/>
        </w:rPr>
      </w:pP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 xml:space="preserve">Expedientes digitalizados </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Solicitudes de reconocimiento</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Historias laborales</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Bonos pensionales</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Actos administrativos expedidos por el ISS pendientes de notificar a la fecha de inicio de la liquidación.</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Sentencias para cumplimiento</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Procesos judiciales</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Tutelas</w:t>
      </w:r>
    </w:p>
    <w:p w:rsidR="00BA05C2" w:rsidRDefault="00BA05C2" w:rsidP="00E30CFD">
      <w:pPr>
        <w:spacing w:after="0" w:line="240" w:lineRule="auto"/>
        <w:jc w:val="both"/>
        <w:rPr>
          <w:rFonts w:cs="Tahoma"/>
          <w:b/>
          <w:sz w:val="24"/>
          <w:szCs w:val="24"/>
        </w:rPr>
      </w:pPr>
    </w:p>
    <w:p w:rsidR="00BA05C2" w:rsidRPr="008A6F7E" w:rsidRDefault="00BA05C2" w:rsidP="00E30CFD">
      <w:pPr>
        <w:numPr>
          <w:ilvl w:val="0"/>
          <w:numId w:val="16"/>
        </w:numPr>
        <w:spacing w:after="0" w:line="240" w:lineRule="auto"/>
        <w:jc w:val="both"/>
        <w:rPr>
          <w:rFonts w:cs="Tahoma"/>
          <w:b/>
          <w:sz w:val="24"/>
          <w:szCs w:val="24"/>
        </w:rPr>
      </w:pPr>
      <w:r w:rsidRPr="008A6F7E">
        <w:rPr>
          <w:rFonts w:cs="Tahoma"/>
          <w:b/>
          <w:sz w:val="24"/>
          <w:szCs w:val="24"/>
        </w:rPr>
        <w:t>PROTOCOLO DE ENTREGA</w:t>
      </w:r>
    </w:p>
    <w:p w:rsidR="00BA05C2" w:rsidRPr="008A6F7E" w:rsidRDefault="00BA05C2" w:rsidP="00E30CFD">
      <w:pPr>
        <w:spacing w:after="0" w:line="240" w:lineRule="auto"/>
        <w:ind w:left="720"/>
        <w:jc w:val="both"/>
        <w:rPr>
          <w:rFonts w:cs="Tahoma"/>
          <w:sz w:val="24"/>
          <w:szCs w:val="24"/>
        </w:rPr>
      </w:pPr>
    </w:p>
    <w:p w:rsidR="00BA05C2" w:rsidRPr="008A6F7E" w:rsidRDefault="00BA05C2" w:rsidP="00E30CFD">
      <w:pPr>
        <w:spacing w:after="0" w:line="240" w:lineRule="auto"/>
        <w:jc w:val="both"/>
        <w:rPr>
          <w:rFonts w:cs="Tahoma"/>
          <w:sz w:val="24"/>
          <w:szCs w:val="24"/>
        </w:rPr>
      </w:pPr>
      <w:r w:rsidRPr="008A6F7E">
        <w:rPr>
          <w:rFonts w:cs="Tahoma"/>
          <w:sz w:val="24"/>
          <w:szCs w:val="24"/>
        </w:rPr>
        <w:t xml:space="preserve">En relación con este punto, es importante resaltar que para planear la entrega fue necesario que las dos entidades (ISS – Colpensiones), dimensionaran el volumen y la complejidad de la información recopilada en los últimos sesenta (60) años de existencia de </w:t>
      </w:r>
      <w:smartTag w:uri="urn:schemas-microsoft-com:office:smarttags" w:element="PersonName">
        <w:smartTagPr>
          <w:attr w:name="ProductID" w:val="la Entidad."/>
        </w:smartTagPr>
        <w:r w:rsidRPr="008A6F7E">
          <w:rPr>
            <w:rFonts w:cs="Tahoma"/>
            <w:sz w:val="24"/>
            <w:szCs w:val="24"/>
          </w:rPr>
          <w:t>la Entidad.</w:t>
        </w:r>
      </w:smartTag>
      <w:r w:rsidRPr="008A6F7E">
        <w:rPr>
          <w:rFonts w:cs="Tahoma"/>
          <w:sz w:val="24"/>
          <w:szCs w:val="24"/>
        </w:rPr>
        <w:t xml:space="preserve"> </w:t>
      </w:r>
    </w:p>
    <w:p w:rsidR="00BA05C2" w:rsidRPr="008A6F7E" w:rsidRDefault="00BA05C2" w:rsidP="00E30CFD">
      <w:pPr>
        <w:spacing w:after="0" w:line="240" w:lineRule="auto"/>
        <w:jc w:val="both"/>
        <w:rPr>
          <w:rFonts w:cs="Tahoma"/>
          <w:sz w:val="24"/>
          <w:szCs w:val="24"/>
        </w:rPr>
      </w:pPr>
    </w:p>
    <w:p w:rsidR="00BA05C2" w:rsidRPr="008A6F7E" w:rsidRDefault="00BA05C2" w:rsidP="00E30CFD">
      <w:pPr>
        <w:spacing w:line="240" w:lineRule="auto"/>
        <w:jc w:val="both"/>
        <w:rPr>
          <w:rFonts w:cs="Tahoma"/>
          <w:sz w:val="24"/>
          <w:szCs w:val="24"/>
        </w:rPr>
      </w:pPr>
      <w:r w:rsidRPr="008A6F7E">
        <w:rPr>
          <w:rFonts w:cs="Tahoma"/>
          <w:sz w:val="24"/>
          <w:szCs w:val="24"/>
        </w:rPr>
        <w:t xml:space="preserve">Factores como los adelantos tecnológicos, que implican un ajuste constante a los procesos asociados a la administración del sistema y de la forma de registrar la información que los sustenta, y el volumen de afiliados al régimen, entre otros, obligaron, en el marco del PRINCIPIO DE </w:t>
      </w:r>
      <w:smartTag w:uri="urn:schemas-microsoft-com:office:smarttags" w:element="PersonName">
        <w:smartTagPr>
          <w:attr w:name="ProductID" w:val="LA PLANEACIￓN"/>
        </w:smartTagPr>
        <w:r w:rsidRPr="008A6F7E">
          <w:rPr>
            <w:rFonts w:cs="Tahoma"/>
            <w:sz w:val="24"/>
            <w:szCs w:val="24"/>
          </w:rPr>
          <w:t>LA PLANEACIÓN</w:t>
        </w:r>
      </w:smartTag>
      <w:r w:rsidRPr="008A6F7E">
        <w:rPr>
          <w:rFonts w:cs="Tahoma"/>
          <w:sz w:val="24"/>
          <w:szCs w:val="24"/>
        </w:rPr>
        <w:t xml:space="preserve">, a las dos entidades involucradas en el traspaso, a diseñar un instrumento que comprendiera todo el universo de la materia a transferir que naturalmente, fue complejo. </w:t>
      </w:r>
    </w:p>
    <w:p w:rsidR="00BA05C2" w:rsidRPr="008A6F7E" w:rsidRDefault="00BA05C2" w:rsidP="00E30CFD">
      <w:pPr>
        <w:spacing w:line="240" w:lineRule="auto"/>
        <w:jc w:val="both"/>
        <w:rPr>
          <w:rFonts w:cs="Tahoma"/>
          <w:sz w:val="24"/>
          <w:szCs w:val="24"/>
        </w:rPr>
      </w:pPr>
      <w:r w:rsidRPr="008A6F7E">
        <w:rPr>
          <w:rFonts w:cs="Tahoma"/>
          <w:sz w:val="24"/>
          <w:szCs w:val="24"/>
        </w:rPr>
        <w:t xml:space="preserve">Fue así, como se elaboró un protocolo de entrega que contempló, inicialmente 208 ítems o asuntos, referentes a todos los procesos de la entidad, en todas sus modalidades y soportadas en tantos medios como ha ofrecido la tecnología a lo largo del tiempo, a los cuales se va a hacer referencia en este documento. </w:t>
      </w:r>
    </w:p>
    <w:p w:rsidR="00BA05C2" w:rsidRPr="008A6F7E" w:rsidRDefault="00BA05C2" w:rsidP="00E30CFD">
      <w:pPr>
        <w:spacing w:after="0" w:line="240" w:lineRule="auto"/>
        <w:jc w:val="both"/>
        <w:rPr>
          <w:rFonts w:cs="Tahoma"/>
          <w:sz w:val="24"/>
          <w:szCs w:val="24"/>
        </w:rPr>
      </w:pPr>
      <w:r w:rsidRPr="008A6F7E">
        <w:rPr>
          <w:rFonts w:cs="Tahoma"/>
          <w:sz w:val="24"/>
          <w:szCs w:val="24"/>
        </w:rPr>
        <w:t xml:space="preserve">Es por esto que, se reitera, es necesario que </w:t>
      </w:r>
      <w:smartTag w:uri="urn:schemas-microsoft-com:office:smarttags" w:element="PersonName">
        <w:smartTagPr>
          <w:attr w:name="ProductID" w:val="la Honorable"/>
        </w:smartTagPr>
        <w:smartTag w:uri="urn:schemas-microsoft-com:office:smarttags" w:element="PersonName">
          <w:smartTagPr>
            <w:attr w:name="ProductID" w:val="la Honorable C￡mara"/>
          </w:smartTagPr>
          <w:r w:rsidRPr="008A6F7E">
            <w:rPr>
              <w:rFonts w:cs="Tahoma"/>
              <w:sz w:val="24"/>
              <w:szCs w:val="24"/>
            </w:rPr>
            <w:t xml:space="preserve">la </w:t>
          </w:r>
          <w:r>
            <w:rPr>
              <w:rFonts w:cs="Tahoma"/>
              <w:sz w:val="24"/>
              <w:szCs w:val="24"/>
            </w:rPr>
            <w:t>Honorable</w:t>
          </w:r>
        </w:smartTag>
        <w:r>
          <w:rPr>
            <w:rFonts w:cs="Tahoma"/>
            <w:sz w:val="24"/>
            <w:szCs w:val="24"/>
          </w:rPr>
          <w:t xml:space="preserve"> Cámara</w:t>
        </w:r>
      </w:smartTag>
      <w:r>
        <w:rPr>
          <w:rFonts w:cs="Tahoma"/>
          <w:sz w:val="24"/>
          <w:szCs w:val="24"/>
        </w:rPr>
        <w:t xml:space="preserve"> de Representantes</w:t>
      </w:r>
      <w:r w:rsidRPr="008A6F7E">
        <w:rPr>
          <w:rFonts w:cs="Tahoma"/>
          <w:sz w:val="24"/>
          <w:szCs w:val="24"/>
        </w:rPr>
        <w:t xml:space="preserve"> conozca de las particularidades de este proceso y sus consecuencias, por lo que a manera de ejemplo presentamos a continuación algunos ítems: </w:t>
      </w:r>
    </w:p>
    <w:p w:rsidR="00BA05C2" w:rsidRPr="008A6F7E" w:rsidRDefault="00BA05C2" w:rsidP="00E30CFD">
      <w:pPr>
        <w:spacing w:after="0" w:line="240" w:lineRule="auto"/>
        <w:jc w:val="both"/>
        <w:rPr>
          <w:rFonts w:cs="Tahoma"/>
          <w:sz w:val="24"/>
          <w:szCs w:val="24"/>
        </w:rPr>
      </w:pPr>
    </w:p>
    <w:p w:rsidR="00BA05C2" w:rsidRPr="008A6F7E" w:rsidRDefault="00BA05C2" w:rsidP="00E30CFD">
      <w:pPr>
        <w:numPr>
          <w:ilvl w:val="0"/>
          <w:numId w:val="10"/>
        </w:numPr>
        <w:spacing w:after="0" w:line="240" w:lineRule="auto"/>
        <w:jc w:val="both"/>
        <w:rPr>
          <w:rFonts w:cs="Tahoma"/>
          <w:b/>
          <w:sz w:val="24"/>
          <w:szCs w:val="24"/>
        </w:rPr>
      </w:pPr>
      <w:r w:rsidRPr="008A6F7E">
        <w:rPr>
          <w:rFonts w:cs="Tahoma"/>
          <w:b/>
          <w:sz w:val="24"/>
          <w:szCs w:val="24"/>
        </w:rPr>
        <w:t xml:space="preserve">AFILIACIÓN </w:t>
      </w:r>
    </w:p>
    <w:p w:rsidR="00BA05C2" w:rsidRPr="008A6F7E" w:rsidRDefault="00BA05C2" w:rsidP="00E30CFD">
      <w:pPr>
        <w:spacing w:after="0" w:line="240" w:lineRule="auto"/>
        <w:ind w:left="720"/>
        <w:jc w:val="both"/>
        <w:rPr>
          <w:rFonts w:cs="Tahoma"/>
          <w:b/>
          <w:sz w:val="24"/>
          <w:szCs w:val="24"/>
        </w:rPr>
      </w:pPr>
      <w:r w:rsidRPr="008A6F7E">
        <w:rPr>
          <w:rFonts w:cs="Tahoma"/>
          <w:b/>
          <w:sz w:val="24"/>
          <w:szCs w:val="24"/>
        </w:rPr>
        <w:t xml:space="preserve">  </w:t>
      </w:r>
    </w:p>
    <w:p w:rsidR="00BA05C2" w:rsidRPr="008A6F7E" w:rsidRDefault="00BA05C2" w:rsidP="00E30CFD">
      <w:pPr>
        <w:spacing w:after="0" w:line="240" w:lineRule="auto"/>
        <w:jc w:val="both"/>
        <w:rPr>
          <w:rFonts w:cs="Tahoma"/>
          <w:sz w:val="24"/>
          <w:szCs w:val="24"/>
        </w:rPr>
      </w:pPr>
      <w:r w:rsidRPr="008A6F7E">
        <w:rPr>
          <w:rFonts w:cs="Tahoma"/>
          <w:sz w:val="24"/>
          <w:szCs w:val="24"/>
        </w:rPr>
        <w:t xml:space="preserve">Para la totalidad de los temas que comprenden el proceso de afiliación, fue necesario establecer 16 ítems dentro del protocolo, que abarcan desde los medios magnéticos </w:t>
      </w:r>
      <w:r w:rsidRPr="008A6F7E">
        <w:rPr>
          <w:rFonts w:cs="Tahoma"/>
          <w:sz w:val="24"/>
          <w:szCs w:val="24"/>
        </w:rPr>
        <w:lastRenderedPageBreak/>
        <w:t>pendientes de actualizar ante el Ministerio de Trabajo (RUAF y RUA), así como las solicitudes pendientes que ingresaron por medio físico o digital (correo electrónico, portal web), tanto en el Nivel Nacional como en cada una de las 28 seccionales del país.</w:t>
      </w:r>
    </w:p>
    <w:p w:rsidR="00BA05C2" w:rsidRPr="008A6F7E" w:rsidRDefault="00BA05C2" w:rsidP="00E30CFD">
      <w:pPr>
        <w:spacing w:after="0" w:line="240" w:lineRule="auto"/>
        <w:jc w:val="both"/>
        <w:rPr>
          <w:rFonts w:cs="Tahoma"/>
          <w:sz w:val="24"/>
          <w:szCs w:val="24"/>
        </w:rPr>
      </w:pPr>
    </w:p>
    <w:p w:rsidR="00BA05C2" w:rsidRPr="008A6F7E" w:rsidRDefault="00BA05C2" w:rsidP="00E30CFD">
      <w:pPr>
        <w:spacing w:line="240" w:lineRule="auto"/>
        <w:jc w:val="both"/>
        <w:rPr>
          <w:rFonts w:cs="Tahoma"/>
          <w:sz w:val="24"/>
          <w:szCs w:val="24"/>
        </w:rPr>
      </w:pPr>
      <w:r w:rsidRPr="008A6F7E">
        <w:rPr>
          <w:rFonts w:cs="Tahoma"/>
          <w:sz w:val="24"/>
          <w:szCs w:val="24"/>
        </w:rPr>
        <w:t>Dentro de las solicitudes pendientes al 28 de septiembre de 2012, se encontraban trámites relacionados con anulaciones, retractos, y afiliaciones que corresponden a información que debe ser identificada y separada al realizar el traspaso a Colpensiones, con el fin de actualizar y validar el estado de afiliación como resultado de los trámites mencionados.  Así mismo, la entrega de los archivos digitales de los documentos que se consideraron conjuntamente como soportes de los procesos llevados por el ISS durante su funcionamiento.</w:t>
      </w:r>
    </w:p>
    <w:p w:rsidR="00BA05C2" w:rsidRPr="008A6F7E" w:rsidRDefault="00BA05C2" w:rsidP="00E30CFD">
      <w:pPr>
        <w:numPr>
          <w:ilvl w:val="0"/>
          <w:numId w:val="10"/>
        </w:numPr>
        <w:spacing w:line="240" w:lineRule="auto"/>
        <w:jc w:val="both"/>
        <w:rPr>
          <w:rFonts w:cs="Tahoma"/>
          <w:b/>
          <w:sz w:val="24"/>
          <w:szCs w:val="24"/>
        </w:rPr>
      </w:pPr>
      <w:r w:rsidRPr="008A6F7E">
        <w:rPr>
          <w:rFonts w:cs="Tahoma"/>
          <w:b/>
          <w:sz w:val="24"/>
          <w:szCs w:val="24"/>
        </w:rPr>
        <w:t>HISTORIA LABORAL</w:t>
      </w:r>
    </w:p>
    <w:p w:rsidR="00BA05C2" w:rsidRPr="008A6F7E" w:rsidRDefault="00BA05C2" w:rsidP="00E30CFD">
      <w:pPr>
        <w:spacing w:after="0" w:line="240" w:lineRule="auto"/>
        <w:jc w:val="both"/>
        <w:rPr>
          <w:rFonts w:cs="Tahoma"/>
          <w:sz w:val="24"/>
          <w:szCs w:val="24"/>
        </w:rPr>
      </w:pPr>
      <w:r w:rsidRPr="008A6F7E">
        <w:rPr>
          <w:rFonts w:cs="Tahoma"/>
          <w:sz w:val="24"/>
          <w:szCs w:val="24"/>
        </w:rPr>
        <w:t>Para el traspaso de la información de historia laboral del periodo comprendido entre 1967 y 1994, denominado historia laboral tradicional, se determinaron conjuntamente 22 ítems que comprendían, entre otros, solicitudes pendientes clasificadas por sistema de ingreso, microfichas de facturación, microfichas de sistema de Autoliquidación de Aportes (ALA), tarjetas de reseña, libros de pago y rollos micrográficos, que en algunos casos fueron entregados tanto en medio físico como en medio digital.</w:t>
      </w:r>
    </w:p>
    <w:p w:rsidR="00BA05C2" w:rsidRPr="008A6F7E" w:rsidRDefault="00BA05C2" w:rsidP="00E30CFD">
      <w:pPr>
        <w:spacing w:after="0" w:line="240" w:lineRule="auto"/>
        <w:jc w:val="both"/>
        <w:rPr>
          <w:rFonts w:cs="Tahoma"/>
          <w:sz w:val="24"/>
          <w:szCs w:val="24"/>
        </w:rPr>
      </w:pPr>
    </w:p>
    <w:p w:rsidR="00BA05C2" w:rsidRPr="008A6F7E" w:rsidRDefault="00BA05C2" w:rsidP="00E30CFD">
      <w:pPr>
        <w:numPr>
          <w:ilvl w:val="0"/>
          <w:numId w:val="10"/>
        </w:numPr>
        <w:spacing w:after="0" w:line="240" w:lineRule="auto"/>
        <w:jc w:val="both"/>
        <w:rPr>
          <w:rFonts w:cs="Tahoma"/>
          <w:b/>
          <w:sz w:val="24"/>
          <w:szCs w:val="24"/>
        </w:rPr>
      </w:pPr>
      <w:r w:rsidRPr="008A6F7E">
        <w:rPr>
          <w:rFonts w:cs="Tahoma"/>
          <w:b/>
          <w:sz w:val="24"/>
          <w:szCs w:val="24"/>
        </w:rPr>
        <w:t>NÓMINA</w:t>
      </w:r>
    </w:p>
    <w:p w:rsidR="00BA05C2" w:rsidRPr="008A6F7E" w:rsidRDefault="00BA05C2" w:rsidP="00E30CFD">
      <w:pPr>
        <w:spacing w:after="0" w:line="240" w:lineRule="auto"/>
        <w:ind w:left="720"/>
        <w:jc w:val="both"/>
        <w:rPr>
          <w:rFonts w:cs="Tahoma"/>
          <w:b/>
          <w:sz w:val="24"/>
          <w:szCs w:val="24"/>
        </w:rPr>
      </w:pPr>
    </w:p>
    <w:p w:rsidR="00BA05C2" w:rsidRPr="008A6F7E" w:rsidRDefault="00BA05C2" w:rsidP="00E30CFD">
      <w:pPr>
        <w:spacing w:after="0" w:line="240" w:lineRule="auto"/>
        <w:jc w:val="both"/>
        <w:rPr>
          <w:rFonts w:cs="Tahoma"/>
          <w:sz w:val="24"/>
          <w:szCs w:val="24"/>
        </w:rPr>
      </w:pPr>
      <w:r w:rsidRPr="008A6F7E">
        <w:rPr>
          <w:rFonts w:cs="Tahoma"/>
          <w:sz w:val="24"/>
          <w:szCs w:val="24"/>
        </w:rPr>
        <w:t>Otro proceso de complejidad en los temas de entrega corresponde a la información de Nómina de Pensionados, en el cual se definieron 20 ítems, como solicitudes pendientes de ingresos, novedades masivas de cooperativas, solicitudes de reintegros de mesadas, novedades físicas, recuperación de semanas, asignación de códigos de descuento y archivos físicos de novedades y correspondencia, expedientes históricos de conmutados, archivos de reintegros de terceros, información que en algunos casos debió trasladarse desde las Seccionales una vez se inició la liquidación del Instituto.</w:t>
      </w:r>
    </w:p>
    <w:p w:rsidR="00BA05C2" w:rsidRPr="008A6F7E" w:rsidRDefault="00BA05C2" w:rsidP="00E30CFD">
      <w:pPr>
        <w:spacing w:after="0" w:line="240" w:lineRule="auto"/>
        <w:jc w:val="both"/>
        <w:rPr>
          <w:rFonts w:cs="Tahoma"/>
          <w:sz w:val="24"/>
          <w:szCs w:val="24"/>
        </w:rPr>
      </w:pPr>
    </w:p>
    <w:p w:rsidR="00BA05C2" w:rsidRPr="008A6F7E" w:rsidRDefault="00BA05C2" w:rsidP="00E30CFD">
      <w:pPr>
        <w:spacing w:line="240" w:lineRule="auto"/>
        <w:jc w:val="both"/>
        <w:rPr>
          <w:rFonts w:cs="Tahoma"/>
          <w:sz w:val="24"/>
          <w:szCs w:val="24"/>
        </w:rPr>
      </w:pPr>
      <w:r w:rsidRPr="008A6F7E">
        <w:rPr>
          <w:rFonts w:cs="Tahoma"/>
          <w:sz w:val="24"/>
          <w:szCs w:val="24"/>
        </w:rPr>
        <w:t xml:space="preserve">En cuanto a la entrega de algunos tipos de documentación física, es preciso anotar que ha sido necesario validar entre Colpensiones, el ISS y el Archivo General de </w:t>
      </w:r>
      <w:smartTag w:uri="urn:schemas-microsoft-com:office:smarttags" w:element="PersonName">
        <w:smartTagPr>
          <w:attr w:name="ProductID" w:val="la Naci￳n"/>
        </w:smartTagPr>
        <w:r w:rsidRPr="008A6F7E">
          <w:rPr>
            <w:rFonts w:cs="Tahoma"/>
            <w:sz w:val="24"/>
            <w:szCs w:val="24"/>
          </w:rPr>
          <w:t>la Nación</w:t>
        </w:r>
      </w:smartTag>
      <w:r w:rsidRPr="008A6F7E">
        <w:rPr>
          <w:rFonts w:cs="Tahoma"/>
          <w:sz w:val="24"/>
          <w:szCs w:val="24"/>
        </w:rPr>
        <w:t xml:space="preserve"> las condiciones de alistamiento y los folios que deben reposar en cada uno, para garantizar que exista una plena identificación de la información objeto de traspaso a Colpensiones. Estas particularidades son de vital importancia dado el volumen de documentos del Régimen de Prima Media con Prestación Definida, que manejó el ISS en el periodo comprendido entre 1967 hasta septiembre de 2012.</w:t>
      </w:r>
    </w:p>
    <w:p w:rsidR="00BA05C2" w:rsidRPr="008A6F7E" w:rsidRDefault="00BA05C2" w:rsidP="00E30CFD">
      <w:pPr>
        <w:spacing w:line="240" w:lineRule="auto"/>
        <w:jc w:val="both"/>
        <w:rPr>
          <w:rFonts w:cs="Tahoma"/>
          <w:sz w:val="24"/>
          <w:szCs w:val="24"/>
        </w:rPr>
      </w:pPr>
      <w:r w:rsidRPr="008A6F7E">
        <w:rPr>
          <w:rFonts w:cs="Tahoma"/>
          <w:sz w:val="24"/>
          <w:szCs w:val="24"/>
        </w:rPr>
        <w:t xml:space="preserve">Como resultado de este análisis y con el propósito de garantizar los derechos de los afiliados, el proceso de traspaso del Instituto de Seguros Sociales a Colpensiones, desde la etapa de alistamiento, se enmarcó en una planeación concertada entre las dos entidades, </w:t>
      </w:r>
      <w:r w:rsidRPr="008A6F7E">
        <w:rPr>
          <w:rFonts w:cs="Tahoma"/>
          <w:sz w:val="24"/>
          <w:szCs w:val="24"/>
        </w:rPr>
        <w:lastRenderedPageBreak/>
        <w:t xml:space="preserve">cuyo resultado fue el </w:t>
      </w:r>
      <w:r w:rsidRPr="008A6F7E">
        <w:rPr>
          <w:rFonts w:cs="Tahoma"/>
          <w:i/>
          <w:sz w:val="24"/>
          <w:szCs w:val="24"/>
        </w:rPr>
        <w:t>Protocolo General de Entrega del ISS y recibo por parte de Colpensiones</w:t>
      </w:r>
      <w:r w:rsidRPr="008A6F7E">
        <w:rPr>
          <w:rFonts w:cs="Tahoma"/>
          <w:sz w:val="24"/>
          <w:szCs w:val="24"/>
        </w:rPr>
        <w:t>, donde se plasmó la metodología y las metas a cumplir.</w:t>
      </w:r>
    </w:p>
    <w:p w:rsidR="00BA05C2" w:rsidRPr="008A6F7E" w:rsidRDefault="00BA05C2" w:rsidP="00E30CFD">
      <w:pPr>
        <w:spacing w:after="0" w:line="240" w:lineRule="auto"/>
        <w:jc w:val="both"/>
        <w:rPr>
          <w:rFonts w:cs="Arial"/>
          <w:sz w:val="24"/>
          <w:szCs w:val="24"/>
        </w:rPr>
      </w:pPr>
      <w:r w:rsidRPr="008A6F7E">
        <w:rPr>
          <w:rFonts w:cs="Arial"/>
          <w:sz w:val="24"/>
          <w:szCs w:val="24"/>
        </w:rPr>
        <w:t xml:space="preserve">Atendiendo a las disposiciones plasmadas en el protocolo, y respecto del avance y trámite en que se encuentra el traspaso de la información del ISS en liquidación a Colpensiones, indicando el cronograma de entrega, la metodología, y las cifras, el Área de Entrega del ISS en Liquidación reportó con corte al 30 de abril de 2013, lo que se expone a continuación: </w:t>
      </w:r>
    </w:p>
    <w:p w:rsidR="00BA05C2" w:rsidRPr="008A6F7E" w:rsidRDefault="00BA05C2" w:rsidP="00E30CFD">
      <w:pPr>
        <w:spacing w:after="0" w:line="240" w:lineRule="auto"/>
        <w:rPr>
          <w:rFonts w:cs="Arial"/>
        </w:rPr>
      </w:pPr>
    </w:p>
    <w:p w:rsidR="00BA05C2" w:rsidRPr="008A6F7E" w:rsidRDefault="00BA05C2" w:rsidP="00E30CFD">
      <w:pPr>
        <w:pStyle w:val="Prrafodelista"/>
        <w:numPr>
          <w:ilvl w:val="0"/>
          <w:numId w:val="8"/>
        </w:numPr>
        <w:spacing w:after="0" w:line="240" w:lineRule="auto"/>
        <w:jc w:val="both"/>
        <w:rPr>
          <w:rFonts w:cs="Tahoma"/>
          <w:b/>
          <w:sz w:val="24"/>
          <w:szCs w:val="24"/>
        </w:rPr>
      </w:pPr>
      <w:r w:rsidRPr="008A6F7E">
        <w:rPr>
          <w:rFonts w:cs="Tahoma"/>
          <w:b/>
          <w:sz w:val="24"/>
          <w:szCs w:val="24"/>
        </w:rPr>
        <w:t>Solicitud de reconocimiento de prestaciones sociales</w:t>
      </w:r>
    </w:p>
    <w:p w:rsidR="00BA05C2" w:rsidRPr="008A6F7E" w:rsidRDefault="00BA05C2" w:rsidP="00E30CFD">
      <w:pPr>
        <w:pStyle w:val="Prrafodelista"/>
        <w:spacing w:after="0" w:line="240" w:lineRule="auto"/>
        <w:ind w:left="0"/>
        <w:jc w:val="both"/>
        <w:rPr>
          <w:rFonts w:cs="Tahoma"/>
          <w:b/>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 xml:space="preserve">La metodología definida para la entrega de expedientes pendientes de decisión a Colpensiones, consiste en la entrega digitalizada de los expedientes debidamente organizados de acuerdo con la indexación requerida según lineamientos del AGN para los expedientes pensionales, la cual consiste en identificar los datos básicos y los tiempos públicos capturados, clasificados por tipo de riesgo (Invalidez, vejez y muerte), siendo priorizados aquellos que tengan acción de tutela en curso. </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p>
    <w:tbl>
      <w:tblPr>
        <w:tblW w:w="5179" w:type="dxa"/>
        <w:jc w:val="center"/>
        <w:tblInd w:w="56" w:type="dxa"/>
        <w:tblCellMar>
          <w:left w:w="70" w:type="dxa"/>
          <w:right w:w="70" w:type="dxa"/>
        </w:tblCellMar>
        <w:tblLook w:val="0000" w:firstRow="0" w:lastRow="0" w:firstColumn="0" w:lastColumn="0" w:noHBand="0" w:noVBand="0"/>
      </w:tblPr>
      <w:tblGrid>
        <w:gridCol w:w="1240"/>
        <w:gridCol w:w="1445"/>
        <w:gridCol w:w="1220"/>
        <w:gridCol w:w="1274"/>
      </w:tblGrid>
      <w:tr w:rsidR="00BA05C2" w:rsidRPr="008A6F7E" w:rsidTr="00545488">
        <w:trPr>
          <w:trHeight w:val="315"/>
          <w:jc w:val="center"/>
        </w:trPr>
        <w:tc>
          <w:tcPr>
            <w:tcW w:w="1240"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Fecha</w:t>
            </w:r>
          </w:p>
        </w:tc>
        <w:tc>
          <w:tcPr>
            <w:tcW w:w="1445" w:type="dxa"/>
            <w:tcBorders>
              <w:top w:val="single" w:sz="4" w:space="0" w:color="auto"/>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Programación de entrega</w:t>
            </w:r>
          </w:p>
        </w:tc>
        <w:tc>
          <w:tcPr>
            <w:tcW w:w="1220" w:type="dxa"/>
            <w:tcBorders>
              <w:top w:val="single" w:sz="4" w:space="0" w:color="auto"/>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 xml:space="preserve">Entregado  </w:t>
            </w:r>
          </w:p>
        </w:tc>
        <w:tc>
          <w:tcPr>
            <w:tcW w:w="1274" w:type="dxa"/>
            <w:tcBorders>
              <w:top w:val="single" w:sz="4" w:space="0" w:color="auto"/>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Acumulado</w:t>
            </w:r>
          </w:p>
        </w:tc>
      </w:tr>
      <w:tr w:rsidR="00BA05C2" w:rsidRPr="008A6F7E" w:rsidTr="00545488">
        <w:trPr>
          <w:trHeight w:val="315"/>
          <w:jc w:val="center"/>
        </w:trPr>
        <w:tc>
          <w:tcPr>
            <w:tcW w:w="1240"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28-feb-13</w:t>
            </w:r>
          </w:p>
        </w:tc>
        <w:tc>
          <w:tcPr>
            <w:tcW w:w="1445"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139,236</w:t>
            </w:r>
          </w:p>
        </w:tc>
        <w:tc>
          <w:tcPr>
            <w:tcW w:w="122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139,236</w:t>
            </w:r>
          </w:p>
        </w:tc>
        <w:tc>
          <w:tcPr>
            <w:tcW w:w="1274"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139,236*</w:t>
            </w:r>
          </w:p>
        </w:tc>
      </w:tr>
      <w:tr w:rsidR="00BA05C2" w:rsidRPr="008A6F7E" w:rsidTr="00545488">
        <w:trPr>
          <w:trHeight w:val="315"/>
          <w:jc w:val="center"/>
        </w:trPr>
        <w:tc>
          <w:tcPr>
            <w:tcW w:w="1240"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11-abr-13</w:t>
            </w:r>
          </w:p>
        </w:tc>
        <w:tc>
          <w:tcPr>
            <w:tcW w:w="1445"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sz w:val="18"/>
                <w:szCs w:val="18"/>
                <w:lang w:val="es-ES" w:eastAsia="es-ES"/>
              </w:rPr>
            </w:pPr>
            <w:r w:rsidRPr="008A6F7E">
              <w:rPr>
                <w:rFonts w:cs="Arial"/>
                <w:sz w:val="18"/>
                <w:szCs w:val="18"/>
                <w:lang w:val="es-ES" w:eastAsia="es-ES"/>
              </w:rPr>
              <w:t> </w:t>
            </w:r>
          </w:p>
        </w:tc>
        <w:tc>
          <w:tcPr>
            <w:tcW w:w="122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28,463</w:t>
            </w:r>
          </w:p>
        </w:tc>
        <w:tc>
          <w:tcPr>
            <w:tcW w:w="1274"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167,699</w:t>
            </w:r>
          </w:p>
        </w:tc>
      </w:tr>
      <w:tr w:rsidR="00BA05C2" w:rsidRPr="008A6F7E" w:rsidTr="00545488">
        <w:trPr>
          <w:trHeight w:val="315"/>
          <w:jc w:val="center"/>
        </w:trPr>
        <w:tc>
          <w:tcPr>
            <w:tcW w:w="1240"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30-abr-13</w:t>
            </w:r>
          </w:p>
        </w:tc>
        <w:tc>
          <w:tcPr>
            <w:tcW w:w="1445"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28,000</w:t>
            </w:r>
          </w:p>
        </w:tc>
        <w:tc>
          <w:tcPr>
            <w:tcW w:w="122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20,343</w:t>
            </w:r>
          </w:p>
        </w:tc>
        <w:tc>
          <w:tcPr>
            <w:tcW w:w="1274"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188,042</w:t>
            </w:r>
          </w:p>
        </w:tc>
      </w:tr>
      <w:tr w:rsidR="00BA05C2" w:rsidRPr="008A6F7E" w:rsidTr="00545488">
        <w:trPr>
          <w:trHeight w:val="315"/>
          <w:jc w:val="center"/>
        </w:trPr>
        <w:tc>
          <w:tcPr>
            <w:tcW w:w="1240"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30-jun-13</w:t>
            </w:r>
          </w:p>
        </w:tc>
        <w:tc>
          <w:tcPr>
            <w:tcW w:w="1445"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sz w:val="18"/>
                <w:szCs w:val="18"/>
                <w:lang w:val="es-ES" w:eastAsia="es-ES"/>
              </w:rPr>
            </w:pPr>
            <w:r w:rsidRPr="008A6F7E">
              <w:rPr>
                <w:rFonts w:cs="Arial"/>
                <w:sz w:val="18"/>
                <w:szCs w:val="18"/>
                <w:lang w:val="es-ES" w:eastAsia="es-ES"/>
              </w:rPr>
              <w:t>48,764</w:t>
            </w:r>
          </w:p>
        </w:tc>
        <w:tc>
          <w:tcPr>
            <w:tcW w:w="122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sz w:val="18"/>
                <w:szCs w:val="18"/>
                <w:lang w:val="es-ES" w:eastAsia="es-ES"/>
              </w:rPr>
            </w:pPr>
            <w:r w:rsidRPr="008A6F7E">
              <w:rPr>
                <w:rFonts w:cs="Arial"/>
                <w:sz w:val="18"/>
                <w:szCs w:val="18"/>
                <w:lang w:val="es-ES" w:eastAsia="es-ES"/>
              </w:rPr>
              <w:t> </w:t>
            </w:r>
          </w:p>
        </w:tc>
        <w:tc>
          <w:tcPr>
            <w:tcW w:w="1274"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sz w:val="18"/>
                <w:szCs w:val="18"/>
                <w:lang w:val="es-ES" w:eastAsia="es-ES"/>
              </w:rPr>
            </w:pPr>
            <w:r w:rsidRPr="008A6F7E">
              <w:rPr>
                <w:rFonts w:cs="Arial"/>
                <w:sz w:val="18"/>
                <w:szCs w:val="18"/>
                <w:lang w:val="es-ES" w:eastAsia="es-ES"/>
              </w:rPr>
              <w:t> </w:t>
            </w:r>
          </w:p>
        </w:tc>
      </w:tr>
      <w:tr w:rsidR="00BA05C2" w:rsidRPr="008A6F7E" w:rsidTr="00545488">
        <w:trPr>
          <w:trHeight w:val="315"/>
          <w:jc w:val="center"/>
        </w:trPr>
        <w:tc>
          <w:tcPr>
            <w:tcW w:w="1240"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Total</w:t>
            </w:r>
          </w:p>
        </w:tc>
        <w:tc>
          <w:tcPr>
            <w:tcW w:w="1445"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b/>
                <w:bCs/>
                <w:sz w:val="18"/>
                <w:szCs w:val="18"/>
                <w:lang w:val="es-ES" w:eastAsia="es-ES"/>
              </w:rPr>
            </w:pPr>
            <w:r w:rsidRPr="008A6F7E">
              <w:rPr>
                <w:rFonts w:cs="Arial"/>
                <w:b/>
                <w:bCs/>
                <w:sz w:val="18"/>
                <w:szCs w:val="18"/>
                <w:lang w:val="es-ES" w:eastAsia="es-ES"/>
              </w:rPr>
              <w:t>216,000</w:t>
            </w:r>
          </w:p>
        </w:tc>
        <w:tc>
          <w:tcPr>
            <w:tcW w:w="122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b/>
                <w:bCs/>
                <w:sz w:val="18"/>
                <w:szCs w:val="18"/>
                <w:lang w:val="es-ES" w:eastAsia="es-ES"/>
              </w:rPr>
            </w:pPr>
            <w:r w:rsidRPr="008A6F7E">
              <w:rPr>
                <w:rFonts w:cs="Arial"/>
                <w:b/>
                <w:bCs/>
                <w:sz w:val="18"/>
                <w:szCs w:val="18"/>
                <w:lang w:val="es-ES" w:eastAsia="es-ES"/>
              </w:rPr>
              <w:t>188,042</w:t>
            </w:r>
          </w:p>
        </w:tc>
        <w:tc>
          <w:tcPr>
            <w:tcW w:w="1274"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b/>
                <w:bCs/>
                <w:sz w:val="18"/>
                <w:szCs w:val="18"/>
                <w:lang w:val="es-ES" w:eastAsia="es-ES"/>
              </w:rPr>
            </w:pPr>
            <w:r w:rsidRPr="008A6F7E">
              <w:rPr>
                <w:rFonts w:cs="Arial"/>
                <w:b/>
                <w:bCs/>
                <w:sz w:val="18"/>
                <w:szCs w:val="18"/>
                <w:lang w:val="es-ES" w:eastAsia="es-ES"/>
              </w:rPr>
              <w:t>188,042</w:t>
            </w:r>
          </w:p>
        </w:tc>
      </w:tr>
      <w:tr w:rsidR="00BA05C2" w:rsidRPr="008A6F7E" w:rsidTr="00545488">
        <w:trPr>
          <w:trHeight w:val="315"/>
          <w:jc w:val="center"/>
        </w:trPr>
        <w:tc>
          <w:tcPr>
            <w:tcW w:w="1240"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Avance %</w:t>
            </w:r>
          </w:p>
        </w:tc>
        <w:tc>
          <w:tcPr>
            <w:tcW w:w="1445"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rFonts w:cs="Arial"/>
                <w:b/>
                <w:bCs/>
                <w:sz w:val="18"/>
                <w:szCs w:val="18"/>
                <w:lang w:val="es-ES" w:eastAsia="es-ES"/>
              </w:rPr>
            </w:pPr>
            <w:r w:rsidRPr="008A6F7E">
              <w:rPr>
                <w:rFonts w:cs="Arial"/>
                <w:b/>
                <w:bCs/>
                <w:sz w:val="18"/>
                <w:szCs w:val="18"/>
                <w:lang w:val="es-ES" w:eastAsia="es-ES"/>
              </w:rPr>
              <w:t> </w:t>
            </w:r>
          </w:p>
        </w:tc>
        <w:tc>
          <w:tcPr>
            <w:tcW w:w="122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rFonts w:cs="Arial"/>
                <w:b/>
                <w:bCs/>
                <w:sz w:val="18"/>
                <w:szCs w:val="18"/>
                <w:lang w:val="es-ES" w:eastAsia="es-ES"/>
              </w:rPr>
            </w:pPr>
          </w:p>
        </w:tc>
        <w:tc>
          <w:tcPr>
            <w:tcW w:w="1274"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center"/>
              <w:rPr>
                <w:rFonts w:cs="Arial"/>
                <w:b/>
                <w:bCs/>
                <w:sz w:val="18"/>
                <w:szCs w:val="18"/>
                <w:lang w:val="es-ES" w:eastAsia="es-ES"/>
              </w:rPr>
            </w:pPr>
            <w:r w:rsidRPr="008A6F7E">
              <w:rPr>
                <w:rFonts w:cs="Arial"/>
                <w:b/>
                <w:bCs/>
                <w:sz w:val="18"/>
                <w:szCs w:val="18"/>
                <w:lang w:val="es-ES" w:eastAsia="es-ES"/>
              </w:rPr>
              <w:t>87%</w:t>
            </w:r>
          </w:p>
        </w:tc>
      </w:tr>
    </w:tbl>
    <w:p w:rsidR="00BA05C2" w:rsidRPr="008A6F7E" w:rsidRDefault="009A73DF" w:rsidP="00E30CFD">
      <w:pPr>
        <w:pStyle w:val="Prrafodelista"/>
        <w:spacing w:after="0" w:line="240" w:lineRule="auto"/>
        <w:ind w:left="0"/>
        <w:jc w:val="center"/>
        <w:rPr>
          <w:rFonts w:cs="Tahoma"/>
          <w:sz w:val="24"/>
          <w:szCs w:val="24"/>
        </w:rPr>
      </w:pPr>
      <w:r>
        <w:rPr>
          <w:noProof/>
          <w:lang w:val="es-CO" w:eastAsia="es-CO"/>
        </w:rPr>
        <mc:AlternateContent>
          <mc:Choice Requires="wpc">
            <w:drawing>
              <wp:anchor distT="0" distB="0" distL="114300" distR="114300" simplePos="0" relativeHeight="251658240" behindDoc="0" locked="0" layoutInCell="1" allowOverlap="1">
                <wp:simplePos x="0" y="0"/>
                <wp:positionH relativeFrom="column">
                  <wp:posOffset>571500</wp:posOffset>
                </wp:positionH>
                <wp:positionV relativeFrom="paragraph">
                  <wp:posOffset>121285</wp:posOffset>
                </wp:positionV>
                <wp:extent cx="4229100" cy="661035"/>
                <wp:effectExtent l="9525" t="6985" r="0" b="0"/>
                <wp:wrapNone/>
                <wp:docPr id="19"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7"/>
                        <wps:cNvSpPr>
                          <a:spLocks noChangeArrowheads="1"/>
                        </wps:cNvSpPr>
                        <wps:spPr bwMode="auto">
                          <a:xfrm>
                            <a:off x="3175" y="86360"/>
                            <a:ext cx="1153795" cy="213995"/>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59055" y="121920"/>
                            <a:ext cx="960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3A4" w:rsidRDefault="009533A4" w:rsidP="00C70C52">
                              <w:r>
                                <w:rPr>
                                  <w:rFonts w:ascii="Arial" w:hAnsi="Arial" w:cs="Arial"/>
                                  <w:b/>
                                  <w:bCs/>
                                  <w:color w:val="000000"/>
                                  <w:sz w:val="20"/>
                                  <w:szCs w:val="20"/>
                                  <w:lang w:val="en-US"/>
                                </w:rPr>
                                <w:t xml:space="preserve">TOTAL: 216.000  </w:t>
                              </w:r>
                            </w:p>
                          </w:txbxContent>
                        </wps:txbx>
                        <wps:bodyPr rot="0" vert="horz" wrap="none" lIns="0" tIns="0" rIns="0" bIns="0" anchor="t" anchorCtr="0" upright="1">
                          <a:spAutoFit/>
                        </wps:bodyPr>
                      </wps:wsp>
                      <wpg:wgp>
                        <wpg:cNvPr id="7" name="Group 9"/>
                        <wpg:cNvGrpSpPr>
                          <a:grpSpLocks/>
                        </wpg:cNvGrpSpPr>
                        <wpg:grpSpPr bwMode="auto">
                          <a:xfrm>
                            <a:off x="1177925" y="167640"/>
                            <a:ext cx="242570" cy="81280"/>
                            <a:chOff x="4456" y="8086"/>
                            <a:chExt cx="382" cy="128"/>
                          </a:xfrm>
                        </wpg:grpSpPr>
                        <wps:wsp>
                          <wps:cNvPr id="8" name="Freeform 10"/>
                          <wps:cNvSpPr>
                            <a:spLocks/>
                          </wps:cNvSpPr>
                          <wps:spPr bwMode="auto">
                            <a:xfrm>
                              <a:off x="4456" y="8086"/>
                              <a:ext cx="382" cy="128"/>
                            </a:xfrm>
                            <a:custGeom>
                              <a:avLst/>
                              <a:gdLst>
                                <a:gd name="T0" fmla="*/ 318 w 382"/>
                                <a:gd name="T1" fmla="*/ 0 h 128"/>
                                <a:gd name="T2" fmla="*/ 318 w 382"/>
                                <a:gd name="T3" fmla="*/ 32 h 128"/>
                                <a:gd name="T4" fmla="*/ 0 w 382"/>
                                <a:gd name="T5" fmla="*/ 32 h 128"/>
                                <a:gd name="T6" fmla="*/ 0 w 382"/>
                                <a:gd name="T7" fmla="*/ 96 h 128"/>
                                <a:gd name="T8" fmla="*/ 318 w 382"/>
                                <a:gd name="T9" fmla="*/ 96 h 128"/>
                                <a:gd name="T10" fmla="*/ 318 w 382"/>
                                <a:gd name="T11" fmla="*/ 128 h 128"/>
                                <a:gd name="T12" fmla="*/ 382 w 382"/>
                                <a:gd name="T13" fmla="*/ 64 h 128"/>
                                <a:gd name="T14" fmla="*/ 318 w 382"/>
                                <a:gd name="T15" fmla="*/ 0 h 1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2" h="128">
                                  <a:moveTo>
                                    <a:pt x="318" y="0"/>
                                  </a:moveTo>
                                  <a:lnTo>
                                    <a:pt x="318" y="32"/>
                                  </a:lnTo>
                                  <a:lnTo>
                                    <a:pt x="0" y="32"/>
                                  </a:lnTo>
                                  <a:lnTo>
                                    <a:pt x="0" y="96"/>
                                  </a:lnTo>
                                  <a:lnTo>
                                    <a:pt x="318" y="96"/>
                                  </a:lnTo>
                                  <a:lnTo>
                                    <a:pt x="318" y="128"/>
                                  </a:lnTo>
                                  <a:lnTo>
                                    <a:pt x="382" y="64"/>
                                  </a:lnTo>
                                  <a:lnTo>
                                    <a:pt x="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4456" y="8086"/>
                              <a:ext cx="382" cy="128"/>
                            </a:xfrm>
                            <a:custGeom>
                              <a:avLst/>
                              <a:gdLst>
                                <a:gd name="T0" fmla="*/ 318 w 382"/>
                                <a:gd name="T1" fmla="*/ 0 h 128"/>
                                <a:gd name="T2" fmla="*/ 318 w 382"/>
                                <a:gd name="T3" fmla="*/ 32 h 128"/>
                                <a:gd name="T4" fmla="*/ 0 w 382"/>
                                <a:gd name="T5" fmla="*/ 32 h 128"/>
                                <a:gd name="T6" fmla="*/ 0 w 382"/>
                                <a:gd name="T7" fmla="*/ 96 h 128"/>
                                <a:gd name="T8" fmla="*/ 318 w 382"/>
                                <a:gd name="T9" fmla="*/ 96 h 128"/>
                                <a:gd name="T10" fmla="*/ 318 w 382"/>
                                <a:gd name="T11" fmla="*/ 128 h 128"/>
                                <a:gd name="T12" fmla="*/ 382 w 382"/>
                                <a:gd name="T13" fmla="*/ 64 h 128"/>
                                <a:gd name="T14" fmla="*/ 318 w 382"/>
                                <a:gd name="T15" fmla="*/ 0 h 1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2" h="128">
                                  <a:moveTo>
                                    <a:pt x="318" y="0"/>
                                  </a:moveTo>
                                  <a:lnTo>
                                    <a:pt x="318" y="32"/>
                                  </a:lnTo>
                                  <a:lnTo>
                                    <a:pt x="0" y="32"/>
                                  </a:lnTo>
                                  <a:lnTo>
                                    <a:pt x="0" y="96"/>
                                  </a:lnTo>
                                  <a:lnTo>
                                    <a:pt x="318" y="96"/>
                                  </a:lnTo>
                                  <a:lnTo>
                                    <a:pt x="318" y="128"/>
                                  </a:lnTo>
                                  <a:lnTo>
                                    <a:pt x="382" y="64"/>
                                  </a:lnTo>
                                  <a:lnTo>
                                    <a:pt x="318" y="0"/>
                                  </a:lnTo>
                                  <a:close/>
                                </a:path>
                              </a:pathLst>
                            </a:custGeom>
                            <a:noFill/>
                            <a:ln w="1397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0" name="Group 12"/>
                        <wpg:cNvGrpSpPr>
                          <a:grpSpLocks/>
                        </wpg:cNvGrpSpPr>
                        <wpg:grpSpPr bwMode="auto">
                          <a:xfrm>
                            <a:off x="1461770" y="86360"/>
                            <a:ext cx="1546860" cy="330200"/>
                            <a:chOff x="4903" y="7958"/>
                            <a:chExt cx="2436" cy="520"/>
                          </a:xfrm>
                        </wpg:grpSpPr>
                        <wps:wsp>
                          <wps:cNvPr id="11" name="Rectangle 13"/>
                          <wps:cNvSpPr>
                            <a:spLocks noChangeArrowheads="1"/>
                          </wps:cNvSpPr>
                          <wps:spPr bwMode="auto">
                            <a:xfrm>
                              <a:off x="4903" y="7958"/>
                              <a:ext cx="2436" cy="337"/>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4"/>
                          <wps:cNvSpPr>
                            <a:spLocks noChangeArrowheads="1"/>
                          </wps:cNvSpPr>
                          <wps:spPr bwMode="auto">
                            <a:xfrm>
                              <a:off x="4991" y="8014"/>
                              <a:ext cx="212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3A4" w:rsidRDefault="009533A4" w:rsidP="00C70C52">
                                <w:r>
                                  <w:rPr>
                                    <w:rFonts w:ascii="Arial" w:hAnsi="Arial" w:cs="Arial"/>
                                    <w:b/>
                                    <w:bCs/>
                                    <w:color w:val="000000"/>
                                    <w:sz w:val="20"/>
                                    <w:szCs w:val="20"/>
                                    <w:lang w:val="en-US"/>
                                  </w:rPr>
                                  <w:t xml:space="preserve">ENTREGADO: 188.042  </w:t>
                                </w:r>
                              </w:p>
                            </w:txbxContent>
                          </wps:txbx>
                          <wps:bodyPr rot="0" vert="horz" wrap="none" lIns="0" tIns="0" rIns="0" bIns="0" anchor="t" anchorCtr="0" upright="1">
                            <a:spAutoFit/>
                          </wps:bodyPr>
                        </wps:wsp>
                      </wpg:wgp>
                      <wpg:wgp>
                        <wpg:cNvPr id="13" name="Group 15"/>
                        <wpg:cNvGrpSpPr>
                          <a:grpSpLocks/>
                        </wpg:cNvGrpSpPr>
                        <wpg:grpSpPr bwMode="auto">
                          <a:xfrm>
                            <a:off x="3114040" y="160655"/>
                            <a:ext cx="178435" cy="95885"/>
                            <a:chOff x="7505" y="8075"/>
                            <a:chExt cx="281" cy="151"/>
                          </a:xfrm>
                        </wpg:grpSpPr>
                        <wps:wsp>
                          <wps:cNvPr id="14" name="Freeform 16"/>
                          <wps:cNvSpPr>
                            <a:spLocks noEditPoints="1"/>
                          </wps:cNvSpPr>
                          <wps:spPr bwMode="auto">
                            <a:xfrm>
                              <a:off x="7505" y="8075"/>
                              <a:ext cx="281" cy="151"/>
                            </a:xfrm>
                            <a:custGeom>
                              <a:avLst/>
                              <a:gdLst>
                                <a:gd name="T0" fmla="*/ 0 w 281"/>
                                <a:gd name="T1" fmla="*/ 0 h 151"/>
                                <a:gd name="T2" fmla="*/ 281 w 281"/>
                                <a:gd name="T3" fmla="*/ 0 h 151"/>
                                <a:gd name="T4" fmla="*/ 281 w 281"/>
                                <a:gd name="T5" fmla="*/ 61 h 151"/>
                                <a:gd name="T6" fmla="*/ 0 w 281"/>
                                <a:gd name="T7" fmla="*/ 61 h 151"/>
                                <a:gd name="T8" fmla="*/ 0 w 281"/>
                                <a:gd name="T9" fmla="*/ 0 h 151"/>
                                <a:gd name="T10" fmla="*/ 0 w 281"/>
                                <a:gd name="T11" fmla="*/ 91 h 151"/>
                                <a:gd name="T12" fmla="*/ 281 w 281"/>
                                <a:gd name="T13" fmla="*/ 91 h 151"/>
                                <a:gd name="T14" fmla="*/ 281 w 281"/>
                                <a:gd name="T15" fmla="*/ 151 h 151"/>
                                <a:gd name="T16" fmla="*/ 0 w 281"/>
                                <a:gd name="T17" fmla="*/ 151 h 151"/>
                                <a:gd name="T18" fmla="*/ 0 w 281"/>
                                <a:gd name="T19" fmla="*/ 9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51">
                                  <a:moveTo>
                                    <a:pt x="0" y="0"/>
                                  </a:moveTo>
                                  <a:lnTo>
                                    <a:pt x="281" y="0"/>
                                  </a:lnTo>
                                  <a:lnTo>
                                    <a:pt x="281" y="61"/>
                                  </a:lnTo>
                                  <a:lnTo>
                                    <a:pt x="0" y="61"/>
                                  </a:lnTo>
                                  <a:lnTo>
                                    <a:pt x="0" y="0"/>
                                  </a:lnTo>
                                  <a:close/>
                                  <a:moveTo>
                                    <a:pt x="0" y="91"/>
                                  </a:moveTo>
                                  <a:lnTo>
                                    <a:pt x="281" y="91"/>
                                  </a:lnTo>
                                  <a:lnTo>
                                    <a:pt x="281" y="151"/>
                                  </a:lnTo>
                                  <a:lnTo>
                                    <a:pt x="0" y="151"/>
                                  </a:lnTo>
                                  <a:lnTo>
                                    <a:pt x="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noEditPoints="1"/>
                          </wps:cNvSpPr>
                          <wps:spPr bwMode="auto">
                            <a:xfrm>
                              <a:off x="7505" y="8075"/>
                              <a:ext cx="281" cy="151"/>
                            </a:xfrm>
                            <a:custGeom>
                              <a:avLst/>
                              <a:gdLst>
                                <a:gd name="T0" fmla="*/ 0 w 281"/>
                                <a:gd name="T1" fmla="*/ 0 h 151"/>
                                <a:gd name="T2" fmla="*/ 281 w 281"/>
                                <a:gd name="T3" fmla="*/ 0 h 151"/>
                                <a:gd name="T4" fmla="*/ 281 w 281"/>
                                <a:gd name="T5" fmla="*/ 61 h 151"/>
                                <a:gd name="T6" fmla="*/ 0 w 281"/>
                                <a:gd name="T7" fmla="*/ 61 h 151"/>
                                <a:gd name="T8" fmla="*/ 0 w 281"/>
                                <a:gd name="T9" fmla="*/ 0 h 151"/>
                                <a:gd name="T10" fmla="*/ 0 w 281"/>
                                <a:gd name="T11" fmla="*/ 91 h 151"/>
                                <a:gd name="T12" fmla="*/ 281 w 281"/>
                                <a:gd name="T13" fmla="*/ 91 h 151"/>
                                <a:gd name="T14" fmla="*/ 281 w 281"/>
                                <a:gd name="T15" fmla="*/ 151 h 151"/>
                                <a:gd name="T16" fmla="*/ 0 w 281"/>
                                <a:gd name="T17" fmla="*/ 151 h 151"/>
                                <a:gd name="T18" fmla="*/ 0 w 281"/>
                                <a:gd name="T19" fmla="*/ 9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51">
                                  <a:moveTo>
                                    <a:pt x="0" y="0"/>
                                  </a:moveTo>
                                  <a:lnTo>
                                    <a:pt x="281" y="0"/>
                                  </a:lnTo>
                                  <a:lnTo>
                                    <a:pt x="281" y="61"/>
                                  </a:lnTo>
                                  <a:lnTo>
                                    <a:pt x="0" y="61"/>
                                  </a:lnTo>
                                  <a:lnTo>
                                    <a:pt x="0" y="0"/>
                                  </a:lnTo>
                                  <a:close/>
                                  <a:moveTo>
                                    <a:pt x="0" y="91"/>
                                  </a:moveTo>
                                  <a:lnTo>
                                    <a:pt x="281" y="91"/>
                                  </a:lnTo>
                                  <a:lnTo>
                                    <a:pt x="281" y="151"/>
                                  </a:lnTo>
                                  <a:lnTo>
                                    <a:pt x="0" y="151"/>
                                  </a:lnTo>
                                  <a:lnTo>
                                    <a:pt x="0" y="91"/>
                                  </a:lnTo>
                                  <a:close/>
                                </a:path>
                              </a:pathLst>
                            </a:cu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 name="Rectangle 18"/>
                        <wps:cNvSpPr>
                          <a:spLocks noChangeArrowheads="1"/>
                        </wps:cNvSpPr>
                        <wps:spPr bwMode="auto">
                          <a:xfrm>
                            <a:off x="3364865" y="5715"/>
                            <a:ext cx="850900" cy="372745"/>
                          </a:xfrm>
                          <a:prstGeom prst="rect">
                            <a:avLst/>
                          </a:prstGeom>
                          <a:noFill/>
                          <a:ln w="1079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9"/>
                        <wps:cNvSpPr>
                          <a:spLocks noChangeArrowheads="1"/>
                        </wps:cNvSpPr>
                        <wps:spPr bwMode="auto">
                          <a:xfrm>
                            <a:off x="3662680" y="42545"/>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3A4" w:rsidRDefault="009533A4" w:rsidP="00C70C52">
                              <w:r>
                                <w:rPr>
                                  <w:rFonts w:ascii="Arial" w:hAnsi="Arial" w:cs="Arial"/>
                                  <w:b/>
                                  <w:bCs/>
                                  <w:color w:val="000000"/>
                                  <w:sz w:val="20"/>
                                  <w:szCs w:val="20"/>
                                  <w:lang w:val="en-US"/>
                                </w:rPr>
                                <w:t xml:space="preserve">87% </w:t>
                              </w:r>
                            </w:p>
                          </w:txbxContent>
                        </wps:txbx>
                        <wps:bodyPr rot="0" vert="horz" wrap="none" lIns="0" tIns="0" rIns="0" bIns="0" anchor="t" anchorCtr="0" upright="1">
                          <a:spAutoFit/>
                        </wps:bodyPr>
                      </wps:wsp>
                      <wps:wsp>
                        <wps:cNvPr id="18" name="Rectangle 20"/>
                        <wps:cNvSpPr>
                          <a:spLocks noChangeArrowheads="1"/>
                        </wps:cNvSpPr>
                        <wps:spPr bwMode="auto">
                          <a:xfrm>
                            <a:off x="3519170" y="198120"/>
                            <a:ext cx="5365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3A4" w:rsidRDefault="009533A4" w:rsidP="00C70C52">
                              <w:r>
                                <w:rPr>
                                  <w:rFonts w:ascii="Arial" w:hAnsi="Arial" w:cs="Arial"/>
                                  <w:b/>
                                  <w:bCs/>
                                  <w:color w:val="000000"/>
                                  <w:sz w:val="20"/>
                                  <w:szCs w:val="20"/>
                                  <w:lang w:val="en-US"/>
                                </w:rPr>
                                <w:t>AVANCE</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Lienzo 5" o:spid="_x0000_s1026" editas="canvas" style="position:absolute;left:0;text-align:left;margin-left:45pt;margin-top:9.55pt;width:333pt;height:52.05pt;z-index:251658240" coordsize="4229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291;height:6610;visibility:visible;mso-wrap-style:square">
                  <v:fill o:detectmouseclick="t"/>
                  <v:path o:connecttype="none"/>
                </v:shape>
                <v:rect id="Rectangle 7" o:spid="_x0000_s1028" style="position:absolute;left:31;top:863;width:11538;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00cUA&#10;AADaAAAADwAAAGRycy9kb3ducmV2LnhtbESPQWvCQBSE74X+h+UJvRTdWFB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DTRxQAAANoAAAAPAAAAAAAAAAAAAAAAAJgCAABkcnMv&#10;ZG93bnJldi54bWxQSwUGAAAAAAQABAD1AAAAigMAAAAA&#10;" filled="f" strokeweight=".55pt">
                  <v:stroke endcap="round"/>
                </v:rect>
                <v:rect id="Rectangle 8" o:spid="_x0000_s1029" style="position:absolute;left:590;top:1219;width:960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533A4" w:rsidRDefault="009533A4" w:rsidP="00C70C52">
                        <w:r>
                          <w:rPr>
                            <w:rFonts w:ascii="Arial" w:hAnsi="Arial" w:cs="Arial"/>
                            <w:b/>
                            <w:bCs/>
                            <w:color w:val="000000"/>
                            <w:sz w:val="20"/>
                            <w:szCs w:val="20"/>
                            <w:lang w:val="en-US"/>
                          </w:rPr>
                          <w:t xml:space="preserve">TOTAL: 216.000  </w:t>
                        </w:r>
                      </w:p>
                    </w:txbxContent>
                  </v:textbox>
                </v:rect>
                <v:group id="Group 9" o:spid="_x0000_s1030" style="position:absolute;left:11779;top:1676;width:2425;height:813" coordorigin="4456,8086" coordsize="38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31" style="position:absolute;left:4456;top:8086;width:382;height:128;visibility:visible;mso-wrap-style:square;v-text-anchor:top" coordsize="38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90sIA&#10;AADaAAAADwAAAGRycy9kb3ducmV2LnhtbESPwWrCQBCG7wXfYRnBW93YQ5HoKqVQsBQtRu15yI5J&#10;MDsbshtd375zEDwO//zfzLdcJ9eqK/Wh8WxgNs1AEZfeNlwZOB6+XuegQkS22HomA3cKsF6NXpaY&#10;W3/jPV2LWCmBcMjRQB1jl2sdypochqnviCU7+95hlLGvtO3xJnDX6rcse9cOG5YLNXb0WVN5KQZn&#10;4CedTtvsd/u3G9LlXH0L5V4MxkzG6WMBKlKKz+VHe2MNyK+iIhq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z3SwgAAANoAAAAPAAAAAAAAAAAAAAAAAJgCAABkcnMvZG93&#10;bnJldi54bWxQSwUGAAAAAAQABAD1AAAAhwMAAAAA&#10;" path="m318,r,32l,32,,96r318,l318,128,382,64,318,xe" fillcolor="black" stroked="f">
                    <v:path arrowok="t" o:connecttype="custom" o:connectlocs="318,0;318,32;0,32;0,96;318,96;318,128;382,64;318,0" o:connectangles="0,0,0,0,0,0,0,0"/>
                  </v:shape>
                  <v:shape id="Freeform 11" o:spid="_x0000_s1032" style="position:absolute;left:4456;top:8086;width:382;height:128;visibility:visible;mso-wrap-style:square;v-text-anchor:top" coordsize="38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Uf8QA&#10;AADaAAAADwAAAGRycy9kb3ducmV2LnhtbESPQWsCMRSE74X+h/AKXopm66HqulkpQsVLD1op9Pbc&#10;PDeLm5clSd3VX98UhB6HmfmGKVaDbcWFfGgcK3iZZCCIK6cbrhUcPt/HcxAhImtsHZOCKwVYlY8P&#10;Beba9byjyz7WIkE45KjAxNjlUobKkMUwcR1x8k7OW4xJ+lpqj32C21ZOs+xVWmw4LRjsaG2oOu9/&#10;rIK+8tvD/Pl7NzvetPkw0y9cdxulRk/D2xJEpCH+h+/trVawgL8r6Qb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VH/EAAAA2gAAAA8AAAAAAAAAAAAAAAAAmAIAAGRycy9k&#10;b3ducmV2LnhtbFBLBQYAAAAABAAEAPUAAACJAwAAAAA=&#10;" path="m318,r,32l,32,,96r318,l318,128,382,64,318,xe" filled="f" strokeweight="1.1pt">
                    <v:stroke joinstyle="miter" endcap="round"/>
                    <v:path arrowok="t" o:connecttype="custom" o:connectlocs="318,0;318,32;0,32;0,96;318,96;318,128;382,64;318,0" o:connectangles="0,0,0,0,0,0,0,0"/>
                  </v:shape>
                </v:group>
                <v:group id="Group 12" o:spid="_x0000_s1033" style="position:absolute;left:14617;top:863;width:15469;height:3302" coordorigin="4903,7958" coordsize="2436,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3" o:spid="_x0000_s1034" style="position:absolute;left:4903;top:7958;width:243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TWcQA&#10;AADbAAAADwAAAGRycy9kb3ducmV2LnhtbERPPW/CMBDdkfofrKvUpWrsMKASMKgQIXXpQGDpdsTX&#10;JG18jmITAr++rlSJ7Z7e5y3Xo23FQL1vHGtIEwWCuHSm4UrD8bB7eQXhA7LB1jFpuJKH9ephssTM&#10;uAvvaShCJWII+ww11CF0mZS+rMmiT1xHHLkv11sMEfaVND1eYrht5VSpmbTYcGyosaNtTeVPcbYa&#10;drPBnIpOPbvP88fme55v8lu51/rpcXxbgAg0hrv43/1u4vwU/n6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tk1nEAAAA2wAAAA8AAAAAAAAAAAAAAAAAmAIAAGRycy9k&#10;b3ducmV2LnhtbFBLBQYAAAAABAAEAPUAAACJAwAAAAA=&#10;" filled="f" strokeweight=".55pt">
                    <v:stroke endcap="round"/>
                  </v:rect>
                  <v:rect id="Rectangle 14" o:spid="_x0000_s1035" style="position:absolute;left:4991;top:8014;width:2123;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533A4" w:rsidRDefault="009533A4" w:rsidP="00C70C52">
                          <w:r>
                            <w:rPr>
                              <w:rFonts w:ascii="Arial" w:hAnsi="Arial" w:cs="Arial"/>
                              <w:b/>
                              <w:bCs/>
                              <w:color w:val="000000"/>
                              <w:sz w:val="20"/>
                              <w:szCs w:val="20"/>
                              <w:lang w:val="en-US"/>
                            </w:rPr>
                            <w:t xml:space="preserve">ENTREGADO: 188.042  </w:t>
                          </w:r>
                        </w:p>
                      </w:txbxContent>
                    </v:textbox>
                  </v:rect>
                </v:group>
                <v:group id="Group 15" o:spid="_x0000_s1036" style="position:absolute;left:31140;top:1606;width:1784;height:959" coordorigin="7505,8075" coordsize="28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37" style="position:absolute;left:7505;top:8075;width:281;height:151;visibility:visible;mso-wrap-style:square;v-text-anchor:top" coordsize="28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ZBTcQA&#10;AADbAAAADwAAAGRycy9kb3ducmV2LnhtbESPQWvCQBCF74L/YZlCL1I3SogluooUBa9V2/OQHZPY&#10;7Gy6uzWxv94VBG8zvPe9ebNY9aYRF3K+tqxgMk5AEBdW11wqOB62b+8gfEDW2FgmBVfysFoOBwvM&#10;te34ky77UIoYwj5HBVUIbS6lLyoy6Me2JY7ayTqDIa6ulNphF8NNI6dJkkmDNccLFbb0UVHxs/8z&#10;scbp6zc9p822OP7PpptsNMu+O6fU60u/noMI1Ien+UHvdORSuP8SB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GQU3EAAAA2wAAAA8AAAAAAAAAAAAAAAAAmAIAAGRycy9k&#10;b3ducmV2LnhtbFBLBQYAAAAABAAEAPUAAACJAwAAAAA=&#10;" path="m,l281,r,61l,61,,xm,91r281,l281,151,,151,,91xe" fillcolor="black" stroked="f">
                    <v:path arrowok="t" o:connecttype="custom" o:connectlocs="0,0;281,0;281,61;0,61;0,0;0,91;281,91;281,151;0,151;0,91" o:connectangles="0,0,0,0,0,0,0,0,0,0"/>
                    <o:lock v:ext="edit" verticies="t"/>
                  </v:shape>
                  <v:shape id="Freeform 17" o:spid="_x0000_s1038" style="position:absolute;left:7505;top:8075;width:281;height:151;visibility:visible;mso-wrap-style:square;v-text-anchor:top" coordsize="28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wf8MA&#10;AADbAAAADwAAAGRycy9kb3ducmV2LnhtbESPQWvCQBCF7wX/wzKCt7pRiNToKkEoiJe20YPHITsm&#10;MdnZdHfV+O+7hUJvM7z3vnmz3g6mE3dyvrGsYDZNQBCXVjdcKTgd31/fQPiArLGzTAqe5GG7Gb2s&#10;MdP2wV90L0IlIoR9hgrqEPpMSl/WZNBPbU8ctYt1BkNcXSW1w0eEm07Ok2QhDTYcL9TY066msi1u&#10;JlIcHq758vN51mle7NP2+6PFhVKT8ZCvQAQawr/5L73XsX4Kv7/EA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Lwf8MAAADbAAAADwAAAAAAAAAAAAAAAACYAgAAZHJzL2Rv&#10;d25yZXYueG1sUEsFBgAAAAAEAAQA9QAAAIgDAAAAAA==&#10;" path="m,l281,r,61l,61,,xm,91r281,l281,151,,151,,91xe" filled="f" strokeweight="1.1pt">
                    <v:stroke endcap="round"/>
                    <v:path arrowok="t" o:connecttype="custom" o:connectlocs="0,0;281,0;281,61;0,61;0,0;0,91;281,91;281,151;0,151;0,91" o:connectangles="0,0,0,0,0,0,0,0,0,0"/>
                    <o:lock v:ext="edit" verticies="t"/>
                  </v:shape>
                </v:group>
                <v:rect id="Rectangle 18" o:spid="_x0000_s1039" style="position:absolute;left:33648;top:57;width:8509;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ht8QA&#10;AADbAAAADwAAAGRycy9kb3ducmV2LnhtbERPTWvCQBC9C/6HZQq9SN0kB5HUVVKhtSAi1RZ6HLLT&#10;JCQ7G7JrEvvru4LQ2zze56w2o2lET52rLCuI5xEI4tzqigsFn+fXpyUI55E1NpZJwZUcbNbTyQpT&#10;bQf+oP7kCxFC2KWooPS+TaV0eUkG3dy2xIH7sZ1BH2BXSN3hEMJNI5MoWkiDFYeGElvalpTXp4tR&#10;MNRZ/LvcvSRvbma/k/3x8HW2XqnHhzF7BuFp9P/iu/tdh/kLuP0SD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NIbfEAAAA2wAAAA8AAAAAAAAAAAAAAAAAmAIAAGRycy9k&#10;b3ducmV2LnhtbFBLBQYAAAAABAAEAPUAAACJAwAAAAA=&#10;" filled="f" strokeweight=".85pt">
                  <v:stroke endcap="round"/>
                </v:rect>
                <v:rect id="Rectangle 19" o:spid="_x0000_s1040" style="position:absolute;left:36626;top:42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533A4" w:rsidRDefault="009533A4" w:rsidP="00C70C52">
                        <w:r>
                          <w:rPr>
                            <w:rFonts w:ascii="Arial" w:hAnsi="Arial" w:cs="Arial"/>
                            <w:b/>
                            <w:bCs/>
                            <w:color w:val="000000"/>
                            <w:sz w:val="20"/>
                            <w:szCs w:val="20"/>
                            <w:lang w:val="en-US"/>
                          </w:rPr>
                          <w:t xml:space="preserve">87% </w:t>
                        </w:r>
                      </w:p>
                    </w:txbxContent>
                  </v:textbox>
                </v:rect>
                <v:rect id="Rectangle 20" o:spid="_x0000_s1041" style="position:absolute;left:35191;top:1981;width:53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533A4" w:rsidRDefault="009533A4" w:rsidP="00C70C52">
                        <w:r>
                          <w:rPr>
                            <w:rFonts w:ascii="Arial" w:hAnsi="Arial" w:cs="Arial"/>
                            <w:b/>
                            <w:bCs/>
                            <w:color w:val="000000"/>
                            <w:sz w:val="20"/>
                            <w:szCs w:val="20"/>
                            <w:lang w:val="en-US"/>
                          </w:rPr>
                          <w:t>AVANCE</w:t>
                        </w:r>
                      </w:p>
                    </w:txbxContent>
                  </v:textbox>
                </v:rect>
              </v:group>
            </w:pict>
          </mc:Fallback>
        </mc:AlternateContent>
      </w:r>
    </w:p>
    <w:p w:rsidR="00BA05C2" w:rsidRPr="008A6F7E" w:rsidRDefault="00BA05C2" w:rsidP="00E30CFD">
      <w:pPr>
        <w:pStyle w:val="Prrafodelista"/>
        <w:spacing w:after="0" w:line="240" w:lineRule="auto"/>
        <w:ind w:left="0"/>
        <w:jc w:val="center"/>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firstLine="644"/>
        <w:jc w:val="center"/>
        <w:rPr>
          <w:rFonts w:cs="Tahoma"/>
          <w:sz w:val="16"/>
          <w:szCs w:val="16"/>
        </w:rPr>
      </w:pPr>
      <w:r w:rsidRPr="008A6F7E">
        <w:rPr>
          <w:rFonts w:cs="Tahoma"/>
          <w:sz w:val="16"/>
          <w:szCs w:val="16"/>
        </w:rPr>
        <w:t>Fuente, Área de Entrega</w:t>
      </w:r>
    </w:p>
    <w:p w:rsidR="00BA05C2" w:rsidRPr="008A6F7E" w:rsidRDefault="00BA05C2" w:rsidP="00E30CFD">
      <w:pPr>
        <w:pStyle w:val="Prrafodelista"/>
        <w:spacing w:after="0" w:line="240" w:lineRule="auto"/>
        <w:ind w:left="644"/>
        <w:jc w:val="center"/>
        <w:rPr>
          <w:rFonts w:cs="Tahoma"/>
          <w:sz w:val="16"/>
          <w:szCs w:val="16"/>
        </w:rPr>
      </w:pPr>
      <w:r w:rsidRPr="008A6F7E">
        <w:rPr>
          <w:rFonts w:cs="Tahoma"/>
          <w:sz w:val="16"/>
          <w:szCs w:val="16"/>
        </w:rPr>
        <w:t>*Entregado antes del 28 de febrero.</w:t>
      </w:r>
    </w:p>
    <w:p w:rsidR="00BA05C2" w:rsidRPr="008A6F7E" w:rsidRDefault="00BA05C2" w:rsidP="00E30CFD">
      <w:pPr>
        <w:pStyle w:val="Prrafodelista"/>
        <w:spacing w:after="0" w:line="240" w:lineRule="auto"/>
        <w:ind w:left="0"/>
        <w:jc w:val="center"/>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 xml:space="preserve">La tabla que antecede refleja el proceso de entrega de expedientes por parte del ISS en liquidación a Colpensiones, de acuerdo con la programación estimada de consuno por ambas entidades; la columna </w:t>
      </w:r>
      <w:r w:rsidRPr="008A6F7E">
        <w:rPr>
          <w:rFonts w:cs="Tahoma"/>
          <w:i/>
          <w:sz w:val="24"/>
          <w:szCs w:val="24"/>
        </w:rPr>
        <w:t>Programación de entrega</w:t>
      </w:r>
      <w:r w:rsidRPr="008A6F7E">
        <w:rPr>
          <w:rFonts w:cs="Tahoma"/>
          <w:sz w:val="24"/>
          <w:szCs w:val="24"/>
        </w:rPr>
        <w:t xml:space="preserve">, refleja las metas a cumplir; la columna </w:t>
      </w:r>
      <w:r w:rsidRPr="008A6F7E">
        <w:rPr>
          <w:rFonts w:cs="Tahoma"/>
          <w:i/>
          <w:sz w:val="24"/>
          <w:szCs w:val="24"/>
        </w:rPr>
        <w:t>entregado,</w:t>
      </w:r>
      <w:r w:rsidRPr="008A6F7E">
        <w:rPr>
          <w:rFonts w:cs="Tahoma"/>
          <w:sz w:val="24"/>
          <w:szCs w:val="24"/>
        </w:rPr>
        <w:t xml:space="preserve"> indica la cantidad de expedientes efectivamente entregados por el ISS en liquidación con corte a la fecha de que se trate y; la columna </w:t>
      </w:r>
      <w:r w:rsidRPr="008A6F7E">
        <w:rPr>
          <w:rFonts w:cs="Tahoma"/>
          <w:i/>
          <w:sz w:val="24"/>
          <w:szCs w:val="24"/>
        </w:rPr>
        <w:t xml:space="preserve">acumulado, </w:t>
      </w:r>
      <w:r w:rsidRPr="008A6F7E">
        <w:rPr>
          <w:rFonts w:cs="Tahoma"/>
          <w:sz w:val="24"/>
          <w:szCs w:val="24"/>
        </w:rPr>
        <w:t>muestra el total de los expedientes entregados en la fecha correspondiente.</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A 28 de febrero de 2013, el Instituto había entregado 139.236 expedientes y a 30 de abril de 2013, otros 48.806, cifra que superó en 20.806 la meta propuesta por ambas entidades, resultado de un esfuerzo institucional conjunto.</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lastRenderedPageBreak/>
        <w:t>Lo anterior obedece a que para cumplir con las condiciones de entrega de expedientes pendientes de decisión a Colpensiones, a par</w:t>
      </w:r>
      <w:r>
        <w:rPr>
          <w:rFonts w:cs="Tahoma"/>
          <w:sz w:val="24"/>
          <w:szCs w:val="24"/>
        </w:rPr>
        <w:t>tir del 18 de febrero de 2013 el ISS en Liquidación</w:t>
      </w:r>
      <w:r w:rsidRPr="008A6F7E">
        <w:rPr>
          <w:rFonts w:cs="Tahoma"/>
          <w:sz w:val="24"/>
          <w:szCs w:val="24"/>
        </w:rPr>
        <w:t xml:space="preserve"> incrementó la capacidad operativa para la digitalización de los mismos.</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 xml:space="preserve">En el marco del principio de </w:t>
      </w:r>
      <w:r>
        <w:rPr>
          <w:rFonts w:cs="Tahoma"/>
          <w:sz w:val="24"/>
          <w:szCs w:val="24"/>
        </w:rPr>
        <w:t>la planeación, y</w:t>
      </w:r>
      <w:r w:rsidRPr="008A6F7E">
        <w:rPr>
          <w:rFonts w:cs="Tahoma"/>
          <w:sz w:val="24"/>
          <w:szCs w:val="24"/>
        </w:rPr>
        <w:t xml:space="preserve"> como una estrategia para incrementar la entrega de expedientes pendientes de decisión a Colpensiones, para que esta Entidad pueda cumplir con sus objetivos misionales,</w:t>
      </w:r>
      <w:r>
        <w:rPr>
          <w:rFonts w:cs="Tahoma"/>
          <w:sz w:val="24"/>
          <w:szCs w:val="24"/>
        </w:rPr>
        <w:t xml:space="preserve"> el ISS en Liquidación</w:t>
      </w:r>
      <w:r w:rsidRPr="008A6F7E">
        <w:rPr>
          <w:rFonts w:cs="Tahoma"/>
          <w:sz w:val="24"/>
          <w:szCs w:val="24"/>
        </w:rPr>
        <w:t xml:space="preserve"> </w:t>
      </w:r>
      <w:r>
        <w:rPr>
          <w:rFonts w:cs="Tahoma"/>
          <w:sz w:val="24"/>
          <w:szCs w:val="24"/>
        </w:rPr>
        <w:t>elevó su</w:t>
      </w:r>
      <w:r w:rsidRPr="008A6F7E">
        <w:rPr>
          <w:rFonts w:cs="Tahoma"/>
          <w:sz w:val="24"/>
          <w:szCs w:val="24"/>
        </w:rPr>
        <w:t xml:space="preserve"> capacidad operativa a través de un nuevo Centro de Acopio</w:t>
      </w:r>
      <w:r>
        <w:rPr>
          <w:rFonts w:cs="Tahoma"/>
          <w:sz w:val="24"/>
          <w:szCs w:val="24"/>
        </w:rPr>
        <w:t xml:space="preserve">, por medio del cual se preparan los expedientes para entrega, surtiendo </w:t>
      </w:r>
      <w:r w:rsidRPr="008A6F7E">
        <w:rPr>
          <w:rFonts w:cs="Tahoma"/>
          <w:sz w:val="24"/>
          <w:szCs w:val="24"/>
        </w:rPr>
        <w:t xml:space="preserve">las siguientes etapas que permiten cumplir las metas de entrega. </w:t>
      </w:r>
    </w:p>
    <w:p w:rsidR="00BA05C2" w:rsidRPr="008A6F7E" w:rsidRDefault="00BA05C2" w:rsidP="00E30CFD">
      <w:pPr>
        <w:pStyle w:val="Prrafodelista"/>
        <w:spacing w:after="0" w:line="240" w:lineRule="auto"/>
        <w:ind w:left="0"/>
        <w:jc w:val="both"/>
        <w:rPr>
          <w:rFonts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489"/>
      </w:tblGrid>
      <w:tr w:rsidR="00BA05C2" w:rsidRPr="008A6F7E" w:rsidTr="00C5769F">
        <w:tc>
          <w:tcPr>
            <w:tcW w:w="8978" w:type="dxa"/>
            <w:gridSpan w:val="2"/>
          </w:tcPr>
          <w:p w:rsidR="00BA05C2" w:rsidRPr="008A6F7E" w:rsidRDefault="00BA05C2" w:rsidP="00E30CFD">
            <w:pPr>
              <w:spacing w:after="0" w:line="240" w:lineRule="auto"/>
              <w:jc w:val="center"/>
              <w:rPr>
                <w:b/>
              </w:rPr>
            </w:pPr>
            <w:r w:rsidRPr="008A6F7E">
              <w:rPr>
                <w:b/>
              </w:rPr>
              <w:t>ESTAPAS DEL PROCESO DE ALISTAMIENTO, DIGITALIZACION Y ENTREGA DE EXPEDIENTES</w:t>
            </w:r>
          </w:p>
        </w:tc>
      </w:tr>
      <w:tr w:rsidR="00BA05C2" w:rsidRPr="008A6F7E" w:rsidTr="00C5769F">
        <w:tc>
          <w:tcPr>
            <w:tcW w:w="4489" w:type="dxa"/>
          </w:tcPr>
          <w:p w:rsidR="00BA05C2" w:rsidRPr="008A6F7E" w:rsidRDefault="00BA05C2" w:rsidP="00E30CFD">
            <w:pPr>
              <w:spacing w:after="0" w:line="240" w:lineRule="auto"/>
              <w:ind w:left="360"/>
              <w:jc w:val="center"/>
            </w:pPr>
          </w:p>
          <w:p w:rsidR="00BA05C2" w:rsidRPr="008A6F7E" w:rsidRDefault="00BA05C2" w:rsidP="00E30CFD">
            <w:pPr>
              <w:spacing w:after="0" w:line="240" w:lineRule="auto"/>
              <w:ind w:left="360"/>
              <w:jc w:val="center"/>
            </w:pPr>
          </w:p>
          <w:p w:rsidR="00BA05C2" w:rsidRPr="008A6F7E" w:rsidRDefault="00BA05C2" w:rsidP="00E30CFD">
            <w:pPr>
              <w:spacing w:after="0" w:line="240" w:lineRule="auto"/>
              <w:ind w:left="360"/>
              <w:jc w:val="center"/>
            </w:pPr>
          </w:p>
          <w:p w:rsidR="00BA05C2" w:rsidRPr="008A6F7E" w:rsidRDefault="00BA05C2" w:rsidP="00E30CFD">
            <w:pPr>
              <w:spacing w:after="0" w:line="240" w:lineRule="auto"/>
              <w:ind w:left="360"/>
              <w:jc w:val="center"/>
            </w:pPr>
          </w:p>
          <w:p w:rsidR="00BA05C2" w:rsidRPr="008A6F7E" w:rsidRDefault="00BA05C2" w:rsidP="00E30CFD">
            <w:pPr>
              <w:spacing w:after="0" w:line="240" w:lineRule="auto"/>
              <w:ind w:left="360"/>
              <w:jc w:val="center"/>
            </w:pPr>
          </w:p>
          <w:p w:rsidR="00BA05C2" w:rsidRPr="008A6F7E" w:rsidRDefault="00BA05C2" w:rsidP="00E30CFD">
            <w:pPr>
              <w:pStyle w:val="Prrafodelista"/>
              <w:numPr>
                <w:ilvl w:val="0"/>
                <w:numId w:val="26"/>
              </w:numPr>
              <w:spacing w:after="0" w:line="240" w:lineRule="auto"/>
              <w:jc w:val="center"/>
              <w:rPr>
                <w:b/>
              </w:rPr>
            </w:pPr>
            <w:r w:rsidRPr="008A6F7E">
              <w:rPr>
                <w:b/>
              </w:rPr>
              <w:t>Etapa de Recepción.</w:t>
            </w:r>
          </w:p>
        </w:tc>
        <w:tc>
          <w:tcPr>
            <w:tcW w:w="4489" w:type="dxa"/>
          </w:tcPr>
          <w:p w:rsidR="00BA05C2" w:rsidRPr="008A6F7E" w:rsidRDefault="00BA05C2" w:rsidP="00E30CFD">
            <w:pPr>
              <w:spacing w:after="0" w:line="240" w:lineRule="auto"/>
              <w:jc w:val="both"/>
            </w:pPr>
            <w:r w:rsidRPr="008A6F7E">
              <w:t>Esta etapa, comprende el proceso de lectura de los Sticker para realizar el agendamiento de las cajas y cargue al inventario de trabajo del centro de procesamiento.</w:t>
            </w:r>
          </w:p>
          <w:p w:rsidR="00BA05C2" w:rsidRPr="008A6F7E" w:rsidRDefault="00BA05C2" w:rsidP="00E30CFD">
            <w:pPr>
              <w:spacing w:after="0" w:line="240" w:lineRule="auto"/>
              <w:jc w:val="both"/>
            </w:pPr>
            <w:r w:rsidRPr="008A6F7E">
              <w:t>Se realiza el encarpetado de los Expedientes y se pega el Sticker de carpeta, que contiene la información de la Caja, Seccional y tipo de trámite del expediente que llevara en su interior.</w:t>
            </w:r>
          </w:p>
          <w:p w:rsidR="00BA05C2" w:rsidRPr="008A6F7E" w:rsidRDefault="00BA05C2" w:rsidP="00E30CFD">
            <w:pPr>
              <w:spacing w:after="0" w:line="240" w:lineRule="auto"/>
              <w:jc w:val="both"/>
            </w:pPr>
            <w:r w:rsidRPr="008A6F7E">
              <w:t>El personal de recepción entrega las cajas completas con sus expedientes al grupo de trabajo, para la asignación a las células.</w:t>
            </w:r>
          </w:p>
        </w:tc>
      </w:tr>
      <w:tr w:rsidR="00BA05C2" w:rsidRPr="008A6F7E" w:rsidTr="00C5769F">
        <w:tc>
          <w:tcPr>
            <w:tcW w:w="4489" w:type="dxa"/>
          </w:tcPr>
          <w:p w:rsidR="00BA05C2" w:rsidRPr="008A6F7E" w:rsidRDefault="00BA05C2" w:rsidP="00E30CFD">
            <w:pPr>
              <w:pStyle w:val="Prrafodelista"/>
              <w:spacing w:after="0" w:line="240" w:lineRule="auto"/>
              <w:rPr>
                <w:b/>
              </w:rPr>
            </w:pPr>
          </w:p>
          <w:p w:rsidR="00BA05C2" w:rsidRPr="008A6F7E" w:rsidRDefault="00BA05C2" w:rsidP="00E30CFD">
            <w:pPr>
              <w:pStyle w:val="Prrafodelista"/>
              <w:spacing w:after="0" w:line="240" w:lineRule="auto"/>
              <w:rPr>
                <w:b/>
              </w:rPr>
            </w:pPr>
          </w:p>
          <w:p w:rsidR="00BA05C2" w:rsidRPr="008A6F7E" w:rsidRDefault="00BA05C2" w:rsidP="00E30CFD">
            <w:pPr>
              <w:pStyle w:val="Prrafodelista"/>
              <w:spacing w:after="0" w:line="240" w:lineRule="auto"/>
              <w:rPr>
                <w:b/>
              </w:rPr>
            </w:pPr>
          </w:p>
          <w:p w:rsidR="00BA05C2" w:rsidRPr="008A6F7E" w:rsidRDefault="00BA05C2" w:rsidP="00E30CFD">
            <w:pPr>
              <w:pStyle w:val="Prrafodelista"/>
              <w:numPr>
                <w:ilvl w:val="0"/>
                <w:numId w:val="26"/>
              </w:numPr>
              <w:spacing w:after="0" w:line="240" w:lineRule="auto"/>
              <w:jc w:val="center"/>
              <w:rPr>
                <w:b/>
              </w:rPr>
            </w:pPr>
            <w:r w:rsidRPr="008A6F7E">
              <w:rPr>
                <w:b/>
              </w:rPr>
              <w:t>Entrega de trabajo</w:t>
            </w:r>
          </w:p>
        </w:tc>
        <w:tc>
          <w:tcPr>
            <w:tcW w:w="4489" w:type="dxa"/>
          </w:tcPr>
          <w:p w:rsidR="00BA05C2" w:rsidRPr="008A6F7E" w:rsidRDefault="00BA05C2" w:rsidP="00E30CFD">
            <w:pPr>
              <w:spacing w:after="0" w:line="240" w:lineRule="auto"/>
              <w:jc w:val="both"/>
            </w:pPr>
            <w:r w:rsidRPr="008A6F7E">
              <w:t>Las coordinadoras asignan a cada célula inicio de la operación 6 o más expedientes, para que el líder de Escáner, carguen el inventario de la célula y luego le asigne a cada alistador el expediente de trabajo. Si él mismo no cuenta con expediente para digitalización, debe iniciar realizando alistamiento.</w:t>
            </w:r>
          </w:p>
        </w:tc>
      </w:tr>
      <w:tr w:rsidR="00BA05C2" w:rsidRPr="008A6F7E" w:rsidTr="00C5769F">
        <w:tc>
          <w:tcPr>
            <w:tcW w:w="4489" w:type="dxa"/>
          </w:tcPr>
          <w:p w:rsidR="00BA05C2" w:rsidRPr="008A6F7E" w:rsidRDefault="00BA05C2" w:rsidP="00E30CFD">
            <w:pPr>
              <w:spacing w:after="0" w:line="240" w:lineRule="auto"/>
              <w:jc w:val="center"/>
            </w:pPr>
          </w:p>
          <w:p w:rsidR="00BA05C2" w:rsidRPr="008A6F7E" w:rsidRDefault="00BA05C2" w:rsidP="00E30CFD">
            <w:pPr>
              <w:pStyle w:val="Prrafodelista"/>
              <w:numPr>
                <w:ilvl w:val="0"/>
                <w:numId w:val="26"/>
              </w:numPr>
              <w:spacing w:after="0" w:line="240" w:lineRule="auto"/>
              <w:jc w:val="center"/>
              <w:rPr>
                <w:b/>
              </w:rPr>
            </w:pPr>
            <w:r w:rsidRPr="008A6F7E">
              <w:rPr>
                <w:b/>
              </w:rPr>
              <w:t>Alistamiento de Expedientes</w:t>
            </w:r>
          </w:p>
          <w:p w:rsidR="00BA05C2" w:rsidRPr="008A6F7E" w:rsidRDefault="00BA05C2" w:rsidP="00E30CFD">
            <w:pPr>
              <w:spacing w:after="0" w:line="240" w:lineRule="auto"/>
              <w:jc w:val="center"/>
            </w:pPr>
          </w:p>
        </w:tc>
        <w:tc>
          <w:tcPr>
            <w:tcW w:w="4489" w:type="dxa"/>
          </w:tcPr>
          <w:p w:rsidR="00BA05C2" w:rsidRPr="008A6F7E" w:rsidRDefault="00BA05C2" w:rsidP="00E30CFD">
            <w:pPr>
              <w:spacing w:after="0" w:line="240" w:lineRule="auto"/>
              <w:jc w:val="both"/>
            </w:pPr>
            <w:r w:rsidRPr="008A6F7E">
              <w:t>El Operador de Alistamiento, posterior a la asignación de su expediente de trabajo, lo tomara y lo ordenara de acuerdo a la metodología planteada para el proceso, y realizar la elaboración del Formato de Control. Y entregando a su líder de célula para la digitalización.</w:t>
            </w:r>
          </w:p>
        </w:tc>
      </w:tr>
      <w:tr w:rsidR="00BA05C2" w:rsidRPr="008A6F7E" w:rsidTr="00C5769F">
        <w:tc>
          <w:tcPr>
            <w:tcW w:w="4489" w:type="dxa"/>
          </w:tcPr>
          <w:p w:rsidR="00BA05C2" w:rsidRPr="008A6F7E" w:rsidRDefault="00BA05C2" w:rsidP="00E30CFD">
            <w:pPr>
              <w:pStyle w:val="Prrafodelista"/>
              <w:spacing w:after="0" w:line="240" w:lineRule="auto"/>
            </w:pPr>
          </w:p>
          <w:p w:rsidR="00BA05C2" w:rsidRPr="008A6F7E" w:rsidRDefault="00BA05C2" w:rsidP="00E30CFD">
            <w:pPr>
              <w:pStyle w:val="Prrafodelista"/>
              <w:spacing w:after="0" w:line="240" w:lineRule="auto"/>
            </w:pPr>
          </w:p>
          <w:p w:rsidR="00BA05C2" w:rsidRPr="008A6F7E" w:rsidRDefault="00BA05C2" w:rsidP="00E30CFD">
            <w:pPr>
              <w:pStyle w:val="Prrafodelista"/>
              <w:numPr>
                <w:ilvl w:val="0"/>
                <w:numId w:val="26"/>
              </w:numPr>
              <w:spacing w:after="0" w:line="240" w:lineRule="auto"/>
              <w:jc w:val="center"/>
              <w:rPr>
                <w:b/>
              </w:rPr>
            </w:pPr>
            <w:r w:rsidRPr="008A6F7E">
              <w:rPr>
                <w:b/>
              </w:rPr>
              <w:t>Digitalización de Expediente.</w:t>
            </w:r>
          </w:p>
        </w:tc>
        <w:tc>
          <w:tcPr>
            <w:tcW w:w="4489" w:type="dxa"/>
          </w:tcPr>
          <w:p w:rsidR="00BA05C2" w:rsidRPr="008A6F7E" w:rsidRDefault="00BA05C2" w:rsidP="00E30CFD">
            <w:pPr>
              <w:spacing w:after="0" w:line="240" w:lineRule="auto"/>
              <w:jc w:val="both"/>
            </w:pPr>
            <w:r w:rsidRPr="008A6F7E">
              <w:t>El líder de Scanner finaliza el alistamiento, marcando las cifras (Folios, Carpetas, Formatos de control) que contenga el expediente e inicia al proceso de digitalización, controlando que las imágenes sean legibles para su captura y procesamiento. Verifica que la transmisión de las imágenes quede efectiva.</w:t>
            </w:r>
          </w:p>
        </w:tc>
      </w:tr>
      <w:tr w:rsidR="00BA05C2" w:rsidRPr="008A6F7E" w:rsidTr="00C5769F">
        <w:tc>
          <w:tcPr>
            <w:tcW w:w="4489" w:type="dxa"/>
          </w:tcPr>
          <w:p w:rsidR="00BA05C2" w:rsidRPr="008A6F7E" w:rsidRDefault="00BA05C2" w:rsidP="00E30CFD">
            <w:pPr>
              <w:pStyle w:val="Prrafodelista"/>
              <w:spacing w:after="0" w:line="240" w:lineRule="auto"/>
              <w:rPr>
                <w:b/>
              </w:rPr>
            </w:pPr>
          </w:p>
          <w:p w:rsidR="00BA05C2" w:rsidRPr="008A6F7E" w:rsidRDefault="00BA05C2" w:rsidP="00E30CFD">
            <w:pPr>
              <w:pStyle w:val="Prrafodelista"/>
              <w:numPr>
                <w:ilvl w:val="0"/>
                <w:numId w:val="26"/>
              </w:numPr>
              <w:spacing w:after="0" w:line="240" w:lineRule="auto"/>
              <w:jc w:val="center"/>
              <w:rPr>
                <w:b/>
              </w:rPr>
            </w:pPr>
            <w:r w:rsidRPr="008A6F7E">
              <w:rPr>
                <w:b/>
              </w:rPr>
              <w:t>Captura de Formatos de Control</w:t>
            </w:r>
          </w:p>
        </w:tc>
        <w:tc>
          <w:tcPr>
            <w:tcW w:w="4489" w:type="dxa"/>
          </w:tcPr>
          <w:p w:rsidR="00BA05C2" w:rsidRPr="008A6F7E" w:rsidRDefault="00BA05C2" w:rsidP="00E30CFD">
            <w:pPr>
              <w:spacing w:after="0" w:line="240" w:lineRule="auto"/>
              <w:jc w:val="both"/>
            </w:pPr>
            <w:r w:rsidRPr="008A6F7E">
              <w:t>Desde la sala de captura, se realiza la digitación de la información del formato de control este bien elaborada.</w:t>
            </w:r>
          </w:p>
        </w:tc>
      </w:tr>
      <w:tr w:rsidR="00BA05C2" w:rsidRPr="008A6F7E" w:rsidTr="00C5769F">
        <w:tc>
          <w:tcPr>
            <w:tcW w:w="4489" w:type="dxa"/>
          </w:tcPr>
          <w:p w:rsidR="00BA05C2" w:rsidRPr="008A6F7E" w:rsidRDefault="00BA05C2" w:rsidP="00E30CFD">
            <w:pPr>
              <w:pStyle w:val="Prrafodelista"/>
              <w:spacing w:after="0" w:line="240" w:lineRule="auto"/>
              <w:rPr>
                <w:b/>
              </w:rPr>
            </w:pPr>
          </w:p>
          <w:p w:rsidR="00BA05C2" w:rsidRPr="008A6F7E" w:rsidRDefault="00BA05C2" w:rsidP="00E30CFD">
            <w:pPr>
              <w:pStyle w:val="Prrafodelista"/>
              <w:spacing w:after="0" w:line="240" w:lineRule="auto"/>
              <w:rPr>
                <w:b/>
              </w:rPr>
            </w:pPr>
          </w:p>
          <w:p w:rsidR="00BA05C2" w:rsidRPr="008A6F7E" w:rsidRDefault="00BA05C2" w:rsidP="00E30CFD">
            <w:pPr>
              <w:pStyle w:val="Prrafodelista"/>
              <w:spacing w:after="0" w:line="240" w:lineRule="auto"/>
              <w:rPr>
                <w:b/>
              </w:rPr>
            </w:pPr>
          </w:p>
          <w:p w:rsidR="00BA05C2" w:rsidRPr="008A6F7E" w:rsidRDefault="00BA05C2" w:rsidP="00E30CFD">
            <w:pPr>
              <w:pStyle w:val="Prrafodelista"/>
              <w:numPr>
                <w:ilvl w:val="0"/>
                <w:numId w:val="26"/>
              </w:numPr>
              <w:spacing w:after="0" w:line="240" w:lineRule="auto"/>
              <w:jc w:val="center"/>
              <w:rPr>
                <w:b/>
              </w:rPr>
            </w:pPr>
            <w:r w:rsidRPr="008A6F7E">
              <w:rPr>
                <w:b/>
              </w:rPr>
              <w:t>Radicación de Expediente por parte del Grupo Expediente Virtual Administrativo (EVA)</w:t>
            </w:r>
          </w:p>
        </w:tc>
        <w:tc>
          <w:tcPr>
            <w:tcW w:w="4489" w:type="dxa"/>
          </w:tcPr>
          <w:p w:rsidR="00BA05C2" w:rsidRPr="008A6F7E" w:rsidRDefault="00BA05C2" w:rsidP="00E30CFD">
            <w:pPr>
              <w:spacing w:after="0" w:line="240" w:lineRule="auto"/>
              <w:jc w:val="both"/>
            </w:pPr>
            <w:r w:rsidRPr="008A6F7E">
              <w:t>Posterior a la captura del formato de control, el expediente cae al grupo de EVA, pre tipificado para su correspondiente catalogación y radicación, Si EVA detecta alguna inconsistencia que amerite su corrección desde la línea de alistamiento o digitalización, se marca el expediente para su correspondiente ajuste.</w:t>
            </w:r>
          </w:p>
        </w:tc>
      </w:tr>
      <w:tr w:rsidR="00BA05C2" w:rsidRPr="008A6F7E" w:rsidTr="00C5769F">
        <w:tc>
          <w:tcPr>
            <w:tcW w:w="4489" w:type="dxa"/>
          </w:tcPr>
          <w:p w:rsidR="00BA05C2" w:rsidRPr="008A6F7E" w:rsidRDefault="00BA05C2" w:rsidP="00E30CFD">
            <w:pPr>
              <w:pStyle w:val="Prrafodelista"/>
              <w:spacing w:after="0" w:line="240" w:lineRule="auto"/>
              <w:rPr>
                <w:b/>
              </w:rPr>
            </w:pPr>
          </w:p>
          <w:p w:rsidR="00BA05C2" w:rsidRPr="008A6F7E" w:rsidRDefault="00BA05C2" w:rsidP="00E30CFD">
            <w:pPr>
              <w:pStyle w:val="Prrafodelista"/>
              <w:spacing w:after="0" w:line="240" w:lineRule="auto"/>
              <w:rPr>
                <w:b/>
              </w:rPr>
            </w:pPr>
          </w:p>
          <w:p w:rsidR="00BA05C2" w:rsidRPr="008A6F7E" w:rsidRDefault="00BA05C2" w:rsidP="00E30CFD">
            <w:pPr>
              <w:pStyle w:val="Prrafodelista"/>
              <w:numPr>
                <w:ilvl w:val="0"/>
                <w:numId w:val="26"/>
              </w:numPr>
              <w:spacing w:after="0" w:line="240" w:lineRule="auto"/>
              <w:jc w:val="center"/>
              <w:rPr>
                <w:b/>
              </w:rPr>
            </w:pPr>
            <w:r w:rsidRPr="008A6F7E">
              <w:rPr>
                <w:b/>
              </w:rPr>
              <w:t>Recolección y Reencaje final</w:t>
            </w:r>
          </w:p>
        </w:tc>
        <w:tc>
          <w:tcPr>
            <w:tcW w:w="4489" w:type="dxa"/>
          </w:tcPr>
          <w:p w:rsidR="00BA05C2" w:rsidRPr="008A6F7E" w:rsidRDefault="00BA05C2" w:rsidP="00E30CFD">
            <w:pPr>
              <w:spacing w:after="0" w:line="240" w:lineRule="auto"/>
              <w:jc w:val="both"/>
            </w:pPr>
            <w:r w:rsidRPr="008A6F7E">
              <w:t>El grupo de reencaje final, pasa por las células recogiendo los expedientes que se encuentren listos radicados por EVA, y llevarlos al área de reencaje final, crear las cajas de entrega por Seccionales y realizar la impresión de los FUID correspondientes y pegar el Sticker final de carpeta.</w:t>
            </w:r>
          </w:p>
        </w:tc>
      </w:tr>
      <w:tr w:rsidR="00BA05C2" w:rsidRPr="008A6F7E" w:rsidTr="00C5769F">
        <w:tc>
          <w:tcPr>
            <w:tcW w:w="4489" w:type="dxa"/>
          </w:tcPr>
          <w:p w:rsidR="00BA05C2" w:rsidRPr="008A6F7E" w:rsidRDefault="00BA05C2" w:rsidP="00E30CFD">
            <w:pPr>
              <w:pStyle w:val="Prrafodelista"/>
              <w:spacing w:after="0" w:line="240" w:lineRule="auto"/>
              <w:rPr>
                <w:b/>
              </w:rPr>
            </w:pPr>
          </w:p>
          <w:p w:rsidR="00BA05C2" w:rsidRPr="008A6F7E" w:rsidRDefault="00BA05C2" w:rsidP="00E30CFD">
            <w:pPr>
              <w:pStyle w:val="Prrafodelista"/>
              <w:spacing w:after="0" w:line="240" w:lineRule="auto"/>
              <w:rPr>
                <w:b/>
              </w:rPr>
            </w:pPr>
          </w:p>
          <w:p w:rsidR="00BA05C2" w:rsidRPr="008A6F7E" w:rsidRDefault="00BA05C2" w:rsidP="00E30CFD">
            <w:pPr>
              <w:pStyle w:val="Prrafodelista"/>
              <w:numPr>
                <w:ilvl w:val="0"/>
                <w:numId w:val="26"/>
              </w:numPr>
              <w:spacing w:after="0" w:line="240" w:lineRule="auto"/>
              <w:jc w:val="center"/>
              <w:rPr>
                <w:b/>
              </w:rPr>
            </w:pPr>
            <w:r w:rsidRPr="008A6F7E">
              <w:rPr>
                <w:b/>
              </w:rPr>
              <w:t>Auditoria ISS física y entrega</w:t>
            </w:r>
          </w:p>
        </w:tc>
        <w:tc>
          <w:tcPr>
            <w:tcW w:w="4489" w:type="dxa"/>
          </w:tcPr>
          <w:p w:rsidR="00BA05C2" w:rsidRPr="008A6F7E" w:rsidRDefault="00BA05C2" w:rsidP="00E30CFD">
            <w:pPr>
              <w:spacing w:after="0" w:line="240" w:lineRule="auto"/>
              <w:jc w:val="both"/>
            </w:pPr>
            <w:r w:rsidRPr="008A6F7E">
              <w:t>Posterior al reencaje y alistamiento de las cajas de entrega, estas se entregan en lotes al ISS en Liquidación para auditoria física y de imágenes, posterior a su aprobación se hace marcación en la base de datos y entrega de las Cajas al centro de acopio al personal encargado del proceso.</w:t>
            </w:r>
          </w:p>
        </w:tc>
      </w:tr>
    </w:tbl>
    <w:p w:rsidR="00BA05C2" w:rsidRPr="008A6F7E" w:rsidRDefault="00BA05C2" w:rsidP="00E30CFD">
      <w:pPr>
        <w:pStyle w:val="Prrafodelista"/>
        <w:spacing w:after="0" w:line="240" w:lineRule="auto"/>
        <w:ind w:left="0"/>
        <w:jc w:val="center"/>
        <w:rPr>
          <w:rFonts w:cs="Tahoma"/>
          <w:sz w:val="16"/>
          <w:szCs w:val="16"/>
          <w:lang w:val="es-CO"/>
        </w:rPr>
      </w:pPr>
      <w:r w:rsidRPr="008A6F7E">
        <w:rPr>
          <w:sz w:val="16"/>
          <w:szCs w:val="16"/>
          <w:lang w:val="es-CO"/>
        </w:rPr>
        <w:t>Fuente: Área de Entrega ISS en Liquidación</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Pr>
          <w:rFonts w:cs="Tahoma"/>
          <w:sz w:val="24"/>
          <w:szCs w:val="24"/>
        </w:rPr>
        <w:t>Igualmente, se a</w:t>
      </w:r>
      <w:r w:rsidRPr="008A6F7E">
        <w:rPr>
          <w:rFonts w:cs="Tahoma"/>
          <w:sz w:val="24"/>
          <w:szCs w:val="24"/>
        </w:rPr>
        <w:t>nexa video que permite visualizar las etapas del proceso anteriormente descrito.</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Pr>
          <w:rFonts w:cs="Tahoma"/>
          <w:sz w:val="24"/>
          <w:szCs w:val="24"/>
        </w:rPr>
        <w:t>De otro lado, se tiene que l</w:t>
      </w:r>
      <w:r w:rsidRPr="008A6F7E">
        <w:rPr>
          <w:rFonts w:cs="Tahoma"/>
          <w:sz w:val="24"/>
          <w:szCs w:val="24"/>
        </w:rPr>
        <w:t>a entrega de los expedientes físicos se hará posteriormente, en consideración a que  Colpensiones plantea que con las imágenes puede realizar todo el proceso de decisión de las solicitudes pendientes. No obstante, el 11 de enero de 2013 se efectuó una primera entrega de 4.668 expedientes físicos.</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7"/>
        </w:numPr>
        <w:spacing w:after="0" w:line="240" w:lineRule="auto"/>
        <w:jc w:val="both"/>
        <w:rPr>
          <w:rFonts w:cs="Tahoma"/>
          <w:b/>
          <w:sz w:val="24"/>
          <w:szCs w:val="24"/>
        </w:rPr>
      </w:pPr>
      <w:r w:rsidRPr="008A6F7E">
        <w:rPr>
          <w:rFonts w:cs="Tahoma"/>
          <w:b/>
          <w:sz w:val="24"/>
          <w:szCs w:val="24"/>
        </w:rPr>
        <w:t xml:space="preserve">Novedades de Nómina </w:t>
      </w: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 xml:space="preserve"> </w:t>
      </w: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 xml:space="preserve">El estado de entrega de las Novedades de Nómina se encuentra finalizado, toda vez que entre el 11 de octubre de 2012 y el 25 de enero de 2013 se entregaron un total de 11.498 solicitudes de novedades de nómina, correspondiendo al 100% de los trámites de esta serie documental. </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Cabe anotar que en otra serie documental, de novedades físicas pendientes, Derechos de Petición (proceso de nómina) de los centros de decisión del ISS, se han entregado 5.013 novedades que corresponden a un avance del 39%.</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7"/>
        </w:numPr>
        <w:spacing w:after="0" w:line="240" w:lineRule="auto"/>
        <w:jc w:val="both"/>
        <w:rPr>
          <w:rFonts w:cs="Tahoma"/>
          <w:b/>
          <w:sz w:val="24"/>
          <w:szCs w:val="24"/>
        </w:rPr>
      </w:pPr>
      <w:r w:rsidRPr="008A6F7E">
        <w:rPr>
          <w:rFonts w:cs="Tahoma"/>
          <w:b/>
          <w:sz w:val="24"/>
          <w:szCs w:val="24"/>
        </w:rPr>
        <w:t>Corrección de historia laboral tradicional</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 xml:space="preserve">Teniendo en cuenta la información de entrega que se encuentra relacionada a continuación se ha entregado el 100% así: </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5"/>
        </w:numPr>
        <w:spacing w:after="0" w:line="240" w:lineRule="auto"/>
        <w:ind w:left="709" w:hanging="709"/>
        <w:jc w:val="both"/>
        <w:rPr>
          <w:rFonts w:cs="Tahoma"/>
          <w:sz w:val="24"/>
          <w:szCs w:val="24"/>
        </w:rPr>
      </w:pPr>
      <w:r w:rsidRPr="008A6F7E">
        <w:rPr>
          <w:rFonts w:cs="Tahoma"/>
          <w:sz w:val="24"/>
          <w:szCs w:val="24"/>
        </w:rPr>
        <w:t>Solicitudes pendientes sin diligenciamiento Sistema de Actualización de Datos (SAD): El 25 y 26 de octubre de 2012 se efectúo la entrega de 815 solicitudes.</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5"/>
        </w:numPr>
        <w:spacing w:after="0" w:line="240" w:lineRule="auto"/>
        <w:ind w:left="709" w:hanging="709"/>
        <w:jc w:val="both"/>
        <w:rPr>
          <w:rFonts w:cs="Tahoma"/>
          <w:sz w:val="24"/>
          <w:szCs w:val="24"/>
        </w:rPr>
      </w:pPr>
      <w:r w:rsidRPr="008A6F7E">
        <w:rPr>
          <w:rFonts w:cs="Tahoma"/>
          <w:sz w:val="24"/>
          <w:szCs w:val="24"/>
        </w:rPr>
        <w:t xml:space="preserve">Solicitudes pendientes (SAD): El 4 de octubre de 2012 se entregaron archivos con estructura de datos e imágenes de las solicitudes radicadas en formato SAD, para un total de 149.518 solicitudes. Sea del caso precisar que en esta entrega se incorporaron tanto las solicitudes de corrección de historia laboral tradicional como post 94. </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17"/>
        </w:numPr>
        <w:spacing w:after="0" w:line="240" w:lineRule="auto"/>
        <w:jc w:val="both"/>
        <w:rPr>
          <w:rFonts w:cs="Tahoma"/>
          <w:b/>
          <w:sz w:val="24"/>
          <w:szCs w:val="24"/>
        </w:rPr>
      </w:pPr>
      <w:r w:rsidRPr="008A6F7E">
        <w:rPr>
          <w:rFonts w:cs="Tahoma"/>
          <w:b/>
          <w:sz w:val="24"/>
          <w:szCs w:val="24"/>
        </w:rPr>
        <w:t>Corrección de historia laboral post 94</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A partir de enero de 1995 se inició el sistema de autoliquidación por parte de los aportantes al ISS, este nuevo proceso se denominó post 94.</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El protocolo estableció la obligación de entrega de la siguiente documentación relacionada con la historia laboral post 94:</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5"/>
        </w:numPr>
        <w:spacing w:after="0" w:line="240" w:lineRule="auto"/>
        <w:ind w:left="709" w:hanging="709"/>
        <w:jc w:val="both"/>
        <w:rPr>
          <w:rFonts w:cs="Tahoma"/>
          <w:sz w:val="24"/>
          <w:szCs w:val="24"/>
        </w:rPr>
      </w:pPr>
      <w:r w:rsidRPr="008A6F7E">
        <w:rPr>
          <w:rFonts w:cs="Tahoma"/>
          <w:sz w:val="24"/>
          <w:szCs w:val="24"/>
        </w:rPr>
        <w:t xml:space="preserve">Solicitudes pendientes SAD: El 4 de octubre de 2012 se entregaron archivos con estructura de datos e imágenes de las solicitudes radicadas en formato SAD, para un total de 149.518 solicitudes. Sea del caso precisar que en esta entrega se incorporaron tanto las solicitudes de corrección de historia laboral post 94 como de la historia laboral tradicional. </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numPr>
          <w:ilvl w:val="0"/>
          <w:numId w:val="5"/>
        </w:numPr>
        <w:spacing w:after="0" w:line="240" w:lineRule="auto"/>
        <w:ind w:left="709" w:hanging="709"/>
        <w:jc w:val="both"/>
        <w:rPr>
          <w:rFonts w:cs="Tahoma"/>
          <w:sz w:val="24"/>
          <w:szCs w:val="24"/>
        </w:rPr>
      </w:pPr>
      <w:r w:rsidRPr="008A6F7E">
        <w:rPr>
          <w:rFonts w:cs="Tahoma"/>
          <w:sz w:val="24"/>
          <w:szCs w:val="24"/>
        </w:rPr>
        <w:t xml:space="preserve">Archivos históricos en medio magnético SAD: El 4 de octubre de 2012 se entregaron archivos con estructura de datos e imágenes de las solicitudes radicadas en formato SAD atendidas, para un total de 171.923 solicitudes. Dado que la entrega fue unificada, se incorporaron tanto las solicitudes de corrección de historia laboral post 94 como de la historia laboral tradicional. </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4"/>
        <w:numPr>
          <w:ilvl w:val="0"/>
          <w:numId w:val="5"/>
        </w:numPr>
        <w:ind w:left="709" w:hanging="709"/>
        <w:jc w:val="both"/>
        <w:rPr>
          <w:rFonts w:ascii="Calibri" w:hAnsi="Calibri" w:cs="Tahoma"/>
          <w:lang w:eastAsia="en-US"/>
        </w:rPr>
      </w:pPr>
      <w:r w:rsidRPr="008A6F7E">
        <w:rPr>
          <w:rFonts w:ascii="Calibri" w:hAnsi="Calibri" w:cs="Tahoma"/>
        </w:rPr>
        <w:t xml:space="preserve">Solicitudes pendientes de corrección documentación física: Se identificaron </w:t>
      </w:r>
      <w:r w:rsidRPr="008A6F7E">
        <w:rPr>
          <w:rFonts w:ascii="Calibri" w:hAnsi="Calibri" w:cs="Tahoma"/>
          <w:lang w:eastAsia="en-US"/>
        </w:rPr>
        <w:t xml:space="preserve">13.407 documentos no contemplados dentro de las solicitudes SAD o </w:t>
      </w:r>
      <w:r w:rsidRPr="008A6F7E">
        <w:rPr>
          <w:rFonts w:ascii="Calibri" w:hAnsi="Calibri" w:cs="Tahoma"/>
        </w:rPr>
        <w:t>Sistema de Derechos de Petición (SISPET)</w:t>
      </w:r>
      <w:r w:rsidRPr="008A6F7E">
        <w:rPr>
          <w:rFonts w:ascii="Calibri" w:hAnsi="Calibri" w:cs="Tahoma"/>
          <w:lang w:eastAsia="en-US"/>
        </w:rPr>
        <w:t xml:space="preserve">. </w:t>
      </w:r>
      <w:r>
        <w:rPr>
          <w:rFonts w:ascii="Calibri" w:hAnsi="Calibri" w:cs="Tahoma"/>
          <w:lang w:eastAsia="en-US"/>
        </w:rPr>
        <w:t>En el</w:t>
      </w:r>
      <w:r w:rsidRPr="002725A7">
        <w:rPr>
          <w:rFonts w:ascii="Calibri" w:hAnsi="Calibri" w:cs="Tahoma"/>
          <w:lang w:eastAsia="en-US"/>
        </w:rPr>
        <w:t xml:space="preserve"> mes de mayo se finalizará el proceso</w:t>
      </w:r>
      <w:r w:rsidRPr="008A6F7E">
        <w:rPr>
          <w:rFonts w:ascii="Calibri" w:hAnsi="Calibri" w:cs="Tahoma"/>
          <w:lang w:eastAsia="en-US"/>
        </w:rPr>
        <w:t xml:space="preserve"> de separación documental, adecuación del FUI y remarcación de carpetas y cajas, para programar la diligencia de entrega.</w:t>
      </w:r>
    </w:p>
    <w:p w:rsidR="00BA05C2" w:rsidRPr="008A6F7E" w:rsidRDefault="00BA05C2" w:rsidP="00E30CFD">
      <w:pPr>
        <w:pStyle w:val="Prrafodelista"/>
        <w:spacing w:after="0" w:line="240" w:lineRule="auto"/>
        <w:ind w:left="-709"/>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lastRenderedPageBreak/>
        <w:t>De la información anterior, se ha entregado aproximadamente el 97% de la información correspondiente a las solicitudes de corrección de historia laboral post 94.</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11"/>
        </w:numPr>
        <w:spacing w:after="0" w:line="240" w:lineRule="auto"/>
        <w:jc w:val="both"/>
        <w:rPr>
          <w:rFonts w:cs="Tahoma"/>
          <w:b/>
          <w:sz w:val="24"/>
          <w:szCs w:val="24"/>
        </w:rPr>
      </w:pPr>
      <w:r w:rsidRPr="008A6F7E">
        <w:rPr>
          <w:rFonts w:cs="Tahoma"/>
          <w:b/>
          <w:sz w:val="24"/>
          <w:szCs w:val="24"/>
        </w:rPr>
        <w:t>Derechos de Petición</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El protocolo estableció la obligación de entregar los archivos de datos e imágenes de derechos de petición de la herramienta SISPET cargados al 28 de septiembre de 2012 (pendientes y atendidos).</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5"/>
        </w:numPr>
        <w:spacing w:after="0" w:line="240" w:lineRule="auto"/>
        <w:ind w:left="709" w:hanging="709"/>
        <w:jc w:val="both"/>
        <w:rPr>
          <w:rFonts w:cs="Tahoma"/>
          <w:sz w:val="24"/>
          <w:szCs w:val="24"/>
        </w:rPr>
      </w:pPr>
      <w:r w:rsidRPr="008A6F7E">
        <w:rPr>
          <w:rFonts w:cs="Tahoma"/>
          <w:sz w:val="24"/>
          <w:szCs w:val="24"/>
        </w:rPr>
        <w:t>Solicitudes pendientes por (SISPET): El 3 de octubre de 2012 se entregaron 126.519 archivos de datos e imágenes de derechos de petición pendientes por atender por el ISS del aplicativo SISPET, que en su estructura establece la pretensión, tipo de solicitud y dependencia responsable de la gestión. Considerando que el protocolo determinó la entrega global de los datos contenidos en el SISPET, no se estableció la clasificación de los derechos pendientes por atender por tipo de solicitud.</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5"/>
        </w:numPr>
        <w:spacing w:after="0" w:line="240" w:lineRule="auto"/>
        <w:ind w:left="709" w:hanging="709"/>
        <w:jc w:val="both"/>
        <w:rPr>
          <w:rFonts w:cs="Tahoma"/>
          <w:sz w:val="24"/>
          <w:szCs w:val="24"/>
        </w:rPr>
      </w:pPr>
      <w:r w:rsidRPr="008A6F7E">
        <w:rPr>
          <w:rFonts w:cs="Tahoma"/>
          <w:sz w:val="24"/>
          <w:szCs w:val="24"/>
        </w:rPr>
        <w:t>Archivos históricos en medio magnético SISPET: El 3 de octubre de 2012 se entregaron 158.692 archivos de datos e imágenes de derechos de petición del SISPET que al igual que las solicitudes pendientes, no se estableció la clasificación alguna.</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En conclusión, el 3 de octubre de 2012 se entregaron 285.211 derechos de petición contenidos en el aplicativo mencionado. Adicionalmente, en cumplimiento del protocolo se centralizaron en Bogotá los 1.386 derechos de petición que habían ingresado al 28 de septiembre de 2012 y que no alcanzaron a ser digitalizados dentro del aplicativo SISPET, los cuales fueron entregados el 22 de marzo de 2013, cumpliéndose el 100% del compromiso.</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numPr>
          <w:ilvl w:val="0"/>
          <w:numId w:val="11"/>
        </w:numPr>
        <w:spacing w:after="0" w:line="240" w:lineRule="auto"/>
        <w:jc w:val="both"/>
        <w:rPr>
          <w:rFonts w:cs="Tahoma"/>
          <w:b/>
          <w:sz w:val="24"/>
          <w:szCs w:val="24"/>
        </w:rPr>
      </w:pPr>
      <w:r w:rsidRPr="008A6F7E">
        <w:rPr>
          <w:rFonts w:cs="Tahoma"/>
          <w:b/>
          <w:sz w:val="24"/>
          <w:szCs w:val="24"/>
        </w:rPr>
        <w:t>Bonos pensionales</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En el protocolo se estableció la obligación de entregar la siguiente información:</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numPr>
          <w:ilvl w:val="0"/>
          <w:numId w:val="6"/>
        </w:numPr>
        <w:spacing w:after="0" w:line="240" w:lineRule="auto"/>
        <w:ind w:left="709" w:hanging="709"/>
        <w:jc w:val="both"/>
        <w:rPr>
          <w:rFonts w:cs="Tahoma"/>
          <w:sz w:val="24"/>
          <w:szCs w:val="24"/>
        </w:rPr>
      </w:pPr>
      <w:r w:rsidRPr="008A6F7E">
        <w:rPr>
          <w:rFonts w:cs="Tahoma"/>
          <w:sz w:val="24"/>
          <w:szCs w:val="24"/>
        </w:rPr>
        <w:t>Solicitudes pendientes en digital de bonos pensionales B, T, A, C, E.  El día 4 de octubre de 2012 se entregó la anterior información dentro de la entrega del aplicativo de bonos pensiónales, habiéndose cumplido el 100%.</w:t>
      </w:r>
    </w:p>
    <w:p w:rsidR="00BA05C2" w:rsidRPr="008A6F7E" w:rsidRDefault="00BA05C2" w:rsidP="00E30CFD">
      <w:pPr>
        <w:pStyle w:val="Prrafodelista"/>
        <w:spacing w:after="0" w:line="240" w:lineRule="auto"/>
        <w:ind w:left="709"/>
        <w:jc w:val="both"/>
        <w:rPr>
          <w:rFonts w:cs="Tahoma"/>
          <w:sz w:val="24"/>
          <w:szCs w:val="24"/>
        </w:rPr>
      </w:pPr>
    </w:p>
    <w:p w:rsidR="00BA05C2" w:rsidRPr="008A6F7E" w:rsidRDefault="00BA05C2" w:rsidP="00E30CFD">
      <w:pPr>
        <w:pStyle w:val="Prrafodelista"/>
        <w:numPr>
          <w:ilvl w:val="0"/>
          <w:numId w:val="6"/>
        </w:numPr>
        <w:spacing w:after="0" w:line="240" w:lineRule="auto"/>
        <w:ind w:left="709" w:hanging="709"/>
        <w:jc w:val="both"/>
        <w:rPr>
          <w:rFonts w:cs="Tahoma"/>
          <w:sz w:val="24"/>
          <w:szCs w:val="24"/>
        </w:rPr>
      </w:pPr>
      <w:r w:rsidRPr="008A6F7E">
        <w:rPr>
          <w:rFonts w:cs="Tahoma"/>
          <w:sz w:val="24"/>
          <w:szCs w:val="24"/>
        </w:rPr>
        <w:t>Histórico de las hojas de cálculo con las fórmulas para la liquidación de los bonos Tipo B, mediante la entrega del back up del equipo que tenía la información y de las bases de datos del proceso histórico en ACCES el 3 de octubre de 2012.  Cumplido al 100%</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numPr>
          <w:ilvl w:val="0"/>
          <w:numId w:val="6"/>
        </w:numPr>
        <w:spacing w:after="0" w:line="240" w:lineRule="auto"/>
        <w:ind w:left="709" w:hanging="709"/>
        <w:jc w:val="both"/>
        <w:rPr>
          <w:rFonts w:cs="Tahoma"/>
          <w:sz w:val="24"/>
          <w:szCs w:val="24"/>
        </w:rPr>
      </w:pPr>
      <w:r w:rsidRPr="008A6F7E">
        <w:rPr>
          <w:rFonts w:cs="Tahoma"/>
          <w:sz w:val="24"/>
          <w:szCs w:val="24"/>
        </w:rPr>
        <w:lastRenderedPageBreak/>
        <w:t xml:space="preserve">Es necesario aclarar que de las series documentales que componen las solicitudes pendientes en medio físico de Bonos B, T y cobro persuasivo de bonos tipo B, existe un inventario de 26.950, de las cuales se han entregado 3.098 en fecha 12/04/2013 (Nota: 100 solicitudes cobro persuasivo de bonos y 2998 de Bonos B, T). </w:t>
      </w:r>
    </w:p>
    <w:p w:rsidR="00BA05C2" w:rsidRPr="008A6F7E" w:rsidRDefault="00BA05C2" w:rsidP="00E30CFD">
      <w:pPr>
        <w:pStyle w:val="Prrafodelista"/>
        <w:spacing w:after="0" w:line="240" w:lineRule="auto"/>
        <w:ind w:left="0"/>
        <w:jc w:val="both"/>
        <w:rPr>
          <w:rFonts w:cs="Tahoma"/>
          <w:sz w:val="24"/>
          <w:szCs w:val="24"/>
        </w:rPr>
      </w:pPr>
    </w:p>
    <w:p w:rsidR="00BA05C2" w:rsidRPr="008A6F7E" w:rsidRDefault="00BA05C2" w:rsidP="00E30CFD">
      <w:pPr>
        <w:pStyle w:val="Prrafodelista"/>
        <w:spacing w:after="0" w:line="240" w:lineRule="auto"/>
        <w:ind w:left="0"/>
        <w:jc w:val="both"/>
        <w:rPr>
          <w:rFonts w:cs="Tahoma"/>
          <w:sz w:val="24"/>
          <w:szCs w:val="24"/>
        </w:rPr>
      </w:pPr>
      <w:r w:rsidRPr="008A6F7E">
        <w:rPr>
          <w:rFonts w:cs="Tahoma"/>
          <w:sz w:val="24"/>
          <w:szCs w:val="24"/>
        </w:rPr>
        <w:t>Colpensiones no había solicitado incluir la certificación de salarios a fecha base (30 de junio de 1992 Decreto 1748 de 1995), por ello, se está adelantando el proceso de alistamiento de la información el cual tiene un avance del 70%.</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numPr>
          <w:ilvl w:val="0"/>
          <w:numId w:val="6"/>
        </w:numPr>
        <w:spacing w:after="0" w:line="240" w:lineRule="auto"/>
        <w:ind w:left="709" w:hanging="709"/>
        <w:jc w:val="both"/>
        <w:rPr>
          <w:rFonts w:cs="Tahoma"/>
          <w:sz w:val="24"/>
          <w:szCs w:val="24"/>
        </w:rPr>
      </w:pPr>
      <w:r w:rsidRPr="008A6F7E">
        <w:rPr>
          <w:rFonts w:cs="Tahoma"/>
          <w:sz w:val="24"/>
          <w:szCs w:val="24"/>
        </w:rPr>
        <w:t xml:space="preserve">Archivos históricos de bonos tipos A, B, T, C, E, cobros persuasivos de bonos tipo B, deuda de bonos cobrados, soporte de bonos y resoluciones ejecutadas. El universo de entrega es de 102.078, a la fecha se cuenta con un avance del 17% en el alistamiento de la información. En conjunto con Colpensiones se ha determinado dar prioridad a la entrega de las solicitudes pendientes por cobrar, razón por la cual la entrega de esta información no presenta un avance significativo.  </w:t>
      </w:r>
    </w:p>
    <w:p w:rsidR="00BA05C2" w:rsidRPr="008A6F7E" w:rsidRDefault="00BA05C2" w:rsidP="00E30CFD">
      <w:pPr>
        <w:pStyle w:val="Prrafodelista"/>
        <w:spacing w:after="0" w:line="240" w:lineRule="auto"/>
        <w:jc w:val="both"/>
        <w:rPr>
          <w:rFonts w:cs="Tahoma"/>
          <w:sz w:val="24"/>
          <w:szCs w:val="24"/>
        </w:rPr>
      </w:pPr>
    </w:p>
    <w:p w:rsidR="00BA05C2" w:rsidRPr="008A6F7E" w:rsidRDefault="00BA05C2" w:rsidP="00E30CFD">
      <w:pPr>
        <w:pStyle w:val="Prrafodelista"/>
        <w:numPr>
          <w:ilvl w:val="0"/>
          <w:numId w:val="11"/>
        </w:numPr>
        <w:spacing w:after="0" w:line="240" w:lineRule="auto"/>
        <w:jc w:val="both"/>
        <w:rPr>
          <w:rFonts w:cs="Tahoma"/>
          <w:b/>
          <w:sz w:val="24"/>
          <w:szCs w:val="24"/>
        </w:rPr>
      </w:pPr>
      <w:r w:rsidRPr="008A6F7E">
        <w:rPr>
          <w:rFonts w:cs="Tahoma"/>
          <w:b/>
          <w:sz w:val="24"/>
          <w:szCs w:val="24"/>
        </w:rPr>
        <w:t xml:space="preserve">Cuotas Partes pensionales </w:t>
      </w:r>
    </w:p>
    <w:p w:rsidR="00BA05C2" w:rsidRPr="008A6F7E" w:rsidRDefault="00BA05C2" w:rsidP="00E30CFD">
      <w:pPr>
        <w:pStyle w:val="Sinespaciado"/>
        <w:jc w:val="both"/>
        <w:rPr>
          <w:rFonts w:cs="Tahoma"/>
          <w:sz w:val="24"/>
          <w:szCs w:val="24"/>
        </w:rPr>
      </w:pPr>
    </w:p>
    <w:p w:rsidR="00BA05C2" w:rsidRPr="008A6F7E" w:rsidRDefault="00BA05C2" w:rsidP="00E30CFD">
      <w:pPr>
        <w:pStyle w:val="Sinespaciado"/>
        <w:jc w:val="both"/>
        <w:rPr>
          <w:rFonts w:cs="Tahoma"/>
          <w:sz w:val="24"/>
          <w:szCs w:val="24"/>
        </w:rPr>
      </w:pPr>
      <w:r w:rsidRPr="008A6F7E">
        <w:rPr>
          <w:rFonts w:cs="Tahoma"/>
          <w:sz w:val="24"/>
          <w:szCs w:val="24"/>
        </w:rPr>
        <w:t>El artículo 33 del Decreto 2013 de 2012, asignó al Instituto de Seguros Sociales en Liquidación la responsabilidad de administrar las cuotas partes por cobrar y pagar, reconocidas con anterioridad a la entrada en vigencia del mismo, sin determinar organismo gubernamental o entidad alguna a la cual deba realizarse entrega documental o de recursos financieros, como tampoco un plazo para estas actividades.</w:t>
      </w:r>
    </w:p>
    <w:p w:rsidR="00BA05C2" w:rsidRPr="008A6F7E" w:rsidRDefault="00BA05C2" w:rsidP="00E30CFD">
      <w:pPr>
        <w:pStyle w:val="Sinespaciado"/>
        <w:jc w:val="both"/>
        <w:rPr>
          <w:rFonts w:cs="Tahoma"/>
          <w:sz w:val="24"/>
          <w:szCs w:val="24"/>
        </w:rPr>
      </w:pPr>
    </w:p>
    <w:p w:rsidR="00BA05C2" w:rsidRPr="008A6F7E" w:rsidRDefault="00BA05C2" w:rsidP="00E30CFD">
      <w:pPr>
        <w:pStyle w:val="Sinespaciado"/>
        <w:jc w:val="both"/>
        <w:rPr>
          <w:rFonts w:cs="Tahoma"/>
          <w:sz w:val="24"/>
          <w:szCs w:val="24"/>
        </w:rPr>
      </w:pPr>
      <w:r w:rsidRPr="008A6F7E">
        <w:rPr>
          <w:rFonts w:cs="Tahoma"/>
          <w:sz w:val="24"/>
          <w:szCs w:val="24"/>
        </w:rPr>
        <w:t>Las cifras del proceso a 28 de septiembre de 2012 son:</w:t>
      </w:r>
    </w:p>
    <w:p w:rsidR="00BA05C2" w:rsidRPr="008A6F7E" w:rsidRDefault="00BA05C2" w:rsidP="00E30CFD">
      <w:pPr>
        <w:pStyle w:val="Sinespaciado"/>
        <w:jc w:val="both"/>
        <w:rPr>
          <w:rFonts w:cs="Tahoma"/>
          <w:sz w:val="24"/>
          <w:szCs w:val="24"/>
        </w:rPr>
      </w:pPr>
    </w:p>
    <w:p w:rsidR="00BA05C2" w:rsidRPr="008A6F7E" w:rsidRDefault="00BA05C2" w:rsidP="00E30CFD">
      <w:pPr>
        <w:pStyle w:val="Sinespaciado"/>
        <w:jc w:val="both"/>
        <w:rPr>
          <w:rFonts w:cs="Tahoma"/>
          <w:sz w:val="24"/>
          <w:szCs w:val="24"/>
        </w:rPr>
      </w:pPr>
      <w:r w:rsidRPr="008A6F7E">
        <w:rPr>
          <w:rFonts w:cs="Tahoma"/>
          <w:b/>
          <w:sz w:val="24"/>
          <w:szCs w:val="24"/>
        </w:rPr>
        <w:t>Cuotas partes por cobrar</w:t>
      </w:r>
      <w:r w:rsidRPr="008A6F7E">
        <w:rPr>
          <w:rFonts w:cs="Tahoma"/>
          <w:sz w:val="24"/>
          <w:szCs w:val="24"/>
        </w:rPr>
        <w:t xml:space="preserve">: </w:t>
      </w:r>
      <w:r w:rsidRPr="008A6F7E">
        <w:rPr>
          <w:rFonts w:cs="Tahoma"/>
          <w:sz w:val="24"/>
          <w:szCs w:val="24"/>
        </w:rPr>
        <w:tab/>
        <w:t>20.705 pensionados.     807 entidades.     $700.000 millones.</w:t>
      </w:r>
    </w:p>
    <w:p w:rsidR="00BA05C2" w:rsidRPr="008A6F7E" w:rsidRDefault="00BA05C2" w:rsidP="00E30CFD">
      <w:pPr>
        <w:pStyle w:val="Sinespaciado"/>
        <w:jc w:val="both"/>
        <w:rPr>
          <w:rFonts w:cs="Tahoma"/>
          <w:sz w:val="24"/>
          <w:szCs w:val="24"/>
        </w:rPr>
      </w:pPr>
      <w:r w:rsidRPr="008A6F7E">
        <w:rPr>
          <w:rFonts w:cs="Tahoma"/>
          <w:b/>
          <w:sz w:val="24"/>
          <w:szCs w:val="24"/>
        </w:rPr>
        <w:t>Cuotas partes por pagar</w:t>
      </w:r>
      <w:r w:rsidRPr="008A6F7E">
        <w:rPr>
          <w:rFonts w:cs="Tahoma"/>
          <w:sz w:val="24"/>
          <w:szCs w:val="24"/>
        </w:rPr>
        <w:t>:</w:t>
      </w:r>
      <w:r w:rsidRPr="008A6F7E">
        <w:rPr>
          <w:rFonts w:cs="Tahoma"/>
          <w:sz w:val="24"/>
          <w:szCs w:val="24"/>
        </w:rPr>
        <w:tab/>
        <w:t xml:space="preserve">      901 pensionados.       24 entidades.     $124.000 millones.</w:t>
      </w:r>
    </w:p>
    <w:p w:rsidR="00BA05C2" w:rsidRPr="008A6F7E" w:rsidRDefault="00BA05C2" w:rsidP="00E30CFD">
      <w:pPr>
        <w:pStyle w:val="Sinespaciado"/>
        <w:jc w:val="both"/>
        <w:rPr>
          <w:rFonts w:cs="Tahoma"/>
          <w:sz w:val="24"/>
          <w:szCs w:val="24"/>
        </w:rPr>
      </w:pPr>
    </w:p>
    <w:p w:rsidR="00BA05C2" w:rsidRPr="008A6F7E" w:rsidRDefault="00BA05C2" w:rsidP="00E30CFD">
      <w:pPr>
        <w:pStyle w:val="Sinespaciado"/>
        <w:jc w:val="both"/>
        <w:rPr>
          <w:rFonts w:cs="Tahoma"/>
          <w:sz w:val="24"/>
          <w:szCs w:val="24"/>
        </w:rPr>
      </w:pPr>
      <w:r w:rsidRPr="008A6F7E">
        <w:rPr>
          <w:rFonts w:cs="Tahoma"/>
          <w:sz w:val="24"/>
          <w:szCs w:val="24"/>
        </w:rPr>
        <w:t>A partir de la vigencia del Decreto 2013 de 2012, el ISS en Liquidación ha realizado</w:t>
      </w:r>
      <w:r>
        <w:rPr>
          <w:rFonts w:cs="Tahoma"/>
          <w:sz w:val="24"/>
          <w:szCs w:val="24"/>
        </w:rPr>
        <w:t xml:space="preserve"> de manera permanente</w:t>
      </w:r>
      <w:r w:rsidRPr="008A6F7E">
        <w:rPr>
          <w:rFonts w:cs="Tahoma"/>
          <w:sz w:val="24"/>
          <w:szCs w:val="24"/>
        </w:rPr>
        <w:t xml:space="preserve"> las actividades relacionadas con las consultas y cobro a entidades, liquidaciones y respuestas a solicitudes de pago.  </w:t>
      </w:r>
    </w:p>
    <w:p w:rsidR="00BA05C2" w:rsidRDefault="00BA05C2" w:rsidP="00E30CFD">
      <w:pPr>
        <w:pStyle w:val="Prrafodelista"/>
        <w:spacing w:after="0" w:line="240" w:lineRule="auto"/>
        <w:ind w:left="0"/>
        <w:jc w:val="both"/>
        <w:rPr>
          <w:rFonts w:cs="Tahoma"/>
          <w:b/>
          <w:sz w:val="24"/>
          <w:szCs w:val="24"/>
          <w:lang w:val="es-CO"/>
        </w:rPr>
      </w:pPr>
    </w:p>
    <w:p w:rsidR="00BA05C2" w:rsidRPr="002725A7" w:rsidRDefault="00BA05C2" w:rsidP="00E30CFD">
      <w:pPr>
        <w:pStyle w:val="Prrafodelista4"/>
        <w:numPr>
          <w:ilvl w:val="0"/>
          <w:numId w:val="11"/>
        </w:numPr>
        <w:jc w:val="both"/>
        <w:rPr>
          <w:rFonts w:ascii="Calibri" w:hAnsi="Calibri" w:cs="Arial"/>
          <w:b/>
        </w:rPr>
      </w:pPr>
      <w:r>
        <w:rPr>
          <w:rFonts w:ascii="Calibri" w:hAnsi="Calibri" w:cs="Calibri"/>
          <w:b/>
        </w:rPr>
        <w:t>Actos Administrativos Expedidos por el ISS pendientes de notificar</w:t>
      </w:r>
      <w:r>
        <w:rPr>
          <w:rFonts w:ascii="Calibri" w:hAnsi="Calibri" w:cs="Arial"/>
          <w:b/>
        </w:rPr>
        <w:t xml:space="preserve"> a la fecha de inicio de l</w:t>
      </w:r>
      <w:r w:rsidRPr="002725A7">
        <w:rPr>
          <w:rFonts w:ascii="Calibri" w:hAnsi="Calibri" w:cs="Arial"/>
          <w:b/>
        </w:rPr>
        <w:t>a Liquidación</w:t>
      </w:r>
    </w:p>
    <w:p w:rsidR="00BA05C2" w:rsidRPr="002725A7" w:rsidRDefault="00BA05C2" w:rsidP="00E30CFD">
      <w:pPr>
        <w:pStyle w:val="Prrafodelista4"/>
        <w:rPr>
          <w:rFonts w:ascii="Calibri" w:hAnsi="Calibri" w:cs="Arial"/>
          <w:b/>
        </w:rPr>
      </w:pPr>
    </w:p>
    <w:p w:rsidR="00BA05C2" w:rsidRPr="002725A7" w:rsidRDefault="00BA05C2" w:rsidP="00E30CFD">
      <w:pPr>
        <w:spacing w:after="0" w:line="240" w:lineRule="auto"/>
        <w:jc w:val="both"/>
        <w:rPr>
          <w:rFonts w:cs="Arial"/>
          <w:sz w:val="24"/>
          <w:szCs w:val="24"/>
          <w:lang w:val="es-MX"/>
        </w:rPr>
      </w:pPr>
      <w:r w:rsidRPr="002725A7">
        <w:rPr>
          <w:rFonts w:cs="Arial"/>
          <w:sz w:val="24"/>
          <w:szCs w:val="24"/>
          <w:lang w:val="es-ES"/>
        </w:rPr>
        <w:t xml:space="preserve">El inventario de actos administrativos expedidos por el ISS pendientes de notificar al </w:t>
      </w:r>
      <w:r w:rsidRPr="002725A7">
        <w:rPr>
          <w:rFonts w:cs="Arial"/>
          <w:sz w:val="24"/>
          <w:szCs w:val="24"/>
          <w:lang w:val="es-MX"/>
        </w:rPr>
        <w:t xml:space="preserve">28 de septiembre de 2012, </w:t>
      </w:r>
      <w:r>
        <w:rPr>
          <w:rFonts w:cs="Arial"/>
          <w:sz w:val="24"/>
          <w:szCs w:val="24"/>
          <w:lang w:val="es-MX"/>
        </w:rPr>
        <w:t>asciende a 22.431 resoluciones.</w:t>
      </w:r>
      <w:r w:rsidRPr="002725A7">
        <w:rPr>
          <w:rFonts w:cs="Arial"/>
          <w:sz w:val="24"/>
          <w:szCs w:val="24"/>
          <w:lang w:val="es-MX"/>
        </w:rPr>
        <w:t xml:space="preserve"> De estas, al 30 de abril se han entregado 13.472 actos administrativos notificados, en las fechas que se presentan en el siguiente cuadro; que corresponden a un avance en la entrega del 60%.</w:t>
      </w:r>
    </w:p>
    <w:p w:rsidR="00BA05C2" w:rsidRPr="00552DE9" w:rsidRDefault="00BA05C2" w:rsidP="00E30CFD">
      <w:pPr>
        <w:spacing w:after="0" w:line="240" w:lineRule="auto"/>
        <w:jc w:val="both"/>
        <w:rPr>
          <w:rFonts w:cs="Arial"/>
          <w:lang w:val="es-MX"/>
        </w:rPr>
      </w:pPr>
    </w:p>
    <w:tbl>
      <w:tblPr>
        <w:tblW w:w="4257" w:type="dxa"/>
        <w:jc w:val="center"/>
        <w:tblInd w:w="-76" w:type="dxa"/>
        <w:tblCellMar>
          <w:left w:w="70" w:type="dxa"/>
          <w:right w:w="70" w:type="dxa"/>
        </w:tblCellMar>
        <w:tblLook w:val="00A0" w:firstRow="1" w:lastRow="0" w:firstColumn="1" w:lastColumn="0" w:noHBand="0" w:noVBand="0"/>
      </w:tblPr>
      <w:tblGrid>
        <w:gridCol w:w="2556"/>
        <w:gridCol w:w="1701"/>
      </w:tblGrid>
      <w:tr w:rsidR="00BA05C2" w:rsidRPr="00552DE9" w:rsidTr="008F463E">
        <w:trPr>
          <w:trHeight w:val="340"/>
          <w:jc w:val="center"/>
        </w:trPr>
        <w:tc>
          <w:tcPr>
            <w:tcW w:w="2556" w:type="dxa"/>
            <w:tcBorders>
              <w:top w:val="single" w:sz="4" w:space="0" w:color="auto"/>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b/>
                <w:bCs/>
                <w:color w:val="000000"/>
                <w:lang w:val="es-ES" w:eastAsia="es-ES"/>
              </w:rPr>
            </w:pPr>
            <w:r w:rsidRPr="00552DE9">
              <w:rPr>
                <w:rFonts w:cs="Arial"/>
                <w:b/>
                <w:bCs/>
                <w:color w:val="000000"/>
                <w:lang w:val="es-ES" w:eastAsia="es-ES"/>
              </w:rPr>
              <w:lastRenderedPageBreak/>
              <w:t>Fecha</w:t>
            </w:r>
          </w:p>
        </w:tc>
        <w:tc>
          <w:tcPr>
            <w:tcW w:w="1701" w:type="dxa"/>
            <w:tcBorders>
              <w:top w:val="single" w:sz="4" w:space="0" w:color="auto"/>
              <w:left w:val="nil"/>
              <w:bottom w:val="single" w:sz="4" w:space="0" w:color="auto"/>
              <w:right w:val="single" w:sz="4" w:space="0" w:color="auto"/>
            </w:tcBorders>
            <w:vAlign w:val="center"/>
          </w:tcPr>
          <w:p w:rsidR="00BA05C2" w:rsidRPr="00552DE9" w:rsidRDefault="00BA05C2" w:rsidP="00E30CFD">
            <w:pPr>
              <w:spacing w:after="0" w:line="240" w:lineRule="auto"/>
              <w:jc w:val="center"/>
              <w:rPr>
                <w:rFonts w:cs="Arial"/>
                <w:b/>
                <w:bCs/>
                <w:color w:val="000000"/>
                <w:lang w:val="es-ES" w:eastAsia="es-ES"/>
              </w:rPr>
            </w:pPr>
            <w:r w:rsidRPr="00552DE9">
              <w:rPr>
                <w:rFonts w:cs="Arial"/>
                <w:b/>
                <w:bCs/>
                <w:color w:val="000000"/>
                <w:lang w:val="es-ES" w:eastAsia="es-ES"/>
              </w:rPr>
              <w:t xml:space="preserve">Cantidad </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07/02/2013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400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19/02/2013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800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01/03/2013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800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19/03/2013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752</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08/03/2013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800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21/03/2013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1.350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22/03/2013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600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22/03/2013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1.698</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23/03/2013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1.280</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26/03/2013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3.154</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09/04/2013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538</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15/04/2013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922</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25/04/2013</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378</w:t>
            </w:r>
          </w:p>
        </w:tc>
      </w:tr>
      <w:tr w:rsidR="00BA05C2" w:rsidRPr="00552DE9" w:rsidTr="008F463E">
        <w:trPr>
          <w:trHeight w:val="300"/>
          <w:jc w:val="center"/>
        </w:trPr>
        <w:tc>
          <w:tcPr>
            <w:tcW w:w="2556" w:type="dxa"/>
            <w:tcBorders>
              <w:top w:val="nil"/>
              <w:left w:val="single" w:sz="4" w:space="0" w:color="auto"/>
              <w:bottom w:val="single" w:sz="4" w:space="0" w:color="auto"/>
              <w:right w:val="single" w:sz="4" w:space="0" w:color="auto"/>
            </w:tcBorders>
            <w:noWrap/>
            <w:vAlign w:val="bottom"/>
          </w:tcPr>
          <w:p w:rsidR="00BA05C2" w:rsidRPr="00552DE9" w:rsidRDefault="00BA05C2" w:rsidP="00E30CFD">
            <w:pPr>
              <w:spacing w:after="0" w:line="240" w:lineRule="auto"/>
              <w:jc w:val="center"/>
              <w:rPr>
                <w:rFonts w:cs="Arial"/>
                <w:b/>
                <w:bCs/>
                <w:color w:val="000000"/>
                <w:lang w:val="es-ES" w:eastAsia="es-ES"/>
              </w:rPr>
            </w:pPr>
            <w:r w:rsidRPr="00552DE9">
              <w:rPr>
                <w:rFonts w:cs="Arial"/>
                <w:b/>
                <w:bCs/>
                <w:color w:val="000000"/>
                <w:lang w:val="es-ES" w:eastAsia="es-ES"/>
              </w:rPr>
              <w:t>Total Notificaciones</w:t>
            </w:r>
          </w:p>
        </w:tc>
        <w:tc>
          <w:tcPr>
            <w:tcW w:w="1701" w:type="dxa"/>
            <w:tcBorders>
              <w:top w:val="nil"/>
              <w:left w:val="nil"/>
              <w:bottom w:val="single" w:sz="4" w:space="0" w:color="auto"/>
              <w:right w:val="single" w:sz="4" w:space="0" w:color="auto"/>
            </w:tcBorders>
            <w:noWrap/>
            <w:vAlign w:val="bottom"/>
          </w:tcPr>
          <w:p w:rsidR="00BA05C2" w:rsidRPr="00552DE9" w:rsidRDefault="00BA05C2" w:rsidP="00E30CFD">
            <w:pPr>
              <w:spacing w:after="0" w:line="240" w:lineRule="auto"/>
              <w:jc w:val="right"/>
              <w:rPr>
                <w:rFonts w:cs="Arial"/>
                <w:b/>
                <w:color w:val="000000"/>
                <w:lang w:val="es-ES" w:eastAsia="es-ES"/>
              </w:rPr>
            </w:pPr>
            <w:r w:rsidRPr="00552DE9">
              <w:rPr>
                <w:rFonts w:cs="Arial"/>
                <w:b/>
                <w:color w:val="000000"/>
                <w:lang w:val="es-ES" w:eastAsia="es-ES"/>
              </w:rPr>
              <w:t>13.472</w:t>
            </w:r>
          </w:p>
        </w:tc>
      </w:tr>
    </w:tbl>
    <w:p w:rsidR="00BA05C2" w:rsidRDefault="00BA05C2" w:rsidP="00E30CFD">
      <w:pPr>
        <w:spacing w:after="0" w:line="240" w:lineRule="auto"/>
        <w:jc w:val="both"/>
        <w:rPr>
          <w:rFonts w:cs="Arial"/>
          <w:sz w:val="16"/>
          <w:szCs w:val="16"/>
          <w:lang w:val="es-MX"/>
        </w:rPr>
      </w:pPr>
      <w:r>
        <w:rPr>
          <w:rFonts w:cs="Arial"/>
          <w:sz w:val="24"/>
          <w:szCs w:val="24"/>
          <w:lang w:val="es-MX"/>
        </w:rPr>
        <w:tab/>
      </w:r>
      <w:r>
        <w:rPr>
          <w:rFonts w:cs="Arial"/>
          <w:sz w:val="24"/>
          <w:szCs w:val="24"/>
          <w:lang w:val="es-MX"/>
        </w:rPr>
        <w:tab/>
      </w:r>
      <w:r>
        <w:rPr>
          <w:rFonts w:cs="Arial"/>
          <w:sz w:val="24"/>
          <w:szCs w:val="24"/>
          <w:lang w:val="es-MX"/>
        </w:rPr>
        <w:tab/>
      </w:r>
      <w:r>
        <w:rPr>
          <w:rFonts w:cs="Arial"/>
          <w:sz w:val="24"/>
          <w:szCs w:val="24"/>
          <w:lang w:val="es-MX"/>
        </w:rPr>
        <w:tab/>
      </w:r>
      <w:r>
        <w:rPr>
          <w:rFonts w:cs="Arial"/>
          <w:sz w:val="16"/>
          <w:szCs w:val="16"/>
          <w:lang w:val="es-MX"/>
        </w:rPr>
        <w:t>Fuente: Área de entrega ISS en Liquidación</w:t>
      </w:r>
    </w:p>
    <w:p w:rsidR="00BA05C2" w:rsidRPr="009D039A" w:rsidRDefault="00BA05C2" w:rsidP="00E30CFD">
      <w:pPr>
        <w:spacing w:after="0" w:line="240" w:lineRule="auto"/>
        <w:jc w:val="both"/>
        <w:rPr>
          <w:rFonts w:cs="Arial"/>
          <w:sz w:val="16"/>
          <w:szCs w:val="16"/>
          <w:lang w:val="es-MX"/>
        </w:rPr>
      </w:pPr>
    </w:p>
    <w:p w:rsidR="00BA05C2" w:rsidRPr="002725A7" w:rsidRDefault="00BA05C2" w:rsidP="00E30CFD">
      <w:pPr>
        <w:spacing w:after="0" w:line="240" w:lineRule="auto"/>
        <w:jc w:val="both"/>
        <w:rPr>
          <w:rFonts w:cs="Arial"/>
          <w:sz w:val="24"/>
          <w:szCs w:val="24"/>
          <w:lang w:val="es-MX"/>
        </w:rPr>
      </w:pPr>
      <w:r w:rsidRPr="002725A7">
        <w:rPr>
          <w:rFonts w:cs="Arial"/>
          <w:sz w:val="24"/>
          <w:szCs w:val="24"/>
          <w:lang w:val="es-MX"/>
        </w:rPr>
        <w:t xml:space="preserve">Dado que el proceso de notificación de actos administrativos anteriores al 28 de septiembre de 2012 finalizó en el de marzo de 2013, el proceso de entrega de notificaciones continúa hasta la fecha y se estima finalizar la entrega a Colpensiones a mediados del mes de mayo de 2013.  </w:t>
      </w:r>
    </w:p>
    <w:p w:rsidR="00BA05C2" w:rsidRPr="002725A7" w:rsidRDefault="00BA05C2" w:rsidP="00E30CFD">
      <w:pPr>
        <w:spacing w:after="0" w:line="240" w:lineRule="auto"/>
        <w:jc w:val="both"/>
        <w:rPr>
          <w:rFonts w:cs="Arial"/>
          <w:sz w:val="24"/>
          <w:szCs w:val="24"/>
          <w:lang w:val="es-MX"/>
        </w:rPr>
      </w:pPr>
    </w:p>
    <w:p w:rsidR="00BA05C2" w:rsidRPr="002725A7" w:rsidRDefault="00BA05C2" w:rsidP="00E30CFD">
      <w:pPr>
        <w:pStyle w:val="Prrafodelista4"/>
        <w:numPr>
          <w:ilvl w:val="0"/>
          <w:numId w:val="11"/>
        </w:numPr>
        <w:jc w:val="both"/>
        <w:rPr>
          <w:rFonts w:ascii="Calibri" w:hAnsi="Calibri" w:cs="Arial"/>
          <w:b/>
        </w:rPr>
      </w:pPr>
      <w:r w:rsidRPr="002725A7">
        <w:rPr>
          <w:rFonts w:ascii="Calibri" w:hAnsi="Calibri" w:cs="Arial"/>
          <w:b/>
        </w:rPr>
        <w:t xml:space="preserve">Sentencias </w:t>
      </w:r>
      <w:r>
        <w:rPr>
          <w:rFonts w:ascii="Calibri" w:hAnsi="Calibri" w:cs="Arial"/>
          <w:b/>
        </w:rPr>
        <w:t>para c</w:t>
      </w:r>
      <w:r w:rsidRPr="002725A7">
        <w:rPr>
          <w:rFonts w:ascii="Calibri" w:hAnsi="Calibri" w:cs="Arial"/>
          <w:b/>
        </w:rPr>
        <w:t>umplimiento</w:t>
      </w:r>
    </w:p>
    <w:p w:rsidR="00BA05C2" w:rsidRPr="002725A7" w:rsidRDefault="00BA05C2" w:rsidP="00E30CFD">
      <w:pPr>
        <w:spacing w:after="0" w:line="240" w:lineRule="auto"/>
        <w:jc w:val="both"/>
        <w:rPr>
          <w:rFonts w:cs="Arial"/>
          <w:sz w:val="24"/>
          <w:szCs w:val="24"/>
        </w:rPr>
      </w:pPr>
    </w:p>
    <w:p w:rsidR="00BA05C2" w:rsidRPr="002725A7" w:rsidRDefault="00BA05C2" w:rsidP="00E30CFD">
      <w:pPr>
        <w:spacing w:after="0" w:line="240" w:lineRule="auto"/>
        <w:jc w:val="both"/>
        <w:rPr>
          <w:rFonts w:cs="Arial"/>
          <w:sz w:val="24"/>
          <w:szCs w:val="24"/>
        </w:rPr>
      </w:pPr>
      <w:r w:rsidRPr="002725A7">
        <w:rPr>
          <w:rFonts w:cs="Arial"/>
          <w:sz w:val="24"/>
          <w:szCs w:val="24"/>
        </w:rPr>
        <w:t>De las 11.400 sentencias pendientes de cumplimiento el ISS en Liquidación entregó a Colpensiones base de datos que clasifican las sentencias según se cuente o no en los archivos de la etapa de operación, con los documentos requeridos por Colpensiones para la recepción de las mismas.</w:t>
      </w:r>
    </w:p>
    <w:p w:rsidR="00BA05C2" w:rsidRPr="002725A7" w:rsidRDefault="00BA05C2" w:rsidP="00E30CFD">
      <w:pPr>
        <w:spacing w:after="0" w:line="240" w:lineRule="auto"/>
        <w:jc w:val="both"/>
        <w:rPr>
          <w:rFonts w:cs="Arial"/>
          <w:sz w:val="24"/>
          <w:szCs w:val="24"/>
        </w:rPr>
      </w:pPr>
    </w:p>
    <w:p w:rsidR="00BA05C2" w:rsidRPr="002725A7" w:rsidRDefault="00BA05C2" w:rsidP="00E30CFD">
      <w:pPr>
        <w:spacing w:after="0" w:line="240" w:lineRule="auto"/>
        <w:jc w:val="both"/>
        <w:rPr>
          <w:rFonts w:cs="Arial"/>
          <w:sz w:val="24"/>
          <w:szCs w:val="24"/>
        </w:rPr>
      </w:pPr>
      <w:r w:rsidRPr="002725A7">
        <w:rPr>
          <w:rFonts w:cs="Arial"/>
          <w:sz w:val="24"/>
          <w:szCs w:val="24"/>
        </w:rPr>
        <w:t>De las 3.892 sentencias susceptibles de entrega por contar con los documentos requeridos, al 30 de abril de 2013 completó la entrega de las mismas (100%).</w:t>
      </w:r>
    </w:p>
    <w:p w:rsidR="00BA05C2" w:rsidRPr="002725A7" w:rsidRDefault="00BA05C2" w:rsidP="00E30CFD">
      <w:pPr>
        <w:spacing w:after="0" w:line="240" w:lineRule="auto"/>
        <w:jc w:val="both"/>
        <w:rPr>
          <w:rFonts w:cs="Arial"/>
          <w:sz w:val="24"/>
          <w:szCs w:val="24"/>
        </w:rPr>
      </w:pPr>
    </w:p>
    <w:p w:rsidR="00BA05C2" w:rsidRPr="002725A7" w:rsidRDefault="00BA05C2" w:rsidP="00E30CFD">
      <w:pPr>
        <w:spacing w:after="0" w:line="240" w:lineRule="auto"/>
        <w:jc w:val="both"/>
        <w:rPr>
          <w:rFonts w:cs="Arial"/>
          <w:sz w:val="24"/>
          <w:szCs w:val="24"/>
        </w:rPr>
      </w:pPr>
      <w:r w:rsidRPr="002725A7">
        <w:rPr>
          <w:rFonts w:cs="Arial"/>
          <w:sz w:val="24"/>
          <w:szCs w:val="24"/>
        </w:rPr>
        <w:t xml:space="preserve">Respecto de las 7.508 sentencias que no contaban con la totalidad de los requisitos establecidos por Colpensiones, se están desarrollando las actividades establecidas por Colpensiones y el ISS en liquidación en el Plan de Acción presentado ante la Defensoría del Pueblo y demás organismos de control.  </w:t>
      </w:r>
    </w:p>
    <w:p w:rsidR="00BA05C2" w:rsidRPr="002725A7" w:rsidRDefault="00BA05C2" w:rsidP="00E30CFD">
      <w:pPr>
        <w:spacing w:after="0" w:line="240" w:lineRule="auto"/>
        <w:jc w:val="both"/>
        <w:rPr>
          <w:rFonts w:cs="Arial"/>
          <w:sz w:val="24"/>
          <w:szCs w:val="24"/>
        </w:rPr>
      </w:pPr>
    </w:p>
    <w:p w:rsidR="00BA05C2" w:rsidRPr="002725A7" w:rsidRDefault="00BA05C2" w:rsidP="00E30CFD">
      <w:pPr>
        <w:spacing w:after="0" w:line="240" w:lineRule="auto"/>
        <w:jc w:val="both"/>
        <w:rPr>
          <w:rFonts w:cs="Arial"/>
          <w:sz w:val="24"/>
          <w:szCs w:val="24"/>
        </w:rPr>
      </w:pPr>
      <w:r w:rsidRPr="002725A7">
        <w:rPr>
          <w:rFonts w:cs="Arial"/>
          <w:sz w:val="24"/>
          <w:szCs w:val="24"/>
        </w:rPr>
        <w:t xml:space="preserve">Producto de lo anterior, ISS en liquidación ha realizado visitas a los despachos judiciales, quienes les han suministrado las constancias de ejecutorías, como resultado de lo cual se han logrado completar la documentación requerida de 138 Sentencias, que ya fueron entregadas, para un total de 4.030 sentencias entregadas al 30 de Abril de 2013.  </w:t>
      </w:r>
    </w:p>
    <w:p w:rsidR="00BA05C2" w:rsidRPr="00552DE9" w:rsidRDefault="00BA05C2" w:rsidP="00E30CFD">
      <w:pPr>
        <w:pStyle w:val="Prrafodelista4"/>
        <w:rPr>
          <w:rFonts w:ascii="Calibri" w:hAnsi="Calibri" w:cs="Arial"/>
          <w:b/>
          <w:sz w:val="22"/>
          <w:szCs w:val="22"/>
          <w:lang w:val="es-CO"/>
        </w:rPr>
      </w:pPr>
    </w:p>
    <w:tbl>
      <w:tblPr>
        <w:tblW w:w="3261" w:type="dxa"/>
        <w:jc w:val="center"/>
        <w:tblInd w:w="-214" w:type="dxa"/>
        <w:tblCellMar>
          <w:left w:w="70" w:type="dxa"/>
          <w:right w:w="70" w:type="dxa"/>
        </w:tblCellMar>
        <w:tblLook w:val="00A0" w:firstRow="1" w:lastRow="0" w:firstColumn="1" w:lastColumn="0" w:noHBand="0" w:noVBand="0"/>
      </w:tblPr>
      <w:tblGrid>
        <w:gridCol w:w="2127"/>
        <w:gridCol w:w="1134"/>
      </w:tblGrid>
      <w:tr w:rsidR="00BA05C2" w:rsidRPr="00552DE9" w:rsidTr="008F463E">
        <w:trPr>
          <w:trHeight w:val="300"/>
          <w:jc w:val="center"/>
        </w:trPr>
        <w:tc>
          <w:tcPr>
            <w:tcW w:w="2127" w:type="dxa"/>
            <w:tcBorders>
              <w:top w:val="single" w:sz="4" w:space="0" w:color="auto"/>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b/>
                <w:color w:val="000000"/>
                <w:lang w:val="es-ES" w:eastAsia="es-ES"/>
              </w:rPr>
            </w:pPr>
            <w:r w:rsidRPr="00552DE9">
              <w:rPr>
                <w:rFonts w:cs="Arial"/>
                <w:b/>
                <w:color w:val="000000"/>
                <w:lang w:val="es-ES" w:eastAsia="es-ES"/>
              </w:rPr>
              <w:lastRenderedPageBreak/>
              <w:t>Fecha</w:t>
            </w:r>
          </w:p>
        </w:tc>
        <w:tc>
          <w:tcPr>
            <w:tcW w:w="1134" w:type="dxa"/>
            <w:tcBorders>
              <w:top w:val="single" w:sz="4" w:space="0" w:color="auto"/>
              <w:left w:val="nil"/>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b/>
                <w:color w:val="000000"/>
                <w:lang w:val="es-ES" w:eastAsia="es-ES"/>
              </w:rPr>
            </w:pPr>
            <w:r w:rsidRPr="00552DE9">
              <w:rPr>
                <w:rFonts w:cs="Arial"/>
                <w:b/>
                <w:color w:val="000000"/>
                <w:lang w:val="es-ES" w:eastAsia="es-ES"/>
              </w:rPr>
              <w:t>Cantidad</w:t>
            </w:r>
          </w:p>
        </w:tc>
      </w:tr>
      <w:tr w:rsidR="00BA05C2" w:rsidRPr="00552DE9" w:rsidTr="008F463E">
        <w:trPr>
          <w:trHeight w:val="300"/>
          <w:jc w:val="center"/>
        </w:trPr>
        <w:tc>
          <w:tcPr>
            <w:tcW w:w="2127" w:type="dxa"/>
            <w:tcBorders>
              <w:top w:val="single" w:sz="4" w:space="0" w:color="auto"/>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07/03/2013</w:t>
            </w:r>
          </w:p>
        </w:tc>
        <w:tc>
          <w:tcPr>
            <w:tcW w:w="1134" w:type="dxa"/>
            <w:tcBorders>
              <w:top w:val="single" w:sz="4" w:space="0" w:color="auto"/>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1.050</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08/03/2013</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124</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18/03/2013</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163</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02/04/2013</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681</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05/04/2013</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568</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16/04/2013</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797</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jc w:val="center"/>
              <w:rPr>
                <w:rFonts w:cs="Arial"/>
                <w:color w:val="000000"/>
                <w:lang w:val="es-ES" w:eastAsia="es-ES"/>
              </w:rPr>
            </w:pPr>
            <w:r w:rsidRPr="00552DE9">
              <w:rPr>
                <w:rFonts w:cs="Arial"/>
                <w:color w:val="000000"/>
                <w:lang w:val="es-ES" w:eastAsia="es-ES"/>
              </w:rPr>
              <w:t>25/04/2013</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647</w:t>
            </w:r>
          </w:p>
        </w:tc>
      </w:tr>
      <w:tr w:rsidR="00BA05C2" w:rsidRPr="00552DE9" w:rsidTr="008F463E">
        <w:trPr>
          <w:trHeight w:val="300"/>
          <w:jc w:val="center"/>
        </w:trPr>
        <w:tc>
          <w:tcPr>
            <w:tcW w:w="2127" w:type="dxa"/>
            <w:tcBorders>
              <w:top w:val="nil"/>
              <w:left w:val="single" w:sz="4" w:space="0" w:color="auto"/>
              <w:bottom w:val="single" w:sz="4" w:space="0" w:color="auto"/>
              <w:right w:val="single" w:sz="4" w:space="0" w:color="auto"/>
            </w:tcBorders>
            <w:noWrap/>
            <w:vAlign w:val="center"/>
          </w:tcPr>
          <w:p w:rsidR="00BA05C2" w:rsidRPr="00552DE9" w:rsidRDefault="00BA05C2" w:rsidP="00E30CFD">
            <w:pPr>
              <w:spacing w:after="0" w:line="240" w:lineRule="auto"/>
              <w:rPr>
                <w:rFonts w:cs="Arial"/>
                <w:b/>
                <w:color w:val="000000"/>
                <w:lang w:val="es-ES" w:eastAsia="es-ES"/>
              </w:rPr>
            </w:pPr>
            <w:r w:rsidRPr="00552DE9">
              <w:rPr>
                <w:rFonts w:cs="Arial"/>
                <w:color w:val="000000"/>
                <w:lang w:val="es-ES" w:eastAsia="es-ES"/>
              </w:rPr>
              <w:t> </w:t>
            </w:r>
            <w:r w:rsidRPr="00552DE9">
              <w:rPr>
                <w:rFonts w:cs="Arial"/>
                <w:b/>
                <w:color w:val="000000"/>
                <w:lang w:val="es-ES" w:eastAsia="es-ES"/>
              </w:rPr>
              <w:t xml:space="preserve">Total sentencias </w:t>
            </w:r>
          </w:p>
        </w:tc>
        <w:tc>
          <w:tcPr>
            <w:tcW w:w="1134" w:type="dxa"/>
            <w:tcBorders>
              <w:top w:val="nil"/>
              <w:left w:val="nil"/>
              <w:bottom w:val="single" w:sz="4" w:space="0" w:color="auto"/>
              <w:right w:val="single" w:sz="4" w:space="0" w:color="auto"/>
            </w:tcBorders>
            <w:noWrap/>
            <w:vAlign w:val="center"/>
          </w:tcPr>
          <w:p w:rsidR="00BA05C2" w:rsidRPr="00552DE9" w:rsidRDefault="00BA05C2" w:rsidP="00E30CFD">
            <w:pPr>
              <w:spacing w:after="0" w:line="240" w:lineRule="auto"/>
              <w:jc w:val="right"/>
              <w:rPr>
                <w:rFonts w:cs="Arial"/>
                <w:color w:val="000000"/>
                <w:lang w:val="es-ES" w:eastAsia="es-ES"/>
              </w:rPr>
            </w:pPr>
            <w:r w:rsidRPr="00552DE9">
              <w:rPr>
                <w:rFonts w:cs="Arial"/>
                <w:color w:val="000000"/>
                <w:lang w:val="es-ES" w:eastAsia="es-ES"/>
              </w:rPr>
              <w:t>4.030</w:t>
            </w:r>
          </w:p>
        </w:tc>
      </w:tr>
    </w:tbl>
    <w:p w:rsidR="00BA05C2" w:rsidRPr="009D039A" w:rsidRDefault="00BA05C2" w:rsidP="00E30CFD">
      <w:pPr>
        <w:pStyle w:val="Prrafodelista4"/>
        <w:rPr>
          <w:rFonts w:ascii="Calibri" w:hAnsi="Calibri" w:cs="Arial"/>
          <w:sz w:val="16"/>
          <w:szCs w:val="16"/>
          <w:lang w:val="es-CO"/>
        </w:rPr>
      </w:pPr>
      <w:r>
        <w:rPr>
          <w:rFonts w:ascii="Calibri" w:hAnsi="Calibri" w:cs="Arial"/>
          <w:b/>
          <w:lang w:val="es-CO"/>
        </w:rPr>
        <w:tab/>
      </w:r>
      <w:r>
        <w:rPr>
          <w:rFonts w:ascii="Calibri" w:hAnsi="Calibri" w:cs="Arial"/>
          <w:b/>
          <w:lang w:val="es-CO"/>
        </w:rPr>
        <w:tab/>
        <w:t xml:space="preserve">           </w:t>
      </w:r>
      <w:r>
        <w:rPr>
          <w:rFonts w:ascii="Calibri" w:hAnsi="Calibri" w:cs="Arial"/>
          <w:sz w:val="16"/>
          <w:szCs w:val="16"/>
          <w:lang w:val="es-CO"/>
        </w:rPr>
        <w:t>Fuente: Dirección Jurídica Nacional ISS en Liquidación</w:t>
      </w:r>
    </w:p>
    <w:p w:rsidR="00BA05C2" w:rsidRPr="002725A7" w:rsidRDefault="00BA05C2" w:rsidP="00E30CFD">
      <w:pPr>
        <w:pStyle w:val="Prrafodelista4"/>
        <w:rPr>
          <w:rFonts w:ascii="Calibri" w:hAnsi="Calibri" w:cs="Arial"/>
          <w:b/>
          <w:lang w:val="es-CO"/>
        </w:rPr>
      </w:pPr>
    </w:p>
    <w:p w:rsidR="00BA05C2" w:rsidRPr="002725A7" w:rsidRDefault="00BA05C2" w:rsidP="00E30CFD">
      <w:pPr>
        <w:pStyle w:val="Prrafodelista4"/>
        <w:numPr>
          <w:ilvl w:val="0"/>
          <w:numId w:val="11"/>
        </w:numPr>
        <w:jc w:val="both"/>
        <w:rPr>
          <w:rFonts w:ascii="Calibri" w:hAnsi="Calibri" w:cs="Arial"/>
          <w:b/>
        </w:rPr>
      </w:pPr>
      <w:r>
        <w:rPr>
          <w:rFonts w:ascii="Calibri" w:hAnsi="Calibri" w:cs="Arial"/>
          <w:b/>
        </w:rPr>
        <w:t>Procesos J</w:t>
      </w:r>
      <w:r w:rsidRPr="002725A7">
        <w:rPr>
          <w:rFonts w:ascii="Calibri" w:hAnsi="Calibri" w:cs="Arial"/>
          <w:b/>
        </w:rPr>
        <w:t>udiciales</w:t>
      </w:r>
    </w:p>
    <w:p w:rsidR="00BA05C2" w:rsidRPr="002725A7" w:rsidRDefault="00BA05C2" w:rsidP="00E30CFD">
      <w:pPr>
        <w:pStyle w:val="Prrafodelista4"/>
        <w:rPr>
          <w:rFonts w:ascii="Calibri" w:hAnsi="Calibri" w:cs="Arial"/>
          <w:b/>
        </w:rPr>
      </w:pPr>
    </w:p>
    <w:p w:rsidR="00BA05C2" w:rsidRPr="002725A7" w:rsidRDefault="00BA05C2" w:rsidP="00E30CFD">
      <w:pPr>
        <w:spacing w:after="0" w:line="240" w:lineRule="auto"/>
        <w:jc w:val="both"/>
        <w:rPr>
          <w:rFonts w:cs="Arial"/>
          <w:sz w:val="24"/>
          <w:szCs w:val="24"/>
        </w:rPr>
      </w:pPr>
      <w:r w:rsidRPr="002725A7">
        <w:rPr>
          <w:rFonts w:cs="Arial"/>
          <w:sz w:val="24"/>
          <w:szCs w:val="24"/>
        </w:rPr>
        <w:t>En cumplimiento del Protocolo de Entrega suscrito entre el ISS en Liquidación y Colpensiones, el día 28 de diciembre de 2012 se efectuó la entrega de la base de datos de 70.225 procesos judiciales activos del régimen de prima media con prestación definida.</w:t>
      </w:r>
    </w:p>
    <w:p w:rsidR="00BA05C2" w:rsidRPr="002725A7" w:rsidRDefault="00BA05C2" w:rsidP="00E30CFD">
      <w:pPr>
        <w:spacing w:after="0" w:line="240" w:lineRule="auto"/>
        <w:jc w:val="both"/>
        <w:rPr>
          <w:rFonts w:cs="Arial"/>
          <w:sz w:val="24"/>
          <w:szCs w:val="24"/>
        </w:rPr>
      </w:pPr>
    </w:p>
    <w:p w:rsidR="00BA05C2" w:rsidRPr="002725A7" w:rsidRDefault="00BA05C2" w:rsidP="00E30CFD">
      <w:pPr>
        <w:spacing w:after="0" w:line="240" w:lineRule="auto"/>
        <w:jc w:val="both"/>
        <w:rPr>
          <w:rFonts w:cs="Arial"/>
          <w:sz w:val="24"/>
          <w:szCs w:val="24"/>
        </w:rPr>
      </w:pPr>
      <w:r w:rsidRPr="002725A7">
        <w:rPr>
          <w:rFonts w:cs="Arial"/>
          <w:sz w:val="24"/>
          <w:szCs w:val="24"/>
        </w:rPr>
        <w:t>Colpensiones contrató una firma externa para efectuar una auditoria respecto de la información entregada, producto de la cual se ha venido trabajando permanentemente en la corrección, validación y complementación de la información, a la fecha los resultados se reflejan de la siguiente manera:</w:t>
      </w:r>
    </w:p>
    <w:p w:rsidR="00BA05C2" w:rsidRPr="002725A7" w:rsidRDefault="00BA05C2" w:rsidP="00E30CFD">
      <w:pPr>
        <w:spacing w:after="0" w:line="240" w:lineRule="auto"/>
        <w:jc w:val="both"/>
        <w:rPr>
          <w:rFonts w:cs="Arial"/>
          <w:sz w:val="24"/>
          <w:szCs w:val="24"/>
        </w:rPr>
      </w:pPr>
    </w:p>
    <w:tbl>
      <w:tblPr>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6020"/>
        <w:gridCol w:w="1520"/>
        <w:gridCol w:w="1544"/>
      </w:tblGrid>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b/>
                <w:sz w:val="24"/>
                <w:szCs w:val="24"/>
                <w:lang w:eastAsia="es-ES"/>
              </w:rPr>
            </w:pPr>
            <w:r w:rsidRPr="002725A7">
              <w:rPr>
                <w:rFonts w:cs="Arial"/>
                <w:b/>
                <w:bCs/>
                <w:kern w:val="24"/>
                <w:sz w:val="24"/>
                <w:szCs w:val="24"/>
                <w:lang w:eastAsia="es-ES"/>
              </w:rPr>
              <w:t>Descripción</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b/>
                <w:sz w:val="24"/>
                <w:szCs w:val="24"/>
                <w:lang w:eastAsia="es-ES"/>
              </w:rPr>
            </w:pPr>
            <w:r w:rsidRPr="002725A7">
              <w:rPr>
                <w:rFonts w:cs="Arial"/>
                <w:b/>
                <w:bCs/>
                <w:kern w:val="24"/>
                <w:sz w:val="24"/>
                <w:szCs w:val="24"/>
                <w:lang w:eastAsia="es-ES"/>
              </w:rPr>
              <w:t>Cantidad</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b/>
                <w:sz w:val="24"/>
                <w:szCs w:val="24"/>
                <w:lang w:eastAsia="es-ES"/>
              </w:rPr>
            </w:pPr>
            <w:r w:rsidRPr="002725A7">
              <w:rPr>
                <w:rFonts w:cs="Arial"/>
                <w:b/>
                <w:bCs/>
                <w:kern w:val="24"/>
                <w:sz w:val="24"/>
                <w:szCs w:val="24"/>
                <w:lang w:eastAsia="es-ES"/>
              </w:rPr>
              <w:t>Fecha</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sz w:val="24"/>
                <w:szCs w:val="24"/>
                <w:lang w:eastAsia="es-ES"/>
              </w:rPr>
            </w:pPr>
            <w:r w:rsidRPr="002725A7">
              <w:rPr>
                <w:rFonts w:cs="Arial"/>
                <w:color w:val="000000"/>
                <w:kern w:val="24"/>
                <w:sz w:val="24"/>
                <w:szCs w:val="24"/>
                <w:lang w:eastAsia="es-ES"/>
              </w:rPr>
              <w:t>Total procesos reportados por el ISS</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70,255</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28/12/2012</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sz w:val="24"/>
                <w:szCs w:val="24"/>
                <w:lang w:eastAsia="es-ES"/>
              </w:rPr>
            </w:pPr>
            <w:r w:rsidRPr="002725A7">
              <w:rPr>
                <w:rFonts w:cs="Arial"/>
                <w:color w:val="000000"/>
                <w:kern w:val="24"/>
                <w:sz w:val="24"/>
                <w:szCs w:val="24"/>
                <w:lang w:eastAsia="es-ES"/>
              </w:rPr>
              <w:t>Procesos archivados  según Litigar</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839</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22/02/2013</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b/>
                <w:sz w:val="24"/>
                <w:szCs w:val="24"/>
                <w:lang w:eastAsia="es-ES"/>
              </w:rPr>
            </w:pPr>
            <w:r w:rsidRPr="002725A7">
              <w:rPr>
                <w:rFonts w:cs="Arial"/>
                <w:b/>
                <w:color w:val="000000"/>
                <w:kern w:val="24"/>
                <w:sz w:val="24"/>
                <w:szCs w:val="24"/>
                <w:lang w:eastAsia="es-ES"/>
              </w:rPr>
              <w:t>Procesos validos por Litigar</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b/>
                <w:sz w:val="24"/>
                <w:szCs w:val="24"/>
                <w:lang w:eastAsia="es-ES"/>
              </w:rPr>
            </w:pPr>
            <w:r w:rsidRPr="002725A7">
              <w:rPr>
                <w:rFonts w:cs="Arial"/>
                <w:b/>
                <w:color w:val="000000"/>
                <w:kern w:val="24"/>
                <w:sz w:val="24"/>
                <w:szCs w:val="24"/>
                <w:lang w:eastAsia="es-ES"/>
              </w:rPr>
              <w:t>64,241</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22/02/2013</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sz w:val="24"/>
                <w:szCs w:val="24"/>
                <w:lang w:eastAsia="es-ES"/>
              </w:rPr>
            </w:pPr>
            <w:r w:rsidRPr="002725A7">
              <w:rPr>
                <w:rFonts w:cs="Arial"/>
                <w:color w:val="000000"/>
                <w:kern w:val="24"/>
                <w:sz w:val="24"/>
                <w:szCs w:val="24"/>
                <w:lang w:eastAsia="es-ES"/>
              </w:rPr>
              <w:t>Registros entregados (base de datos)</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64,580</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11/03/2013</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sz w:val="24"/>
                <w:szCs w:val="24"/>
                <w:lang w:eastAsia="es-ES"/>
              </w:rPr>
            </w:pPr>
            <w:r w:rsidRPr="002725A7">
              <w:rPr>
                <w:rFonts w:cs="Arial"/>
                <w:b/>
                <w:bCs/>
                <w:color w:val="000000"/>
                <w:kern w:val="24"/>
                <w:sz w:val="24"/>
                <w:szCs w:val="24"/>
                <w:lang w:eastAsia="es-ES"/>
              </w:rPr>
              <w:t>Procesos Judiciales Entregados *</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b/>
                <w:bCs/>
                <w:color w:val="000000"/>
                <w:kern w:val="24"/>
                <w:sz w:val="24"/>
                <w:szCs w:val="24"/>
                <w:lang w:eastAsia="es-ES"/>
              </w:rPr>
              <w:t>59,861</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color w:val="000000"/>
                <w:kern w:val="24"/>
                <w:sz w:val="24"/>
                <w:szCs w:val="24"/>
                <w:lang w:eastAsia="es-ES"/>
              </w:rPr>
              <w:t>19/03/2013</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bCs/>
                <w:color w:val="000000"/>
                <w:kern w:val="24"/>
                <w:sz w:val="24"/>
                <w:szCs w:val="24"/>
                <w:lang w:eastAsia="es-ES"/>
              </w:rPr>
            </w:pPr>
            <w:r w:rsidRPr="002725A7">
              <w:rPr>
                <w:rFonts w:cs="Arial"/>
                <w:bCs/>
                <w:color w:val="000000"/>
                <w:kern w:val="24"/>
                <w:sz w:val="24"/>
                <w:szCs w:val="24"/>
                <w:lang w:eastAsia="es-ES"/>
              </w:rPr>
              <w:t xml:space="preserve">Procesos Judiciales en complementación de la información </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sz w:val="24"/>
                <w:szCs w:val="24"/>
                <w:lang w:eastAsia="es-ES"/>
              </w:rPr>
              <w:t>4.611</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sz w:val="24"/>
                <w:szCs w:val="24"/>
                <w:lang w:eastAsia="es-ES"/>
              </w:rPr>
              <w:t xml:space="preserve"> </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b/>
                <w:bCs/>
                <w:color w:val="000000"/>
                <w:kern w:val="24"/>
                <w:sz w:val="24"/>
                <w:szCs w:val="24"/>
                <w:lang w:eastAsia="es-ES"/>
              </w:rPr>
            </w:pPr>
            <w:r w:rsidRPr="002725A7">
              <w:rPr>
                <w:rFonts w:cs="Arial"/>
                <w:b/>
                <w:bCs/>
                <w:color w:val="000000"/>
                <w:kern w:val="24"/>
                <w:sz w:val="24"/>
                <w:szCs w:val="24"/>
                <w:lang w:eastAsia="es-ES"/>
              </w:rPr>
              <w:t>Procesos no encontrados por Litigar</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b/>
                <w:sz w:val="24"/>
                <w:szCs w:val="24"/>
                <w:lang w:eastAsia="es-ES"/>
              </w:rPr>
            </w:pPr>
            <w:r w:rsidRPr="002725A7">
              <w:rPr>
                <w:rFonts w:cs="Arial"/>
                <w:b/>
                <w:sz w:val="24"/>
                <w:szCs w:val="24"/>
                <w:lang w:eastAsia="es-ES"/>
              </w:rPr>
              <w:t>5.145</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sz w:val="24"/>
                <w:szCs w:val="24"/>
                <w:lang w:eastAsia="es-ES"/>
              </w:rPr>
              <w:t>22/02/2013</w:t>
            </w:r>
          </w:p>
        </w:tc>
      </w:tr>
      <w:tr w:rsidR="00BA05C2" w:rsidRPr="002725A7" w:rsidTr="008F463E">
        <w:trPr>
          <w:trHeight w:val="298"/>
        </w:trPr>
        <w:tc>
          <w:tcPr>
            <w:tcW w:w="60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both"/>
              <w:textAlignment w:val="bottom"/>
              <w:rPr>
                <w:rFonts w:cs="Arial"/>
                <w:sz w:val="24"/>
                <w:szCs w:val="24"/>
                <w:lang w:eastAsia="es-ES"/>
              </w:rPr>
            </w:pPr>
            <w:r w:rsidRPr="002725A7">
              <w:rPr>
                <w:rFonts w:cs="Arial"/>
                <w:bCs/>
                <w:color w:val="000000"/>
                <w:kern w:val="24"/>
                <w:sz w:val="24"/>
                <w:szCs w:val="24"/>
                <w:lang w:eastAsia="es-ES"/>
              </w:rPr>
              <w:t xml:space="preserve">Procesos Judiciales en revisión para firma de acta </w:t>
            </w:r>
          </w:p>
        </w:tc>
        <w:tc>
          <w:tcPr>
            <w:tcW w:w="1520"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r w:rsidRPr="002725A7">
              <w:rPr>
                <w:rFonts w:cs="Arial"/>
                <w:sz w:val="24"/>
                <w:szCs w:val="24"/>
                <w:lang w:eastAsia="es-ES"/>
              </w:rPr>
              <w:t>3.378</w:t>
            </w:r>
          </w:p>
        </w:tc>
        <w:tc>
          <w:tcPr>
            <w:tcW w:w="1544" w:type="dxa"/>
            <w:shd w:val="clear" w:color="auto" w:fill="FFFFFF"/>
            <w:tcMar>
              <w:top w:w="12" w:type="dxa"/>
              <w:left w:w="12" w:type="dxa"/>
              <w:bottom w:w="0" w:type="dxa"/>
              <w:right w:w="12" w:type="dxa"/>
            </w:tcMar>
            <w:vAlign w:val="bottom"/>
          </w:tcPr>
          <w:p w:rsidR="00BA05C2" w:rsidRPr="002725A7" w:rsidRDefault="00BA05C2" w:rsidP="00E30CFD">
            <w:pPr>
              <w:spacing w:after="0" w:line="240" w:lineRule="auto"/>
              <w:jc w:val="center"/>
              <w:textAlignment w:val="bottom"/>
              <w:rPr>
                <w:rFonts w:cs="Arial"/>
                <w:sz w:val="24"/>
                <w:szCs w:val="24"/>
                <w:lang w:eastAsia="es-ES"/>
              </w:rPr>
            </w:pPr>
          </w:p>
        </w:tc>
      </w:tr>
    </w:tbl>
    <w:p w:rsidR="00BA05C2" w:rsidRPr="00B50090" w:rsidRDefault="00BA05C2" w:rsidP="00E30CFD">
      <w:pPr>
        <w:spacing w:after="0" w:line="240" w:lineRule="auto"/>
        <w:rPr>
          <w:rFonts w:cs="Arial"/>
          <w:sz w:val="18"/>
          <w:szCs w:val="18"/>
        </w:rPr>
      </w:pPr>
      <w:r w:rsidRPr="00B50090">
        <w:rPr>
          <w:rFonts w:cs="Arial"/>
          <w:sz w:val="18"/>
          <w:szCs w:val="18"/>
        </w:rPr>
        <w:t>Fuente: Área de Entrega ISS en Liquidación</w:t>
      </w:r>
    </w:p>
    <w:p w:rsidR="00BA05C2" w:rsidRPr="002725A7" w:rsidRDefault="00BA05C2" w:rsidP="00E30CFD">
      <w:pPr>
        <w:spacing w:after="0" w:line="240" w:lineRule="auto"/>
        <w:jc w:val="both"/>
        <w:rPr>
          <w:rFonts w:cs="Arial"/>
          <w:sz w:val="24"/>
          <w:szCs w:val="24"/>
        </w:rPr>
      </w:pPr>
    </w:p>
    <w:p w:rsidR="00BA05C2" w:rsidRPr="002725A7" w:rsidRDefault="00BA05C2" w:rsidP="00E30CFD">
      <w:pPr>
        <w:spacing w:after="0" w:line="240" w:lineRule="auto"/>
        <w:jc w:val="both"/>
        <w:rPr>
          <w:rFonts w:cs="Arial"/>
          <w:sz w:val="24"/>
          <w:szCs w:val="24"/>
        </w:rPr>
      </w:pPr>
      <w:r w:rsidRPr="002725A7">
        <w:rPr>
          <w:rFonts w:cs="Arial"/>
          <w:sz w:val="24"/>
          <w:szCs w:val="24"/>
        </w:rPr>
        <w:t>* Corresponde al 93% de la base total de procesos.</w:t>
      </w:r>
    </w:p>
    <w:p w:rsidR="00BA05C2" w:rsidRPr="002725A7" w:rsidRDefault="00BA05C2" w:rsidP="00E30CFD">
      <w:pPr>
        <w:spacing w:after="0" w:line="240" w:lineRule="auto"/>
        <w:jc w:val="both"/>
        <w:rPr>
          <w:rFonts w:cs="Arial"/>
          <w:b/>
          <w:sz w:val="24"/>
          <w:szCs w:val="24"/>
        </w:rPr>
      </w:pPr>
    </w:p>
    <w:p w:rsidR="00BA05C2" w:rsidRPr="002725A7" w:rsidRDefault="00BA05C2" w:rsidP="00E30CFD">
      <w:pPr>
        <w:pStyle w:val="Prrafodelista4"/>
        <w:ind w:left="0"/>
        <w:jc w:val="both"/>
        <w:rPr>
          <w:rFonts w:ascii="Calibri" w:hAnsi="Calibri" w:cs="Arial"/>
          <w:lang w:val="es-CO" w:eastAsia="en-US"/>
        </w:rPr>
      </w:pPr>
      <w:r w:rsidRPr="002725A7">
        <w:rPr>
          <w:rFonts w:ascii="Calibri" w:hAnsi="Calibri" w:cs="Arial"/>
          <w:lang w:val="es-CO" w:eastAsia="en-US"/>
        </w:rPr>
        <w:t>En relación al cuadro anterior, sobre la base de datos entregada a Colpensiones en fecha 19 de abril de 2013 con 64.580 registros, se excluyeron 108 por no ser objeto de entrega y se solicitó complementar información sobre 1.613 procesos con inconsistencias de captura en el número de radicado y 2.998 sin número de radicado de casación, quedando 59.861 registros entregados a Colpensiones (93% de avance) y 4.611 registros pendientes de verificación, corrección y complementación de los números de radicado.</w:t>
      </w:r>
    </w:p>
    <w:p w:rsidR="00BA05C2" w:rsidRPr="002725A7" w:rsidRDefault="00BA05C2" w:rsidP="00E30CFD">
      <w:pPr>
        <w:pStyle w:val="Prrafodelista4"/>
        <w:ind w:left="0"/>
        <w:jc w:val="both"/>
        <w:rPr>
          <w:rFonts w:ascii="Calibri" w:hAnsi="Calibri" w:cs="Arial"/>
          <w:lang w:val="es-CO" w:eastAsia="en-US"/>
        </w:rPr>
      </w:pPr>
    </w:p>
    <w:p w:rsidR="00BA05C2" w:rsidRPr="002725A7" w:rsidRDefault="00BA05C2" w:rsidP="00E30CFD">
      <w:pPr>
        <w:pStyle w:val="Prrafodelista4"/>
        <w:ind w:left="0"/>
        <w:jc w:val="both"/>
        <w:rPr>
          <w:rFonts w:ascii="Calibri" w:hAnsi="Calibri" w:cs="Arial"/>
          <w:lang w:val="es-CO" w:eastAsia="en-US"/>
        </w:rPr>
      </w:pPr>
      <w:r w:rsidRPr="002725A7">
        <w:rPr>
          <w:rFonts w:ascii="Calibri" w:hAnsi="Calibri" w:cs="Arial"/>
          <w:lang w:val="es-CO" w:eastAsia="en-US"/>
        </w:rPr>
        <w:t xml:space="preserve">En fecha 10 de abril de 2013 el ISS en liquidación presentó un avance en los procesos objeto de aclaración, sobre 956 de 1.613 procesos de corrección del número de radicado.  Adicionalmente, en fecha 23 de abril de 2013 se remitió a Colpensiones 500 procesos con los 23 dígitos, de los 2.998 procesos en casación.  Esta información se encuentra en análisis por Colpensiones. </w:t>
      </w:r>
    </w:p>
    <w:p w:rsidR="00BA05C2" w:rsidRPr="002725A7" w:rsidRDefault="00BA05C2" w:rsidP="00E30CFD">
      <w:pPr>
        <w:pStyle w:val="Prrafodelista4"/>
        <w:ind w:left="0"/>
        <w:jc w:val="both"/>
        <w:rPr>
          <w:rFonts w:ascii="Calibri" w:hAnsi="Calibri" w:cs="Arial"/>
          <w:lang w:val="es-CO" w:eastAsia="en-US"/>
        </w:rPr>
      </w:pPr>
    </w:p>
    <w:p w:rsidR="00BA05C2" w:rsidRPr="002725A7" w:rsidRDefault="00BA05C2" w:rsidP="00E30CFD">
      <w:pPr>
        <w:spacing w:after="0" w:line="240" w:lineRule="auto"/>
        <w:jc w:val="both"/>
        <w:rPr>
          <w:rFonts w:cs="Arial"/>
          <w:sz w:val="24"/>
          <w:szCs w:val="24"/>
        </w:rPr>
      </w:pPr>
      <w:r w:rsidRPr="002725A7">
        <w:rPr>
          <w:rFonts w:cs="Arial"/>
          <w:sz w:val="24"/>
          <w:szCs w:val="24"/>
        </w:rPr>
        <w:t xml:space="preserve">Por otra parte, sobre los 5.145 procesos no encontrados por Litigar, el 26 de marzo se  presentó detalle de 3.378 procesos activos ubicados en despachos judiciales, que están en análisis por Colpensiones. </w:t>
      </w:r>
    </w:p>
    <w:p w:rsidR="00BA05C2" w:rsidRPr="002725A7" w:rsidRDefault="00BA05C2" w:rsidP="00E30CFD">
      <w:pPr>
        <w:pStyle w:val="Prrafodelista4"/>
        <w:rPr>
          <w:rFonts w:ascii="Calibri" w:hAnsi="Calibri" w:cs="Arial"/>
          <w:b/>
          <w:lang w:val="es-CO"/>
        </w:rPr>
      </w:pPr>
    </w:p>
    <w:p w:rsidR="00BA05C2" w:rsidRPr="002725A7" w:rsidRDefault="00BA05C2" w:rsidP="00E30CFD">
      <w:pPr>
        <w:pStyle w:val="Prrafodelista4"/>
        <w:numPr>
          <w:ilvl w:val="0"/>
          <w:numId w:val="11"/>
        </w:numPr>
        <w:jc w:val="both"/>
        <w:rPr>
          <w:rFonts w:ascii="Calibri" w:hAnsi="Calibri" w:cs="Arial"/>
          <w:b/>
        </w:rPr>
      </w:pPr>
      <w:r w:rsidRPr="002725A7">
        <w:rPr>
          <w:rFonts w:ascii="Calibri" w:hAnsi="Calibri" w:cs="Arial"/>
          <w:b/>
        </w:rPr>
        <w:t>Tutelas</w:t>
      </w:r>
    </w:p>
    <w:p w:rsidR="00BA05C2" w:rsidRPr="002725A7" w:rsidRDefault="00BA05C2" w:rsidP="00E30CFD">
      <w:pPr>
        <w:pStyle w:val="Prrafodelista4"/>
        <w:ind w:left="0"/>
        <w:jc w:val="both"/>
        <w:rPr>
          <w:rFonts w:ascii="Calibri" w:hAnsi="Calibri" w:cs="Arial"/>
        </w:rPr>
      </w:pPr>
    </w:p>
    <w:p w:rsidR="00BA05C2" w:rsidRPr="002725A7" w:rsidRDefault="00BA05C2" w:rsidP="00E30CFD">
      <w:pPr>
        <w:pStyle w:val="Prrafodelista4"/>
        <w:ind w:left="0"/>
        <w:jc w:val="both"/>
        <w:rPr>
          <w:rFonts w:ascii="Calibri" w:hAnsi="Calibri" w:cs="Arial"/>
        </w:rPr>
      </w:pPr>
      <w:r w:rsidRPr="002725A7">
        <w:rPr>
          <w:rFonts w:ascii="Calibri" w:hAnsi="Calibri" w:cs="Arial"/>
        </w:rPr>
        <w:t>El día 3 de octubre de 2012, fue entregada la totalidad de la información de tutelas contenidas en el aplicativo Gestor de Tutelas (GESTU), de acuerdo con los parámetros establecidos por Colpensiones, con las acciones de tutela que a 28 de septiembre de 2012 había sido notificada al ISS.</w:t>
      </w:r>
    </w:p>
    <w:p w:rsidR="00BA05C2" w:rsidRPr="002725A7" w:rsidRDefault="00BA05C2" w:rsidP="00E30CFD">
      <w:pPr>
        <w:pStyle w:val="Prrafodelista4"/>
        <w:ind w:left="218"/>
        <w:jc w:val="both"/>
        <w:rPr>
          <w:rFonts w:ascii="Calibri" w:hAnsi="Calibri" w:cs="Arial"/>
        </w:rPr>
      </w:pPr>
    </w:p>
    <w:p w:rsidR="00BA05C2" w:rsidRPr="002725A7" w:rsidRDefault="00BA05C2" w:rsidP="00E30CFD">
      <w:pPr>
        <w:pStyle w:val="Prrafodelista4"/>
        <w:ind w:left="0"/>
        <w:jc w:val="both"/>
        <w:rPr>
          <w:rFonts w:ascii="Calibri" w:hAnsi="Calibri" w:cs="Arial"/>
        </w:rPr>
      </w:pPr>
      <w:r w:rsidRPr="002725A7">
        <w:rPr>
          <w:rFonts w:ascii="Calibri" w:hAnsi="Calibri" w:cs="Arial"/>
        </w:rPr>
        <w:t>Una vez se cumplió el término establecido por el Decreto 2013 para que el ISS ejerciera la defensa de las acciones de tutela, el día 4 de abril de 2013 se desarrolló una mesa de trabajo con Colpensiones, en la cual se determinó la estructura de la base de datos para el envío del inventario de la totalidad de las tutelas registradas en el sistema de información del ISS en Liquidación para el control del proceso en mención (GESTU).</w:t>
      </w:r>
    </w:p>
    <w:p w:rsidR="00BA05C2" w:rsidRPr="002725A7" w:rsidRDefault="00BA05C2" w:rsidP="00E30CFD">
      <w:pPr>
        <w:spacing w:after="0" w:line="240" w:lineRule="auto"/>
        <w:jc w:val="both"/>
        <w:rPr>
          <w:rFonts w:cs="Arial"/>
          <w:sz w:val="24"/>
          <w:szCs w:val="24"/>
          <w:lang w:val="es-ES" w:eastAsia="es-ES"/>
        </w:rPr>
      </w:pPr>
    </w:p>
    <w:p w:rsidR="00BA05C2" w:rsidRPr="002725A7" w:rsidRDefault="00BA05C2" w:rsidP="00E30CFD">
      <w:pPr>
        <w:pStyle w:val="Prrafodelista4"/>
        <w:ind w:left="0"/>
        <w:jc w:val="both"/>
        <w:rPr>
          <w:rFonts w:ascii="Calibri" w:hAnsi="Calibri" w:cs="Arial"/>
        </w:rPr>
      </w:pPr>
      <w:r w:rsidRPr="002725A7">
        <w:rPr>
          <w:rFonts w:ascii="Calibri" w:hAnsi="Calibri" w:cs="Arial"/>
        </w:rPr>
        <w:t xml:space="preserve">La base datos se entregó a Colpensiones el día 29 de Abril de 2013, con la totalidad de los campos acordados. Una vez revisada la información, Colpensiones solicitó realizar correcciones sobre algunos registros de la base de datos correspondiente al periodo del 29 de septiembre de 2012 al 30 de marzo de 2013, que corresponde a errores de digitación que deben ser validados de forma individual frente a las imágenes del aplicativo GESTU.  </w:t>
      </w:r>
    </w:p>
    <w:p w:rsidR="00BA05C2" w:rsidRDefault="00BA05C2" w:rsidP="00E30CFD">
      <w:pPr>
        <w:pStyle w:val="Prrafodelista"/>
        <w:spacing w:after="0" w:line="240" w:lineRule="auto"/>
        <w:ind w:left="0"/>
        <w:jc w:val="both"/>
        <w:rPr>
          <w:rFonts w:cs="Tahoma"/>
          <w:b/>
          <w:sz w:val="24"/>
          <w:szCs w:val="24"/>
        </w:rPr>
      </w:pPr>
    </w:p>
    <w:p w:rsidR="009533A4" w:rsidRDefault="009533A4" w:rsidP="00E30CFD">
      <w:pPr>
        <w:pStyle w:val="Prrafodelista"/>
        <w:spacing w:after="0" w:line="240" w:lineRule="auto"/>
        <w:ind w:left="0"/>
        <w:jc w:val="both"/>
        <w:rPr>
          <w:rFonts w:cs="Tahoma"/>
          <w:b/>
          <w:sz w:val="24"/>
          <w:szCs w:val="24"/>
        </w:rPr>
      </w:pPr>
    </w:p>
    <w:p w:rsidR="00BA05C2" w:rsidRPr="008A6F7E" w:rsidRDefault="00BA05C2" w:rsidP="00E30CFD">
      <w:pPr>
        <w:pStyle w:val="Prrafodelista4"/>
        <w:numPr>
          <w:ilvl w:val="0"/>
          <w:numId w:val="3"/>
        </w:numPr>
        <w:jc w:val="both"/>
        <w:rPr>
          <w:rFonts w:ascii="Calibri" w:hAnsi="Calibri" w:cs="Arial"/>
          <w:b/>
        </w:rPr>
      </w:pPr>
      <w:r w:rsidRPr="008A6F7E">
        <w:rPr>
          <w:rFonts w:ascii="Calibri" w:hAnsi="Calibri" w:cs="Arial"/>
          <w:b/>
        </w:rPr>
        <w:t xml:space="preserve">Informe cuál es el número de expedientes de reconocimiento que el ISS ha entregado a Colpensiones a 23 de abril de 2013. ¿Es cierto que no existen expedientes motivo por el cual Colpensiones no ha podido empezar a pagar? </w:t>
      </w:r>
    </w:p>
    <w:p w:rsidR="00BA05C2" w:rsidRDefault="00BA05C2" w:rsidP="00E30CFD">
      <w:pPr>
        <w:pStyle w:val="Prrafodelista4"/>
        <w:ind w:left="0"/>
        <w:jc w:val="both"/>
        <w:rPr>
          <w:rFonts w:ascii="Calibri" w:hAnsi="Calibri" w:cs="Arial"/>
          <w:b/>
          <w:sz w:val="22"/>
          <w:szCs w:val="22"/>
        </w:rPr>
      </w:pPr>
    </w:p>
    <w:p w:rsidR="009533A4" w:rsidRPr="008A6F7E" w:rsidRDefault="009533A4" w:rsidP="00E30CFD">
      <w:pPr>
        <w:pStyle w:val="Prrafodelista4"/>
        <w:ind w:left="0"/>
        <w:jc w:val="both"/>
        <w:rPr>
          <w:rFonts w:ascii="Calibri" w:hAnsi="Calibri" w:cs="Arial"/>
          <w:b/>
          <w:sz w:val="22"/>
          <w:szCs w:val="22"/>
        </w:rPr>
      </w:pPr>
    </w:p>
    <w:p w:rsidR="00BA05C2" w:rsidRPr="008A6F7E" w:rsidRDefault="00BA05C2" w:rsidP="00E30CFD">
      <w:pPr>
        <w:pStyle w:val="Prrafodelista"/>
        <w:numPr>
          <w:ilvl w:val="1"/>
          <w:numId w:val="3"/>
        </w:numPr>
        <w:spacing w:after="0" w:line="240" w:lineRule="auto"/>
        <w:jc w:val="both"/>
        <w:rPr>
          <w:rFonts w:cs="Tahoma"/>
          <w:b/>
          <w:sz w:val="24"/>
          <w:szCs w:val="24"/>
          <w:lang w:val="es-CO"/>
        </w:rPr>
      </w:pPr>
      <w:r w:rsidRPr="008A6F7E">
        <w:rPr>
          <w:rFonts w:cs="Tahoma"/>
          <w:b/>
          <w:sz w:val="24"/>
          <w:szCs w:val="24"/>
          <w:lang w:val="es-CO"/>
        </w:rPr>
        <w:t>Entrega de expedientes administrativos</w:t>
      </w:r>
    </w:p>
    <w:p w:rsidR="00BA05C2" w:rsidRPr="008A6F7E" w:rsidRDefault="00BA05C2" w:rsidP="00E30CFD">
      <w:pPr>
        <w:pStyle w:val="Prrafodelista"/>
        <w:spacing w:after="0" w:line="240" w:lineRule="auto"/>
        <w:ind w:left="360"/>
        <w:jc w:val="both"/>
        <w:rPr>
          <w:rFonts w:cs="Tahoma"/>
          <w:b/>
          <w:sz w:val="24"/>
          <w:szCs w:val="24"/>
          <w:lang w:val="es-CO"/>
        </w:rPr>
      </w:pPr>
    </w:p>
    <w:p w:rsidR="00BA05C2" w:rsidRPr="008A6F7E" w:rsidRDefault="00BA05C2" w:rsidP="00E30CFD">
      <w:pPr>
        <w:pStyle w:val="Prrafodelista4"/>
        <w:ind w:left="0"/>
        <w:contextualSpacing w:val="0"/>
        <w:jc w:val="both"/>
        <w:rPr>
          <w:rFonts w:ascii="Calibri" w:hAnsi="Calibri" w:cs="Tahoma"/>
          <w:lang w:val="es-CO" w:eastAsia="es-CO"/>
        </w:rPr>
      </w:pPr>
      <w:r w:rsidRPr="008A6F7E">
        <w:rPr>
          <w:rFonts w:ascii="Calibri" w:hAnsi="Calibri" w:cs="Tahoma"/>
          <w:lang w:val="es-CO" w:eastAsia="es-CO"/>
        </w:rPr>
        <w:t xml:space="preserve">En fechas comprendidas entre el 4 de octubre de 2012 y el 23 de Abril de 2013, el ISS en Liquidación había efectuado 35 entregas de expedientes administrativos de prestaciones </w:t>
      </w:r>
      <w:r w:rsidRPr="008A6F7E">
        <w:rPr>
          <w:rFonts w:ascii="Calibri" w:hAnsi="Calibri" w:cs="Tahoma"/>
          <w:lang w:val="es-CO" w:eastAsia="es-CO"/>
        </w:rPr>
        <w:lastRenderedPageBreak/>
        <w:t xml:space="preserve">económicas de vejez, invalidez y muerte, en medio digital, tal como se detalla a continuación:   </w:t>
      </w: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30"/>
        <w:gridCol w:w="1134"/>
        <w:gridCol w:w="1467"/>
        <w:gridCol w:w="6"/>
      </w:tblGrid>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b/>
                <w:sz w:val="18"/>
                <w:szCs w:val="18"/>
              </w:rPr>
            </w:pPr>
            <w:r w:rsidRPr="008A6F7E">
              <w:rPr>
                <w:rFonts w:cs="Tahoma"/>
                <w:b/>
                <w:sz w:val="18"/>
                <w:szCs w:val="18"/>
              </w:rPr>
              <w:t>NO. DE ENTREGA</w:t>
            </w:r>
          </w:p>
          <w:p w:rsidR="00BA05C2" w:rsidRPr="008A6F7E" w:rsidRDefault="00BA05C2" w:rsidP="00E30CFD">
            <w:pPr>
              <w:spacing w:after="0" w:line="240" w:lineRule="auto"/>
              <w:jc w:val="center"/>
              <w:rPr>
                <w:rFonts w:cs="Tahoma"/>
                <w:b/>
                <w:sz w:val="18"/>
                <w:szCs w:val="18"/>
              </w:rPr>
            </w:pPr>
          </w:p>
        </w:tc>
        <w:tc>
          <w:tcPr>
            <w:tcW w:w="1134" w:type="dxa"/>
            <w:shd w:val="clear" w:color="000000" w:fill="FFFFFF"/>
          </w:tcPr>
          <w:p w:rsidR="00BA05C2" w:rsidRPr="008A6F7E" w:rsidRDefault="00BA05C2" w:rsidP="00E30CFD">
            <w:pPr>
              <w:spacing w:after="0" w:line="240" w:lineRule="auto"/>
              <w:jc w:val="center"/>
              <w:rPr>
                <w:rFonts w:cs="Tahoma"/>
                <w:b/>
                <w:sz w:val="18"/>
                <w:szCs w:val="18"/>
              </w:rPr>
            </w:pPr>
            <w:r w:rsidRPr="008A6F7E">
              <w:rPr>
                <w:rFonts w:cs="Tahoma"/>
                <w:b/>
                <w:sz w:val="18"/>
                <w:szCs w:val="18"/>
              </w:rPr>
              <w:t>FECHA</w:t>
            </w:r>
          </w:p>
        </w:tc>
        <w:tc>
          <w:tcPr>
            <w:tcW w:w="1473" w:type="dxa"/>
            <w:gridSpan w:val="2"/>
            <w:shd w:val="clear" w:color="000000" w:fill="FFFFFF"/>
          </w:tcPr>
          <w:p w:rsidR="00BA05C2" w:rsidRPr="008A6F7E" w:rsidRDefault="00BA05C2" w:rsidP="00E30CFD">
            <w:pPr>
              <w:spacing w:after="0" w:line="240" w:lineRule="auto"/>
              <w:jc w:val="center"/>
              <w:rPr>
                <w:rFonts w:cs="Tahoma"/>
                <w:b/>
                <w:sz w:val="18"/>
                <w:szCs w:val="18"/>
              </w:rPr>
            </w:pPr>
            <w:r w:rsidRPr="008A6F7E">
              <w:rPr>
                <w:rFonts w:cs="Tahoma"/>
                <w:b/>
                <w:sz w:val="18"/>
                <w:szCs w:val="18"/>
              </w:rPr>
              <w:t>TOTAL ENTREGADO</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04/10/2012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79,858</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31/10/2012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9,932</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22/11/2012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2,801</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4</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18/12/2012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7,706</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5</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27/12/2012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4,441</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6</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27/12/2012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401</w:t>
            </w:r>
          </w:p>
        </w:tc>
      </w:tr>
      <w:tr w:rsidR="00BA05C2" w:rsidRPr="008A6F7E" w:rsidTr="00545488">
        <w:trPr>
          <w:trHeight w:val="330"/>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7</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27/12/2012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257</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8</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22/12/2012</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3,697</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9</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08/01/2013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2,718</w:t>
            </w:r>
          </w:p>
        </w:tc>
      </w:tr>
      <w:tr w:rsidR="00BA05C2" w:rsidRPr="008A6F7E" w:rsidTr="00545488">
        <w:trPr>
          <w:trHeight w:val="330"/>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10</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11/01/2013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10,508</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11</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18/01/2013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1,693</w:t>
            </w:r>
          </w:p>
        </w:tc>
      </w:tr>
      <w:tr w:rsidR="00BA05C2" w:rsidRPr="008A6F7E" w:rsidTr="00545488">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12</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25/01/2013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1,617</w:t>
            </w:r>
          </w:p>
        </w:tc>
      </w:tr>
      <w:tr w:rsidR="00BA05C2" w:rsidRPr="008A6F7E" w:rsidTr="00545488">
        <w:trPr>
          <w:trHeight w:val="330"/>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13</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30/01/2013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2,386</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14</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04/02/2013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1,110</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15</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08/02/2013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1,767</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16</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11/02/2013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843</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17</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14/02/2013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1,784</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18</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18/02/2013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944</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19</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21/02/2013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1,938</w:t>
            </w:r>
          </w:p>
        </w:tc>
      </w:tr>
      <w:tr w:rsidR="00BA05C2" w:rsidRPr="008A6F7E" w:rsidTr="00545488">
        <w:trPr>
          <w:trHeight w:val="31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20</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22/02/2013</w:t>
            </w:r>
          </w:p>
        </w:tc>
        <w:tc>
          <w:tcPr>
            <w:tcW w:w="1473" w:type="dxa"/>
            <w:gridSpan w:val="2"/>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721</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26/02/2013</w:t>
            </w:r>
          </w:p>
        </w:tc>
        <w:tc>
          <w:tcPr>
            <w:tcW w:w="1467"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2,114</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05/03/2013</w:t>
            </w:r>
          </w:p>
        </w:tc>
        <w:tc>
          <w:tcPr>
            <w:tcW w:w="1467"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2,475</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08/03/2013</w:t>
            </w:r>
          </w:p>
        </w:tc>
        <w:tc>
          <w:tcPr>
            <w:tcW w:w="1467"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2,351</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24</w:t>
            </w:r>
          </w:p>
        </w:tc>
        <w:tc>
          <w:tcPr>
            <w:tcW w:w="1134"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13/03/2013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1,698</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25</w:t>
            </w:r>
          </w:p>
        </w:tc>
        <w:tc>
          <w:tcPr>
            <w:tcW w:w="1134"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13/03/2013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1,472</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15/03/2013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1,142</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15/03/2013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1,008</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20/03/2013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2,701</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22/03/2013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791</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22/03/2013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1,356</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01/04/2013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3,735</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04/04/2013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4,892</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12/04/2013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4,842</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lastRenderedPageBreak/>
              <w:t>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16/04/2013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4,978</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23/04/2013</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1,026</w:t>
            </w:r>
          </w:p>
        </w:tc>
      </w:tr>
      <w:tr w:rsidR="00BA05C2" w:rsidRPr="008A6F7E" w:rsidTr="0054548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gridAfter w:val="1"/>
          <w:wAfter w:w="6" w:type="dxa"/>
          <w:trHeight w:val="300"/>
          <w:jc w:val="center"/>
        </w:trPr>
        <w:tc>
          <w:tcPr>
            <w:tcW w:w="246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BA05C2" w:rsidRPr="008A6F7E" w:rsidRDefault="00BA05C2" w:rsidP="00E30CFD">
            <w:pPr>
              <w:spacing w:after="0" w:line="240" w:lineRule="auto"/>
              <w:jc w:val="center"/>
              <w:rPr>
                <w:rFonts w:cs="Tahoma"/>
                <w:b/>
                <w:bCs/>
                <w:sz w:val="18"/>
                <w:szCs w:val="18"/>
              </w:rPr>
            </w:pPr>
            <w:r w:rsidRPr="008A6F7E">
              <w:rPr>
                <w:rFonts w:cs="Tahoma"/>
                <w:b/>
                <w:bCs/>
                <w:sz w:val="18"/>
                <w:szCs w:val="18"/>
              </w:rPr>
              <w:t>TOTAL ENTREGADO</w:t>
            </w:r>
          </w:p>
        </w:tc>
        <w:tc>
          <w:tcPr>
            <w:tcW w:w="1467"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173.703</w:t>
            </w:r>
          </w:p>
        </w:tc>
      </w:tr>
    </w:tbl>
    <w:p w:rsidR="00BA05C2" w:rsidRPr="008A6F7E" w:rsidRDefault="00BA05C2" w:rsidP="00E30CFD">
      <w:pPr>
        <w:pStyle w:val="Prrafodelista"/>
        <w:spacing w:after="0" w:line="240" w:lineRule="auto"/>
        <w:ind w:left="2124" w:firstLine="708"/>
        <w:jc w:val="both"/>
        <w:rPr>
          <w:rFonts w:cs="Calibri"/>
          <w:b/>
          <w:sz w:val="16"/>
          <w:szCs w:val="16"/>
        </w:rPr>
      </w:pPr>
      <w:r w:rsidRPr="008A6F7E">
        <w:rPr>
          <w:rFonts w:cs="Calibri"/>
          <w:b/>
          <w:sz w:val="16"/>
          <w:szCs w:val="16"/>
        </w:rPr>
        <w:t>Fuente: Área de Entrega ISS en Liquidación.</w:t>
      </w:r>
    </w:p>
    <w:p w:rsidR="00BA05C2" w:rsidRPr="008A6F7E" w:rsidRDefault="00BA05C2" w:rsidP="00E30CFD">
      <w:pPr>
        <w:pStyle w:val="Prrafodelista4"/>
        <w:ind w:left="0"/>
        <w:contextualSpacing w:val="0"/>
        <w:jc w:val="both"/>
        <w:rPr>
          <w:rFonts w:ascii="Calibri" w:hAnsi="Calibri" w:cs="Tahoma"/>
          <w:lang w:val="es-CO" w:eastAsia="en-US"/>
        </w:rPr>
      </w:pPr>
    </w:p>
    <w:p w:rsidR="00BA05C2" w:rsidRPr="008A6F7E" w:rsidRDefault="00BA05C2" w:rsidP="00E30CFD">
      <w:pPr>
        <w:pStyle w:val="Prrafodelista4"/>
        <w:ind w:left="0"/>
        <w:contextualSpacing w:val="0"/>
        <w:jc w:val="both"/>
        <w:rPr>
          <w:rFonts w:ascii="Calibri" w:hAnsi="Calibri" w:cs="Tahoma"/>
          <w:lang w:val="es-CO" w:eastAsia="en-US"/>
        </w:rPr>
      </w:pPr>
      <w:r w:rsidRPr="008A6F7E">
        <w:rPr>
          <w:rFonts w:ascii="Calibri" w:hAnsi="Calibri" w:cs="Tahoma"/>
          <w:lang w:val="es-CO" w:eastAsia="en-US"/>
        </w:rPr>
        <w:t xml:space="preserve">Sin embargo, es importante </w:t>
      </w:r>
      <w:r w:rsidR="009533A4">
        <w:rPr>
          <w:rFonts w:ascii="Calibri" w:hAnsi="Calibri" w:cs="Tahoma"/>
          <w:lang w:val="es-CO" w:eastAsia="en-US"/>
        </w:rPr>
        <w:t>que</w:t>
      </w:r>
      <w:r w:rsidRPr="008A6F7E">
        <w:rPr>
          <w:rFonts w:ascii="Calibri" w:hAnsi="Calibri" w:cs="Tahoma"/>
          <w:lang w:val="es-CO" w:eastAsia="en-US"/>
        </w:rPr>
        <w:t xml:space="preserve"> </w:t>
      </w:r>
      <w:r>
        <w:rPr>
          <w:rFonts w:ascii="Calibri" w:hAnsi="Calibri" w:cs="Tahoma"/>
          <w:lang w:val="es-CO" w:eastAsia="en-US"/>
        </w:rPr>
        <w:t>los Honorables Representantes</w:t>
      </w:r>
      <w:r w:rsidRPr="008A6F7E">
        <w:rPr>
          <w:rFonts w:ascii="Calibri" w:hAnsi="Calibri" w:cs="Tahoma"/>
          <w:lang w:val="es-CO" w:eastAsia="en-US"/>
        </w:rPr>
        <w:t xml:space="preserve"> cono</w:t>
      </w:r>
      <w:r w:rsidR="009533A4">
        <w:rPr>
          <w:rFonts w:ascii="Calibri" w:hAnsi="Calibri" w:cs="Tahoma"/>
          <w:lang w:val="es-CO" w:eastAsia="en-US"/>
        </w:rPr>
        <w:t>zcan</w:t>
      </w:r>
      <w:r w:rsidRPr="008A6F7E">
        <w:rPr>
          <w:rFonts w:ascii="Calibri" w:hAnsi="Calibri" w:cs="Tahoma"/>
          <w:lang w:val="es-CO" w:eastAsia="en-US"/>
        </w:rPr>
        <w:t xml:space="preserve"> que en el periodo comprendido entre el 24 y el 30 de Abril de 2.013 se</w:t>
      </w:r>
      <w:r>
        <w:rPr>
          <w:rFonts w:ascii="Calibri" w:hAnsi="Calibri" w:cs="Tahoma"/>
          <w:lang w:val="es-CO" w:eastAsia="en-US"/>
        </w:rPr>
        <w:t xml:space="preserve"> le</w:t>
      </w:r>
      <w:r w:rsidRPr="008A6F7E">
        <w:rPr>
          <w:rFonts w:ascii="Calibri" w:hAnsi="Calibri" w:cs="Tahoma"/>
          <w:lang w:val="es-CO" w:eastAsia="en-US"/>
        </w:rPr>
        <w:t xml:space="preserve"> han entregado a Colpensiones 14.339 expedientes, para un total acumulado de 188.042 expedientes digitalizados.</w:t>
      </w:r>
    </w:p>
    <w:p w:rsidR="00BA05C2" w:rsidRPr="008A6F7E" w:rsidRDefault="00BA05C2" w:rsidP="00E30CFD">
      <w:pPr>
        <w:pStyle w:val="Prrafodelista4"/>
        <w:ind w:left="0"/>
        <w:contextualSpacing w:val="0"/>
        <w:jc w:val="both"/>
        <w:rPr>
          <w:rFonts w:ascii="Calibri" w:hAnsi="Calibri" w:cs="Tahoma"/>
          <w:lang w:val="es-CO" w:eastAsia="en-US"/>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30"/>
        <w:gridCol w:w="1134"/>
        <w:gridCol w:w="1473"/>
      </w:tblGrid>
      <w:tr w:rsidR="00BA05C2" w:rsidRPr="008A6F7E" w:rsidTr="00A82877">
        <w:trPr>
          <w:trHeight w:val="434"/>
          <w:jc w:val="center"/>
        </w:trPr>
        <w:tc>
          <w:tcPr>
            <w:tcW w:w="1330" w:type="dxa"/>
            <w:shd w:val="clear" w:color="000000" w:fill="FFFFFF"/>
            <w:vAlign w:val="bottom"/>
          </w:tcPr>
          <w:p w:rsidR="00BA05C2" w:rsidRPr="008A6F7E" w:rsidRDefault="00BA05C2" w:rsidP="00E30CFD">
            <w:pPr>
              <w:spacing w:after="0" w:line="240" w:lineRule="auto"/>
              <w:jc w:val="center"/>
              <w:rPr>
                <w:rFonts w:cs="Tahoma"/>
                <w:b/>
                <w:sz w:val="18"/>
                <w:szCs w:val="18"/>
              </w:rPr>
            </w:pPr>
            <w:r w:rsidRPr="008A6F7E">
              <w:rPr>
                <w:rFonts w:cs="Tahoma"/>
                <w:b/>
                <w:sz w:val="18"/>
                <w:szCs w:val="18"/>
              </w:rPr>
              <w:t>NO. DE ENTREGA</w:t>
            </w:r>
          </w:p>
          <w:p w:rsidR="00BA05C2" w:rsidRPr="008A6F7E" w:rsidRDefault="00BA05C2" w:rsidP="00E30CFD">
            <w:pPr>
              <w:spacing w:after="0" w:line="240" w:lineRule="auto"/>
              <w:jc w:val="center"/>
              <w:rPr>
                <w:rFonts w:cs="Tahoma"/>
                <w:b/>
                <w:sz w:val="18"/>
                <w:szCs w:val="18"/>
              </w:rPr>
            </w:pPr>
          </w:p>
        </w:tc>
        <w:tc>
          <w:tcPr>
            <w:tcW w:w="1134" w:type="dxa"/>
            <w:shd w:val="clear" w:color="000000" w:fill="FFFFFF"/>
          </w:tcPr>
          <w:p w:rsidR="00BA05C2" w:rsidRPr="008A6F7E" w:rsidRDefault="00BA05C2" w:rsidP="00E30CFD">
            <w:pPr>
              <w:spacing w:after="0" w:line="240" w:lineRule="auto"/>
              <w:jc w:val="center"/>
              <w:rPr>
                <w:rFonts w:cs="Tahoma"/>
                <w:b/>
                <w:sz w:val="18"/>
                <w:szCs w:val="18"/>
              </w:rPr>
            </w:pPr>
            <w:r w:rsidRPr="008A6F7E">
              <w:rPr>
                <w:rFonts w:cs="Tahoma"/>
                <w:b/>
                <w:sz w:val="18"/>
                <w:szCs w:val="18"/>
              </w:rPr>
              <w:t>FECHA</w:t>
            </w:r>
          </w:p>
        </w:tc>
        <w:tc>
          <w:tcPr>
            <w:tcW w:w="1473" w:type="dxa"/>
            <w:shd w:val="clear" w:color="000000" w:fill="FFFFFF"/>
          </w:tcPr>
          <w:p w:rsidR="00BA05C2" w:rsidRPr="008A6F7E" w:rsidRDefault="00BA05C2" w:rsidP="00E30CFD">
            <w:pPr>
              <w:spacing w:after="0" w:line="240" w:lineRule="auto"/>
              <w:jc w:val="center"/>
              <w:rPr>
                <w:rFonts w:cs="Tahoma"/>
                <w:b/>
                <w:sz w:val="18"/>
                <w:szCs w:val="18"/>
              </w:rPr>
            </w:pPr>
            <w:r w:rsidRPr="008A6F7E">
              <w:rPr>
                <w:rFonts w:cs="Tahoma"/>
                <w:b/>
                <w:sz w:val="18"/>
                <w:szCs w:val="18"/>
              </w:rPr>
              <w:t>TOTAL ENTREGADO</w:t>
            </w:r>
          </w:p>
        </w:tc>
      </w:tr>
      <w:tr w:rsidR="00BA05C2" w:rsidRPr="008A6F7E" w:rsidTr="00A82877">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36</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26/04/2013</w:t>
            </w:r>
          </w:p>
        </w:tc>
        <w:tc>
          <w:tcPr>
            <w:tcW w:w="1473" w:type="dxa"/>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7.360</w:t>
            </w:r>
          </w:p>
        </w:tc>
      </w:tr>
      <w:tr w:rsidR="00BA05C2" w:rsidRPr="008A6F7E" w:rsidTr="00A82877">
        <w:trPr>
          <w:trHeight w:val="345"/>
          <w:jc w:val="center"/>
        </w:trPr>
        <w:tc>
          <w:tcPr>
            <w:tcW w:w="1330"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37</w:t>
            </w:r>
          </w:p>
        </w:tc>
        <w:tc>
          <w:tcPr>
            <w:tcW w:w="1134" w:type="dxa"/>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30/04/2013</w:t>
            </w:r>
          </w:p>
        </w:tc>
        <w:tc>
          <w:tcPr>
            <w:tcW w:w="1473" w:type="dxa"/>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6.979</w:t>
            </w:r>
          </w:p>
        </w:tc>
      </w:tr>
      <w:tr w:rsidR="00BA05C2" w:rsidRPr="008A6F7E" w:rsidTr="00A82877">
        <w:trPr>
          <w:trHeight w:val="345"/>
          <w:jc w:val="center"/>
        </w:trPr>
        <w:tc>
          <w:tcPr>
            <w:tcW w:w="2464" w:type="dxa"/>
            <w:gridSpan w:val="2"/>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Subtotal</w:t>
            </w:r>
          </w:p>
        </w:tc>
        <w:tc>
          <w:tcPr>
            <w:tcW w:w="1473" w:type="dxa"/>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14.339</w:t>
            </w:r>
          </w:p>
        </w:tc>
      </w:tr>
      <w:tr w:rsidR="00BA05C2" w:rsidRPr="008A6F7E" w:rsidTr="00A82877">
        <w:trPr>
          <w:trHeight w:val="345"/>
          <w:jc w:val="center"/>
        </w:trPr>
        <w:tc>
          <w:tcPr>
            <w:tcW w:w="2464" w:type="dxa"/>
            <w:gridSpan w:val="2"/>
            <w:shd w:val="clear" w:color="000000" w:fill="FFFFFF"/>
            <w:vAlign w:val="bottom"/>
          </w:tcPr>
          <w:p w:rsidR="00BA05C2" w:rsidRPr="008A6F7E" w:rsidRDefault="00BA05C2" w:rsidP="00E30CFD">
            <w:pPr>
              <w:spacing w:after="0" w:line="240" w:lineRule="auto"/>
              <w:jc w:val="center"/>
              <w:rPr>
                <w:rFonts w:cs="Tahoma"/>
                <w:sz w:val="18"/>
                <w:szCs w:val="18"/>
              </w:rPr>
            </w:pPr>
            <w:r w:rsidRPr="008A6F7E">
              <w:rPr>
                <w:rFonts w:cs="Tahoma"/>
                <w:sz w:val="18"/>
                <w:szCs w:val="18"/>
              </w:rPr>
              <w:t>TOTAL ENTREGADO</w:t>
            </w:r>
          </w:p>
        </w:tc>
        <w:tc>
          <w:tcPr>
            <w:tcW w:w="1473" w:type="dxa"/>
            <w:shd w:val="clear" w:color="000000" w:fill="FFFFFF"/>
            <w:vAlign w:val="bottom"/>
          </w:tcPr>
          <w:p w:rsidR="00BA05C2" w:rsidRPr="008A6F7E" w:rsidRDefault="00BA05C2" w:rsidP="00E30CFD">
            <w:pPr>
              <w:spacing w:after="0" w:line="240" w:lineRule="auto"/>
              <w:jc w:val="right"/>
              <w:rPr>
                <w:rFonts w:cs="Tahoma"/>
                <w:sz w:val="18"/>
                <w:szCs w:val="18"/>
              </w:rPr>
            </w:pPr>
            <w:r w:rsidRPr="008A6F7E">
              <w:rPr>
                <w:rFonts w:cs="Tahoma"/>
                <w:sz w:val="18"/>
                <w:szCs w:val="18"/>
              </w:rPr>
              <w:t>188.042</w:t>
            </w:r>
          </w:p>
        </w:tc>
      </w:tr>
    </w:tbl>
    <w:p w:rsidR="00BA05C2" w:rsidRPr="008A6F7E" w:rsidRDefault="00BA05C2" w:rsidP="00E30CFD">
      <w:pPr>
        <w:pStyle w:val="Prrafodelista"/>
        <w:spacing w:after="0" w:line="240" w:lineRule="auto"/>
        <w:ind w:left="0"/>
        <w:jc w:val="center"/>
        <w:rPr>
          <w:rFonts w:cs="Calibri"/>
          <w:b/>
          <w:sz w:val="16"/>
          <w:szCs w:val="16"/>
        </w:rPr>
      </w:pPr>
      <w:r w:rsidRPr="008A6F7E">
        <w:rPr>
          <w:rFonts w:cs="Calibri"/>
          <w:b/>
          <w:sz w:val="16"/>
          <w:szCs w:val="16"/>
        </w:rPr>
        <w:t>Fuente: Área de Entrega ISS en Liquidación.</w:t>
      </w:r>
    </w:p>
    <w:p w:rsidR="00BA05C2" w:rsidRPr="008A6F7E" w:rsidRDefault="00BA05C2" w:rsidP="00E30CFD">
      <w:pPr>
        <w:pStyle w:val="Prrafodelista4"/>
        <w:ind w:left="0"/>
        <w:jc w:val="both"/>
        <w:rPr>
          <w:rFonts w:ascii="Calibri" w:hAnsi="Calibri" w:cs="Arial"/>
          <w:sz w:val="22"/>
          <w:szCs w:val="22"/>
        </w:rPr>
      </w:pPr>
    </w:p>
    <w:p w:rsidR="00BA05C2" w:rsidRPr="008A6F7E" w:rsidRDefault="00BA05C2" w:rsidP="00E30CFD">
      <w:pPr>
        <w:pStyle w:val="Prrafodelista4"/>
        <w:ind w:left="0"/>
        <w:jc w:val="both"/>
        <w:rPr>
          <w:rFonts w:ascii="Calibri" w:hAnsi="Calibri" w:cs="Arial"/>
          <w:b/>
          <w:sz w:val="22"/>
          <w:szCs w:val="22"/>
        </w:rPr>
      </w:pPr>
    </w:p>
    <w:p w:rsidR="00BA05C2" w:rsidRPr="008A6F7E" w:rsidRDefault="00BA05C2" w:rsidP="00E30CFD">
      <w:pPr>
        <w:pStyle w:val="Prrafodelista4"/>
        <w:numPr>
          <w:ilvl w:val="1"/>
          <w:numId w:val="3"/>
        </w:numPr>
        <w:jc w:val="both"/>
        <w:rPr>
          <w:rFonts w:ascii="Calibri" w:hAnsi="Calibri" w:cs="Arial"/>
          <w:b/>
        </w:rPr>
      </w:pPr>
      <w:r w:rsidRPr="008A6F7E">
        <w:rPr>
          <w:rFonts w:ascii="Calibri" w:hAnsi="Calibri" w:cs="Arial"/>
          <w:b/>
          <w:i/>
        </w:rPr>
        <w:t>¿Es cierto que no existen expedientes, motivo por el cual Colpensiones no ha podido empezar a pagar?</w:t>
      </w:r>
    </w:p>
    <w:p w:rsidR="00BA05C2" w:rsidRPr="008A6F7E" w:rsidRDefault="00BA05C2" w:rsidP="00E30CFD">
      <w:pPr>
        <w:pStyle w:val="Prrafodelista4"/>
        <w:ind w:left="0"/>
        <w:jc w:val="both"/>
        <w:rPr>
          <w:rFonts w:ascii="Calibri" w:hAnsi="Calibri" w:cs="Arial"/>
        </w:rPr>
      </w:pPr>
    </w:p>
    <w:p w:rsidR="00BA05C2" w:rsidRPr="008A6F7E" w:rsidRDefault="00BA05C2" w:rsidP="00E30CFD">
      <w:pPr>
        <w:pStyle w:val="Prrafodelista4"/>
        <w:ind w:left="0"/>
        <w:jc w:val="both"/>
        <w:rPr>
          <w:rFonts w:ascii="Calibri" w:hAnsi="Calibri" w:cs="Arial"/>
        </w:rPr>
      </w:pPr>
      <w:r w:rsidRPr="008A6F7E">
        <w:rPr>
          <w:rFonts w:ascii="Calibri" w:hAnsi="Calibri" w:cs="Arial"/>
        </w:rPr>
        <w:t>Para dar respuesta a este interrogante, es importante hacer las siguientes precisiones:</w:t>
      </w:r>
    </w:p>
    <w:p w:rsidR="00BA05C2" w:rsidRPr="008A6F7E" w:rsidRDefault="00BA05C2" w:rsidP="00E30CFD">
      <w:pPr>
        <w:pStyle w:val="Prrafodelista4"/>
        <w:tabs>
          <w:tab w:val="left" w:pos="1095"/>
        </w:tabs>
        <w:ind w:left="360"/>
        <w:jc w:val="both"/>
        <w:rPr>
          <w:rFonts w:ascii="Calibri" w:hAnsi="Calibri" w:cs="Arial"/>
        </w:rPr>
      </w:pPr>
    </w:p>
    <w:p w:rsidR="00BA05C2" w:rsidRPr="008A6F7E" w:rsidRDefault="00BA05C2" w:rsidP="00E30CFD">
      <w:pPr>
        <w:pStyle w:val="Prrafodelista4"/>
        <w:ind w:left="0"/>
        <w:jc w:val="both"/>
        <w:rPr>
          <w:rFonts w:ascii="Calibri" w:hAnsi="Calibri" w:cs="Arial"/>
        </w:rPr>
      </w:pPr>
      <w:r w:rsidRPr="008A6F7E">
        <w:rPr>
          <w:rFonts w:ascii="Calibri" w:hAnsi="Calibri" w:cs="Arial"/>
        </w:rPr>
        <w:t xml:space="preserve">Con relación al pago de las prestaciones económicas que fueron decididas antes del 28 de Septiembre de 2012, Colpensiones únicamente requería contar con las novedades de nómina las cuales  fueron entregadas en un 100%. </w:t>
      </w:r>
    </w:p>
    <w:p w:rsidR="00BA05C2" w:rsidRPr="008A6F7E" w:rsidRDefault="00BA05C2" w:rsidP="00E30CFD">
      <w:pPr>
        <w:pStyle w:val="Prrafodelista4"/>
        <w:ind w:left="0"/>
        <w:jc w:val="both"/>
        <w:rPr>
          <w:rFonts w:ascii="Calibri" w:hAnsi="Calibri" w:cs="Arial"/>
        </w:rPr>
      </w:pPr>
    </w:p>
    <w:p w:rsidR="00BA05C2" w:rsidRPr="008A6F7E" w:rsidRDefault="00BA05C2" w:rsidP="00E30CFD">
      <w:pPr>
        <w:pStyle w:val="Prrafodelista4"/>
        <w:ind w:left="0"/>
        <w:jc w:val="both"/>
        <w:rPr>
          <w:rFonts w:ascii="Calibri" w:hAnsi="Calibri" w:cs="Arial"/>
        </w:rPr>
      </w:pPr>
      <w:r w:rsidRPr="008A6F7E">
        <w:rPr>
          <w:rFonts w:ascii="Calibri" w:hAnsi="Calibri" w:cs="Arial"/>
        </w:rPr>
        <w:t>Ahora bien, en relación con la entrega de expedientes pendientes de decisión a 28 de septiembre de 2012, el cuadro anterior refleja que el ISS en Liquidación ha entregado con corte a 30 de abril de 2013 un total de 188.042 expedientes con todos los documentos requeridos por Colpensiones para poder decidir, avalados mediante actas firmadas por ambas entidades, de entrega y recibo a satisfacción.</w:t>
      </w:r>
    </w:p>
    <w:p w:rsidR="00BA05C2" w:rsidRPr="008A6F7E" w:rsidRDefault="00BA05C2" w:rsidP="00E30CFD">
      <w:pPr>
        <w:pStyle w:val="Prrafodelista4"/>
        <w:ind w:left="0"/>
        <w:jc w:val="both"/>
        <w:rPr>
          <w:rFonts w:ascii="Calibri" w:hAnsi="Calibri" w:cs="Arial"/>
        </w:rPr>
      </w:pPr>
    </w:p>
    <w:p w:rsidR="00BA05C2" w:rsidRPr="008A6F7E" w:rsidRDefault="00BA05C2" w:rsidP="00E30CFD">
      <w:pPr>
        <w:pStyle w:val="Prrafodelista4"/>
        <w:ind w:left="0"/>
        <w:jc w:val="both"/>
        <w:rPr>
          <w:rFonts w:ascii="Calibri" w:hAnsi="Calibri" w:cs="Arial"/>
        </w:rPr>
      </w:pPr>
      <w:r w:rsidRPr="008A6F7E">
        <w:rPr>
          <w:rFonts w:ascii="Calibri" w:hAnsi="Calibri" w:cs="Arial"/>
        </w:rPr>
        <w:t xml:space="preserve">Lo anterior demuestra, que el avance en el proceso de entrega esta en el 87,05% de cumplimiento, que a su vez implica, que Colpensiones tiene la información para decidir  en este mismo porcentaje de expedientes pensionales e iniciar los pagos de prestaciones económicas correspondientes. </w:t>
      </w:r>
    </w:p>
    <w:p w:rsidR="00BA05C2" w:rsidRPr="008A6F7E" w:rsidRDefault="00BA05C2" w:rsidP="00E30CFD">
      <w:pPr>
        <w:pStyle w:val="Prrafodelista4"/>
        <w:ind w:left="0"/>
        <w:jc w:val="both"/>
        <w:rPr>
          <w:rFonts w:ascii="Calibri" w:hAnsi="Calibri" w:cs="Arial"/>
          <w:sz w:val="22"/>
          <w:szCs w:val="22"/>
          <w:highlight w:val="yellow"/>
        </w:rPr>
      </w:pPr>
    </w:p>
    <w:p w:rsidR="00BA05C2" w:rsidRPr="008A6F7E" w:rsidRDefault="00BA05C2" w:rsidP="00E30CFD">
      <w:pPr>
        <w:pStyle w:val="Prrafodelista"/>
        <w:numPr>
          <w:ilvl w:val="0"/>
          <w:numId w:val="3"/>
        </w:numPr>
        <w:spacing w:after="0" w:line="240" w:lineRule="auto"/>
        <w:jc w:val="both"/>
        <w:rPr>
          <w:rFonts w:cs="Calibri"/>
          <w:b/>
          <w:sz w:val="24"/>
          <w:szCs w:val="24"/>
        </w:rPr>
      </w:pPr>
      <w:r w:rsidRPr="008A6F7E">
        <w:rPr>
          <w:rFonts w:cs="Calibri"/>
          <w:b/>
          <w:sz w:val="24"/>
          <w:szCs w:val="24"/>
        </w:rPr>
        <w:t xml:space="preserve">Indique cuál es el número de sentencias que afectan a los fondos de prestación de invalidez, vejez y muerte o relacionados con la función de administración del </w:t>
      </w:r>
      <w:r w:rsidRPr="008A6F7E">
        <w:rPr>
          <w:rFonts w:cs="Calibri"/>
          <w:b/>
          <w:sz w:val="24"/>
          <w:szCs w:val="24"/>
        </w:rPr>
        <w:lastRenderedPageBreak/>
        <w:t xml:space="preserve">Régimen de Prima Media con Prestación Definida que el ISS ha entregado a Colpensiones para dar efectivo cumplimiento a 18 de Marzo de 2013. </w:t>
      </w:r>
    </w:p>
    <w:p w:rsidR="00BA05C2" w:rsidRDefault="00BA05C2" w:rsidP="00E30CFD">
      <w:pPr>
        <w:spacing w:line="240" w:lineRule="auto"/>
        <w:rPr>
          <w:rFonts w:cs="Arial"/>
          <w:sz w:val="24"/>
          <w:szCs w:val="24"/>
        </w:rPr>
      </w:pPr>
    </w:p>
    <w:p w:rsidR="00BA05C2" w:rsidRDefault="00BA05C2" w:rsidP="00E30CFD">
      <w:pPr>
        <w:spacing w:line="240" w:lineRule="auto"/>
        <w:rPr>
          <w:rFonts w:cs="Arial"/>
          <w:b/>
          <w:sz w:val="24"/>
          <w:szCs w:val="24"/>
        </w:rPr>
      </w:pPr>
      <w:r w:rsidRPr="00DF62A4">
        <w:rPr>
          <w:rFonts w:cs="Arial"/>
          <w:b/>
          <w:sz w:val="24"/>
          <w:szCs w:val="24"/>
        </w:rPr>
        <w:t>Cuestionario aditivo</w:t>
      </w:r>
      <w:r>
        <w:rPr>
          <w:rFonts w:cs="Arial"/>
          <w:b/>
          <w:sz w:val="24"/>
          <w:szCs w:val="24"/>
        </w:rPr>
        <w:t xml:space="preserve"> Proposición 138</w:t>
      </w:r>
      <w:r w:rsidRPr="00DF62A4">
        <w:rPr>
          <w:rFonts w:cs="Arial"/>
          <w:b/>
          <w:sz w:val="24"/>
          <w:szCs w:val="24"/>
        </w:rPr>
        <w:t xml:space="preserve"> </w:t>
      </w:r>
    </w:p>
    <w:p w:rsidR="00BA05C2" w:rsidRPr="008A6F7E" w:rsidRDefault="00BA05C2" w:rsidP="00E30CFD">
      <w:pPr>
        <w:pStyle w:val="Prrafodelista"/>
        <w:spacing w:after="0" w:line="240" w:lineRule="auto"/>
        <w:ind w:left="555"/>
        <w:jc w:val="both"/>
        <w:rPr>
          <w:rFonts w:cs="Calibri"/>
          <w:b/>
          <w:sz w:val="24"/>
          <w:szCs w:val="24"/>
        </w:rPr>
      </w:pPr>
      <w:r>
        <w:rPr>
          <w:rFonts w:cs="Arial"/>
          <w:b/>
          <w:sz w:val="24"/>
          <w:szCs w:val="24"/>
          <w:lang w:val="es-CO"/>
        </w:rPr>
        <w:t xml:space="preserve">1.  </w:t>
      </w:r>
      <w:r w:rsidRPr="008A6F7E">
        <w:rPr>
          <w:rFonts w:cs="Calibri"/>
          <w:b/>
          <w:sz w:val="24"/>
          <w:szCs w:val="24"/>
        </w:rPr>
        <w:t xml:space="preserve">Indique cuál es el número de sentencias que afectan a los fondos de prestación </w:t>
      </w:r>
      <w:r>
        <w:rPr>
          <w:rFonts w:cs="Calibri"/>
          <w:b/>
          <w:sz w:val="24"/>
          <w:szCs w:val="24"/>
        </w:rPr>
        <w:t xml:space="preserve">           </w:t>
      </w:r>
      <w:r w:rsidRPr="008A6F7E">
        <w:rPr>
          <w:rFonts w:cs="Calibri"/>
          <w:b/>
          <w:sz w:val="24"/>
          <w:szCs w:val="24"/>
        </w:rPr>
        <w:t xml:space="preserve">de invalidez, vejez y muerte o relacionados con la función de administración del Régimen de Prima Media con Prestación Definida que el ISS ha entregado a Colpensiones para dar efectivo cumplimiento a 29 de Abril de 2013. </w:t>
      </w:r>
    </w:p>
    <w:p w:rsidR="00BA05C2" w:rsidRPr="00F627C3" w:rsidRDefault="00BA05C2" w:rsidP="00E30CFD">
      <w:pPr>
        <w:spacing w:line="240" w:lineRule="auto"/>
        <w:rPr>
          <w:rFonts w:cs="Arial"/>
          <w:sz w:val="24"/>
          <w:szCs w:val="24"/>
          <w:lang w:val="es-ES"/>
        </w:rPr>
      </w:pPr>
    </w:p>
    <w:p w:rsidR="00BA05C2" w:rsidRPr="008A6F7E" w:rsidRDefault="00BA05C2" w:rsidP="00E30CFD">
      <w:pPr>
        <w:spacing w:line="240" w:lineRule="auto"/>
        <w:jc w:val="both"/>
        <w:rPr>
          <w:rFonts w:cs="Arial"/>
          <w:bCs/>
          <w:iCs/>
          <w:sz w:val="24"/>
          <w:szCs w:val="24"/>
        </w:rPr>
      </w:pPr>
      <w:r w:rsidRPr="008A6F7E">
        <w:rPr>
          <w:rFonts w:cs="Arial"/>
          <w:sz w:val="24"/>
          <w:szCs w:val="24"/>
        </w:rPr>
        <w:t xml:space="preserve">De acuerdo a los requisitos exigidos por Colpensiones para el recibo de las Sentencias judiciales pendientes de cumplimiento, las 3.892 sentencias susceptibles de entrega que </w:t>
      </w:r>
      <w:r w:rsidRPr="008A6F7E">
        <w:rPr>
          <w:rFonts w:cs="Arial"/>
          <w:bCs/>
          <w:iCs/>
          <w:sz w:val="24"/>
          <w:szCs w:val="24"/>
        </w:rPr>
        <w:t>afectan estos fondos entregadas a Colpensiones con corte a 18 de marzo de 2013, es de mil trescientos treinta y siete (1.337).</w:t>
      </w:r>
    </w:p>
    <w:p w:rsidR="00BA05C2" w:rsidRPr="008A6F7E" w:rsidRDefault="00BA05C2" w:rsidP="00E30CFD">
      <w:pPr>
        <w:spacing w:after="0" w:line="240" w:lineRule="auto"/>
        <w:jc w:val="both"/>
        <w:rPr>
          <w:rFonts w:cs="Arial"/>
          <w:sz w:val="24"/>
          <w:szCs w:val="24"/>
        </w:rPr>
      </w:pPr>
      <w:r w:rsidRPr="008A6F7E">
        <w:rPr>
          <w:rFonts w:cs="Arial"/>
          <w:sz w:val="24"/>
          <w:szCs w:val="24"/>
        </w:rPr>
        <w:t>Con corte del 19 de abril se había formalizado la entrega de 3.383 sentencias, lo que corresponde al 86,9% de avance.</w:t>
      </w:r>
    </w:p>
    <w:p w:rsidR="00BA05C2" w:rsidRPr="008A6F7E" w:rsidRDefault="00BA05C2" w:rsidP="00E30CFD">
      <w:pPr>
        <w:spacing w:after="0" w:line="240" w:lineRule="auto"/>
        <w:jc w:val="both"/>
        <w:rPr>
          <w:rFonts w:cs="Arial"/>
          <w:sz w:val="24"/>
          <w:szCs w:val="24"/>
        </w:rPr>
      </w:pPr>
    </w:p>
    <w:p w:rsidR="00BA05C2" w:rsidRPr="008A6F7E" w:rsidRDefault="00BA05C2" w:rsidP="00E30CFD">
      <w:pPr>
        <w:spacing w:after="0" w:line="240" w:lineRule="auto"/>
        <w:jc w:val="both"/>
        <w:rPr>
          <w:rFonts w:cs="Arial"/>
          <w:sz w:val="24"/>
          <w:szCs w:val="24"/>
        </w:rPr>
      </w:pPr>
      <w:r w:rsidRPr="008A6F7E">
        <w:rPr>
          <w:rFonts w:cs="Arial"/>
          <w:sz w:val="24"/>
          <w:szCs w:val="24"/>
        </w:rPr>
        <w:t>Respecto de las 7.508 sentencias que no cuentan con la totalidad de los requisitos establecidos por Colpensiones, se están desarrollando las actividades establecidas por cada una de las entidades en el Plan de Acción presentado ante la Defensoría del Pueblo y demás organismos de control.</w:t>
      </w:r>
    </w:p>
    <w:p w:rsidR="00BA05C2" w:rsidRPr="008A6F7E" w:rsidRDefault="00BA05C2" w:rsidP="00E30CFD">
      <w:pPr>
        <w:spacing w:after="0" w:line="240" w:lineRule="auto"/>
        <w:jc w:val="both"/>
        <w:rPr>
          <w:rFonts w:cs="Arial"/>
          <w:sz w:val="24"/>
          <w:szCs w:val="24"/>
        </w:rPr>
      </w:pPr>
    </w:p>
    <w:p w:rsidR="00BA05C2" w:rsidRPr="008A6F7E" w:rsidRDefault="00BA05C2" w:rsidP="00E30CFD">
      <w:pPr>
        <w:spacing w:after="0" w:line="240" w:lineRule="auto"/>
        <w:jc w:val="both"/>
        <w:rPr>
          <w:sz w:val="24"/>
          <w:szCs w:val="24"/>
          <w:lang w:val="es-MX"/>
        </w:rPr>
      </w:pPr>
      <w:r w:rsidRPr="008A6F7E">
        <w:rPr>
          <w:sz w:val="24"/>
          <w:szCs w:val="24"/>
          <w:lang w:val="es-MX"/>
        </w:rPr>
        <w:t>En el mes de Abril se continuó con  la entrega de esta serie, sobre las sentencias que cumplen con requisitos de primera copia, constancia de ejecutoría y certificación de inexistencia del proceso ejecutivo. En el siguiente cuadro se detallan las entregas efectuadas durante los meses de Marzo y Abril 29 de 2013.</w:t>
      </w:r>
    </w:p>
    <w:p w:rsidR="00BA05C2" w:rsidRPr="008A6F7E" w:rsidRDefault="00BA05C2" w:rsidP="00E30CFD">
      <w:pPr>
        <w:spacing w:after="0" w:line="240" w:lineRule="auto"/>
        <w:rPr>
          <w:sz w:val="20"/>
          <w:szCs w:val="20"/>
          <w:lang w:val="es-MX"/>
        </w:rPr>
      </w:pPr>
    </w:p>
    <w:tbl>
      <w:tblPr>
        <w:tblW w:w="4399" w:type="dxa"/>
        <w:jc w:val="center"/>
        <w:tblInd w:w="55" w:type="dxa"/>
        <w:tblCellMar>
          <w:left w:w="70" w:type="dxa"/>
          <w:right w:w="70" w:type="dxa"/>
        </w:tblCellMar>
        <w:tblLook w:val="00A0" w:firstRow="1" w:lastRow="0" w:firstColumn="1" w:lastColumn="0" w:noHBand="0" w:noVBand="0"/>
      </w:tblPr>
      <w:tblGrid>
        <w:gridCol w:w="1339"/>
        <w:gridCol w:w="1860"/>
        <w:gridCol w:w="1200"/>
      </w:tblGrid>
      <w:tr w:rsidR="00BA05C2" w:rsidRPr="008A6F7E" w:rsidTr="00C5769F">
        <w:trPr>
          <w:trHeight w:val="300"/>
          <w:tblHeader/>
          <w:jc w:val="center"/>
        </w:trPr>
        <w:tc>
          <w:tcPr>
            <w:tcW w:w="1339" w:type="dxa"/>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center"/>
              <w:rPr>
                <w:b/>
                <w:bCs/>
                <w:color w:val="000000"/>
                <w:sz w:val="20"/>
                <w:szCs w:val="20"/>
                <w:lang w:eastAsia="es-ES"/>
              </w:rPr>
            </w:pPr>
            <w:r w:rsidRPr="008A6F7E">
              <w:rPr>
                <w:b/>
                <w:bCs/>
                <w:color w:val="000000"/>
                <w:sz w:val="20"/>
                <w:szCs w:val="20"/>
                <w:lang w:eastAsia="es-ES"/>
              </w:rPr>
              <w:t>Fecha</w:t>
            </w:r>
          </w:p>
        </w:tc>
        <w:tc>
          <w:tcPr>
            <w:tcW w:w="1860" w:type="dxa"/>
            <w:tcBorders>
              <w:top w:val="single" w:sz="4" w:space="0" w:color="auto"/>
              <w:left w:val="nil"/>
              <w:bottom w:val="single" w:sz="4" w:space="0" w:color="auto"/>
              <w:right w:val="single" w:sz="4" w:space="0" w:color="auto"/>
            </w:tcBorders>
            <w:noWrap/>
            <w:vAlign w:val="bottom"/>
          </w:tcPr>
          <w:p w:rsidR="00BA05C2" w:rsidRPr="008A6F7E" w:rsidRDefault="00BA05C2" w:rsidP="00E30CFD">
            <w:pPr>
              <w:spacing w:after="0" w:line="240" w:lineRule="auto"/>
              <w:jc w:val="center"/>
              <w:rPr>
                <w:b/>
                <w:bCs/>
                <w:color w:val="000000"/>
                <w:sz w:val="20"/>
                <w:szCs w:val="20"/>
                <w:lang w:eastAsia="es-ES"/>
              </w:rPr>
            </w:pPr>
            <w:r w:rsidRPr="008A6F7E">
              <w:rPr>
                <w:b/>
                <w:bCs/>
                <w:color w:val="000000"/>
                <w:sz w:val="20"/>
                <w:szCs w:val="20"/>
                <w:lang w:eastAsia="es-ES"/>
              </w:rPr>
              <w:t>Seccional</w:t>
            </w:r>
          </w:p>
        </w:tc>
        <w:tc>
          <w:tcPr>
            <w:tcW w:w="1200" w:type="dxa"/>
            <w:tcBorders>
              <w:top w:val="single" w:sz="4" w:space="0" w:color="auto"/>
              <w:left w:val="nil"/>
              <w:bottom w:val="single" w:sz="4" w:space="0" w:color="auto"/>
              <w:right w:val="single" w:sz="4" w:space="0" w:color="auto"/>
            </w:tcBorders>
            <w:noWrap/>
            <w:vAlign w:val="bottom"/>
          </w:tcPr>
          <w:p w:rsidR="00BA05C2" w:rsidRPr="008A6F7E" w:rsidRDefault="00BA05C2" w:rsidP="00E30CFD">
            <w:pPr>
              <w:spacing w:after="0" w:line="240" w:lineRule="auto"/>
              <w:jc w:val="center"/>
              <w:rPr>
                <w:b/>
                <w:bCs/>
                <w:color w:val="000000"/>
                <w:sz w:val="20"/>
                <w:szCs w:val="20"/>
                <w:lang w:eastAsia="es-ES"/>
              </w:rPr>
            </w:pPr>
            <w:r w:rsidRPr="008A6F7E">
              <w:rPr>
                <w:b/>
                <w:bCs/>
                <w:color w:val="000000"/>
                <w:sz w:val="20"/>
                <w:szCs w:val="20"/>
                <w:lang w:eastAsia="es-ES"/>
              </w:rPr>
              <w:t>Cantidad</w:t>
            </w:r>
          </w:p>
        </w:tc>
      </w:tr>
      <w:tr w:rsidR="00BA05C2" w:rsidRPr="008A6F7E" w:rsidTr="00C5769F">
        <w:trPr>
          <w:trHeight w:val="285"/>
          <w:jc w:val="center"/>
        </w:trPr>
        <w:tc>
          <w:tcPr>
            <w:tcW w:w="1339" w:type="dxa"/>
            <w:vMerge w:val="restart"/>
            <w:tcBorders>
              <w:top w:val="nil"/>
              <w:left w:val="single" w:sz="4" w:space="0" w:color="auto"/>
              <w:bottom w:val="single" w:sz="4" w:space="0" w:color="000000"/>
              <w:right w:val="single" w:sz="4" w:space="0" w:color="auto"/>
            </w:tcBorders>
            <w:noWrap/>
            <w:vAlign w:val="center"/>
          </w:tcPr>
          <w:p w:rsidR="00BA05C2" w:rsidRPr="008A6F7E" w:rsidRDefault="00BA05C2" w:rsidP="00E30CFD">
            <w:pPr>
              <w:spacing w:after="0" w:line="240" w:lineRule="auto"/>
              <w:jc w:val="center"/>
              <w:rPr>
                <w:color w:val="000000"/>
                <w:sz w:val="20"/>
                <w:szCs w:val="20"/>
                <w:lang w:eastAsia="es-ES"/>
              </w:rPr>
            </w:pPr>
            <w:r w:rsidRPr="008A6F7E">
              <w:rPr>
                <w:color w:val="000000"/>
                <w:sz w:val="20"/>
                <w:szCs w:val="20"/>
                <w:lang w:eastAsia="es-ES"/>
              </w:rPr>
              <w:t>07/03/2013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 xml:space="preserve"> CUNDINANARCA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645</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VALLE</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298</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BOLIVAR</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43</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RISARALDA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38</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BOYACA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5</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CESAR</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CORDOBA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20</w:t>
            </w:r>
          </w:p>
        </w:tc>
      </w:tr>
      <w:tr w:rsidR="00BA05C2" w:rsidRPr="008A6F7E" w:rsidTr="00C5769F">
        <w:trPr>
          <w:trHeight w:val="300"/>
          <w:jc w:val="center"/>
        </w:trPr>
        <w:tc>
          <w:tcPr>
            <w:tcW w:w="1339"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08/03/2013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CUNDINAMARCA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124</w:t>
            </w:r>
          </w:p>
        </w:tc>
      </w:tr>
      <w:tr w:rsidR="00BA05C2" w:rsidRPr="008A6F7E" w:rsidTr="00C5769F">
        <w:trPr>
          <w:trHeight w:val="300"/>
          <w:jc w:val="center"/>
        </w:trPr>
        <w:tc>
          <w:tcPr>
            <w:tcW w:w="1339"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18/03/2013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ATLANTICO</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163</w:t>
            </w:r>
          </w:p>
        </w:tc>
      </w:tr>
      <w:tr w:rsidR="00BA05C2" w:rsidRPr="008A6F7E" w:rsidTr="00C5769F">
        <w:trPr>
          <w:trHeight w:val="300"/>
          <w:jc w:val="center"/>
        </w:trPr>
        <w:tc>
          <w:tcPr>
            <w:tcW w:w="1339" w:type="dxa"/>
            <w:tcBorders>
              <w:top w:val="nil"/>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02/04/2013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VALLE</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681</w:t>
            </w:r>
          </w:p>
        </w:tc>
      </w:tr>
      <w:tr w:rsidR="00BA05C2" w:rsidRPr="008A6F7E" w:rsidTr="00C5769F">
        <w:trPr>
          <w:trHeight w:val="300"/>
          <w:jc w:val="center"/>
        </w:trPr>
        <w:tc>
          <w:tcPr>
            <w:tcW w:w="1339" w:type="dxa"/>
            <w:vMerge w:val="restart"/>
            <w:tcBorders>
              <w:top w:val="nil"/>
              <w:left w:val="single" w:sz="4" w:space="0" w:color="auto"/>
              <w:bottom w:val="single" w:sz="4" w:space="0" w:color="000000"/>
              <w:right w:val="single" w:sz="4" w:space="0" w:color="auto"/>
            </w:tcBorders>
            <w:noWrap/>
            <w:vAlign w:val="center"/>
          </w:tcPr>
          <w:p w:rsidR="00BA05C2" w:rsidRPr="008A6F7E" w:rsidRDefault="00BA05C2" w:rsidP="00E30CFD">
            <w:pPr>
              <w:spacing w:after="0" w:line="240" w:lineRule="auto"/>
              <w:jc w:val="center"/>
              <w:rPr>
                <w:color w:val="000000"/>
                <w:sz w:val="20"/>
                <w:szCs w:val="20"/>
                <w:lang w:eastAsia="es-ES"/>
              </w:rPr>
            </w:pPr>
            <w:r w:rsidRPr="008A6F7E">
              <w:rPr>
                <w:color w:val="000000"/>
                <w:sz w:val="20"/>
                <w:szCs w:val="20"/>
                <w:lang w:eastAsia="es-ES"/>
              </w:rPr>
              <w:t>05/04/2013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ANTIOQUIA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154</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SUCRE</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8</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RISARALDA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33</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VALLE</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373</w:t>
            </w:r>
          </w:p>
        </w:tc>
      </w:tr>
      <w:tr w:rsidR="00BA05C2" w:rsidRPr="008A6F7E" w:rsidTr="00C5769F">
        <w:trPr>
          <w:trHeight w:val="300"/>
          <w:jc w:val="center"/>
        </w:trPr>
        <w:tc>
          <w:tcPr>
            <w:tcW w:w="1339" w:type="dxa"/>
            <w:vMerge w:val="restart"/>
            <w:tcBorders>
              <w:top w:val="nil"/>
              <w:left w:val="single" w:sz="4" w:space="0" w:color="auto"/>
              <w:bottom w:val="single" w:sz="4" w:space="0" w:color="000000"/>
              <w:right w:val="single" w:sz="4" w:space="0" w:color="auto"/>
            </w:tcBorders>
            <w:noWrap/>
            <w:vAlign w:val="center"/>
          </w:tcPr>
          <w:p w:rsidR="00BA05C2" w:rsidRPr="008A6F7E" w:rsidRDefault="00BA05C2" w:rsidP="00E30CFD">
            <w:pPr>
              <w:spacing w:after="0" w:line="240" w:lineRule="auto"/>
              <w:jc w:val="center"/>
              <w:rPr>
                <w:color w:val="000000"/>
                <w:sz w:val="20"/>
                <w:szCs w:val="20"/>
                <w:lang w:eastAsia="es-ES"/>
              </w:rPr>
            </w:pPr>
            <w:r w:rsidRPr="008A6F7E">
              <w:rPr>
                <w:color w:val="000000"/>
                <w:sz w:val="20"/>
                <w:szCs w:val="20"/>
                <w:lang w:eastAsia="es-ES"/>
              </w:rPr>
              <w:t>16/04/2013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VALLE</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719</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CESAR</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CHOCO</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9</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CALDAS</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35</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HUILA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13</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QUINDIO</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CUNDINAMARCA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19</w:t>
            </w:r>
          </w:p>
        </w:tc>
      </w:tr>
      <w:tr w:rsidR="00BA05C2" w:rsidRPr="008A6F7E" w:rsidTr="00C5769F">
        <w:trPr>
          <w:trHeight w:val="300"/>
          <w:jc w:val="center"/>
        </w:trPr>
        <w:tc>
          <w:tcPr>
            <w:tcW w:w="1339" w:type="dxa"/>
            <w:vMerge w:val="restart"/>
            <w:tcBorders>
              <w:top w:val="nil"/>
              <w:left w:val="single" w:sz="4" w:space="0" w:color="auto"/>
              <w:bottom w:val="single" w:sz="4" w:space="0" w:color="000000"/>
              <w:right w:val="single" w:sz="4" w:space="0" w:color="auto"/>
            </w:tcBorders>
            <w:noWrap/>
            <w:vAlign w:val="bottom"/>
          </w:tcPr>
          <w:p w:rsidR="00BA05C2" w:rsidRPr="008A6F7E" w:rsidRDefault="00BA05C2" w:rsidP="00E30CFD">
            <w:pPr>
              <w:spacing w:after="0" w:line="240" w:lineRule="auto"/>
              <w:jc w:val="center"/>
              <w:rPr>
                <w:color w:val="000000"/>
                <w:sz w:val="20"/>
                <w:szCs w:val="20"/>
                <w:lang w:eastAsia="es-ES"/>
              </w:rPr>
            </w:pPr>
            <w:r w:rsidRPr="008A6F7E">
              <w:rPr>
                <w:color w:val="000000"/>
                <w:sz w:val="20"/>
                <w:szCs w:val="20"/>
                <w:lang w:eastAsia="es-ES"/>
              </w:rPr>
              <w:t>25/04/2013</w:t>
            </w: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VALLE</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431</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CUNDINAMARCA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206</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ATLANTICO</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8</w:t>
            </w:r>
          </w:p>
        </w:tc>
      </w:tr>
      <w:tr w:rsidR="00BA05C2" w:rsidRPr="008A6F7E" w:rsidTr="00C5769F">
        <w:trPr>
          <w:trHeight w:val="300"/>
          <w:jc w:val="center"/>
        </w:trPr>
        <w:tc>
          <w:tcPr>
            <w:tcW w:w="1339" w:type="dxa"/>
            <w:vMerge/>
            <w:tcBorders>
              <w:top w:val="nil"/>
              <w:left w:val="single" w:sz="4" w:space="0" w:color="auto"/>
              <w:bottom w:val="single" w:sz="4" w:space="0" w:color="000000"/>
              <w:right w:val="single" w:sz="4" w:space="0" w:color="auto"/>
            </w:tcBorders>
            <w:vAlign w:val="center"/>
          </w:tcPr>
          <w:p w:rsidR="00BA05C2" w:rsidRPr="008A6F7E" w:rsidRDefault="00BA05C2" w:rsidP="00E30CFD">
            <w:pPr>
              <w:spacing w:after="0" w:line="240" w:lineRule="auto"/>
              <w:rPr>
                <w:color w:val="000000"/>
                <w:sz w:val="20"/>
                <w:szCs w:val="20"/>
                <w:lang w:eastAsia="es-ES"/>
              </w:rPr>
            </w:pPr>
          </w:p>
        </w:tc>
        <w:tc>
          <w:tcPr>
            <w:tcW w:w="186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rPr>
                <w:color w:val="000000"/>
                <w:sz w:val="20"/>
                <w:szCs w:val="20"/>
                <w:lang w:eastAsia="es-ES"/>
              </w:rPr>
            </w:pPr>
            <w:r w:rsidRPr="008A6F7E">
              <w:rPr>
                <w:color w:val="000000"/>
                <w:sz w:val="20"/>
                <w:szCs w:val="20"/>
                <w:lang w:eastAsia="es-ES"/>
              </w:rPr>
              <w:t>GUAJIRA</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2</w:t>
            </w:r>
          </w:p>
        </w:tc>
      </w:tr>
      <w:tr w:rsidR="00BA05C2" w:rsidRPr="008A6F7E" w:rsidTr="00C5769F">
        <w:trPr>
          <w:trHeight w:val="300"/>
          <w:jc w:val="center"/>
        </w:trPr>
        <w:tc>
          <w:tcPr>
            <w:tcW w:w="3199" w:type="dxa"/>
            <w:gridSpan w:val="2"/>
            <w:tcBorders>
              <w:top w:val="single" w:sz="4" w:space="0" w:color="auto"/>
              <w:left w:val="single" w:sz="4" w:space="0" w:color="auto"/>
              <w:bottom w:val="single" w:sz="4" w:space="0" w:color="auto"/>
              <w:right w:val="single" w:sz="4" w:space="0" w:color="auto"/>
            </w:tcBorders>
            <w:noWrap/>
            <w:vAlign w:val="bottom"/>
          </w:tcPr>
          <w:p w:rsidR="00BA05C2" w:rsidRPr="008A6F7E" w:rsidRDefault="00BA05C2" w:rsidP="00E30CFD">
            <w:pPr>
              <w:spacing w:after="0" w:line="240" w:lineRule="auto"/>
              <w:jc w:val="center"/>
              <w:rPr>
                <w:color w:val="000000"/>
                <w:sz w:val="20"/>
                <w:szCs w:val="20"/>
                <w:lang w:eastAsia="es-ES"/>
              </w:rPr>
            </w:pPr>
            <w:r w:rsidRPr="008A6F7E">
              <w:rPr>
                <w:color w:val="000000"/>
                <w:sz w:val="20"/>
                <w:szCs w:val="20"/>
                <w:lang w:eastAsia="es-ES"/>
              </w:rPr>
              <w:t>TOTAL</w:t>
            </w:r>
          </w:p>
        </w:tc>
        <w:tc>
          <w:tcPr>
            <w:tcW w:w="1200" w:type="dxa"/>
            <w:tcBorders>
              <w:top w:val="nil"/>
              <w:left w:val="nil"/>
              <w:bottom w:val="single" w:sz="4" w:space="0" w:color="auto"/>
              <w:right w:val="single" w:sz="4" w:space="0" w:color="auto"/>
            </w:tcBorders>
            <w:noWrap/>
            <w:vAlign w:val="bottom"/>
          </w:tcPr>
          <w:p w:rsidR="00BA05C2" w:rsidRPr="008A6F7E" w:rsidRDefault="00BA05C2" w:rsidP="00E30CFD">
            <w:pPr>
              <w:spacing w:after="0" w:line="240" w:lineRule="auto"/>
              <w:jc w:val="right"/>
              <w:rPr>
                <w:color w:val="000000"/>
                <w:sz w:val="20"/>
                <w:szCs w:val="20"/>
                <w:lang w:eastAsia="es-ES"/>
              </w:rPr>
            </w:pPr>
            <w:r w:rsidRPr="008A6F7E">
              <w:rPr>
                <w:color w:val="000000"/>
                <w:sz w:val="20"/>
                <w:szCs w:val="20"/>
                <w:lang w:eastAsia="es-ES"/>
              </w:rPr>
              <w:t>4030</w:t>
            </w:r>
          </w:p>
        </w:tc>
      </w:tr>
    </w:tbl>
    <w:p w:rsidR="00BA05C2" w:rsidRPr="008A6F7E" w:rsidRDefault="00BA05C2" w:rsidP="00E30CFD">
      <w:pPr>
        <w:spacing w:after="0" w:line="240" w:lineRule="auto"/>
        <w:jc w:val="center"/>
        <w:rPr>
          <w:sz w:val="16"/>
          <w:szCs w:val="16"/>
          <w:lang w:val="es-MX"/>
        </w:rPr>
      </w:pPr>
      <w:r w:rsidRPr="008A6F7E">
        <w:rPr>
          <w:sz w:val="16"/>
          <w:szCs w:val="16"/>
          <w:lang w:val="es-MX"/>
        </w:rPr>
        <w:t>Fuente Área de Entrega</w:t>
      </w:r>
    </w:p>
    <w:p w:rsidR="00BA05C2" w:rsidRDefault="00BA05C2" w:rsidP="00E30CFD">
      <w:pPr>
        <w:spacing w:after="0" w:line="240" w:lineRule="auto"/>
        <w:jc w:val="both"/>
        <w:rPr>
          <w:rFonts w:cs="Arial"/>
          <w:sz w:val="24"/>
          <w:szCs w:val="24"/>
        </w:rPr>
      </w:pPr>
    </w:p>
    <w:p w:rsidR="00BA05C2" w:rsidRPr="008A6F7E" w:rsidRDefault="00BA05C2" w:rsidP="00E30CFD">
      <w:pPr>
        <w:spacing w:after="0" w:line="240" w:lineRule="auto"/>
        <w:jc w:val="both"/>
        <w:rPr>
          <w:rFonts w:cs="Arial"/>
          <w:sz w:val="24"/>
          <w:szCs w:val="24"/>
        </w:rPr>
      </w:pPr>
    </w:p>
    <w:p w:rsidR="00BA05C2" w:rsidRDefault="00BA05C2" w:rsidP="00E30CFD">
      <w:pPr>
        <w:pStyle w:val="Prrafodelista"/>
        <w:numPr>
          <w:ilvl w:val="0"/>
          <w:numId w:val="3"/>
        </w:numPr>
        <w:spacing w:after="0" w:line="240" w:lineRule="auto"/>
        <w:jc w:val="both"/>
        <w:rPr>
          <w:rFonts w:cs="Calibri"/>
          <w:b/>
          <w:sz w:val="24"/>
          <w:szCs w:val="24"/>
        </w:rPr>
      </w:pPr>
      <w:r w:rsidRPr="008A6F7E">
        <w:rPr>
          <w:rFonts w:cs="Calibri"/>
          <w:b/>
          <w:sz w:val="24"/>
          <w:szCs w:val="24"/>
        </w:rPr>
        <w:t xml:space="preserve">Indique a </w:t>
      </w:r>
      <w:r w:rsidR="009533A4" w:rsidRPr="008A6F7E">
        <w:rPr>
          <w:rFonts w:cs="Calibri"/>
          <w:b/>
          <w:sz w:val="24"/>
          <w:szCs w:val="24"/>
        </w:rPr>
        <w:t>cuánto</w:t>
      </w:r>
      <w:r w:rsidRPr="008A6F7E">
        <w:rPr>
          <w:rFonts w:cs="Calibri"/>
          <w:b/>
          <w:sz w:val="24"/>
          <w:szCs w:val="24"/>
        </w:rPr>
        <w:t xml:space="preserve"> ascienden los gastos del ISS en el sostenimiento del negocio de salud, aún a cargo de la entidad? Con que personal cuenta? </w:t>
      </w:r>
      <w:r w:rsidR="009533A4" w:rsidRPr="008A6F7E">
        <w:rPr>
          <w:rFonts w:cs="Calibri"/>
          <w:b/>
          <w:sz w:val="24"/>
          <w:szCs w:val="24"/>
        </w:rPr>
        <w:t>Cuáles</w:t>
      </w:r>
      <w:r w:rsidRPr="008A6F7E">
        <w:rPr>
          <w:rFonts w:cs="Calibri"/>
          <w:b/>
          <w:sz w:val="24"/>
          <w:szCs w:val="24"/>
        </w:rPr>
        <w:t xml:space="preserve"> son las razones para que no se haya liquidado?</w:t>
      </w:r>
    </w:p>
    <w:p w:rsidR="00BA05C2" w:rsidRDefault="00BA05C2" w:rsidP="009533A4">
      <w:pPr>
        <w:pStyle w:val="Prrafodelista"/>
        <w:spacing w:after="0" w:line="240" w:lineRule="auto"/>
        <w:ind w:left="360"/>
        <w:jc w:val="both"/>
        <w:rPr>
          <w:rFonts w:cs="Calibri"/>
          <w:b/>
          <w:sz w:val="24"/>
          <w:szCs w:val="24"/>
        </w:rPr>
      </w:pPr>
    </w:p>
    <w:p w:rsidR="00BA05C2" w:rsidRPr="00C12048" w:rsidRDefault="00BA05C2" w:rsidP="009533A4">
      <w:pPr>
        <w:spacing w:after="0" w:line="240" w:lineRule="auto"/>
        <w:jc w:val="both"/>
        <w:rPr>
          <w:rFonts w:cs="Calibri"/>
          <w:b/>
          <w:sz w:val="24"/>
          <w:szCs w:val="24"/>
        </w:rPr>
      </w:pPr>
      <w:r>
        <w:rPr>
          <w:rFonts w:cs="Calibri"/>
          <w:b/>
          <w:sz w:val="24"/>
          <w:szCs w:val="24"/>
        </w:rPr>
        <w:t>RAZONES DE LA NO LIQUIDACION DEL NEGOCIO DE SALUD</w:t>
      </w:r>
    </w:p>
    <w:p w:rsidR="009533A4" w:rsidRDefault="009533A4" w:rsidP="009533A4">
      <w:pPr>
        <w:spacing w:after="0" w:line="240" w:lineRule="auto"/>
        <w:jc w:val="both"/>
        <w:rPr>
          <w:noProof/>
          <w:sz w:val="24"/>
          <w:szCs w:val="24"/>
          <w:lang w:eastAsia="es-ES"/>
        </w:rPr>
      </w:pPr>
    </w:p>
    <w:p w:rsidR="00BA05C2" w:rsidRDefault="00BA05C2" w:rsidP="009533A4">
      <w:pPr>
        <w:spacing w:after="0" w:line="240" w:lineRule="auto"/>
        <w:jc w:val="both"/>
        <w:rPr>
          <w:noProof/>
          <w:sz w:val="24"/>
          <w:szCs w:val="24"/>
          <w:lang w:eastAsia="es-ES"/>
        </w:rPr>
      </w:pPr>
      <w:r>
        <w:rPr>
          <w:noProof/>
          <w:sz w:val="24"/>
          <w:szCs w:val="24"/>
          <w:lang w:eastAsia="es-ES"/>
        </w:rPr>
        <w:t>Como antecedente es necesario recordar que e</w:t>
      </w:r>
      <w:r w:rsidRPr="008A6F7E">
        <w:rPr>
          <w:noProof/>
          <w:sz w:val="24"/>
          <w:szCs w:val="24"/>
          <w:lang w:eastAsia="es-ES"/>
        </w:rPr>
        <w:t>l Decreto 1750 de 2003, es</w:t>
      </w:r>
      <w:r>
        <w:rPr>
          <w:noProof/>
          <w:sz w:val="24"/>
          <w:szCs w:val="24"/>
          <w:lang w:eastAsia="es-ES"/>
        </w:rPr>
        <w:t>cinde el Instituto de Seguro So</w:t>
      </w:r>
      <w:r w:rsidRPr="008A6F7E">
        <w:rPr>
          <w:noProof/>
          <w:sz w:val="24"/>
          <w:szCs w:val="24"/>
          <w:lang w:eastAsia="es-ES"/>
        </w:rPr>
        <w:t>c</w:t>
      </w:r>
      <w:r>
        <w:rPr>
          <w:noProof/>
          <w:sz w:val="24"/>
          <w:szCs w:val="24"/>
          <w:lang w:eastAsia="es-ES"/>
        </w:rPr>
        <w:t>iales y crea unas Empresas Sociales del E</w:t>
      </w:r>
      <w:r w:rsidRPr="008A6F7E">
        <w:rPr>
          <w:noProof/>
          <w:sz w:val="24"/>
          <w:szCs w:val="24"/>
          <w:lang w:eastAsia="es-ES"/>
        </w:rPr>
        <w:t xml:space="preserve">stado. </w:t>
      </w:r>
      <w:r>
        <w:rPr>
          <w:noProof/>
          <w:sz w:val="24"/>
          <w:szCs w:val="24"/>
          <w:lang w:eastAsia="es-ES"/>
        </w:rPr>
        <w:t>No obstante, de la entrada en vigencia del Decreto, el</w:t>
      </w:r>
      <w:r w:rsidRPr="008A6F7E">
        <w:rPr>
          <w:noProof/>
          <w:sz w:val="24"/>
          <w:szCs w:val="24"/>
          <w:lang w:eastAsia="es-ES"/>
        </w:rPr>
        <w:t xml:space="preserve"> ISS en operación</w:t>
      </w:r>
      <w:r>
        <w:rPr>
          <w:noProof/>
          <w:sz w:val="24"/>
          <w:szCs w:val="24"/>
          <w:lang w:eastAsia="es-ES"/>
        </w:rPr>
        <w:t xml:space="preserve"> </w:t>
      </w:r>
      <w:r w:rsidRPr="008A6F7E">
        <w:rPr>
          <w:noProof/>
          <w:sz w:val="24"/>
          <w:szCs w:val="24"/>
          <w:lang w:eastAsia="es-ES"/>
        </w:rPr>
        <w:t xml:space="preserve">deja en su planta de cargos </w:t>
      </w:r>
      <w:r>
        <w:rPr>
          <w:noProof/>
          <w:sz w:val="24"/>
          <w:szCs w:val="24"/>
          <w:lang w:eastAsia="es-ES"/>
        </w:rPr>
        <w:t>a</w:t>
      </w:r>
      <w:r w:rsidRPr="008A6F7E">
        <w:rPr>
          <w:noProof/>
          <w:sz w:val="24"/>
          <w:szCs w:val="24"/>
          <w:lang w:eastAsia="es-ES"/>
        </w:rPr>
        <w:t xml:space="preserve"> trabajadores oficiale</w:t>
      </w:r>
      <w:r>
        <w:rPr>
          <w:noProof/>
          <w:sz w:val="24"/>
          <w:szCs w:val="24"/>
          <w:lang w:eastAsia="es-ES"/>
        </w:rPr>
        <w:t>s y servidores público aforados dedicados al negocio de salud.</w:t>
      </w:r>
    </w:p>
    <w:p w:rsidR="009533A4" w:rsidRPr="008A6F7E" w:rsidRDefault="009533A4" w:rsidP="009533A4">
      <w:pPr>
        <w:spacing w:after="0" w:line="240" w:lineRule="auto"/>
        <w:jc w:val="both"/>
        <w:rPr>
          <w:noProof/>
          <w:sz w:val="24"/>
          <w:szCs w:val="24"/>
          <w:lang w:eastAsia="es-ES"/>
        </w:rPr>
      </w:pPr>
    </w:p>
    <w:p w:rsidR="00BA05C2" w:rsidRDefault="00BA05C2" w:rsidP="009533A4">
      <w:pPr>
        <w:spacing w:after="0" w:line="240" w:lineRule="auto"/>
        <w:jc w:val="both"/>
        <w:rPr>
          <w:noProof/>
          <w:sz w:val="24"/>
          <w:szCs w:val="24"/>
          <w:lang w:eastAsia="es-ES"/>
        </w:rPr>
      </w:pPr>
      <w:r w:rsidRPr="008A6F7E">
        <w:rPr>
          <w:noProof/>
          <w:sz w:val="24"/>
          <w:szCs w:val="24"/>
          <w:lang w:eastAsia="es-ES"/>
        </w:rPr>
        <w:t>Posteriormente, mediante la Resolución 028 del 15 de enero de 2007</w:t>
      </w:r>
      <w:r>
        <w:rPr>
          <w:noProof/>
          <w:sz w:val="24"/>
          <w:szCs w:val="24"/>
          <w:lang w:eastAsia="es-ES"/>
        </w:rPr>
        <w:t>, ratificada por la 263 del 26 de marzo de 2007,</w:t>
      </w:r>
      <w:r w:rsidRPr="008A6F7E">
        <w:rPr>
          <w:noProof/>
          <w:sz w:val="24"/>
          <w:szCs w:val="24"/>
          <w:lang w:eastAsia="es-ES"/>
        </w:rPr>
        <w:t xml:space="preserve"> </w:t>
      </w:r>
      <w:r>
        <w:rPr>
          <w:noProof/>
          <w:sz w:val="24"/>
          <w:szCs w:val="24"/>
          <w:lang w:eastAsia="es-ES"/>
        </w:rPr>
        <w:t xml:space="preserve">ambas </w:t>
      </w:r>
      <w:r w:rsidRPr="008A6F7E">
        <w:rPr>
          <w:noProof/>
          <w:sz w:val="24"/>
          <w:szCs w:val="24"/>
          <w:lang w:eastAsia="es-ES"/>
        </w:rPr>
        <w:t>de la Superi</w:t>
      </w:r>
      <w:r w:rsidRPr="0065175A">
        <w:rPr>
          <w:noProof/>
          <w:sz w:val="24"/>
          <w:szCs w:val="24"/>
          <w:lang w:eastAsia="es-ES"/>
        </w:rPr>
        <w:t>tendencia Nacional de Salud</w:t>
      </w:r>
      <w:r>
        <w:rPr>
          <w:noProof/>
          <w:sz w:val="24"/>
          <w:szCs w:val="24"/>
          <w:lang w:eastAsia="es-ES"/>
        </w:rPr>
        <w:t>,</w:t>
      </w:r>
      <w:r w:rsidRPr="0065175A">
        <w:rPr>
          <w:noProof/>
          <w:sz w:val="24"/>
          <w:szCs w:val="24"/>
          <w:lang w:eastAsia="es-ES"/>
        </w:rPr>
        <w:t xml:space="preserve"> </w:t>
      </w:r>
      <w:r>
        <w:rPr>
          <w:noProof/>
          <w:sz w:val="24"/>
          <w:szCs w:val="24"/>
          <w:lang w:eastAsia="es-ES"/>
        </w:rPr>
        <w:t xml:space="preserve">se </w:t>
      </w:r>
      <w:r w:rsidRPr="0065175A">
        <w:rPr>
          <w:noProof/>
          <w:sz w:val="24"/>
          <w:szCs w:val="24"/>
          <w:lang w:eastAsia="es-ES"/>
        </w:rPr>
        <w:t>revoca el certificado de funcionamiento de la EPS de ISS</w:t>
      </w:r>
      <w:r>
        <w:rPr>
          <w:noProof/>
          <w:sz w:val="24"/>
          <w:szCs w:val="24"/>
          <w:lang w:eastAsia="es-ES"/>
        </w:rPr>
        <w:t>.</w:t>
      </w:r>
    </w:p>
    <w:p w:rsidR="009533A4" w:rsidRDefault="009533A4" w:rsidP="009533A4">
      <w:pPr>
        <w:spacing w:after="0" w:line="240" w:lineRule="auto"/>
        <w:jc w:val="both"/>
        <w:rPr>
          <w:noProof/>
          <w:sz w:val="24"/>
          <w:szCs w:val="24"/>
          <w:lang w:eastAsia="es-ES"/>
        </w:rPr>
      </w:pPr>
    </w:p>
    <w:p w:rsidR="00BA05C2" w:rsidRPr="008A6F7E" w:rsidRDefault="00BA05C2" w:rsidP="00E30CFD">
      <w:pPr>
        <w:spacing w:line="240" w:lineRule="auto"/>
        <w:jc w:val="both"/>
        <w:rPr>
          <w:noProof/>
          <w:sz w:val="24"/>
          <w:szCs w:val="24"/>
          <w:lang w:eastAsia="es-ES"/>
        </w:rPr>
      </w:pPr>
      <w:r>
        <w:rPr>
          <w:noProof/>
          <w:sz w:val="24"/>
          <w:szCs w:val="24"/>
          <w:lang w:eastAsia="es-ES"/>
        </w:rPr>
        <w:t>Las anteriores decisiones gubernamentales tuvieron</w:t>
      </w:r>
      <w:r w:rsidRPr="008A6F7E">
        <w:rPr>
          <w:noProof/>
          <w:sz w:val="24"/>
          <w:szCs w:val="24"/>
          <w:lang w:eastAsia="es-ES"/>
        </w:rPr>
        <w:t xml:space="preserve"> como consecuencia que:</w:t>
      </w:r>
    </w:p>
    <w:p w:rsidR="00BA05C2" w:rsidRPr="008A6F7E" w:rsidRDefault="00BA05C2" w:rsidP="00E30CFD">
      <w:pPr>
        <w:numPr>
          <w:ilvl w:val="0"/>
          <w:numId w:val="27"/>
        </w:numPr>
        <w:spacing w:line="240" w:lineRule="auto"/>
        <w:jc w:val="both"/>
        <w:rPr>
          <w:noProof/>
          <w:sz w:val="24"/>
          <w:szCs w:val="24"/>
          <w:lang w:eastAsia="es-ES"/>
        </w:rPr>
      </w:pPr>
      <w:r w:rsidRPr="008A6F7E">
        <w:rPr>
          <w:noProof/>
          <w:sz w:val="24"/>
          <w:szCs w:val="24"/>
          <w:lang w:eastAsia="es-ES"/>
        </w:rPr>
        <w:t>El ISS emprendiera las acciones necesarias para la entrega de la población a prevención a otra EPS según lo establecido en el Decreto 055  del año 2007 y sus modificatorios Decretos 2713 del mismo año y 0781 de 2008.</w:t>
      </w:r>
    </w:p>
    <w:p w:rsidR="00BA05C2" w:rsidRPr="008A6F7E" w:rsidRDefault="00BA05C2" w:rsidP="00E30CFD">
      <w:pPr>
        <w:numPr>
          <w:ilvl w:val="0"/>
          <w:numId w:val="27"/>
        </w:numPr>
        <w:spacing w:line="240" w:lineRule="auto"/>
        <w:jc w:val="both"/>
        <w:rPr>
          <w:noProof/>
          <w:sz w:val="24"/>
          <w:szCs w:val="24"/>
          <w:lang w:eastAsia="es-ES"/>
        </w:rPr>
      </w:pPr>
      <w:r w:rsidRPr="008A6F7E">
        <w:rPr>
          <w:noProof/>
          <w:sz w:val="24"/>
          <w:szCs w:val="24"/>
          <w:lang w:eastAsia="es-ES"/>
        </w:rPr>
        <w:t xml:space="preserve">A partir del 1 de agosto de 2008, la responsabilidad del ISS estuvo encaminada a liquidar </w:t>
      </w:r>
      <w:r>
        <w:rPr>
          <w:noProof/>
          <w:sz w:val="24"/>
          <w:szCs w:val="24"/>
          <w:lang w:eastAsia="es-ES"/>
        </w:rPr>
        <w:t>los contratos suscritos con la red de prestadores de s</w:t>
      </w:r>
      <w:r w:rsidRPr="008A6F7E">
        <w:rPr>
          <w:noProof/>
          <w:sz w:val="24"/>
          <w:szCs w:val="24"/>
          <w:lang w:eastAsia="es-ES"/>
        </w:rPr>
        <w:t>ervicio y proveed</w:t>
      </w:r>
      <w:r>
        <w:rPr>
          <w:noProof/>
          <w:sz w:val="24"/>
          <w:szCs w:val="24"/>
          <w:lang w:eastAsia="es-ES"/>
        </w:rPr>
        <w:t>ores en general;</w:t>
      </w:r>
      <w:r w:rsidRPr="008A6F7E">
        <w:rPr>
          <w:noProof/>
          <w:sz w:val="24"/>
          <w:szCs w:val="24"/>
          <w:lang w:eastAsia="es-ES"/>
        </w:rPr>
        <w:t xml:space="preserve"> no obstante, el ISS </w:t>
      </w:r>
      <w:r>
        <w:rPr>
          <w:noProof/>
          <w:sz w:val="24"/>
          <w:szCs w:val="24"/>
          <w:lang w:eastAsia="es-ES"/>
        </w:rPr>
        <w:t xml:space="preserve">continuó gestionando </w:t>
      </w:r>
      <w:r w:rsidRPr="008A6F7E">
        <w:rPr>
          <w:noProof/>
          <w:sz w:val="24"/>
          <w:szCs w:val="24"/>
          <w:lang w:eastAsia="es-ES"/>
        </w:rPr>
        <w:t xml:space="preserve">los temas pendientes </w:t>
      </w:r>
      <w:r>
        <w:rPr>
          <w:noProof/>
          <w:sz w:val="24"/>
          <w:szCs w:val="24"/>
          <w:lang w:eastAsia="es-ES"/>
        </w:rPr>
        <w:t xml:space="preserve">en </w:t>
      </w:r>
      <w:r>
        <w:rPr>
          <w:noProof/>
          <w:sz w:val="24"/>
          <w:szCs w:val="24"/>
          <w:lang w:eastAsia="es-ES"/>
        </w:rPr>
        <w:lastRenderedPageBreak/>
        <w:t xml:space="preserve">relación </w:t>
      </w:r>
      <w:r w:rsidRPr="008A6F7E">
        <w:rPr>
          <w:noProof/>
          <w:sz w:val="24"/>
          <w:szCs w:val="24"/>
          <w:lang w:eastAsia="es-ES"/>
        </w:rPr>
        <w:t>con el FOSYGA (recuperación de saldos no compensados, recobros por medicamentos no POS</w:t>
      </w:r>
      <w:r>
        <w:rPr>
          <w:noProof/>
          <w:sz w:val="24"/>
          <w:szCs w:val="24"/>
          <w:lang w:eastAsia="es-ES"/>
        </w:rPr>
        <w:t xml:space="preserve"> y tutelas, Sistema General de P</w:t>
      </w:r>
      <w:r w:rsidRPr="008A6F7E">
        <w:rPr>
          <w:noProof/>
          <w:sz w:val="24"/>
          <w:szCs w:val="24"/>
          <w:lang w:eastAsia="es-ES"/>
        </w:rPr>
        <w:t>articipaciones, entre otros); La desviación de frecuencia de uso, en aplicación del Decreto 3974 de 2007</w:t>
      </w:r>
      <w:r>
        <w:rPr>
          <w:rStyle w:val="Refdenotaalpie"/>
          <w:noProof/>
          <w:sz w:val="24"/>
          <w:szCs w:val="24"/>
          <w:lang w:eastAsia="es-ES"/>
        </w:rPr>
        <w:footnoteReference w:id="1"/>
      </w:r>
      <w:r w:rsidRPr="008A6F7E">
        <w:rPr>
          <w:rFonts w:cs="Arial"/>
          <w:i/>
          <w:color w:val="000000"/>
          <w:sz w:val="24"/>
          <w:szCs w:val="24"/>
        </w:rPr>
        <w:t xml:space="preserve">, </w:t>
      </w:r>
      <w:r w:rsidRPr="008A6F7E">
        <w:rPr>
          <w:noProof/>
          <w:sz w:val="24"/>
          <w:szCs w:val="24"/>
          <w:lang w:eastAsia="es-ES"/>
        </w:rPr>
        <w:t xml:space="preserve">y la organización y administración de historias clinicas. Igualmente, el ISS quedó con la responsabilidad de administrar los activos y pasivos de la EPS. </w:t>
      </w:r>
    </w:p>
    <w:p w:rsidR="00BA05C2" w:rsidRDefault="00BA05C2" w:rsidP="00E30CFD">
      <w:pPr>
        <w:spacing w:line="240" w:lineRule="auto"/>
        <w:jc w:val="both"/>
        <w:rPr>
          <w:b/>
          <w:noProof/>
          <w:sz w:val="24"/>
          <w:szCs w:val="24"/>
          <w:lang w:eastAsia="es-ES"/>
        </w:rPr>
      </w:pPr>
      <w:r>
        <w:rPr>
          <w:b/>
          <w:noProof/>
          <w:sz w:val="24"/>
          <w:szCs w:val="24"/>
          <w:lang w:eastAsia="es-ES"/>
        </w:rPr>
        <w:t xml:space="preserve">ACCIONES ADELANTADAS </w:t>
      </w:r>
    </w:p>
    <w:p w:rsidR="00BA05C2" w:rsidRDefault="00BA05C2" w:rsidP="00E30CFD">
      <w:pPr>
        <w:spacing w:line="240" w:lineRule="auto"/>
        <w:jc w:val="both"/>
        <w:rPr>
          <w:noProof/>
          <w:sz w:val="24"/>
          <w:szCs w:val="24"/>
          <w:lang w:eastAsia="es-ES"/>
        </w:rPr>
      </w:pPr>
      <w:r>
        <w:rPr>
          <w:noProof/>
          <w:sz w:val="24"/>
          <w:szCs w:val="24"/>
          <w:lang w:eastAsia="es-ES"/>
        </w:rPr>
        <w:t>El ISS presentó recurso de reposición contra la Resolución 0028 del 15 de enero de 2007, por medio de la cual la Superintendencia Nacional de Salud revocó el certificado de funcionamiento de la EPS del ISS, confirmada por la Resolución 0263 de 2007 que señala:</w:t>
      </w:r>
    </w:p>
    <w:p w:rsidR="00BA05C2" w:rsidRDefault="00BA05C2" w:rsidP="00E30CFD">
      <w:pPr>
        <w:spacing w:line="240" w:lineRule="auto"/>
        <w:jc w:val="both"/>
        <w:rPr>
          <w:noProof/>
          <w:sz w:val="24"/>
          <w:szCs w:val="24"/>
          <w:lang w:eastAsia="es-ES"/>
        </w:rPr>
      </w:pPr>
      <w:r>
        <w:rPr>
          <w:noProof/>
          <w:sz w:val="24"/>
          <w:szCs w:val="24"/>
          <w:lang w:eastAsia="es-ES"/>
        </w:rPr>
        <w:t>“… de otra parte la Ley 790 de 2002,  prohibió la liquidación del ISS conforme se puede apreciar en el artículo 20 … la Ley 790 de 2002, aplicable al caso en estudio por razón del principio “</w:t>
      </w:r>
      <w:r w:rsidRPr="004A460E">
        <w:rPr>
          <w:b/>
          <w:noProof/>
          <w:sz w:val="24"/>
          <w:szCs w:val="24"/>
          <w:lang w:eastAsia="es-ES"/>
        </w:rPr>
        <w:t>Tempus regir actus”</w:t>
      </w:r>
      <w:r>
        <w:rPr>
          <w:b/>
          <w:noProof/>
          <w:sz w:val="24"/>
          <w:szCs w:val="24"/>
          <w:lang w:eastAsia="es-ES"/>
        </w:rPr>
        <w:t xml:space="preserve"> </w:t>
      </w:r>
      <w:r>
        <w:rPr>
          <w:noProof/>
          <w:sz w:val="24"/>
          <w:szCs w:val="24"/>
          <w:lang w:eastAsia="es-ES"/>
        </w:rPr>
        <w:t xml:space="preserve">o de ultra – actividad de la ley, por ser la norma vigente al momento de la ocurrencia de la irregularidad en que se fundamentó la revocatoria, expresamente </w:t>
      </w:r>
      <w:r w:rsidRPr="004A460E">
        <w:rPr>
          <w:b/>
          <w:noProof/>
          <w:sz w:val="24"/>
          <w:szCs w:val="24"/>
          <w:lang w:eastAsia="es-ES"/>
        </w:rPr>
        <w:t>prohibió la liquidación del ISS</w:t>
      </w:r>
      <w:r w:rsidRPr="004A460E">
        <w:rPr>
          <w:noProof/>
          <w:sz w:val="24"/>
          <w:szCs w:val="24"/>
          <w:lang w:eastAsia="es-ES"/>
        </w:rPr>
        <w:t>.</w:t>
      </w:r>
      <w:r>
        <w:rPr>
          <w:noProof/>
          <w:sz w:val="24"/>
          <w:szCs w:val="24"/>
          <w:lang w:eastAsia="es-ES"/>
        </w:rPr>
        <w:t xml:space="preserve"> Pronunciarse sobre tal aspecto sería contrario a la Ley.”</w:t>
      </w:r>
      <w:r>
        <w:rPr>
          <w:rStyle w:val="Refdenotaalpie"/>
          <w:noProof/>
          <w:sz w:val="24"/>
          <w:szCs w:val="24"/>
          <w:lang w:eastAsia="es-ES"/>
        </w:rPr>
        <w:footnoteReference w:id="2"/>
      </w:r>
    </w:p>
    <w:p w:rsidR="00BA05C2" w:rsidRDefault="00BA05C2" w:rsidP="00E30CFD">
      <w:pPr>
        <w:spacing w:line="240" w:lineRule="auto"/>
        <w:jc w:val="both"/>
        <w:rPr>
          <w:noProof/>
          <w:sz w:val="24"/>
          <w:szCs w:val="24"/>
          <w:lang w:eastAsia="es-ES"/>
        </w:rPr>
      </w:pPr>
      <w:r>
        <w:rPr>
          <w:noProof/>
          <w:sz w:val="24"/>
          <w:szCs w:val="24"/>
          <w:lang w:eastAsia="es-ES"/>
        </w:rPr>
        <w:t>En conclusión, el Instituto de Seguros Sociales, empresa industrial y comercial del Estado, desarrollaba tres negocios distintos, como entidad promotora y prestadora de servicios de salud, pensión y riesgos profesionales, por lo tanto no era posible liquidar el negocio de salud sin afectar la misión del ISS.</w:t>
      </w:r>
    </w:p>
    <w:p w:rsidR="00BA05C2" w:rsidRPr="00871FBF" w:rsidRDefault="00BA05C2" w:rsidP="00E30CFD">
      <w:pPr>
        <w:spacing w:line="240" w:lineRule="auto"/>
        <w:jc w:val="both"/>
        <w:rPr>
          <w:b/>
          <w:noProof/>
          <w:sz w:val="24"/>
          <w:szCs w:val="24"/>
          <w:lang w:eastAsia="es-ES"/>
        </w:rPr>
      </w:pPr>
      <w:r w:rsidRPr="00871FBF">
        <w:rPr>
          <w:b/>
          <w:noProof/>
          <w:sz w:val="24"/>
          <w:szCs w:val="24"/>
          <w:lang w:eastAsia="es-ES"/>
        </w:rPr>
        <w:t>RECURSO HUMANO EN SALUD</w:t>
      </w:r>
    </w:p>
    <w:p w:rsidR="00BA05C2" w:rsidRPr="008A6F7E" w:rsidRDefault="00BA05C2" w:rsidP="00E30CFD">
      <w:pPr>
        <w:spacing w:line="240" w:lineRule="auto"/>
        <w:jc w:val="both"/>
        <w:rPr>
          <w:noProof/>
          <w:sz w:val="24"/>
          <w:szCs w:val="24"/>
          <w:lang w:eastAsia="es-ES"/>
        </w:rPr>
      </w:pPr>
      <w:r w:rsidRPr="008A6F7E">
        <w:rPr>
          <w:noProof/>
          <w:sz w:val="24"/>
          <w:szCs w:val="24"/>
          <w:lang w:eastAsia="es-ES"/>
        </w:rPr>
        <w:t xml:space="preserve">Las </w:t>
      </w:r>
      <w:r>
        <w:rPr>
          <w:noProof/>
          <w:sz w:val="24"/>
          <w:szCs w:val="24"/>
          <w:lang w:eastAsia="es-ES"/>
        </w:rPr>
        <w:t>consideraciones</w:t>
      </w:r>
      <w:r w:rsidRPr="008A6F7E">
        <w:rPr>
          <w:noProof/>
          <w:sz w:val="24"/>
          <w:szCs w:val="24"/>
          <w:lang w:eastAsia="es-ES"/>
        </w:rPr>
        <w:t xml:space="preserve"> anteriormente descritas implicaron</w:t>
      </w:r>
      <w:r>
        <w:rPr>
          <w:noProof/>
          <w:sz w:val="24"/>
          <w:szCs w:val="24"/>
          <w:lang w:eastAsia="es-ES"/>
        </w:rPr>
        <w:t>,</w:t>
      </w:r>
      <w:r w:rsidRPr="008A6F7E">
        <w:rPr>
          <w:noProof/>
          <w:sz w:val="24"/>
          <w:szCs w:val="24"/>
          <w:lang w:eastAsia="es-ES"/>
        </w:rPr>
        <w:t xml:space="preserve"> frente al recurso humano de salud</w:t>
      </w:r>
      <w:r>
        <w:rPr>
          <w:noProof/>
          <w:sz w:val="24"/>
          <w:szCs w:val="24"/>
          <w:lang w:eastAsia="es-ES"/>
        </w:rPr>
        <w:t>,</w:t>
      </w:r>
      <w:r w:rsidRPr="008A6F7E">
        <w:rPr>
          <w:noProof/>
          <w:sz w:val="24"/>
          <w:szCs w:val="24"/>
          <w:lang w:eastAsia="es-ES"/>
        </w:rPr>
        <w:t xml:space="preserve"> lo siguiente: </w:t>
      </w:r>
    </w:p>
    <w:p w:rsidR="00BA05C2" w:rsidRPr="008A6F7E" w:rsidRDefault="00BA05C2" w:rsidP="00E30CFD">
      <w:pPr>
        <w:spacing w:line="240" w:lineRule="auto"/>
        <w:jc w:val="both"/>
        <w:rPr>
          <w:noProof/>
          <w:sz w:val="24"/>
          <w:szCs w:val="24"/>
          <w:lang w:eastAsia="es-ES"/>
        </w:rPr>
      </w:pPr>
      <w:r w:rsidRPr="008A6F7E">
        <w:rPr>
          <w:noProof/>
          <w:sz w:val="24"/>
          <w:szCs w:val="24"/>
          <w:lang w:eastAsia="es-ES"/>
        </w:rPr>
        <w:t xml:space="preserve">Pese a la escisión enmarcada en el Decreto 1750 de 2003, </w:t>
      </w:r>
      <w:r>
        <w:rPr>
          <w:noProof/>
          <w:sz w:val="24"/>
          <w:szCs w:val="24"/>
          <w:lang w:eastAsia="es-ES"/>
        </w:rPr>
        <w:t>continuaron vinculados laboralmente a</w:t>
      </w:r>
      <w:r w:rsidRPr="008A6F7E">
        <w:rPr>
          <w:noProof/>
          <w:sz w:val="24"/>
          <w:szCs w:val="24"/>
          <w:lang w:eastAsia="es-ES"/>
        </w:rPr>
        <w:t>l ISS</w:t>
      </w:r>
      <w:r>
        <w:rPr>
          <w:noProof/>
          <w:sz w:val="24"/>
          <w:szCs w:val="24"/>
          <w:lang w:eastAsia="es-ES"/>
        </w:rPr>
        <w:t xml:space="preserve">  todos aquellos</w:t>
      </w:r>
      <w:r w:rsidRPr="008A6F7E">
        <w:rPr>
          <w:noProof/>
          <w:sz w:val="24"/>
          <w:szCs w:val="24"/>
          <w:lang w:eastAsia="es-ES"/>
        </w:rPr>
        <w:t xml:space="preserve"> trabajadores beneficiarios de la convención colectiva suscrita entre </w:t>
      </w:r>
      <w:r>
        <w:rPr>
          <w:noProof/>
          <w:sz w:val="24"/>
          <w:szCs w:val="24"/>
          <w:lang w:eastAsia="es-ES"/>
        </w:rPr>
        <w:t>este</w:t>
      </w:r>
      <w:r w:rsidRPr="008A6F7E">
        <w:rPr>
          <w:noProof/>
          <w:sz w:val="24"/>
          <w:szCs w:val="24"/>
          <w:lang w:eastAsia="es-ES"/>
        </w:rPr>
        <w:t xml:space="preserve"> y Sintraseguridad Social</w:t>
      </w:r>
      <w:r>
        <w:rPr>
          <w:noProof/>
          <w:sz w:val="24"/>
          <w:szCs w:val="24"/>
          <w:lang w:eastAsia="es-ES"/>
        </w:rPr>
        <w:t xml:space="preserve"> que estuvieran protegidos por el fuero sindical, cuya permanencia implicó su</w:t>
      </w:r>
      <w:r w:rsidRPr="008A6F7E">
        <w:rPr>
          <w:noProof/>
          <w:sz w:val="24"/>
          <w:szCs w:val="24"/>
          <w:lang w:eastAsia="es-ES"/>
        </w:rPr>
        <w:t xml:space="preserve"> posterior reubicación en la planta </w:t>
      </w:r>
      <w:r>
        <w:rPr>
          <w:noProof/>
          <w:sz w:val="24"/>
          <w:szCs w:val="24"/>
          <w:lang w:eastAsia="es-ES"/>
        </w:rPr>
        <w:t>de personal -</w:t>
      </w:r>
      <w:r w:rsidRPr="008A6F7E">
        <w:rPr>
          <w:noProof/>
          <w:sz w:val="24"/>
          <w:szCs w:val="24"/>
          <w:lang w:eastAsia="es-ES"/>
        </w:rPr>
        <w:t>global y flexible</w:t>
      </w:r>
      <w:r>
        <w:rPr>
          <w:noProof/>
          <w:sz w:val="24"/>
          <w:szCs w:val="24"/>
          <w:lang w:eastAsia="es-ES"/>
        </w:rPr>
        <w:t>-</w:t>
      </w:r>
      <w:r w:rsidRPr="008A6F7E">
        <w:rPr>
          <w:noProof/>
          <w:sz w:val="24"/>
          <w:szCs w:val="24"/>
          <w:lang w:eastAsia="es-ES"/>
        </w:rPr>
        <w:t xml:space="preserve"> con que contaba el ISS en operación. </w:t>
      </w:r>
      <w:r>
        <w:rPr>
          <w:noProof/>
          <w:sz w:val="24"/>
          <w:szCs w:val="24"/>
          <w:lang w:eastAsia="es-ES"/>
        </w:rPr>
        <w:t>Es de precisar que e</w:t>
      </w:r>
      <w:r w:rsidRPr="008A6F7E">
        <w:rPr>
          <w:noProof/>
          <w:sz w:val="24"/>
          <w:szCs w:val="24"/>
          <w:lang w:eastAsia="es-ES"/>
        </w:rPr>
        <w:t>l perfil de los funcionarios que quedaron en la planta</w:t>
      </w:r>
      <w:r>
        <w:rPr>
          <w:noProof/>
          <w:sz w:val="24"/>
          <w:szCs w:val="24"/>
          <w:lang w:eastAsia="es-ES"/>
        </w:rPr>
        <w:t xml:space="preserve"> es</w:t>
      </w:r>
      <w:r w:rsidRPr="008A6F7E">
        <w:rPr>
          <w:noProof/>
          <w:sz w:val="24"/>
          <w:szCs w:val="24"/>
          <w:lang w:eastAsia="es-ES"/>
        </w:rPr>
        <w:t xml:space="preserve"> el de Personal de Salud.</w:t>
      </w:r>
    </w:p>
    <w:p w:rsidR="00BA05C2" w:rsidRDefault="00BA05C2" w:rsidP="00E30CFD">
      <w:pPr>
        <w:spacing w:line="240" w:lineRule="auto"/>
        <w:jc w:val="both"/>
        <w:rPr>
          <w:noProof/>
          <w:sz w:val="24"/>
          <w:szCs w:val="24"/>
          <w:lang w:eastAsia="es-ES"/>
        </w:rPr>
      </w:pPr>
      <w:r>
        <w:rPr>
          <w:noProof/>
          <w:sz w:val="24"/>
          <w:szCs w:val="24"/>
          <w:lang w:eastAsia="es-ES"/>
        </w:rPr>
        <w:t>Así mismo y no obstante</w:t>
      </w:r>
      <w:r w:rsidRPr="008A6F7E">
        <w:rPr>
          <w:noProof/>
          <w:sz w:val="24"/>
          <w:szCs w:val="24"/>
          <w:lang w:eastAsia="es-ES"/>
        </w:rPr>
        <w:t xml:space="preserve"> la revocatoria definitiva del certificado de funcionamiento de la EPS, </w:t>
      </w:r>
      <w:r>
        <w:rPr>
          <w:noProof/>
          <w:sz w:val="24"/>
          <w:szCs w:val="24"/>
          <w:lang w:eastAsia="es-ES"/>
        </w:rPr>
        <w:t xml:space="preserve">también </w:t>
      </w:r>
      <w:r w:rsidRPr="008A6F7E">
        <w:rPr>
          <w:noProof/>
          <w:sz w:val="24"/>
          <w:szCs w:val="24"/>
          <w:lang w:eastAsia="es-ES"/>
        </w:rPr>
        <w:t>continuaron</w:t>
      </w:r>
      <w:r>
        <w:rPr>
          <w:noProof/>
          <w:sz w:val="24"/>
          <w:szCs w:val="24"/>
          <w:lang w:eastAsia="es-ES"/>
        </w:rPr>
        <w:t xml:space="preserve"> en la planta de cargos del ISS servidores públicos y</w:t>
      </w:r>
      <w:r w:rsidRPr="008A6F7E">
        <w:rPr>
          <w:noProof/>
          <w:sz w:val="24"/>
          <w:szCs w:val="24"/>
          <w:lang w:eastAsia="es-ES"/>
        </w:rPr>
        <w:t xml:space="preserve"> trabajadores oficiales, en el marco de la claúsula de estabilidad laboral contenida en la Convención Colectiva, </w:t>
      </w:r>
      <w:r>
        <w:rPr>
          <w:noProof/>
          <w:sz w:val="24"/>
          <w:szCs w:val="24"/>
          <w:lang w:eastAsia="es-ES"/>
        </w:rPr>
        <w:t>cuyo</w:t>
      </w:r>
      <w:r w:rsidRPr="008A6F7E">
        <w:rPr>
          <w:noProof/>
          <w:sz w:val="24"/>
          <w:szCs w:val="24"/>
          <w:lang w:eastAsia="es-ES"/>
        </w:rPr>
        <w:t xml:space="preserve"> perfil es </w:t>
      </w:r>
      <w:r>
        <w:rPr>
          <w:noProof/>
          <w:sz w:val="24"/>
          <w:szCs w:val="24"/>
          <w:lang w:eastAsia="es-ES"/>
        </w:rPr>
        <w:t xml:space="preserve">igualmente </w:t>
      </w:r>
      <w:r w:rsidRPr="008A6F7E">
        <w:rPr>
          <w:noProof/>
          <w:sz w:val="24"/>
          <w:szCs w:val="24"/>
          <w:lang w:eastAsia="es-ES"/>
        </w:rPr>
        <w:t xml:space="preserve">el de Personal de Salud. </w:t>
      </w:r>
    </w:p>
    <w:p w:rsidR="00BA05C2" w:rsidRDefault="00BA05C2" w:rsidP="00E30CFD">
      <w:pPr>
        <w:spacing w:line="240" w:lineRule="auto"/>
        <w:jc w:val="both"/>
        <w:rPr>
          <w:noProof/>
          <w:sz w:val="24"/>
          <w:szCs w:val="24"/>
          <w:lang w:eastAsia="es-ES"/>
        </w:rPr>
      </w:pPr>
      <w:r>
        <w:rPr>
          <w:noProof/>
          <w:sz w:val="24"/>
          <w:szCs w:val="24"/>
          <w:lang w:eastAsia="es-ES"/>
        </w:rPr>
        <w:lastRenderedPageBreak/>
        <w:t>En síntesis, hubo necesidad de mantener vinculados a la planta de personal del ISS funcionarios públicos con perfil de salud.</w:t>
      </w:r>
    </w:p>
    <w:p w:rsidR="00BA05C2" w:rsidRDefault="00BA05C2" w:rsidP="00E30CFD">
      <w:pPr>
        <w:spacing w:line="240" w:lineRule="auto"/>
        <w:jc w:val="both"/>
        <w:rPr>
          <w:noProof/>
          <w:sz w:val="24"/>
          <w:szCs w:val="24"/>
          <w:lang w:eastAsia="es-ES"/>
        </w:rPr>
      </w:pPr>
      <w:r>
        <w:rPr>
          <w:noProof/>
          <w:sz w:val="24"/>
          <w:szCs w:val="24"/>
          <w:lang w:eastAsia="es-ES"/>
        </w:rPr>
        <w:t>Igualmente, dada</w:t>
      </w:r>
      <w:r w:rsidRPr="008A6F7E">
        <w:rPr>
          <w:noProof/>
          <w:sz w:val="24"/>
          <w:szCs w:val="24"/>
          <w:lang w:eastAsia="es-ES"/>
        </w:rPr>
        <w:t xml:space="preserve"> la complejidad de </w:t>
      </w:r>
      <w:r>
        <w:rPr>
          <w:noProof/>
          <w:sz w:val="24"/>
          <w:szCs w:val="24"/>
          <w:lang w:eastAsia="es-ES"/>
        </w:rPr>
        <w:t xml:space="preserve">las </w:t>
      </w:r>
      <w:r w:rsidRPr="008A6F7E">
        <w:rPr>
          <w:noProof/>
          <w:sz w:val="24"/>
          <w:szCs w:val="24"/>
          <w:lang w:eastAsia="es-ES"/>
        </w:rPr>
        <w:t xml:space="preserve">actividades administrativas que quedaron pendientes y que requerían de personal especializado, fue necesario contar </w:t>
      </w:r>
      <w:r>
        <w:rPr>
          <w:noProof/>
          <w:sz w:val="24"/>
          <w:szCs w:val="24"/>
          <w:lang w:eastAsia="es-ES"/>
        </w:rPr>
        <w:t xml:space="preserve">con </w:t>
      </w:r>
      <w:r w:rsidRPr="008A6F7E">
        <w:rPr>
          <w:noProof/>
          <w:sz w:val="24"/>
          <w:szCs w:val="24"/>
          <w:lang w:eastAsia="es-ES"/>
        </w:rPr>
        <w:t xml:space="preserve">contratistas vinculados bajo la modalidad de prestación de servicios. </w:t>
      </w:r>
    </w:p>
    <w:p w:rsidR="00BA05C2" w:rsidRPr="008A6F7E" w:rsidRDefault="00BA05C2" w:rsidP="00E30CFD">
      <w:pPr>
        <w:spacing w:line="240" w:lineRule="auto"/>
        <w:jc w:val="both"/>
        <w:rPr>
          <w:b/>
          <w:noProof/>
          <w:lang w:eastAsia="es-ES"/>
        </w:rPr>
      </w:pPr>
      <w:r>
        <w:rPr>
          <w:b/>
          <w:noProof/>
          <w:lang w:eastAsia="es-ES"/>
        </w:rPr>
        <w:t>PERSONAL CON QUE SE CUENTA</w:t>
      </w:r>
      <w:r w:rsidRPr="008A6F7E">
        <w:rPr>
          <w:b/>
          <w:noProof/>
          <w:lang w:eastAsia="es-ES"/>
        </w:rPr>
        <w:tab/>
      </w:r>
      <w:r w:rsidRPr="008A6F7E">
        <w:rPr>
          <w:b/>
          <w:noProof/>
          <w:lang w:eastAsia="es-ES"/>
        </w:rPr>
        <w:tab/>
      </w:r>
    </w:p>
    <w:tbl>
      <w:tblPr>
        <w:tblW w:w="673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0"/>
        <w:gridCol w:w="1720"/>
      </w:tblGrid>
      <w:tr w:rsidR="00BA05C2" w:rsidRPr="00AD173E" w:rsidTr="0047611E">
        <w:trPr>
          <w:trHeight w:val="300"/>
          <w:jc w:val="center"/>
        </w:trPr>
        <w:tc>
          <w:tcPr>
            <w:tcW w:w="5010" w:type="dxa"/>
            <w:noWrap/>
            <w:vAlign w:val="center"/>
          </w:tcPr>
          <w:p w:rsidR="00BA05C2" w:rsidRPr="00AD173E" w:rsidRDefault="00BA05C2" w:rsidP="00E30CFD">
            <w:pPr>
              <w:spacing w:after="0" w:line="240" w:lineRule="auto"/>
              <w:jc w:val="center"/>
              <w:rPr>
                <w:b/>
                <w:color w:val="000000"/>
                <w:lang w:val="es-ES" w:eastAsia="es-ES"/>
              </w:rPr>
            </w:pPr>
            <w:r w:rsidRPr="00AD173E">
              <w:rPr>
                <w:b/>
                <w:color w:val="000000"/>
                <w:lang w:val="es-ES" w:eastAsia="es-ES"/>
              </w:rPr>
              <w:t>DENOMINACIÓN</w:t>
            </w:r>
          </w:p>
        </w:tc>
        <w:tc>
          <w:tcPr>
            <w:tcW w:w="1720" w:type="dxa"/>
            <w:noWrap/>
            <w:vAlign w:val="center"/>
          </w:tcPr>
          <w:p w:rsidR="00BA05C2" w:rsidRPr="00AD173E" w:rsidRDefault="00BA05C2" w:rsidP="00E30CFD">
            <w:pPr>
              <w:spacing w:after="0" w:line="240" w:lineRule="auto"/>
              <w:jc w:val="center"/>
              <w:rPr>
                <w:b/>
                <w:color w:val="000000"/>
                <w:lang w:val="es-ES" w:eastAsia="es-ES"/>
              </w:rPr>
            </w:pPr>
            <w:r w:rsidRPr="00AD173E">
              <w:rPr>
                <w:b/>
                <w:color w:val="000000"/>
                <w:lang w:val="es-ES" w:eastAsia="es-ES"/>
              </w:rPr>
              <w:t>TRABAJADOR OFICIAL</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Auxiliar De Servicios Administrativos</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5</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Auxiliar De Servicios Asistenciales</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26</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Auxiliar De Servicios Asistenciales (Instr.Quirur)</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1</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Ayudante</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4</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Ayudante De Servicios Asistenciales</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5</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Conductor Mecánico</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1</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Enfermero</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7</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Médico Especialista</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1</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Medico General</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11</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Odontólogo General</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5</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Profesional Asistencial De Apoyo Iii</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6</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Profesional Universitario</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1</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Secretaria Clinica</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2</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Técnico</w:t>
            </w:r>
            <w:r>
              <w:rPr>
                <w:color w:val="000000"/>
                <w:lang w:val="es-ES" w:eastAsia="es-ES"/>
              </w:rPr>
              <w:t xml:space="preserve"> d</w:t>
            </w:r>
            <w:r w:rsidRPr="00AD173E">
              <w:rPr>
                <w:color w:val="000000"/>
                <w:lang w:val="es-ES" w:eastAsia="es-ES"/>
              </w:rPr>
              <w:t>e Servicios Administrativos</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2</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Pr>
                <w:color w:val="000000"/>
                <w:lang w:val="es-ES" w:eastAsia="es-ES"/>
              </w:rPr>
              <w:t>Técnico d</w:t>
            </w:r>
            <w:r w:rsidRPr="00AD173E">
              <w:rPr>
                <w:color w:val="000000"/>
                <w:lang w:val="es-ES" w:eastAsia="es-ES"/>
              </w:rPr>
              <w:t>e Servicios Asistenciales</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4</w:t>
            </w:r>
          </w:p>
        </w:tc>
      </w:tr>
      <w:tr w:rsidR="00BA05C2" w:rsidRPr="00AD173E" w:rsidTr="0047611E">
        <w:trPr>
          <w:trHeight w:val="300"/>
          <w:jc w:val="center"/>
        </w:trPr>
        <w:tc>
          <w:tcPr>
            <w:tcW w:w="5010" w:type="dxa"/>
            <w:noWrap/>
            <w:vAlign w:val="bottom"/>
          </w:tcPr>
          <w:p w:rsidR="00BA05C2" w:rsidRPr="00AD173E" w:rsidRDefault="00BA05C2" w:rsidP="00E30CFD">
            <w:pPr>
              <w:spacing w:after="0" w:line="240" w:lineRule="auto"/>
              <w:rPr>
                <w:color w:val="000000"/>
                <w:lang w:val="es-ES" w:eastAsia="es-ES"/>
              </w:rPr>
            </w:pPr>
            <w:r w:rsidRPr="00AD173E">
              <w:rPr>
                <w:color w:val="000000"/>
                <w:lang w:val="es-ES" w:eastAsia="es-ES"/>
              </w:rPr>
              <w:t>T</w:t>
            </w:r>
            <w:r>
              <w:rPr>
                <w:color w:val="000000"/>
                <w:lang w:val="es-ES" w:eastAsia="es-ES"/>
              </w:rPr>
              <w:t>OTAL GENERAL</w:t>
            </w:r>
          </w:p>
        </w:tc>
        <w:tc>
          <w:tcPr>
            <w:tcW w:w="1720" w:type="dxa"/>
            <w:noWrap/>
            <w:vAlign w:val="bottom"/>
          </w:tcPr>
          <w:p w:rsidR="00BA05C2" w:rsidRPr="00AD173E" w:rsidRDefault="00BA05C2" w:rsidP="00E30CFD">
            <w:pPr>
              <w:spacing w:after="0" w:line="240" w:lineRule="auto"/>
              <w:jc w:val="center"/>
              <w:rPr>
                <w:color w:val="000000"/>
                <w:lang w:val="es-ES" w:eastAsia="es-ES"/>
              </w:rPr>
            </w:pPr>
            <w:r w:rsidRPr="00AD173E">
              <w:rPr>
                <w:color w:val="000000"/>
                <w:lang w:val="es-ES" w:eastAsia="es-ES"/>
              </w:rPr>
              <w:t>81</w:t>
            </w:r>
          </w:p>
        </w:tc>
      </w:tr>
    </w:tbl>
    <w:p w:rsidR="00BA05C2" w:rsidRDefault="00BA05C2" w:rsidP="00E30CFD">
      <w:pPr>
        <w:spacing w:line="240" w:lineRule="auto"/>
        <w:jc w:val="center"/>
        <w:rPr>
          <w:noProof/>
          <w:sz w:val="16"/>
          <w:szCs w:val="16"/>
          <w:lang w:eastAsia="es-ES"/>
        </w:rPr>
      </w:pPr>
      <w:r w:rsidRPr="00AD173E">
        <w:rPr>
          <w:noProof/>
          <w:sz w:val="16"/>
          <w:szCs w:val="16"/>
          <w:lang w:eastAsia="es-ES"/>
        </w:rPr>
        <w:t xml:space="preserve">Fuente </w:t>
      </w:r>
      <w:r>
        <w:rPr>
          <w:noProof/>
          <w:sz w:val="16"/>
          <w:szCs w:val="16"/>
          <w:lang w:eastAsia="es-ES"/>
        </w:rPr>
        <w:t>Gerencia Nacional de Recursos Humanos</w:t>
      </w:r>
    </w:p>
    <w:p w:rsidR="00BA05C2" w:rsidRPr="00367A09" w:rsidRDefault="00BA05C2" w:rsidP="00E30CFD">
      <w:pPr>
        <w:spacing w:line="240" w:lineRule="auto"/>
        <w:rPr>
          <w:b/>
          <w:noProof/>
          <w:sz w:val="24"/>
          <w:szCs w:val="24"/>
          <w:lang w:eastAsia="es-ES"/>
        </w:rPr>
      </w:pPr>
      <w:r>
        <w:rPr>
          <w:b/>
          <w:noProof/>
          <w:sz w:val="24"/>
          <w:szCs w:val="24"/>
          <w:lang w:eastAsia="es-ES"/>
        </w:rPr>
        <w:t>Cargos que se presentaron a</w:t>
      </w:r>
      <w:r w:rsidRPr="00367A09">
        <w:rPr>
          <w:b/>
          <w:noProof/>
          <w:sz w:val="24"/>
          <w:szCs w:val="24"/>
          <w:lang w:eastAsia="es-ES"/>
        </w:rPr>
        <w:t xml:space="preserve"> Retén Social</w:t>
      </w:r>
    </w:p>
    <w:tbl>
      <w:tblPr>
        <w:tblW w:w="8480" w:type="dxa"/>
        <w:tblInd w:w="57" w:type="dxa"/>
        <w:tblCellMar>
          <w:left w:w="70" w:type="dxa"/>
          <w:right w:w="70" w:type="dxa"/>
        </w:tblCellMar>
        <w:tblLook w:val="0000" w:firstRow="0" w:lastRow="0" w:firstColumn="0" w:lastColumn="0" w:noHBand="0" w:noVBand="0"/>
      </w:tblPr>
      <w:tblGrid>
        <w:gridCol w:w="3120"/>
        <w:gridCol w:w="1840"/>
        <w:gridCol w:w="3520"/>
      </w:tblGrid>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jc w:val="center"/>
              <w:rPr>
                <w:b/>
                <w:color w:val="000000"/>
                <w:lang w:val="es-ES" w:eastAsia="es-ES"/>
              </w:rPr>
            </w:pPr>
            <w:r w:rsidRPr="00D45573">
              <w:rPr>
                <w:b/>
                <w:color w:val="000000"/>
                <w:lang w:val="es-ES" w:eastAsia="es-ES"/>
              </w:rPr>
              <w:t>Denominación</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jc w:val="center"/>
              <w:rPr>
                <w:b/>
                <w:color w:val="000000"/>
                <w:lang w:val="es-ES" w:eastAsia="es-ES"/>
              </w:rPr>
            </w:pPr>
            <w:r w:rsidRPr="00D45573">
              <w:rPr>
                <w:b/>
                <w:color w:val="000000"/>
                <w:lang w:val="es-ES" w:eastAsia="es-ES"/>
              </w:rPr>
              <w:t>Seccional</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jc w:val="center"/>
              <w:rPr>
                <w:b/>
                <w:color w:val="000000"/>
                <w:lang w:val="es-ES" w:eastAsia="es-ES"/>
              </w:rPr>
            </w:pPr>
            <w:r w:rsidRPr="00D45573">
              <w:rPr>
                <w:b/>
                <w:color w:val="000000"/>
                <w:lang w:val="es-ES" w:eastAsia="es-ES"/>
              </w:rPr>
              <w:t>Estatus</w:t>
            </w:r>
            <w:r>
              <w:rPr>
                <w:b/>
                <w:color w:val="000000"/>
                <w:lang w:val="es-ES" w:eastAsia="es-ES"/>
              </w:rPr>
              <w:t xml:space="preserve"> pretendido</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Jefe Departamento I</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Bolívar</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Pre</w:t>
            </w:r>
            <w:r>
              <w:rPr>
                <w:color w:val="000000"/>
                <w:lang w:val="es-ES" w:eastAsia="es-ES"/>
              </w:rPr>
              <w:t>-</w:t>
            </w:r>
            <w:r w:rsidRPr="00D45573">
              <w:rPr>
                <w:color w:val="000000"/>
                <w:lang w:val="es-ES" w:eastAsia="es-ES"/>
              </w:rPr>
              <w:t>pensionada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Odontólogo Especialista</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Nariño</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Pre</w:t>
            </w:r>
            <w:r>
              <w:rPr>
                <w:color w:val="000000"/>
                <w:lang w:val="es-ES" w:eastAsia="es-ES"/>
              </w:rPr>
              <w:t>-</w:t>
            </w:r>
            <w:r w:rsidRPr="00D45573">
              <w:rPr>
                <w:color w:val="000000"/>
                <w:lang w:val="es-ES" w:eastAsia="es-ES"/>
              </w:rPr>
              <w:t xml:space="preserve">pensionado </w:t>
            </w:r>
            <w:r>
              <w:rPr>
                <w:color w:val="000000"/>
                <w:lang w:val="es-ES" w:eastAsia="es-ES"/>
              </w:rPr>
              <w:t>–</w:t>
            </w:r>
            <w:r w:rsidRPr="00D45573">
              <w:rPr>
                <w:color w:val="000000"/>
                <w:lang w:val="es-ES" w:eastAsia="es-ES"/>
              </w:rPr>
              <w:t>Tutela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Director</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Nariño</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Pre</w:t>
            </w:r>
            <w:r>
              <w:rPr>
                <w:color w:val="000000"/>
                <w:lang w:val="es-ES" w:eastAsia="es-ES"/>
              </w:rPr>
              <w:t>-</w:t>
            </w:r>
            <w:r w:rsidRPr="00D45573">
              <w:rPr>
                <w:color w:val="000000"/>
                <w:lang w:val="es-ES" w:eastAsia="es-ES"/>
              </w:rPr>
              <w:t>pensionada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Director</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Cesar</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Debilidad Manifiesta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Asesor Vi</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Nivel Nacional</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Pre</w:t>
            </w:r>
            <w:r>
              <w:rPr>
                <w:color w:val="000000"/>
                <w:lang w:val="es-ES" w:eastAsia="es-ES"/>
              </w:rPr>
              <w:t>-</w:t>
            </w:r>
            <w:r w:rsidRPr="00D45573">
              <w:rPr>
                <w:color w:val="000000"/>
                <w:lang w:val="es-ES" w:eastAsia="es-ES"/>
              </w:rPr>
              <w:t>pensionado</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Odontólogo General</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Atlántico</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Aforada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Profesional Universitario</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Antioquia</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Mad</w:t>
            </w:r>
            <w:r>
              <w:rPr>
                <w:color w:val="000000"/>
                <w:lang w:val="es-ES" w:eastAsia="es-ES"/>
              </w:rPr>
              <w:t xml:space="preserve">re </w:t>
            </w:r>
            <w:r w:rsidRPr="00D45573">
              <w:rPr>
                <w:color w:val="000000"/>
                <w:lang w:val="es-ES" w:eastAsia="es-ES"/>
              </w:rPr>
              <w:t xml:space="preserve"> Cabeza F</w:t>
            </w:r>
            <w:r>
              <w:rPr>
                <w:color w:val="000000"/>
                <w:lang w:val="es-ES" w:eastAsia="es-ES"/>
              </w:rPr>
              <w:t>amilia</w:t>
            </w:r>
            <w:r w:rsidRPr="00D45573">
              <w:rPr>
                <w:color w:val="000000"/>
                <w:lang w:val="es-ES" w:eastAsia="es-ES"/>
              </w:rPr>
              <w:t>-Aforada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Médico Especialista</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Nivel Nacional</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 </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Director I</w:t>
            </w:r>
            <w:r>
              <w:rPr>
                <w:color w:val="000000"/>
                <w:lang w:val="es-ES" w:eastAsia="es-ES"/>
              </w:rPr>
              <w:t>I</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Cundinamarca</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Proyecto Decreto Sup</w:t>
            </w:r>
            <w:r>
              <w:rPr>
                <w:color w:val="000000"/>
                <w:lang w:val="es-ES" w:eastAsia="es-ES"/>
              </w:rPr>
              <w:t>resión</w:t>
            </w:r>
            <w:r w:rsidRPr="00D45573">
              <w:rPr>
                <w:color w:val="000000"/>
                <w:lang w:val="es-ES" w:eastAsia="es-ES"/>
              </w:rPr>
              <w:t>.</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Odontólogo Especialista</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Nivel Nacional</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Pr>
                <w:color w:val="000000"/>
                <w:lang w:val="es-ES" w:eastAsia="es-ES"/>
              </w:rPr>
              <w:t>Madre Cabeza d</w:t>
            </w:r>
            <w:r w:rsidRPr="00D45573">
              <w:rPr>
                <w:color w:val="000000"/>
                <w:lang w:val="es-ES" w:eastAsia="es-ES"/>
              </w:rPr>
              <w:t>e F</w:t>
            </w:r>
            <w:r>
              <w:rPr>
                <w:color w:val="000000"/>
                <w:lang w:val="es-ES" w:eastAsia="es-ES"/>
              </w:rPr>
              <w:t>amilia</w:t>
            </w:r>
            <w:r w:rsidRPr="00D45573">
              <w:rPr>
                <w:color w:val="000000"/>
                <w:lang w:val="es-ES" w:eastAsia="es-ES"/>
              </w:rPr>
              <w:t>.-Aforada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lastRenderedPageBreak/>
              <w:t>Medico General</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Valle</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Pre</w:t>
            </w:r>
            <w:r>
              <w:rPr>
                <w:color w:val="000000"/>
                <w:lang w:val="es-ES" w:eastAsia="es-ES"/>
              </w:rPr>
              <w:t>-</w:t>
            </w:r>
            <w:r w:rsidRPr="00D45573">
              <w:rPr>
                <w:color w:val="000000"/>
                <w:lang w:val="es-ES" w:eastAsia="es-ES"/>
              </w:rPr>
              <w:t>pensionada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Director</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Tolima</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Pre</w:t>
            </w:r>
            <w:r>
              <w:rPr>
                <w:color w:val="000000"/>
                <w:lang w:val="es-ES" w:eastAsia="es-ES"/>
              </w:rPr>
              <w:t>-</w:t>
            </w:r>
            <w:r w:rsidRPr="00D45573">
              <w:rPr>
                <w:color w:val="000000"/>
                <w:lang w:val="es-ES" w:eastAsia="es-ES"/>
              </w:rPr>
              <w:t>pensionado</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Enfermero</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Tolima</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Pr>
                <w:color w:val="000000"/>
                <w:lang w:val="es-ES" w:eastAsia="es-ES"/>
              </w:rPr>
              <w:t>Madre Cabeza d</w:t>
            </w:r>
            <w:r w:rsidRPr="00D45573">
              <w:rPr>
                <w:color w:val="000000"/>
                <w:lang w:val="es-ES" w:eastAsia="es-ES"/>
              </w:rPr>
              <w:t>e F</w:t>
            </w:r>
            <w:r>
              <w:rPr>
                <w:color w:val="000000"/>
                <w:lang w:val="es-ES" w:eastAsia="es-ES"/>
              </w:rPr>
              <w:t>amilia. Prep.</w:t>
            </w:r>
            <w:r w:rsidRPr="00D45573">
              <w:rPr>
                <w:color w:val="000000"/>
                <w:lang w:val="es-ES" w:eastAsia="es-ES"/>
              </w:rPr>
              <w:t>Afora.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Director I</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Risaralda</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Pr>
                <w:color w:val="000000"/>
                <w:lang w:val="es-ES" w:eastAsia="es-ES"/>
              </w:rPr>
              <w:t>Padre Cabeza d</w:t>
            </w:r>
            <w:r w:rsidRPr="00D45573">
              <w:rPr>
                <w:color w:val="000000"/>
                <w:lang w:val="es-ES" w:eastAsia="es-ES"/>
              </w:rPr>
              <w:t>e Familia</w:t>
            </w:r>
          </w:p>
        </w:tc>
      </w:tr>
      <w:tr w:rsidR="00BA05C2" w:rsidRPr="00D45573" w:rsidTr="0047611E">
        <w:trPr>
          <w:trHeight w:val="300"/>
        </w:trPr>
        <w:tc>
          <w:tcPr>
            <w:tcW w:w="3120" w:type="dxa"/>
            <w:tcBorders>
              <w:top w:val="nil"/>
              <w:left w:val="single" w:sz="4" w:space="0" w:color="auto"/>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Odontólogo Especialista</w:t>
            </w:r>
          </w:p>
        </w:tc>
        <w:tc>
          <w:tcPr>
            <w:tcW w:w="184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Valle</w:t>
            </w:r>
          </w:p>
        </w:tc>
        <w:tc>
          <w:tcPr>
            <w:tcW w:w="3520" w:type="dxa"/>
            <w:tcBorders>
              <w:top w:val="nil"/>
              <w:left w:val="nil"/>
              <w:bottom w:val="single" w:sz="4" w:space="0" w:color="auto"/>
              <w:right w:val="single" w:sz="4" w:space="0" w:color="auto"/>
            </w:tcBorders>
            <w:noWrap/>
            <w:vAlign w:val="bottom"/>
          </w:tcPr>
          <w:p w:rsidR="00BA05C2" w:rsidRPr="00D45573" w:rsidRDefault="00BA05C2" w:rsidP="00E30CFD">
            <w:pPr>
              <w:spacing w:after="0" w:line="240" w:lineRule="auto"/>
              <w:rPr>
                <w:color w:val="000000"/>
                <w:lang w:val="es-ES" w:eastAsia="es-ES"/>
              </w:rPr>
            </w:pPr>
            <w:r w:rsidRPr="00D45573">
              <w:rPr>
                <w:color w:val="000000"/>
                <w:lang w:val="es-ES" w:eastAsia="es-ES"/>
              </w:rPr>
              <w:t>Tutela</w:t>
            </w:r>
          </w:p>
        </w:tc>
      </w:tr>
    </w:tbl>
    <w:p w:rsidR="00BA05C2" w:rsidRDefault="00BA05C2" w:rsidP="00E30CFD">
      <w:pPr>
        <w:spacing w:line="240" w:lineRule="auto"/>
        <w:jc w:val="center"/>
        <w:rPr>
          <w:noProof/>
          <w:sz w:val="16"/>
          <w:szCs w:val="16"/>
          <w:lang w:eastAsia="es-ES"/>
        </w:rPr>
      </w:pPr>
      <w:r>
        <w:rPr>
          <w:noProof/>
          <w:sz w:val="16"/>
          <w:szCs w:val="16"/>
          <w:lang w:eastAsia="es-ES"/>
        </w:rPr>
        <w:t>FUENTE: Gerencia Nacional de Recursos Humanos.</w:t>
      </w:r>
    </w:p>
    <w:p w:rsidR="00BA05C2" w:rsidRPr="008A6F7E" w:rsidRDefault="00BA05C2" w:rsidP="00E30CFD">
      <w:pPr>
        <w:spacing w:line="240" w:lineRule="auto"/>
        <w:rPr>
          <w:b/>
          <w:noProof/>
          <w:lang w:eastAsia="es-ES"/>
        </w:rPr>
      </w:pPr>
      <w:r w:rsidRPr="008A6F7E">
        <w:rPr>
          <w:b/>
          <w:noProof/>
          <w:lang w:eastAsia="es-ES"/>
        </w:rPr>
        <w:t xml:space="preserve">GASTOS DEL ISS PARA EL SOSTENIMIENTO DEL NEGOCIO DE SALUD </w:t>
      </w:r>
    </w:p>
    <w:p w:rsidR="00BA05C2" w:rsidRDefault="00BA05C2" w:rsidP="00E30CFD">
      <w:pPr>
        <w:spacing w:line="240" w:lineRule="auto"/>
        <w:jc w:val="both"/>
        <w:rPr>
          <w:noProof/>
          <w:sz w:val="24"/>
          <w:szCs w:val="24"/>
          <w:lang w:eastAsia="es-ES"/>
        </w:rPr>
      </w:pPr>
      <w:r w:rsidRPr="008A6F7E">
        <w:rPr>
          <w:noProof/>
          <w:sz w:val="24"/>
          <w:szCs w:val="24"/>
          <w:lang w:eastAsia="es-ES"/>
        </w:rPr>
        <w:t xml:space="preserve">Según lo reportado por la Vicepresidencia Financiera </w:t>
      </w:r>
      <w:r>
        <w:rPr>
          <w:noProof/>
          <w:sz w:val="24"/>
          <w:szCs w:val="24"/>
          <w:lang w:eastAsia="es-ES"/>
        </w:rPr>
        <w:t>d</w:t>
      </w:r>
      <w:r w:rsidRPr="008A6F7E">
        <w:rPr>
          <w:noProof/>
          <w:sz w:val="24"/>
          <w:szCs w:val="24"/>
          <w:lang w:eastAsia="es-ES"/>
        </w:rPr>
        <w:t>el ISS en Liquidación (ejecución presupuestal), los gastos para e</w:t>
      </w:r>
      <w:r>
        <w:rPr>
          <w:noProof/>
          <w:sz w:val="24"/>
          <w:szCs w:val="24"/>
          <w:lang w:eastAsia="es-ES"/>
        </w:rPr>
        <w:t>l sostenimiento del negocio de S</w:t>
      </w:r>
      <w:r w:rsidRPr="008A6F7E">
        <w:rPr>
          <w:noProof/>
          <w:sz w:val="24"/>
          <w:szCs w:val="24"/>
          <w:lang w:eastAsia="es-ES"/>
        </w:rPr>
        <w:t xml:space="preserve">alud de enero a marzo de 2013, ascienden aproximadamente a $84.093 millones, de los cuales $2.288 millones correspondieron a pagos por concepto de cuentas por pagar, $79.985 millones a pagos por concepto de mesadas de jubilación a cargo del ISS empleador y $1.820 millones a gastos por personal de nómina. </w:t>
      </w:r>
    </w:p>
    <w:p w:rsidR="00BA05C2" w:rsidRPr="0047150D" w:rsidRDefault="00BA05C2" w:rsidP="00E30CFD">
      <w:pPr>
        <w:spacing w:line="240" w:lineRule="auto"/>
        <w:jc w:val="both"/>
        <w:rPr>
          <w:noProof/>
          <w:sz w:val="24"/>
          <w:szCs w:val="24"/>
          <w:lang w:eastAsia="es-ES"/>
        </w:rPr>
      </w:pPr>
      <w:r w:rsidRPr="008A6F7E">
        <w:rPr>
          <w:rFonts w:cs="Arial"/>
          <w:color w:val="000000"/>
          <w:sz w:val="24"/>
          <w:szCs w:val="24"/>
        </w:rPr>
        <w:t xml:space="preserve">Es de anotar,  que a partir de la entrada en vigencia del Decreto 2013 de 2012, por el cual ordena la supresión y liquidación del Seguro Social, se continuaron desarrollando además las </w:t>
      </w:r>
      <w:r w:rsidRPr="006513EA">
        <w:rPr>
          <w:rFonts w:cs="Arial"/>
          <w:color w:val="000000"/>
          <w:sz w:val="24"/>
          <w:szCs w:val="24"/>
        </w:rPr>
        <w:t>siguientes</w:t>
      </w:r>
      <w:r w:rsidRPr="008A6F7E">
        <w:rPr>
          <w:rFonts w:cs="Arial"/>
          <w:color w:val="000000"/>
          <w:sz w:val="24"/>
          <w:szCs w:val="24"/>
        </w:rPr>
        <w:t xml:space="preserve"> actividades</w:t>
      </w:r>
      <w:r>
        <w:rPr>
          <w:rFonts w:cs="Arial"/>
          <w:color w:val="000000"/>
          <w:sz w:val="24"/>
          <w:szCs w:val="24"/>
        </w:rPr>
        <w:t>:</w:t>
      </w:r>
    </w:p>
    <w:p w:rsidR="00BA05C2" w:rsidRDefault="00BA05C2" w:rsidP="00E30CFD">
      <w:pPr>
        <w:spacing w:line="240" w:lineRule="auto"/>
        <w:jc w:val="both"/>
        <w:rPr>
          <w:rFonts w:cs="Arial"/>
          <w:color w:val="000000"/>
          <w:sz w:val="24"/>
          <w:szCs w:val="24"/>
        </w:rPr>
      </w:pPr>
      <w:r w:rsidRPr="00F25CAA">
        <w:rPr>
          <w:rFonts w:cs="Arial"/>
          <w:color w:val="000000"/>
          <w:sz w:val="24"/>
          <w:szCs w:val="24"/>
        </w:rPr>
        <w:t>Proceso de depuración y saneamiento contable</w:t>
      </w:r>
      <w:r>
        <w:rPr>
          <w:rFonts w:cs="Arial"/>
          <w:color w:val="000000"/>
          <w:sz w:val="24"/>
          <w:szCs w:val="24"/>
        </w:rPr>
        <w:t xml:space="preserve">; </w:t>
      </w:r>
      <w:r w:rsidRPr="00F25CAA">
        <w:rPr>
          <w:rFonts w:cs="Arial"/>
          <w:color w:val="000000"/>
          <w:sz w:val="24"/>
          <w:szCs w:val="24"/>
        </w:rPr>
        <w:t>atención de derechos de petición y requerimientos judiciales relacionados con la certificación de afiliación de los antiguos afiliados</w:t>
      </w:r>
      <w:r>
        <w:rPr>
          <w:rFonts w:cs="Arial"/>
          <w:color w:val="000000"/>
          <w:sz w:val="24"/>
          <w:szCs w:val="24"/>
        </w:rPr>
        <w:t xml:space="preserve">; </w:t>
      </w:r>
      <w:r w:rsidRPr="00F25CAA">
        <w:rPr>
          <w:rFonts w:cs="Arial"/>
          <w:color w:val="000000"/>
          <w:sz w:val="24"/>
          <w:szCs w:val="24"/>
        </w:rPr>
        <w:t>saneamiento de aportes patronales por Situado Fiscal y Sistema General de Participaciones años 1994 a 2008</w:t>
      </w:r>
      <w:r>
        <w:rPr>
          <w:rFonts w:cs="Arial"/>
          <w:color w:val="000000"/>
          <w:sz w:val="24"/>
          <w:szCs w:val="24"/>
        </w:rPr>
        <w:t xml:space="preserve"> y  </w:t>
      </w:r>
      <w:r w:rsidRPr="00F25CAA">
        <w:rPr>
          <w:rFonts w:cs="Arial"/>
          <w:color w:val="000000"/>
          <w:sz w:val="24"/>
          <w:szCs w:val="24"/>
        </w:rPr>
        <w:t xml:space="preserve">el apoyo a la defensa judicial para la atención de los procesos de demandas por reparación directa por </w:t>
      </w:r>
      <w:r w:rsidRPr="00EE4CEA">
        <w:rPr>
          <w:rFonts w:cs="Arial"/>
          <w:color w:val="000000"/>
          <w:sz w:val="24"/>
          <w:szCs w:val="24"/>
        </w:rPr>
        <w:t>salud entre otros.</w:t>
      </w:r>
    </w:p>
    <w:p w:rsidR="00BA05C2" w:rsidRPr="00F778E3" w:rsidRDefault="00BA05C2" w:rsidP="00E30CFD">
      <w:pPr>
        <w:pStyle w:val="Prrafodelista"/>
        <w:numPr>
          <w:ilvl w:val="0"/>
          <w:numId w:val="3"/>
        </w:numPr>
        <w:spacing w:after="0" w:line="240" w:lineRule="auto"/>
        <w:jc w:val="both"/>
        <w:rPr>
          <w:rFonts w:cs="Calibri"/>
          <w:b/>
          <w:sz w:val="24"/>
          <w:szCs w:val="24"/>
        </w:rPr>
      </w:pPr>
      <w:r w:rsidRPr="00F778E3">
        <w:rPr>
          <w:rFonts w:cs="Calibri"/>
          <w:b/>
          <w:sz w:val="24"/>
          <w:szCs w:val="24"/>
        </w:rPr>
        <w:t xml:space="preserve">En relación con la pregunta anterior, </w:t>
      </w:r>
      <w:r w:rsidR="009533A4" w:rsidRPr="00F778E3">
        <w:rPr>
          <w:rFonts w:cs="Calibri"/>
          <w:b/>
          <w:sz w:val="24"/>
          <w:szCs w:val="24"/>
        </w:rPr>
        <w:t>cuáles</w:t>
      </w:r>
      <w:r w:rsidRPr="00F778E3">
        <w:rPr>
          <w:rFonts w:cs="Calibri"/>
          <w:b/>
          <w:sz w:val="24"/>
          <w:szCs w:val="24"/>
        </w:rPr>
        <w:t xml:space="preserve"> ha</w:t>
      </w:r>
      <w:r>
        <w:rPr>
          <w:rFonts w:cs="Calibri"/>
          <w:b/>
          <w:sz w:val="24"/>
          <w:szCs w:val="24"/>
        </w:rPr>
        <w:t>n</w:t>
      </w:r>
      <w:r w:rsidRPr="00F778E3">
        <w:rPr>
          <w:rFonts w:cs="Calibri"/>
          <w:b/>
          <w:sz w:val="24"/>
          <w:szCs w:val="24"/>
        </w:rPr>
        <w:t xml:space="preserve"> sido las acciones tomadas por la Junta Directiva conocedora de esta situación?</w:t>
      </w:r>
    </w:p>
    <w:p w:rsidR="00BA05C2" w:rsidRDefault="00BA05C2" w:rsidP="00E30CFD">
      <w:pPr>
        <w:spacing w:after="0" w:line="240" w:lineRule="auto"/>
        <w:jc w:val="both"/>
        <w:rPr>
          <w:rFonts w:cs="Calibri"/>
          <w:b/>
          <w:sz w:val="24"/>
          <w:szCs w:val="24"/>
          <w:lang w:val="es-ES"/>
        </w:rPr>
      </w:pPr>
    </w:p>
    <w:p w:rsidR="009533A4" w:rsidRDefault="00BA05C2" w:rsidP="00E30CFD">
      <w:pPr>
        <w:spacing w:after="0" w:line="240" w:lineRule="auto"/>
        <w:jc w:val="both"/>
        <w:rPr>
          <w:rFonts w:cs="Calibri"/>
          <w:sz w:val="24"/>
          <w:szCs w:val="24"/>
          <w:lang w:val="es-ES"/>
        </w:rPr>
      </w:pPr>
      <w:r w:rsidRPr="00A37AFC">
        <w:rPr>
          <w:rFonts w:cs="Calibri"/>
          <w:sz w:val="24"/>
          <w:szCs w:val="24"/>
          <w:lang w:val="es-ES"/>
        </w:rPr>
        <w:t>La Junta Directiva como máximo organismo de dirección del ISS</w:t>
      </w:r>
      <w:r w:rsidR="009533A4">
        <w:rPr>
          <w:rFonts w:cs="Calibri"/>
          <w:sz w:val="24"/>
          <w:szCs w:val="24"/>
          <w:lang w:val="es-ES"/>
        </w:rPr>
        <w:t>:</w:t>
      </w:r>
    </w:p>
    <w:p w:rsidR="00BA05C2" w:rsidRDefault="009533A4" w:rsidP="00E30CFD">
      <w:pPr>
        <w:spacing w:after="0" w:line="240" w:lineRule="auto"/>
        <w:jc w:val="both"/>
        <w:rPr>
          <w:rFonts w:cs="Calibri"/>
          <w:sz w:val="24"/>
          <w:szCs w:val="24"/>
          <w:lang w:val="es-ES"/>
        </w:rPr>
      </w:pPr>
      <w:r>
        <w:rPr>
          <w:rFonts w:cs="Calibri"/>
          <w:sz w:val="24"/>
          <w:szCs w:val="24"/>
          <w:lang w:val="es-ES"/>
        </w:rPr>
        <w:t xml:space="preserve"> </w:t>
      </w:r>
    </w:p>
    <w:p w:rsidR="00BA05C2" w:rsidRPr="00A37AFC" w:rsidRDefault="00BA05C2" w:rsidP="00E30CFD">
      <w:pPr>
        <w:numPr>
          <w:ilvl w:val="0"/>
          <w:numId w:val="11"/>
        </w:numPr>
        <w:spacing w:after="0" w:line="240" w:lineRule="auto"/>
        <w:jc w:val="both"/>
        <w:rPr>
          <w:rFonts w:cs="Calibri"/>
          <w:sz w:val="24"/>
          <w:szCs w:val="24"/>
          <w:lang w:val="es-ES"/>
        </w:rPr>
      </w:pPr>
      <w:r w:rsidRPr="00A37AFC">
        <w:rPr>
          <w:rFonts w:cs="Calibri"/>
          <w:sz w:val="24"/>
          <w:szCs w:val="24"/>
          <w:lang w:val="es-ES"/>
        </w:rPr>
        <w:t>Present</w:t>
      </w:r>
      <w:r w:rsidR="009533A4">
        <w:rPr>
          <w:rFonts w:cs="Calibri"/>
          <w:sz w:val="24"/>
          <w:szCs w:val="24"/>
          <w:lang w:val="es-ES"/>
        </w:rPr>
        <w:t>ó</w:t>
      </w:r>
      <w:r w:rsidRPr="00A37AFC">
        <w:rPr>
          <w:rFonts w:cs="Calibri"/>
          <w:sz w:val="24"/>
          <w:szCs w:val="24"/>
          <w:lang w:val="es-ES"/>
        </w:rPr>
        <w:t xml:space="preserve"> el recurso de reposición contra la Resolución 0028 del 15 de ene</w:t>
      </w:r>
      <w:r>
        <w:rPr>
          <w:rFonts w:cs="Calibri"/>
          <w:sz w:val="24"/>
          <w:szCs w:val="24"/>
          <w:lang w:val="es-ES"/>
        </w:rPr>
        <w:t>r</w:t>
      </w:r>
      <w:r w:rsidRPr="00A37AFC">
        <w:rPr>
          <w:rFonts w:cs="Calibri"/>
          <w:sz w:val="24"/>
          <w:szCs w:val="24"/>
          <w:lang w:val="es-ES"/>
        </w:rPr>
        <w:t xml:space="preserve">o de </w:t>
      </w:r>
      <w:r>
        <w:rPr>
          <w:rFonts w:cs="Calibri"/>
          <w:sz w:val="24"/>
          <w:szCs w:val="24"/>
          <w:lang w:val="es-ES"/>
        </w:rPr>
        <w:t xml:space="preserve">    </w:t>
      </w:r>
      <w:r w:rsidRPr="00A37AFC">
        <w:rPr>
          <w:rFonts w:cs="Calibri"/>
          <w:sz w:val="24"/>
          <w:szCs w:val="24"/>
          <w:lang w:val="es-ES"/>
        </w:rPr>
        <w:t>2007 por medio d</w:t>
      </w:r>
      <w:r w:rsidR="009533A4">
        <w:rPr>
          <w:rFonts w:cs="Calibri"/>
          <w:sz w:val="24"/>
          <w:szCs w:val="24"/>
          <w:lang w:val="es-ES"/>
        </w:rPr>
        <w:t>e</w:t>
      </w:r>
      <w:r w:rsidRPr="00A37AFC">
        <w:rPr>
          <w:rFonts w:cs="Calibri"/>
          <w:sz w:val="24"/>
          <w:szCs w:val="24"/>
          <w:lang w:val="es-ES"/>
        </w:rPr>
        <w:t xml:space="preserve"> la cual se revocó la licencia d</w:t>
      </w:r>
      <w:r w:rsidR="009533A4">
        <w:rPr>
          <w:rFonts w:cs="Calibri"/>
          <w:sz w:val="24"/>
          <w:szCs w:val="24"/>
          <w:lang w:val="es-ES"/>
        </w:rPr>
        <w:t>e</w:t>
      </w:r>
      <w:r w:rsidRPr="00A37AFC">
        <w:rPr>
          <w:rFonts w:cs="Calibri"/>
          <w:sz w:val="24"/>
          <w:szCs w:val="24"/>
          <w:lang w:val="es-ES"/>
        </w:rPr>
        <w:t xml:space="preserve"> funcionamiento del negocio de la EPS ISS.</w:t>
      </w:r>
    </w:p>
    <w:p w:rsidR="00BA05C2" w:rsidRPr="00A37AFC" w:rsidRDefault="00BA05C2" w:rsidP="00E30CFD">
      <w:pPr>
        <w:spacing w:after="0" w:line="240" w:lineRule="auto"/>
        <w:jc w:val="both"/>
        <w:rPr>
          <w:rFonts w:cs="Calibri"/>
          <w:sz w:val="24"/>
          <w:szCs w:val="24"/>
          <w:lang w:val="es-ES"/>
        </w:rPr>
      </w:pPr>
    </w:p>
    <w:p w:rsidR="00BA05C2" w:rsidRDefault="00BA05C2" w:rsidP="00E30CFD">
      <w:pPr>
        <w:numPr>
          <w:ilvl w:val="0"/>
          <w:numId w:val="11"/>
        </w:numPr>
        <w:spacing w:after="0" w:line="240" w:lineRule="auto"/>
        <w:jc w:val="both"/>
        <w:rPr>
          <w:rFonts w:cs="Calibri"/>
          <w:sz w:val="24"/>
          <w:szCs w:val="24"/>
          <w:lang w:val="es-ES"/>
        </w:rPr>
      </w:pPr>
      <w:r w:rsidRPr="00A37AFC">
        <w:rPr>
          <w:rFonts w:cs="Calibri"/>
          <w:sz w:val="24"/>
          <w:szCs w:val="24"/>
          <w:lang w:val="es-ES"/>
        </w:rPr>
        <w:t>Acat</w:t>
      </w:r>
      <w:r w:rsidR="009533A4">
        <w:rPr>
          <w:rFonts w:cs="Calibri"/>
          <w:sz w:val="24"/>
          <w:szCs w:val="24"/>
          <w:lang w:val="es-ES"/>
        </w:rPr>
        <w:t>ó</w:t>
      </w:r>
      <w:r w:rsidRPr="00A37AFC">
        <w:rPr>
          <w:rFonts w:cs="Calibri"/>
          <w:sz w:val="24"/>
          <w:szCs w:val="24"/>
          <w:lang w:val="es-ES"/>
        </w:rPr>
        <w:t xml:space="preserve"> tanto la ley 790 de 2003 como las decisiones de la Superintendencia Nacional de Salud, en el sentido de que el ISS no podía ser liquidado al ser una unidad de negocio.</w:t>
      </w:r>
    </w:p>
    <w:p w:rsidR="00BA05C2" w:rsidRPr="00A37AFC" w:rsidRDefault="00BA05C2" w:rsidP="00E30CFD">
      <w:pPr>
        <w:spacing w:after="0" w:line="240" w:lineRule="auto"/>
        <w:ind w:left="360"/>
        <w:jc w:val="both"/>
        <w:rPr>
          <w:rFonts w:cs="Calibri"/>
          <w:sz w:val="24"/>
          <w:szCs w:val="24"/>
          <w:lang w:val="es-ES"/>
        </w:rPr>
      </w:pPr>
    </w:p>
    <w:p w:rsidR="00BA05C2" w:rsidRPr="00A37AFC" w:rsidRDefault="00BA05C2" w:rsidP="00E30CFD">
      <w:pPr>
        <w:numPr>
          <w:ilvl w:val="0"/>
          <w:numId w:val="11"/>
        </w:numPr>
        <w:spacing w:after="0" w:line="240" w:lineRule="auto"/>
        <w:jc w:val="both"/>
        <w:rPr>
          <w:rFonts w:cs="Calibri"/>
          <w:sz w:val="24"/>
          <w:szCs w:val="24"/>
          <w:lang w:val="es-ES"/>
        </w:rPr>
      </w:pPr>
      <w:r w:rsidRPr="00A37AFC">
        <w:rPr>
          <w:rFonts w:cs="Calibri"/>
          <w:sz w:val="24"/>
          <w:szCs w:val="24"/>
          <w:lang w:val="es-ES"/>
        </w:rPr>
        <w:t xml:space="preserve">Se manifestó mediante Actas de la 263 a la 274 durante los años 2008 a 2012, realizando seguimiento al proceso de alistamiento y entrega de afiliados de la EPS ISS a la Nueva EPS.  </w:t>
      </w:r>
    </w:p>
    <w:p w:rsidR="00BA05C2" w:rsidRDefault="00BA05C2" w:rsidP="00E30CFD">
      <w:pPr>
        <w:spacing w:after="0" w:line="240" w:lineRule="auto"/>
        <w:jc w:val="both"/>
        <w:rPr>
          <w:rFonts w:cs="Calibri"/>
          <w:b/>
          <w:sz w:val="24"/>
          <w:szCs w:val="24"/>
        </w:rPr>
      </w:pPr>
    </w:p>
    <w:p w:rsidR="009533A4" w:rsidRPr="008A6F7E" w:rsidRDefault="009533A4" w:rsidP="00E30CFD">
      <w:pPr>
        <w:spacing w:after="0" w:line="240" w:lineRule="auto"/>
        <w:jc w:val="both"/>
        <w:rPr>
          <w:rFonts w:cs="Calibri"/>
          <w:b/>
          <w:sz w:val="24"/>
          <w:szCs w:val="24"/>
        </w:rPr>
      </w:pPr>
    </w:p>
    <w:p w:rsidR="00BA05C2" w:rsidRPr="008A6F7E" w:rsidRDefault="00BA05C2" w:rsidP="00E30CFD">
      <w:pPr>
        <w:spacing w:after="0" w:line="240" w:lineRule="auto"/>
        <w:jc w:val="both"/>
        <w:rPr>
          <w:rFonts w:cs="Calibri"/>
          <w:b/>
          <w:sz w:val="24"/>
          <w:szCs w:val="24"/>
        </w:rPr>
      </w:pPr>
      <w:r w:rsidRPr="008A6F7E">
        <w:rPr>
          <w:rFonts w:cs="Calibri"/>
          <w:b/>
          <w:sz w:val="24"/>
          <w:szCs w:val="24"/>
        </w:rPr>
        <w:lastRenderedPageBreak/>
        <w:t>Aditivo No. 1 a la Proposición 138</w:t>
      </w:r>
    </w:p>
    <w:p w:rsidR="00BA05C2" w:rsidRPr="008A6F7E" w:rsidRDefault="00BA05C2" w:rsidP="00E30CFD">
      <w:pPr>
        <w:spacing w:after="0" w:line="240" w:lineRule="auto"/>
        <w:jc w:val="both"/>
        <w:rPr>
          <w:rFonts w:cs="Calibri"/>
          <w:b/>
          <w:sz w:val="24"/>
          <w:szCs w:val="24"/>
        </w:rPr>
      </w:pPr>
    </w:p>
    <w:p w:rsidR="00BA05C2" w:rsidRDefault="00BA05C2" w:rsidP="00E30CFD">
      <w:pPr>
        <w:spacing w:after="0" w:line="240" w:lineRule="auto"/>
        <w:jc w:val="both"/>
        <w:rPr>
          <w:rFonts w:cs="Calibri"/>
          <w:b/>
          <w:sz w:val="24"/>
          <w:szCs w:val="24"/>
          <w:lang w:val="es-ES"/>
        </w:rPr>
      </w:pPr>
      <w:r>
        <w:rPr>
          <w:rFonts w:cs="Calibri"/>
          <w:b/>
          <w:sz w:val="24"/>
          <w:szCs w:val="24"/>
        </w:rPr>
        <w:t>1. I</w:t>
      </w:r>
      <w:r w:rsidRPr="008A6F7E">
        <w:rPr>
          <w:rFonts w:cs="Calibri"/>
          <w:b/>
          <w:sz w:val="24"/>
          <w:szCs w:val="24"/>
        </w:rPr>
        <w:t>ndique cuál es el número de sentencias que afectan a los fondos de prestación de invalidez, vejez y muerte o relacionados con la función de administración del Régimen de Prima Media con Prestación Definida que el ISS ha entregado a Colpensiones para dar efectivo cumplimiento a 29 de Abril de 2013</w:t>
      </w:r>
    </w:p>
    <w:p w:rsidR="00BA05C2" w:rsidRPr="008A6F7E" w:rsidRDefault="00BA05C2" w:rsidP="00E30CFD">
      <w:pPr>
        <w:spacing w:after="0" w:line="240" w:lineRule="auto"/>
        <w:jc w:val="both"/>
        <w:rPr>
          <w:rFonts w:cs="Calibri"/>
          <w:b/>
          <w:sz w:val="24"/>
          <w:szCs w:val="24"/>
          <w:lang w:val="es-ES"/>
        </w:rPr>
      </w:pPr>
    </w:p>
    <w:p w:rsidR="00BA05C2" w:rsidRPr="008A6F7E" w:rsidRDefault="00BA05C2" w:rsidP="00E30CFD">
      <w:pPr>
        <w:spacing w:after="0" w:line="240" w:lineRule="auto"/>
        <w:jc w:val="both"/>
        <w:rPr>
          <w:rFonts w:cs="Arial"/>
          <w:bCs/>
          <w:iCs/>
          <w:sz w:val="24"/>
          <w:szCs w:val="24"/>
        </w:rPr>
      </w:pPr>
      <w:r w:rsidRPr="008A6F7E">
        <w:rPr>
          <w:rFonts w:cs="Arial"/>
          <w:bCs/>
          <w:iCs/>
          <w:sz w:val="24"/>
          <w:szCs w:val="24"/>
        </w:rPr>
        <w:t xml:space="preserve">Reiteramos </w:t>
      </w:r>
      <w:r>
        <w:rPr>
          <w:rFonts w:cs="Arial"/>
          <w:bCs/>
          <w:iCs/>
          <w:sz w:val="24"/>
          <w:szCs w:val="24"/>
        </w:rPr>
        <w:t>la respuesta señalada en el numeral 3º</w:t>
      </w:r>
      <w:r w:rsidRPr="008A6F7E">
        <w:rPr>
          <w:rFonts w:cs="Arial"/>
          <w:bCs/>
          <w:iCs/>
          <w:sz w:val="24"/>
          <w:szCs w:val="24"/>
        </w:rPr>
        <w:t xml:space="preserve"> del presente documento, en el sentido que el número de sentencias entregadas a Colpensiones con corte a 29 de abril de 2013, es de cuatro mil treinta (4.030) sentencias para su cumplimiento.</w:t>
      </w:r>
    </w:p>
    <w:p w:rsidR="00BA05C2" w:rsidRPr="008A6F7E" w:rsidRDefault="00BA05C2" w:rsidP="00E30CFD">
      <w:pPr>
        <w:spacing w:after="0" w:line="240" w:lineRule="auto"/>
        <w:jc w:val="both"/>
        <w:rPr>
          <w:rFonts w:cs="Arial"/>
          <w:bCs/>
          <w:iCs/>
          <w:sz w:val="24"/>
          <w:szCs w:val="24"/>
        </w:rPr>
      </w:pPr>
    </w:p>
    <w:p w:rsidR="00BA05C2" w:rsidRPr="008A6F7E" w:rsidRDefault="00BA05C2" w:rsidP="00E30CFD">
      <w:pPr>
        <w:spacing w:after="0" w:line="240" w:lineRule="auto"/>
        <w:jc w:val="both"/>
        <w:rPr>
          <w:rFonts w:cs="Calibri"/>
          <w:b/>
          <w:sz w:val="24"/>
          <w:szCs w:val="24"/>
        </w:rPr>
      </w:pPr>
      <w:r w:rsidRPr="008A6F7E">
        <w:rPr>
          <w:rFonts w:cs="Calibri"/>
          <w:b/>
          <w:sz w:val="24"/>
          <w:szCs w:val="24"/>
        </w:rPr>
        <w:t>Aditivo No. 2 a la Proposición 138</w:t>
      </w:r>
    </w:p>
    <w:p w:rsidR="00BA05C2" w:rsidRDefault="00BA05C2" w:rsidP="00E30CFD">
      <w:pPr>
        <w:spacing w:after="0" w:line="240" w:lineRule="auto"/>
        <w:jc w:val="both"/>
        <w:rPr>
          <w:rFonts w:cs="Calibri"/>
          <w:b/>
          <w:sz w:val="24"/>
          <w:szCs w:val="24"/>
        </w:rPr>
      </w:pPr>
    </w:p>
    <w:p w:rsidR="00BA05C2" w:rsidRPr="00E36606" w:rsidRDefault="00BA05C2" w:rsidP="00E30CFD">
      <w:pPr>
        <w:pStyle w:val="Prrafodelista"/>
        <w:numPr>
          <w:ilvl w:val="0"/>
          <w:numId w:val="22"/>
        </w:numPr>
        <w:spacing w:after="0" w:line="240" w:lineRule="auto"/>
        <w:jc w:val="both"/>
        <w:rPr>
          <w:rFonts w:cs="Calibri"/>
          <w:b/>
          <w:sz w:val="24"/>
          <w:szCs w:val="24"/>
        </w:rPr>
      </w:pPr>
      <w:r w:rsidRPr="00E36606">
        <w:rPr>
          <w:rFonts w:cs="Calibri"/>
          <w:b/>
          <w:sz w:val="24"/>
          <w:szCs w:val="24"/>
        </w:rPr>
        <w:t>Cuál ha sido el costo de los últimos dos años de la institucionalidad dedicada a pensiones sumando lo gastado en  el ISS, lo gastado en Colpensiones y lo gastado en la fiduciaria.</w:t>
      </w:r>
    </w:p>
    <w:p w:rsidR="00BA05C2" w:rsidRPr="008A6F7E" w:rsidRDefault="00BA05C2" w:rsidP="00E30CFD">
      <w:pPr>
        <w:pStyle w:val="Prrafodelista"/>
        <w:spacing w:after="0" w:line="240" w:lineRule="auto"/>
        <w:jc w:val="both"/>
        <w:rPr>
          <w:rFonts w:cs="Calibri"/>
          <w:b/>
          <w:sz w:val="24"/>
          <w:szCs w:val="24"/>
          <w:highlight w:val="yellow"/>
        </w:rPr>
      </w:pPr>
    </w:p>
    <w:p w:rsidR="00BA05C2" w:rsidRPr="008A6F7E" w:rsidRDefault="00BA05C2" w:rsidP="00E30CFD">
      <w:pPr>
        <w:spacing w:line="240" w:lineRule="auto"/>
        <w:jc w:val="both"/>
        <w:rPr>
          <w:rFonts w:cs="Arial"/>
          <w:b/>
          <w:u w:val="single"/>
        </w:rPr>
      </w:pPr>
      <w:r w:rsidRPr="008A6F7E">
        <w:rPr>
          <w:rFonts w:cs="Arial"/>
        </w:rPr>
        <w:t xml:space="preserve">En lo que concierne al ISS en liquidación </w:t>
      </w:r>
      <w:r>
        <w:rPr>
          <w:rFonts w:cs="Arial"/>
        </w:rPr>
        <w:t>tenemos:</w:t>
      </w:r>
    </w:p>
    <w:p w:rsidR="00BA05C2" w:rsidRPr="008A6F7E" w:rsidRDefault="00BA05C2" w:rsidP="00E30CFD">
      <w:pPr>
        <w:spacing w:after="0" w:line="240" w:lineRule="auto"/>
        <w:ind w:left="720"/>
        <w:jc w:val="center"/>
        <w:rPr>
          <w:b/>
          <w:noProof/>
          <w:lang w:eastAsia="es-ES"/>
        </w:rPr>
      </w:pPr>
      <w:r w:rsidRPr="008A6F7E">
        <w:rPr>
          <w:b/>
          <w:noProof/>
          <w:lang w:eastAsia="es-ES"/>
        </w:rPr>
        <w:t>GASTOS UNIDAD DE PENSIONES DEL ISS</w:t>
      </w:r>
    </w:p>
    <w:p w:rsidR="00BA05C2" w:rsidRPr="008A6F7E" w:rsidRDefault="00BA05C2" w:rsidP="00E30CFD">
      <w:pPr>
        <w:spacing w:after="0" w:line="240" w:lineRule="auto"/>
        <w:ind w:left="720"/>
        <w:jc w:val="center"/>
        <w:rPr>
          <w:b/>
          <w:noProof/>
          <w:lang w:eastAsia="es-ES"/>
        </w:rPr>
      </w:pPr>
      <w:r w:rsidRPr="008A6F7E">
        <w:rPr>
          <w:b/>
          <w:noProof/>
          <w:lang w:eastAsia="es-ES"/>
        </w:rPr>
        <w:t>VIGENCIAS 2011 Y 2012</w:t>
      </w:r>
    </w:p>
    <w:p w:rsidR="00BA05C2" w:rsidRDefault="00BA05C2" w:rsidP="00E30CFD">
      <w:pPr>
        <w:spacing w:after="0" w:line="240" w:lineRule="auto"/>
        <w:ind w:left="720"/>
        <w:jc w:val="center"/>
        <w:rPr>
          <w:noProof/>
          <w:lang w:eastAsia="es-ES"/>
        </w:rPr>
      </w:pPr>
    </w:p>
    <w:tbl>
      <w:tblPr>
        <w:tblW w:w="6360" w:type="dxa"/>
        <w:jc w:val="center"/>
        <w:tblInd w:w="55" w:type="dxa"/>
        <w:tblCellMar>
          <w:left w:w="70" w:type="dxa"/>
          <w:right w:w="70" w:type="dxa"/>
        </w:tblCellMar>
        <w:tblLook w:val="00A0" w:firstRow="1" w:lastRow="0" w:firstColumn="1" w:lastColumn="0" w:noHBand="0" w:noVBand="0"/>
      </w:tblPr>
      <w:tblGrid>
        <w:gridCol w:w="2800"/>
        <w:gridCol w:w="1780"/>
        <w:gridCol w:w="1780"/>
      </w:tblGrid>
      <w:tr w:rsidR="00BA05C2" w:rsidRPr="008A6F7E" w:rsidTr="00C5769F">
        <w:trPr>
          <w:trHeight w:val="345"/>
          <w:jc w:val="center"/>
        </w:trPr>
        <w:tc>
          <w:tcPr>
            <w:tcW w:w="2800" w:type="dxa"/>
            <w:tcBorders>
              <w:top w:val="nil"/>
              <w:left w:val="nil"/>
              <w:bottom w:val="single" w:sz="4" w:space="0" w:color="A5A5A5"/>
              <w:right w:val="single" w:sz="4" w:space="0" w:color="A5A5A5"/>
            </w:tcBorders>
            <w:noWrap/>
            <w:vAlign w:val="bottom"/>
          </w:tcPr>
          <w:p w:rsidR="00BA05C2" w:rsidRPr="008A6F7E" w:rsidRDefault="00BA05C2" w:rsidP="00E30CFD">
            <w:pPr>
              <w:spacing w:after="0" w:line="240" w:lineRule="auto"/>
              <w:rPr>
                <w:lang w:eastAsia="es-ES"/>
              </w:rPr>
            </w:pPr>
            <w:r w:rsidRPr="008A6F7E">
              <w:rPr>
                <w:lang w:eastAsia="es-ES"/>
              </w:rPr>
              <w:t> </w:t>
            </w:r>
          </w:p>
        </w:tc>
        <w:tc>
          <w:tcPr>
            <w:tcW w:w="1780" w:type="dxa"/>
            <w:tcBorders>
              <w:top w:val="single" w:sz="4" w:space="0" w:color="A5A5A5"/>
              <w:left w:val="nil"/>
              <w:bottom w:val="single" w:sz="4" w:space="0" w:color="A5A5A5"/>
              <w:right w:val="single" w:sz="4" w:space="0" w:color="A5A5A5"/>
            </w:tcBorders>
            <w:noWrap/>
            <w:vAlign w:val="bottom"/>
          </w:tcPr>
          <w:p w:rsidR="00BA05C2" w:rsidRPr="008A6F7E" w:rsidRDefault="00BA05C2" w:rsidP="00E30CFD">
            <w:pPr>
              <w:spacing w:after="0" w:line="240" w:lineRule="auto"/>
              <w:jc w:val="center"/>
              <w:rPr>
                <w:b/>
                <w:bCs/>
                <w:lang w:eastAsia="es-ES"/>
              </w:rPr>
            </w:pPr>
            <w:r w:rsidRPr="008A6F7E">
              <w:rPr>
                <w:b/>
                <w:bCs/>
                <w:lang w:eastAsia="es-ES"/>
              </w:rPr>
              <w:t>2011</w:t>
            </w:r>
          </w:p>
        </w:tc>
        <w:tc>
          <w:tcPr>
            <w:tcW w:w="1780" w:type="dxa"/>
            <w:tcBorders>
              <w:top w:val="single" w:sz="4" w:space="0" w:color="A5A5A5"/>
              <w:left w:val="nil"/>
              <w:bottom w:val="single" w:sz="4" w:space="0" w:color="A5A5A5"/>
              <w:right w:val="single" w:sz="4" w:space="0" w:color="A5A5A5"/>
            </w:tcBorders>
            <w:noWrap/>
            <w:vAlign w:val="bottom"/>
          </w:tcPr>
          <w:p w:rsidR="00BA05C2" w:rsidRPr="008A6F7E" w:rsidRDefault="00BA05C2" w:rsidP="00E30CFD">
            <w:pPr>
              <w:spacing w:after="0" w:line="240" w:lineRule="auto"/>
              <w:jc w:val="center"/>
              <w:rPr>
                <w:b/>
                <w:bCs/>
                <w:lang w:eastAsia="es-ES"/>
              </w:rPr>
            </w:pPr>
            <w:r w:rsidRPr="008A6F7E">
              <w:rPr>
                <w:b/>
                <w:bCs/>
                <w:lang w:eastAsia="es-ES"/>
              </w:rPr>
              <w:t>2012</w:t>
            </w:r>
          </w:p>
        </w:tc>
      </w:tr>
      <w:tr w:rsidR="00BA05C2" w:rsidRPr="008A6F7E" w:rsidTr="00C5769F">
        <w:trPr>
          <w:trHeight w:val="375"/>
          <w:jc w:val="center"/>
        </w:trPr>
        <w:tc>
          <w:tcPr>
            <w:tcW w:w="2800" w:type="dxa"/>
            <w:tcBorders>
              <w:top w:val="nil"/>
              <w:left w:val="single" w:sz="4" w:space="0" w:color="A5A5A5"/>
              <w:bottom w:val="single" w:sz="4" w:space="0" w:color="A5A5A5"/>
              <w:right w:val="single" w:sz="4" w:space="0" w:color="A5A5A5"/>
            </w:tcBorders>
            <w:noWrap/>
            <w:vAlign w:val="bottom"/>
          </w:tcPr>
          <w:p w:rsidR="00BA05C2" w:rsidRPr="008A6F7E" w:rsidRDefault="00BA05C2" w:rsidP="00E30CFD">
            <w:pPr>
              <w:spacing w:after="0" w:line="240" w:lineRule="auto"/>
              <w:rPr>
                <w:lang w:eastAsia="es-ES"/>
              </w:rPr>
            </w:pPr>
            <w:r w:rsidRPr="008A6F7E">
              <w:rPr>
                <w:lang w:eastAsia="es-ES"/>
              </w:rPr>
              <w:t>Gasto en Pensiones (Misión)</w:t>
            </w:r>
          </w:p>
        </w:tc>
        <w:tc>
          <w:tcPr>
            <w:tcW w:w="1780" w:type="dxa"/>
            <w:tcBorders>
              <w:top w:val="nil"/>
              <w:left w:val="nil"/>
              <w:bottom w:val="single" w:sz="4" w:space="0" w:color="A5A5A5"/>
              <w:right w:val="single" w:sz="4" w:space="0" w:color="A5A5A5"/>
            </w:tcBorders>
            <w:noWrap/>
            <w:vAlign w:val="bottom"/>
          </w:tcPr>
          <w:p w:rsidR="00BA05C2" w:rsidRPr="008A6F7E" w:rsidRDefault="00BA05C2" w:rsidP="00E30CFD">
            <w:pPr>
              <w:spacing w:after="0" w:line="240" w:lineRule="auto"/>
              <w:jc w:val="right"/>
              <w:rPr>
                <w:lang w:eastAsia="es-ES"/>
              </w:rPr>
            </w:pPr>
            <w:r w:rsidRPr="008A6F7E">
              <w:rPr>
                <w:lang w:eastAsia="es-ES"/>
              </w:rPr>
              <w:t>14.353.530,3</w:t>
            </w:r>
          </w:p>
        </w:tc>
        <w:tc>
          <w:tcPr>
            <w:tcW w:w="1780" w:type="dxa"/>
            <w:tcBorders>
              <w:top w:val="nil"/>
              <w:left w:val="nil"/>
              <w:bottom w:val="single" w:sz="4" w:space="0" w:color="A5A5A5"/>
              <w:right w:val="single" w:sz="4" w:space="0" w:color="A5A5A5"/>
            </w:tcBorders>
            <w:noWrap/>
            <w:vAlign w:val="bottom"/>
          </w:tcPr>
          <w:p w:rsidR="00BA05C2" w:rsidRPr="008A6F7E" w:rsidRDefault="00BA05C2" w:rsidP="00E30CFD">
            <w:pPr>
              <w:spacing w:after="0" w:line="240" w:lineRule="auto"/>
              <w:jc w:val="right"/>
              <w:rPr>
                <w:lang w:eastAsia="es-ES"/>
              </w:rPr>
            </w:pPr>
            <w:r w:rsidRPr="008A6F7E">
              <w:rPr>
                <w:lang w:eastAsia="es-ES"/>
              </w:rPr>
              <w:t>11.231.835,4</w:t>
            </w:r>
          </w:p>
        </w:tc>
      </w:tr>
      <w:tr w:rsidR="00BA05C2" w:rsidRPr="008A6F7E" w:rsidTr="00C5769F">
        <w:trPr>
          <w:trHeight w:val="375"/>
          <w:jc w:val="center"/>
        </w:trPr>
        <w:tc>
          <w:tcPr>
            <w:tcW w:w="2800" w:type="dxa"/>
            <w:tcBorders>
              <w:top w:val="nil"/>
              <w:left w:val="single" w:sz="4" w:space="0" w:color="A5A5A5"/>
              <w:bottom w:val="single" w:sz="4" w:space="0" w:color="A5A5A5"/>
              <w:right w:val="single" w:sz="4" w:space="0" w:color="A5A5A5"/>
            </w:tcBorders>
            <w:noWrap/>
            <w:vAlign w:val="bottom"/>
          </w:tcPr>
          <w:p w:rsidR="00BA05C2" w:rsidRPr="008A6F7E" w:rsidRDefault="00BA05C2" w:rsidP="00E30CFD">
            <w:pPr>
              <w:spacing w:after="0" w:line="240" w:lineRule="auto"/>
              <w:rPr>
                <w:lang w:eastAsia="es-ES"/>
              </w:rPr>
            </w:pPr>
            <w:r w:rsidRPr="008A6F7E">
              <w:rPr>
                <w:lang w:eastAsia="es-ES"/>
              </w:rPr>
              <w:t>Gasto Administrativo</w:t>
            </w:r>
          </w:p>
        </w:tc>
        <w:tc>
          <w:tcPr>
            <w:tcW w:w="1780" w:type="dxa"/>
            <w:tcBorders>
              <w:top w:val="nil"/>
              <w:left w:val="nil"/>
              <w:bottom w:val="single" w:sz="4" w:space="0" w:color="A5A5A5"/>
              <w:right w:val="single" w:sz="4" w:space="0" w:color="A5A5A5"/>
            </w:tcBorders>
            <w:noWrap/>
            <w:vAlign w:val="bottom"/>
          </w:tcPr>
          <w:p w:rsidR="00BA05C2" w:rsidRPr="008A6F7E" w:rsidRDefault="00BA05C2" w:rsidP="00E30CFD">
            <w:pPr>
              <w:spacing w:after="0" w:line="240" w:lineRule="auto"/>
              <w:jc w:val="right"/>
              <w:rPr>
                <w:lang w:eastAsia="es-ES"/>
              </w:rPr>
            </w:pPr>
            <w:r w:rsidRPr="008A6F7E">
              <w:rPr>
                <w:lang w:eastAsia="es-ES"/>
              </w:rPr>
              <w:t>544.563,1</w:t>
            </w:r>
          </w:p>
        </w:tc>
        <w:tc>
          <w:tcPr>
            <w:tcW w:w="1780" w:type="dxa"/>
            <w:tcBorders>
              <w:top w:val="nil"/>
              <w:left w:val="nil"/>
              <w:bottom w:val="single" w:sz="4" w:space="0" w:color="A5A5A5"/>
              <w:right w:val="single" w:sz="4" w:space="0" w:color="A5A5A5"/>
            </w:tcBorders>
            <w:noWrap/>
            <w:vAlign w:val="bottom"/>
          </w:tcPr>
          <w:p w:rsidR="00BA05C2" w:rsidRPr="008A6F7E" w:rsidRDefault="00BA05C2" w:rsidP="00E30CFD">
            <w:pPr>
              <w:spacing w:after="0" w:line="240" w:lineRule="auto"/>
              <w:jc w:val="right"/>
              <w:rPr>
                <w:lang w:eastAsia="es-ES"/>
              </w:rPr>
            </w:pPr>
            <w:r w:rsidRPr="008A6F7E">
              <w:rPr>
                <w:lang w:eastAsia="es-ES"/>
              </w:rPr>
              <w:t>467.024,3</w:t>
            </w:r>
          </w:p>
        </w:tc>
      </w:tr>
      <w:tr w:rsidR="00BA05C2" w:rsidRPr="00E30CFD" w:rsidTr="00C5769F">
        <w:trPr>
          <w:trHeight w:val="375"/>
          <w:jc w:val="center"/>
        </w:trPr>
        <w:tc>
          <w:tcPr>
            <w:tcW w:w="2800" w:type="dxa"/>
            <w:tcBorders>
              <w:top w:val="nil"/>
              <w:left w:val="single" w:sz="4" w:space="0" w:color="A5A5A5"/>
              <w:bottom w:val="single" w:sz="4" w:space="0" w:color="A5A5A5"/>
              <w:right w:val="single" w:sz="4" w:space="0" w:color="A5A5A5"/>
            </w:tcBorders>
            <w:noWrap/>
            <w:vAlign w:val="bottom"/>
          </w:tcPr>
          <w:p w:rsidR="00BA05C2" w:rsidRPr="00E30CFD" w:rsidRDefault="00BA05C2" w:rsidP="00E30CFD">
            <w:pPr>
              <w:spacing w:after="0" w:line="240" w:lineRule="auto"/>
              <w:rPr>
                <w:b/>
                <w:bCs/>
                <w:lang w:eastAsia="es-ES"/>
              </w:rPr>
            </w:pPr>
            <w:r w:rsidRPr="00E30CFD">
              <w:rPr>
                <w:b/>
                <w:bCs/>
                <w:lang w:eastAsia="es-ES"/>
              </w:rPr>
              <w:t>Total Unidad de Pensiones</w:t>
            </w:r>
          </w:p>
        </w:tc>
        <w:tc>
          <w:tcPr>
            <w:tcW w:w="1780" w:type="dxa"/>
            <w:tcBorders>
              <w:top w:val="nil"/>
              <w:left w:val="nil"/>
              <w:bottom w:val="single" w:sz="4" w:space="0" w:color="A5A5A5"/>
              <w:right w:val="single" w:sz="4" w:space="0" w:color="A5A5A5"/>
            </w:tcBorders>
            <w:noWrap/>
            <w:vAlign w:val="bottom"/>
          </w:tcPr>
          <w:p w:rsidR="00BA05C2" w:rsidRPr="00E30CFD" w:rsidRDefault="00BA05C2" w:rsidP="00E30CFD">
            <w:pPr>
              <w:spacing w:after="0" w:line="240" w:lineRule="auto"/>
              <w:jc w:val="right"/>
              <w:rPr>
                <w:b/>
                <w:bCs/>
                <w:lang w:eastAsia="es-ES"/>
              </w:rPr>
            </w:pPr>
            <w:r w:rsidRPr="00E30CFD">
              <w:rPr>
                <w:b/>
                <w:bCs/>
                <w:lang w:eastAsia="es-ES"/>
              </w:rPr>
              <w:t>14.898.093,4</w:t>
            </w:r>
          </w:p>
        </w:tc>
        <w:tc>
          <w:tcPr>
            <w:tcW w:w="1780" w:type="dxa"/>
            <w:tcBorders>
              <w:top w:val="nil"/>
              <w:left w:val="nil"/>
              <w:bottom w:val="single" w:sz="4" w:space="0" w:color="A5A5A5"/>
              <w:right w:val="single" w:sz="4" w:space="0" w:color="A5A5A5"/>
            </w:tcBorders>
            <w:noWrap/>
            <w:vAlign w:val="bottom"/>
          </w:tcPr>
          <w:p w:rsidR="00BA05C2" w:rsidRPr="00E30CFD" w:rsidRDefault="00BA05C2" w:rsidP="00E30CFD">
            <w:pPr>
              <w:spacing w:after="0" w:line="240" w:lineRule="auto"/>
              <w:jc w:val="right"/>
              <w:rPr>
                <w:b/>
                <w:bCs/>
                <w:lang w:eastAsia="es-ES"/>
              </w:rPr>
            </w:pPr>
            <w:r w:rsidRPr="00E30CFD">
              <w:rPr>
                <w:b/>
                <w:bCs/>
                <w:lang w:eastAsia="es-ES"/>
              </w:rPr>
              <w:t>11.698.859,7</w:t>
            </w:r>
          </w:p>
        </w:tc>
      </w:tr>
    </w:tbl>
    <w:p w:rsidR="00BA05C2" w:rsidRDefault="00BA05C2" w:rsidP="00E30CFD">
      <w:pPr>
        <w:pStyle w:val="Prrafodelista"/>
        <w:spacing w:after="0" w:line="240" w:lineRule="auto"/>
        <w:ind w:left="0"/>
        <w:jc w:val="both"/>
        <w:rPr>
          <w:noProof/>
          <w:sz w:val="16"/>
          <w:szCs w:val="16"/>
          <w:lang w:eastAsia="es-ES"/>
        </w:rPr>
      </w:pPr>
      <w:r w:rsidRPr="00E30CFD">
        <w:rPr>
          <w:rFonts w:cs="Calibri"/>
          <w:b/>
          <w:sz w:val="24"/>
          <w:szCs w:val="24"/>
        </w:rPr>
        <w:t xml:space="preserve">                       </w:t>
      </w:r>
      <w:r w:rsidRPr="008A6F7E">
        <w:rPr>
          <w:noProof/>
          <w:lang w:eastAsia="es-ES"/>
        </w:rPr>
        <w:tab/>
      </w:r>
      <w:r>
        <w:rPr>
          <w:noProof/>
          <w:lang w:eastAsia="es-ES"/>
        </w:rPr>
        <w:t xml:space="preserve">                                           </w:t>
      </w:r>
      <w:r w:rsidRPr="00E30CFD">
        <w:rPr>
          <w:noProof/>
          <w:sz w:val="16"/>
          <w:szCs w:val="16"/>
          <w:lang w:eastAsia="es-ES"/>
        </w:rPr>
        <w:t>Millones de Pesos</w:t>
      </w:r>
    </w:p>
    <w:p w:rsidR="00BA05C2" w:rsidRDefault="00BA05C2" w:rsidP="00E30CFD">
      <w:pPr>
        <w:pStyle w:val="Prrafodelista"/>
        <w:spacing w:after="0" w:line="240" w:lineRule="auto"/>
        <w:ind w:left="0"/>
        <w:jc w:val="both"/>
        <w:rPr>
          <w:noProof/>
          <w:sz w:val="16"/>
          <w:szCs w:val="16"/>
          <w:lang w:eastAsia="es-ES"/>
        </w:rPr>
      </w:pPr>
    </w:p>
    <w:p w:rsidR="00BA05C2" w:rsidRPr="00E30CFD" w:rsidRDefault="00BA05C2" w:rsidP="00E30CFD">
      <w:pPr>
        <w:pStyle w:val="Prrafodelista"/>
        <w:spacing w:after="0" w:line="240" w:lineRule="auto"/>
        <w:ind w:left="0"/>
        <w:jc w:val="both"/>
        <w:rPr>
          <w:rFonts w:cs="Calibri"/>
          <w:b/>
          <w:sz w:val="16"/>
          <w:szCs w:val="16"/>
          <w:highlight w:val="yellow"/>
        </w:rPr>
      </w:pPr>
    </w:p>
    <w:p w:rsidR="00BA05C2" w:rsidRPr="00976831" w:rsidRDefault="00BA05C2" w:rsidP="00E30CFD">
      <w:pPr>
        <w:pStyle w:val="Prrafodelista"/>
        <w:spacing w:after="0" w:line="240" w:lineRule="auto"/>
        <w:ind w:left="0"/>
        <w:jc w:val="both"/>
        <w:rPr>
          <w:rFonts w:cs="Calibri"/>
          <w:sz w:val="24"/>
          <w:szCs w:val="24"/>
          <w:highlight w:val="yellow"/>
        </w:rPr>
      </w:pPr>
      <w:r w:rsidRPr="00976831">
        <w:rPr>
          <w:rFonts w:cs="Calibri"/>
          <w:sz w:val="24"/>
          <w:szCs w:val="24"/>
        </w:rPr>
        <w:t>El rubro de gastos de pensiones – misión</w:t>
      </w:r>
      <w:r>
        <w:rPr>
          <w:rFonts w:cs="Calibri"/>
          <w:sz w:val="24"/>
          <w:szCs w:val="24"/>
        </w:rPr>
        <w:t xml:space="preserve"> está referido a las inversiones que ha realizado el ISS en operación y liquidación para garantizar la entrega a COLPENSIONES. Entre las inversiones más relevantes se destacan: tercerización de los procesos de digitalización y custodia y administración de archivos, adquisición de licencias y demás infraestructura tecnológica para ese negocio.</w:t>
      </w:r>
    </w:p>
    <w:p w:rsidR="00BA05C2" w:rsidRPr="008A6F7E" w:rsidRDefault="00BA05C2" w:rsidP="00E30CFD">
      <w:pPr>
        <w:pStyle w:val="Prrafodelista"/>
        <w:spacing w:after="0" w:line="240" w:lineRule="auto"/>
        <w:jc w:val="both"/>
        <w:rPr>
          <w:rFonts w:cs="Calibri"/>
          <w:b/>
          <w:sz w:val="24"/>
          <w:szCs w:val="24"/>
          <w:highlight w:val="yellow"/>
        </w:rPr>
      </w:pPr>
    </w:p>
    <w:p w:rsidR="00BA05C2" w:rsidRPr="00E30CFD" w:rsidRDefault="00BA05C2" w:rsidP="00E30CFD">
      <w:pPr>
        <w:pStyle w:val="Prrafodelista"/>
        <w:numPr>
          <w:ilvl w:val="0"/>
          <w:numId w:val="22"/>
        </w:numPr>
        <w:spacing w:after="0" w:line="240" w:lineRule="auto"/>
        <w:jc w:val="both"/>
        <w:rPr>
          <w:rFonts w:cs="Calibri"/>
          <w:b/>
          <w:sz w:val="24"/>
          <w:szCs w:val="24"/>
        </w:rPr>
      </w:pPr>
      <w:r w:rsidRPr="00E30CFD">
        <w:rPr>
          <w:rFonts w:cs="Calibri"/>
          <w:b/>
          <w:sz w:val="24"/>
          <w:szCs w:val="24"/>
        </w:rPr>
        <w:t>Cual se estima que vaya a ser el costo de la liquidación del ISS y el faltante a pagar por el Estado? Cuanto se le ha pagado y se le va a apagar a la fiduciaria. Que le toca hacer a la fiduciaria?</w:t>
      </w:r>
    </w:p>
    <w:p w:rsidR="00BA05C2" w:rsidRPr="00E30CFD" w:rsidRDefault="00BA05C2" w:rsidP="00E30CFD">
      <w:pPr>
        <w:pStyle w:val="Prrafodelista"/>
        <w:spacing w:after="0" w:line="240" w:lineRule="auto"/>
        <w:jc w:val="both"/>
        <w:rPr>
          <w:rFonts w:cs="Calibri"/>
          <w:b/>
          <w:sz w:val="24"/>
          <w:szCs w:val="24"/>
          <w:highlight w:val="yellow"/>
        </w:rPr>
      </w:pPr>
    </w:p>
    <w:p w:rsidR="00BA05C2" w:rsidRPr="00E30CFD" w:rsidRDefault="00BA05C2" w:rsidP="00E30CFD">
      <w:pPr>
        <w:spacing w:line="240" w:lineRule="auto"/>
        <w:jc w:val="both"/>
        <w:rPr>
          <w:noProof/>
          <w:sz w:val="24"/>
          <w:szCs w:val="24"/>
          <w:lang w:eastAsia="es-ES"/>
        </w:rPr>
      </w:pPr>
      <w:r w:rsidRPr="00E30CFD">
        <w:rPr>
          <w:noProof/>
          <w:sz w:val="24"/>
          <w:szCs w:val="24"/>
          <w:lang w:eastAsia="es-ES"/>
        </w:rPr>
        <w:t xml:space="preserve">El Instituto de Seguros Sociales en liquidación presentó un proyecto de presupuesto por valor de $1,09 billones para efectuar la liquidación ordenada mediante el Decreto 2013 de 2012, correspondiente al período comprendido entre el 1 de enero y el 28 de septiembre </w:t>
      </w:r>
      <w:r w:rsidRPr="00E30CFD">
        <w:rPr>
          <w:noProof/>
          <w:sz w:val="24"/>
          <w:szCs w:val="24"/>
          <w:lang w:eastAsia="es-ES"/>
        </w:rPr>
        <w:lastRenderedPageBreak/>
        <w:t>de 2013, fecha en la cual debe finalizar la liquidación. El presupuesto fue aprobado mediante Resolución No 005 del 27 de diciembre de 2012, emitida por el CONFIS.</w:t>
      </w:r>
    </w:p>
    <w:p w:rsidR="00BA05C2" w:rsidRPr="00E30CFD" w:rsidRDefault="00BA05C2" w:rsidP="00E30CFD">
      <w:pPr>
        <w:spacing w:line="240" w:lineRule="auto"/>
        <w:jc w:val="both"/>
        <w:rPr>
          <w:noProof/>
          <w:sz w:val="24"/>
          <w:szCs w:val="24"/>
          <w:lang w:eastAsia="es-ES"/>
        </w:rPr>
      </w:pPr>
      <w:r w:rsidRPr="00E30CFD">
        <w:rPr>
          <w:noProof/>
          <w:sz w:val="24"/>
          <w:szCs w:val="24"/>
          <w:lang w:eastAsia="es-ES"/>
        </w:rPr>
        <w:t>Dentro de éste, para la vigencia aprobada, solamente se incluyeron recursos de la Nación con destino exclusivamente a la liquidación por valor de $339.464,8 millones.</w:t>
      </w:r>
    </w:p>
    <w:p w:rsidR="00BA05C2" w:rsidRPr="00E30CFD" w:rsidRDefault="00BA05C2" w:rsidP="00E30CFD">
      <w:pPr>
        <w:spacing w:line="240" w:lineRule="auto"/>
        <w:jc w:val="both"/>
        <w:rPr>
          <w:noProof/>
          <w:sz w:val="24"/>
          <w:szCs w:val="24"/>
          <w:lang w:eastAsia="es-ES"/>
        </w:rPr>
      </w:pPr>
      <w:r w:rsidRPr="00E30CFD">
        <w:rPr>
          <w:noProof/>
          <w:sz w:val="24"/>
          <w:szCs w:val="24"/>
          <w:lang w:eastAsia="es-ES"/>
        </w:rPr>
        <w:t xml:space="preserve">Actualmente, el Instituto se encuentra en el proceso de finalización del inventario de activos, pasivos, cuentas de orden y contingencias para establecer su valor de realización y de esta forma conocer los recursos que se tienen para pagar los pasivos a su cargo. </w:t>
      </w:r>
    </w:p>
    <w:p w:rsidR="00BA05C2" w:rsidRDefault="00BA05C2" w:rsidP="00E30CFD">
      <w:pPr>
        <w:tabs>
          <w:tab w:val="left" w:pos="426"/>
        </w:tabs>
        <w:spacing w:after="0" w:line="240" w:lineRule="auto"/>
        <w:jc w:val="both"/>
        <w:rPr>
          <w:rFonts w:cs="Arial"/>
          <w:b/>
        </w:rPr>
      </w:pPr>
    </w:p>
    <w:p w:rsidR="00BA05C2" w:rsidRPr="00E30CFD" w:rsidRDefault="00BA05C2" w:rsidP="00E30CFD">
      <w:pPr>
        <w:tabs>
          <w:tab w:val="left" w:pos="426"/>
        </w:tabs>
        <w:spacing w:after="0" w:line="240" w:lineRule="auto"/>
        <w:jc w:val="both"/>
        <w:rPr>
          <w:rFonts w:cs="Arial"/>
          <w:b/>
          <w:sz w:val="24"/>
          <w:szCs w:val="24"/>
        </w:rPr>
      </w:pPr>
      <w:r w:rsidRPr="00E30CFD">
        <w:rPr>
          <w:rFonts w:cs="Arial"/>
          <w:b/>
          <w:sz w:val="24"/>
          <w:szCs w:val="24"/>
        </w:rPr>
        <w:t>Cuanto se le ha pagado y se le va a pagar a la fiduciaria, qué le toca hacer a la Fiduciaria?</w:t>
      </w:r>
    </w:p>
    <w:p w:rsidR="009533A4" w:rsidRDefault="009533A4" w:rsidP="00E30CFD">
      <w:pPr>
        <w:spacing w:line="240" w:lineRule="auto"/>
        <w:jc w:val="both"/>
        <w:rPr>
          <w:noProof/>
          <w:sz w:val="24"/>
          <w:szCs w:val="24"/>
          <w:lang w:eastAsia="es-ES"/>
        </w:rPr>
      </w:pPr>
    </w:p>
    <w:p w:rsidR="00BA05C2" w:rsidRPr="00E30CFD" w:rsidRDefault="00BA05C2" w:rsidP="00E30CFD">
      <w:pPr>
        <w:spacing w:line="240" w:lineRule="auto"/>
        <w:jc w:val="both"/>
        <w:rPr>
          <w:noProof/>
          <w:sz w:val="24"/>
          <w:szCs w:val="24"/>
          <w:lang w:eastAsia="es-ES"/>
        </w:rPr>
      </w:pPr>
      <w:r w:rsidRPr="00E30CFD">
        <w:rPr>
          <w:noProof/>
          <w:sz w:val="24"/>
          <w:szCs w:val="24"/>
          <w:lang w:eastAsia="es-ES"/>
        </w:rPr>
        <w:t>En cumplimiento de lo establecido en el artículo 6 del Decreto 2013 de 2012, el Ministerio de Salud y Protección Social y Fiduciaria La Previsora S. A., han suscrito los siguientes contratos:</w:t>
      </w:r>
    </w:p>
    <w:p w:rsidR="00BA05C2" w:rsidRPr="00E30CFD" w:rsidRDefault="00BA05C2" w:rsidP="00E30CFD">
      <w:pPr>
        <w:pStyle w:val="Textoindependiente21"/>
        <w:numPr>
          <w:ilvl w:val="0"/>
          <w:numId w:val="25"/>
        </w:numPr>
        <w:ind w:left="567" w:hanging="283"/>
        <w:rPr>
          <w:rFonts w:ascii="Calibri" w:hAnsi="Calibri" w:cs="Arial"/>
          <w:i w:val="0"/>
          <w:szCs w:val="24"/>
        </w:rPr>
      </w:pPr>
      <w:r w:rsidRPr="00E30CFD">
        <w:rPr>
          <w:rFonts w:ascii="Calibri" w:hAnsi="Calibri" w:cs="Arial"/>
          <w:i w:val="0"/>
          <w:szCs w:val="24"/>
        </w:rPr>
        <w:t>Contrato 636 por valor de $1.000 millones, con vigencia entre el 1 de octubre de 2012 y el 15 de diciembre del mismo año.</w:t>
      </w:r>
    </w:p>
    <w:p w:rsidR="00BA05C2" w:rsidRPr="00E30CFD" w:rsidRDefault="00BA05C2" w:rsidP="00E30CFD">
      <w:pPr>
        <w:pStyle w:val="Textoindependiente21"/>
        <w:ind w:left="567"/>
        <w:rPr>
          <w:rFonts w:ascii="Calibri" w:hAnsi="Calibri" w:cs="Arial"/>
          <w:i w:val="0"/>
          <w:szCs w:val="24"/>
        </w:rPr>
      </w:pPr>
    </w:p>
    <w:p w:rsidR="00BA05C2" w:rsidRPr="00E30CFD" w:rsidRDefault="00BA05C2" w:rsidP="00E30CFD">
      <w:pPr>
        <w:pStyle w:val="Textoindependiente21"/>
        <w:numPr>
          <w:ilvl w:val="0"/>
          <w:numId w:val="25"/>
        </w:numPr>
        <w:ind w:left="567" w:hanging="283"/>
        <w:rPr>
          <w:rFonts w:ascii="Calibri" w:hAnsi="Calibri" w:cs="Arial"/>
          <w:i w:val="0"/>
          <w:szCs w:val="24"/>
        </w:rPr>
      </w:pPr>
      <w:r w:rsidRPr="00E30CFD">
        <w:rPr>
          <w:rFonts w:ascii="Calibri" w:hAnsi="Calibri" w:cs="Arial"/>
          <w:i w:val="0"/>
          <w:szCs w:val="24"/>
        </w:rPr>
        <w:t>Contrato 802 por valor de $2.600 millones, con vigencia entre el 16 de diciembre de 2012 y el 30 de junio de 2013.</w:t>
      </w:r>
    </w:p>
    <w:p w:rsidR="00BA05C2" w:rsidRPr="00E30CFD" w:rsidRDefault="00BA05C2" w:rsidP="00E30CFD">
      <w:pPr>
        <w:spacing w:after="0" w:line="240" w:lineRule="auto"/>
        <w:rPr>
          <w:rFonts w:cs="Arial"/>
          <w:sz w:val="24"/>
          <w:szCs w:val="24"/>
        </w:rPr>
      </w:pPr>
    </w:p>
    <w:p w:rsidR="00BA05C2" w:rsidRPr="00E30CFD" w:rsidRDefault="00BA05C2" w:rsidP="00E30CFD">
      <w:pPr>
        <w:spacing w:after="0" w:line="240" w:lineRule="auto"/>
        <w:jc w:val="both"/>
        <w:rPr>
          <w:rFonts w:cs="Arial"/>
          <w:sz w:val="24"/>
          <w:szCs w:val="24"/>
        </w:rPr>
      </w:pPr>
      <w:r w:rsidRPr="00E30CFD">
        <w:rPr>
          <w:rFonts w:cs="Arial"/>
          <w:sz w:val="24"/>
          <w:szCs w:val="24"/>
        </w:rPr>
        <w:t>En ambos casos el objeto del contrato es: “</w:t>
      </w:r>
      <w:r w:rsidRPr="00E30CFD">
        <w:rPr>
          <w:rFonts w:cs="Arial"/>
          <w:i/>
          <w:sz w:val="24"/>
          <w:szCs w:val="24"/>
        </w:rPr>
        <w:t>Realizar, por parte del LIQUIDADOR, bajo su absoluta e inmediata dirección y responsabilidad, todos los procedimientos, actividades y gestiones propias de la liquidación de la Empresa Industrial y Comercial del Estado Instituto de Seguros Sociales en liquidación, de conformidad con la designación efectuada para el efecto por el Gobierno Nacional mediante Decreto No. 2013 de 28 de Septiembre de 2012, dentro del marco de dicho acto administrativo, del Decreto Ley 254 de 2000 modificado por la Ley 1105 de 2006 y las demás normas que los modifiquen, sustituyan o reglamenten.”</w:t>
      </w:r>
    </w:p>
    <w:p w:rsidR="00BA05C2" w:rsidRPr="00E30CFD" w:rsidRDefault="00BA05C2" w:rsidP="00E30CFD">
      <w:pPr>
        <w:spacing w:line="240" w:lineRule="auto"/>
        <w:jc w:val="both"/>
        <w:rPr>
          <w:noProof/>
          <w:sz w:val="24"/>
          <w:szCs w:val="24"/>
          <w:lang w:eastAsia="es-ES"/>
        </w:rPr>
      </w:pPr>
    </w:p>
    <w:p w:rsidR="00BA05C2" w:rsidRPr="00E30CFD" w:rsidRDefault="00BA05C2" w:rsidP="00E30CFD">
      <w:pPr>
        <w:spacing w:line="240" w:lineRule="auto"/>
        <w:jc w:val="both"/>
        <w:rPr>
          <w:noProof/>
          <w:sz w:val="24"/>
          <w:szCs w:val="24"/>
          <w:lang w:eastAsia="es-ES"/>
        </w:rPr>
      </w:pPr>
      <w:r w:rsidRPr="00E30CFD">
        <w:rPr>
          <w:noProof/>
          <w:sz w:val="24"/>
          <w:szCs w:val="24"/>
          <w:lang w:eastAsia="es-ES"/>
        </w:rPr>
        <w:t>En caso de suscribirse otro contrato o adicionarse el vigente por un plazo de tres (3) meses, esto es hasta el 28 de septiembre de 2013, término establecido por el Decreto 2013 para concluir la liquidación del Instituto de Seguros Sociales, este valor será de aproximadamente $1.200 millones.</w:t>
      </w:r>
    </w:p>
    <w:p w:rsidR="00BA05C2" w:rsidRPr="00E30CFD" w:rsidRDefault="00BA05C2" w:rsidP="00E30CFD">
      <w:pPr>
        <w:spacing w:line="240" w:lineRule="auto"/>
        <w:jc w:val="both"/>
        <w:rPr>
          <w:noProof/>
          <w:sz w:val="24"/>
          <w:szCs w:val="24"/>
          <w:lang w:eastAsia="es-ES"/>
        </w:rPr>
      </w:pPr>
      <w:r w:rsidRPr="00E30CFD">
        <w:rPr>
          <w:noProof/>
          <w:sz w:val="24"/>
          <w:szCs w:val="24"/>
          <w:lang w:eastAsia="es-ES"/>
        </w:rPr>
        <w:t>En resumen, el valor total estimado a pagar a la Fiduciaria la Previsora S.A., a 28 de septiembre de 2013, es de $4.800 millones.</w:t>
      </w:r>
    </w:p>
    <w:p w:rsidR="00BA05C2" w:rsidRPr="008A6F7E" w:rsidRDefault="00BA05C2" w:rsidP="00E30CFD">
      <w:pPr>
        <w:spacing w:line="240" w:lineRule="auto"/>
        <w:jc w:val="both"/>
        <w:rPr>
          <w:noProof/>
          <w:lang w:eastAsia="es-ES"/>
        </w:rPr>
      </w:pPr>
      <w:r w:rsidRPr="008A6F7E">
        <w:rPr>
          <w:noProof/>
          <w:lang w:eastAsia="es-ES"/>
        </w:rPr>
        <w:t xml:space="preserve"> </w:t>
      </w:r>
    </w:p>
    <w:p w:rsidR="00BA05C2" w:rsidRPr="008A6F7E" w:rsidRDefault="00BA05C2" w:rsidP="00E30CFD">
      <w:pPr>
        <w:pStyle w:val="Prrafodelista"/>
        <w:numPr>
          <w:ilvl w:val="0"/>
          <w:numId w:val="22"/>
        </w:numPr>
        <w:spacing w:after="0" w:line="240" w:lineRule="auto"/>
        <w:jc w:val="both"/>
        <w:rPr>
          <w:rFonts w:cs="Calibri"/>
          <w:b/>
          <w:sz w:val="24"/>
          <w:szCs w:val="24"/>
        </w:rPr>
      </w:pPr>
      <w:r w:rsidRPr="008A6F7E">
        <w:rPr>
          <w:rFonts w:cs="Calibri"/>
          <w:b/>
          <w:sz w:val="24"/>
          <w:szCs w:val="24"/>
        </w:rPr>
        <w:lastRenderedPageBreak/>
        <w:t>Que inmuebles, software, mobiliario personal, contratos que traía el seguro social han sido o serán aprovechados por Colpensiones, indicar detalle y costo.</w:t>
      </w:r>
    </w:p>
    <w:p w:rsidR="00BA05C2" w:rsidRDefault="00BA05C2" w:rsidP="00E30CFD">
      <w:pPr>
        <w:pStyle w:val="Prrafodelista"/>
        <w:spacing w:line="240" w:lineRule="auto"/>
        <w:ind w:left="0"/>
        <w:jc w:val="both"/>
        <w:rPr>
          <w:rFonts w:cs="Calibri"/>
          <w:b/>
          <w:sz w:val="24"/>
          <w:szCs w:val="24"/>
        </w:rPr>
      </w:pPr>
    </w:p>
    <w:p w:rsidR="00BA05C2" w:rsidRDefault="00BA05C2" w:rsidP="00E30CFD">
      <w:pPr>
        <w:pStyle w:val="Prrafodelista"/>
        <w:spacing w:line="240" w:lineRule="auto"/>
        <w:ind w:left="0"/>
        <w:jc w:val="both"/>
        <w:rPr>
          <w:rFonts w:cs="Calibri"/>
          <w:sz w:val="24"/>
          <w:szCs w:val="24"/>
        </w:rPr>
      </w:pPr>
      <w:r w:rsidRPr="00A957CD">
        <w:rPr>
          <w:rFonts w:cs="Calibri"/>
          <w:sz w:val="24"/>
          <w:szCs w:val="24"/>
        </w:rPr>
        <w:t xml:space="preserve">El ISS en liquidación puso a disposición de COLPENSIONES </w:t>
      </w:r>
      <w:r>
        <w:rPr>
          <w:rFonts w:cs="Calibri"/>
          <w:sz w:val="24"/>
          <w:szCs w:val="24"/>
        </w:rPr>
        <w:t>toda su</w:t>
      </w:r>
      <w:r w:rsidRPr="00A957CD">
        <w:rPr>
          <w:rFonts w:cs="Calibri"/>
          <w:sz w:val="24"/>
          <w:szCs w:val="24"/>
        </w:rPr>
        <w:t xml:space="preserve"> infraestructura </w:t>
      </w:r>
      <w:r>
        <w:rPr>
          <w:rFonts w:cs="Calibri"/>
          <w:sz w:val="24"/>
          <w:szCs w:val="24"/>
        </w:rPr>
        <w:t xml:space="preserve">física, tecnológica y de recursos humanos. </w:t>
      </w:r>
    </w:p>
    <w:p w:rsidR="00BA05C2" w:rsidRDefault="00BA05C2" w:rsidP="00E30CFD">
      <w:pPr>
        <w:pStyle w:val="Prrafodelista"/>
        <w:spacing w:line="240" w:lineRule="auto"/>
        <w:ind w:left="0"/>
        <w:jc w:val="both"/>
        <w:rPr>
          <w:rFonts w:cs="Calibri"/>
          <w:sz w:val="24"/>
          <w:szCs w:val="24"/>
        </w:rPr>
      </w:pPr>
    </w:p>
    <w:p w:rsidR="00BA05C2" w:rsidRPr="00A957CD" w:rsidRDefault="00BA05C2" w:rsidP="00E30CFD">
      <w:pPr>
        <w:pStyle w:val="Prrafodelista"/>
        <w:spacing w:line="240" w:lineRule="auto"/>
        <w:ind w:left="0"/>
        <w:jc w:val="both"/>
        <w:rPr>
          <w:rFonts w:cs="Calibri"/>
          <w:sz w:val="24"/>
          <w:szCs w:val="24"/>
        </w:rPr>
      </w:pPr>
      <w:r>
        <w:rPr>
          <w:rFonts w:cs="Calibri"/>
          <w:sz w:val="24"/>
          <w:szCs w:val="24"/>
        </w:rPr>
        <w:t>A continuación se detalla lo que COLPENSIONES</w:t>
      </w:r>
      <w:r w:rsidRPr="00A957CD">
        <w:rPr>
          <w:rFonts w:cs="Calibri"/>
          <w:sz w:val="24"/>
          <w:szCs w:val="24"/>
        </w:rPr>
        <w:t xml:space="preserve"> </w:t>
      </w:r>
      <w:r>
        <w:rPr>
          <w:rFonts w:cs="Calibri"/>
          <w:sz w:val="24"/>
          <w:szCs w:val="24"/>
        </w:rPr>
        <w:t>decidió recibir:</w:t>
      </w:r>
    </w:p>
    <w:p w:rsidR="00BA05C2" w:rsidRPr="008A6F7E" w:rsidRDefault="00BA05C2" w:rsidP="00E30CFD">
      <w:pPr>
        <w:spacing w:line="240" w:lineRule="auto"/>
        <w:ind w:left="426" w:hanging="426"/>
        <w:jc w:val="both"/>
        <w:rPr>
          <w:rFonts w:cs="Arial"/>
          <w:b/>
          <w:iCs/>
        </w:rPr>
      </w:pPr>
      <w:r w:rsidRPr="008A6F7E">
        <w:rPr>
          <w:rFonts w:cs="Arial"/>
          <w:b/>
          <w:iCs/>
        </w:rPr>
        <w:t xml:space="preserve">     Software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
        <w:gridCol w:w="1979"/>
        <w:gridCol w:w="2112"/>
        <w:gridCol w:w="4187"/>
      </w:tblGrid>
      <w:tr w:rsidR="00BA05C2" w:rsidRPr="008A6F7E" w:rsidTr="009533A4">
        <w:tc>
          <w:tcPr>
            <w:tcW w:w="350" w:type="dxa"/>
          </w:tcPr>
          <w:p w:rsidR="00BA05C2" w:rsidRPr="008A6F7E" w:rsidRDefault="00BA05C2" w:rsidP="00E30CFD">
            <w:pPr>
              <w:spacing w:line="240" w:lineRule="auto"/>
              <w:jc w:val="both"/>
              <w:rPr>
                <w:rFonts w:cs="Arial"/>
                <w:iCs/>
                <w:sz w:val="18"/>
                <w:szCs w:val="18"/>
              </w:rPr>
            </w:pPr>
          </w:p>
        </w:tc>
        <w:tc>
          <w:tcPr>
            <w:tcW w:w="1979" w:type="dxa"/>
          </w:tcPr>
          <w:p w:rsidR="00BA05C2" w:rsidRPr="008A6F7E" w:rsidRDefault="00BA05C2" w:rsidP="00E30CFD">
            <w:pPr>
              <w:spacing w:line="240" w:lineRule="auto"/>
              <w:jc w:val="center"/>
              <w:rPr>
                <w:rFonts w:cs="Arial"/>
                <w:b/>
                <w:iCs/>
                <w:sz w:val="18"/>
                <w:szCs w:val="18"/>
              </w:rPr>
            </w:pPr>
            <w:r w:rsidRPr="008A6F7E">
              <w:rPr>
                <w:rFonts w:cs="Arial"/>
                <w:b/>
                <w:iCs/>
                <w:sz w:val="18"/>
                <w:szCs w:val="18"/>
              </w:rPr>
              <w:t>Descripción</w:t>
            </w:r>
          </w:p>
        </w:tc>
        <w:tc>
          <w:tcPr>
            <w:tcW w:w="2112" w:type="dxa"/>
          </w:tcPr>
          <w:p w:rsidR="00BA05C2" w:rsidRPr="008A6F7E" w:rsidRDefault="00BA05C2" w:rsidP="00E30CFD">
            <w:pPr>
              <w:spacing w:line="240" w:lineRule="auto"/>
              <w:jc w:val="center"/>
              <w:rPr>
                <w:rFonts w:cs="Arial"/>
                <w:b/>
                <w:sz w:val="18"/>
                <w:szCs w:val="18"/>
              </w:rPr>
            </w:pPr>
            <w:r w:rsidRPr="008A6F7E">
              <w:rPr>
                <w:rFonts w:cs="Arial"/>
                <w:b/>
                <w:sz w:val="18"/>
                <w:szCs w:val="18"/>
              </w:rPr>
              <w:t>Valor</w:t>
            </w:r>
          </w:p>
        </w:tc>
        <w:tc>
          <w:tcPr>
            <w:tcW w:w="4187" w:type="dxa"/>
          </w:tcPr>
          <w:p w:rsidR="00BA05C2" w:rsidRPr="008A6F7E" w:rsidRDefault="00BA05C2" w:rsidP="00E30CFD">
            <w:pPr>
              <w:spacing w:line="240" w:lineRule="auto"/>
              <w:jc w:val="center"/>
              <w:rPr>
                <w:rFonts w:cs="Arial"/>
                <w:b/>
                <w:sz w:val="18"/>
                <w:szCs w:val="18"/>
              </w:rPr>
            </w:pPr>
            <w:r w:rsidRPr="008A6F7E">
              <w:rPr>
                <w:rFonts w:cs="Arial"/>
                <w:b/>
                <w:sz w:val="18"/>
                <w:szCs w:val="18"/>
              </w:rPr>
              <w:t>Observación</w:t>
            </w:r>
          </w:p>
        </w:tc>
      </w:tr>
      <w:tr w:rsidR="00BA05C2" w:rsidRPr="008A6F7E" w:rsidTr="009533A4">
        <w:tc>
          <w:tcPr>
            <w:tcW w:w="350" w:type="dxa"/>
          </w:tcPr>
          <w:p w:rsidR="00BA05C2" w:rsidRPr="008A6F7E" w:rsidRDefault="00BA05C2" w:rsidP="00E30CFD">
            <w:pPr>
              <w:spacing w:line="240" w:lineRule="auto"/>
              <w:jc w:val="both"/>
              <w:rPr>
                <w:rFonts w:cs="Arial"/>
                <w:iCs/>
                <w:sz w:val="18"/>
                <w:szCs w:val="18"/>
              </w:rPr>
            </w:pPr>
          </w:p>
          <w:p w:rsidR="00BA05C2" w:rsidRPr="008A6F7E" w:rsidRDefault="00BA05C2" w:rsidP="00E30CFD">
            <w:pPr>
              <w:spacing w:line="240" w:lineRule="auto"/>
              <w:jc w:val="both"/>
              <w:rPr>
                <w:rFonts w:cs="Arial"/>
                <w:iCs/>
                <w:sz w:val="18"/>
                <w:szCs w:val="18"/>
              </w:rPr>
            </w:pPr>
            <w:r w:rsidRPr="008A6F7E">
              <w:rPr>
                <w:rFonts w:cs="Arial"/>
                <w:iCs/>
                <w:sz w:val="18"/>
                <w:szCs w:val="18"/>
              </w:rPr>
              <w:t>1</w:t>
            </w:r>
          </w:p>
        </w:tc>
        <w:tc>
          <w:tcPr>
            <w:tcW w:w="1979" w:type="dxa"/>
          </w:tcPr>
          <w:p w:rsidR="00BA05C2" w:rsidRPr="008A6F7E" w:rsidRDefault="00BA05C2" w:rsidP="00E30CFD">
            <w:pPr>
              <w:spacing w:line="240" w:lineRule="auto"/>
              <w:jc w:val="both"/>
              <w:rPr>
                <w:rFonts w:cs="Arial"/>
                <w:iCs/>
                <w:sz w:val="18"/>
                <w:szCs w:val="18"/>
              </w:rPr>
            </w:pPr>
          </w:p>
          <w:p w:rsidR="00BA05C2" w:rsidRPr="008A6F7E" w:rsidRDefault="00BA05C2" w:rsidP="00E30CFD">
            <w:pPr>
              <w:spacing w:line="240" w:lineRule="auto"/>
              <w:jc w:val="both"/>
              <w:rPr>
                <w:rFonts w:cs="Arial"/>
                <w:iCs/>
                <w:sz w:val="18"/>
                <w:szCs w:val="18"/>
              </w:rPr>
            </w:pPr>
            <w:r w:rsidRPr="008A6F7E">
              <w:rPr>
                <w:rFonts w:cs="Arial"/>
                <w:iCs/>
                <w:sz w:val="18"/>
                <w:szCs w:val="18"/>
              </w:rPr>
              <w:t>Licencias SYBASE</w:t>
            </w:r>
          </w:p>
        </w:tc>
        <w:tc>
          <w:tcPr>
            <w:tcW w:w="2112" w:type="dxa"/>
          </w:tcPr>
          <w:p w:rsidR="00BA05C2" w:rsidRPr="008A6F7E" w:rsidRDefault="00BA05C2" w:rsidP="00E30CFD">
            <w:pPr>
              <w:spacing w:line="240" w:lineRule="auto"/>
              <w:jc w:val="center"/>
              <w:rPr>
                <w:rFonts w:cs="Arial"/>
                <w:sz w:val="18"/>
                <w:szCs w:val="18"/>
              </w:rPr>
            </w:pPr>
          </w:p>
          <w:p w:rsidR="00BA05C2" w:rsidRPr="008A6F7E" w:rsidRDefault="00BA05C2" w:rsidP="00E30CFD">
            <w:pPr>
              <w:spacing w:line="240" w:lineRule="auto"/>
              <w:jc w:val="center"/>
              <w:rPr>
                <w:rFonts w:cs="Arial"/>
                <w:iCs/>
                <w:sz w:val="18"/>
                <w:szCs w:val="18"/>
              </w:rPr>
            </w:pPr>
            <w:r w:rsidRPr="008A6F7E">
              <w:rPr>
                <w:rFonts w:cs="Arial"/>
                <w:sz w:val="18"/>
                <w:szCs w:val="18"/>
              </w:rPr>
              <w:t>$2.912.571.906</w:t>
            </w:r>
          </w:p>
        </w:tc>
        <w:tc>
          <w:tcPr>
            <w:tcW w:w="4187" w:type="dxa"/>
          </w:tcPr>
          <w:p w:rsidR="00BA05C2" w:rsidRPr="008A6F7E" w:rsidRDefault="00BA05C2" w:rsidP="00E30CFD">
            <w:pPr>
              <w:spacing w:line="240" w:lineRule="auto"/>
              <w:rPr>
                <w:rFonts w:cs="Arial"/>
                <w:sz w:val="18"/>
                <w:szCs w:val="18"/>
              </w:rPr>
            </w:pPr>
          </w:p>
          <w:p w:rsidR="00BA05C2" w:rsidRPr="008A6F7E" w:rsidRDefault="00BA05C2" w:rsidP="00E30CFD">
            <w:pPr>
              <w:spacing w:line="240" w:lineRule="auto"/>
              <w:jc w:val="both"/>
              <w:rPr>
                <w:rFonts w:cs="Arial"/>
                <w:sz w:val="18"/>
                <w:szCs w:val="18"/>
              </w:rPr>
            </w:pPr>
            <w:r w:rsidRPr="008A6F7E">
              <w:rPr>
                <w:rFonts w:cs="Arial"/>
                <w:sz w:val="18"/>
                <w:szCs w:val="18"/>
              </w:rPr>
              <w:t xml:space="preserve">Adquiridas mediante el Contrato No. 4500000295 de  2011 celebrado con MTBASE y cuyo objeto consistió en el  </w:t>
            </w:r>
            <w:r w:rsidRPr="008A6F7E">
              <w:rPr>
                <w:sz w:val="18"/>
                <w:szCs w:val="18"/>
              </w:rPr>
              <w:t>Suministro de licenciamiento de Bases de Datos SYBASE.</w:t>
            </w:r>
          </w:p>
          <w:p w:rsidR="00BA05C2" w:rsidRPr="008A6F7E" w:rsidRDefault="00BA05C2" w:rsidP="00E30CFD">
            <w:pPr>
              <w:spacing w:line="240" w:lineRule="auto"/>
              <w:jc w:val="center"/>
              <w:rPr>
                <w:rFonts w:cs="Arial"/>
                <w:sz w:val="18"/>
                <w:szCs w:val="18"/>
              </w:rPr>
            </w:pPr>
          </w:p>
        </w:tc>
      </w:tr>
      <w:tr w:rsidR="00BA05C2" w:rsidRPr="008A6F7E" w:rsidTr="009533A4">
        <w:tc>
          <w:tcPr>
            <w:tcW w:w="350" w:type="dxa"/>
          </w:tcPr>
          <w:p w:rsidR="00BA05C2" w:rsidRPr="008A6F7E" w:rsidRDefault="00BA05C2" w:rsidP="00E30CFD">
            <w:pPr>
              <w:spacing w:line="240" w:lineRule="auto"/>
              <w:jc w:val="both"/>
              <w:rPr>
                <w:rFonts w:cs="Arial"/>
                <w:iCs/>
                <w:sz w:val="18"/>
                <w:szCs w:val="18"/>
              </w:rPr>
            </w:pPr>
          </w:p>
          <w:p w:rsidR="00BA05C2" w:rsidRPr="008A6F7E" w:rsidRDefault="00BA05C2" w:rsidP="00E30CFD">
            <w:pPr>
              <w:spacing w:line="240" w:lineRule="auto"/>
              <w:jc w:val="both"/>
              <w:rPr>
                <w:rFonts w:cs="Arial"/>
                <w:iCs/>
                <w:sz w:val="18"/>
                <w:szCs w:val="18"/>
              </w:rPr>
            </w:pPr>
            <w:r w:rsidRPr="008A6F7E">
              <w:rPr>
                <w:rFonts w:cs="Arial"/>
                <w:iCs/>
                <w:sz w:val="18"/>
                <w:szCs w:val="18"/>
              </w:rPr>
              <w:t>2</w:t>
            </w:r>
          </w:p>
        </w:tc>
        <w:tc>
          <w:tcPr>
            <w:tcW w:w="1979" w:type="dxa"/>
          </w:tcPr>
          <w:p w:rsidR="00BA05C2" w:rsidRPr="008A6F7E" w:rsidRDefault="00BA05C2" w:rsidP="00E30CFD">
            <w:pPr>
              <w:spacing w:line="240" w:lineRule="auto"/>
              <w:jc w:val="both"/>
              <w:rPr>
                <w:rFonts w:cs="Arial"/>
                <w:iCs/>
                <w:sz w:val="18"/>
                <w:szCs w:val="18"/>
              </w:rPr>
            </w:pPr>
          </w:p>
          <w:p w:rsidR="00BA05C2" w:rsidRPr="008A6F7E" w:rsidRDefault="00BA05C2" w:rsidP="00E30CFD">
            <w:pPr>
              <w:spacing w:line="240" w:lineRule="auto"/>
              <w:jc w:val="both"/>
              <w:rPr>
                <w:rFonts w:cs="Arial"/>
                <w:iCs/>
                <w:sz w:val="18"/>
                <w:szCs w:val="18"/>
              </w:rPr>
            </w:pPr>
            <w:r w:rsidRPr="008A6F7E">
              <w:rPr>
                <w:rFonts w:cs="Arial"/>
                <w:iCs/>
                <w:sz w:val="18"/>
                <w:szCs w:val="18"/>
              </w:rPr>
              <w:t>Licencias MICROSOFT</w:t>
            </w:r>
          </w:p>
        </w:tc>
        <w:tc>
          <w:tcPr>
            <w:tcW w:w="2112" w:type="dxa"/>
          </w:tcPr>
          <w:p w:rsidR="00BA05C2" w:rsidRPr="008A6F7E" w:rsidRDefault="00BA05C2" w:rsidP="00E30CFD">
            <w:pPr>
              <w:spacing w:line="240" w:lineRule="auto"/>
              <w:jc w:val="center"/>
              <w:rPr>
                <w:rFonts w:cs="Arial"/>
                <w:sz w:val="18"/>
                <w:szCs w:val="18"/>
              </w:rPr>
            </w:pPr>
          </w:p>
          <w:p w:rsidR="00BA05C2" w:rsidRPr="008A6F7E" w:rsidRDefault="00BA05C2" w:rsidP="00E30CFD">
            <w:pPr>
              <w:spacing w:line="240" w:lineRule="auto"/>
              <w:jc w:val="center"/>
              <w:rPr>
                <w:rFonts w:cs="Arial"/>
                <w:sz w:val="18"/>
                <w:szCs w:val="18"/>
              </w:rPr>
            </w:pPr>
            <w:r w:rsidRPr="008A6F7E">
              <w:rPr>
                <w:rFonts w:cs="Arial"/>
                <w:sz w:val="18"/>
                <w:szCs w:val="18"/>
              </w:rPr>
              <w:t>$367.000.000</w:t>
            </w:r>
          </w:p>
        </w:tc>
        <w:tc>
          <w:tcPr>
            <w:tcW w:w="4187" w:type="dxa"/>
          </w:tcPr>
          <w:p w:rsidR="00BA05C2" w:rsidRPr="008A6F7E" w:rsidRDefault="00BA05C2" w:rsidP="00E30CFD">
            <w:pPr>
              <w:spacing w:line="240" w:lineRule="auto"/>
              <w:jc w:val="both"/>
              <w:rPr>
                <w:rFonts w:cs="Arial"/>
                <w:sz w:val="18"/>
                <w:szCs w:val="18"/>
              </w:rPr>
            </w:pPr>
          </w:p>
          <w:p w:rsidR="00BA05C2" w:rsidRPr="008A6F7E" w:rsidRDefault="00BA05C2" w:rsidP="00E30CFD">
            <w:pPr>
              <w:spacing w:line="240" w:lineRule="auto"/>
              <w:jc w:val="both"/>
              <w:rPr>
                <w:rFonts w:cs="Arial"/>
                <w:sz w:val="18"/>
                <w:szCs w:val="18"/>
              </w:rPr>
            </w:pPr>
            <w:r w:rsidRPr="008A6F7E">
              <w:rPr>
                <w:rFonts w:cs="Arial"/>
                <w:sz w:val="18"/>
                <w:szCs w:val="18"/>
              </w:rPr>
              <w:t>Estos ítem corresponden a licencias de software adquiridas por la Entidad  en los últimos 10 años y el valor se reporta sobre los costos de adquisición.</w:t>
            </w:r>
          </w:p>
          <w:p w:rsidR="00BA05C2" w:rsidRPr="008A6F7E" w:rsidRDefault="00BA05C2" w:rsidP="00E30CFD">
            <w:pPr>
              <w:spacing w:line="240" w:lineRule="auto"/>
              <w:jc w:val="both"/>
              <w:rPr>
                <w:rFonts w:cs="Arial"/>
                <w:sz w:val="18"/>
                <w:szCs w:val="18"/>
              </w:rPr>
            </w:pPr>
          </w:p>
        </w:tc>
      </w:tr>
      <w:tr w:rsidR="00BA05C2" w:rsidRPr="008A6F7E" w:rsidTr="009533A4">
        <w:tc>
          <w:tcPr>
            <w:tcW w:w="350" w:type="dxa"/>
          </w:tcPr>
          <w:p w:rsidR="00BA05C2" w:rsidRPr="008A6F7E" w:rsidRDefault="00BA05C2" w:rsidP="00E30CFD">
            <w:pPr>
              <w:spacing w:line="240" w:lineRule="auto"/>
              <w:jc w:val="both"/>
              <w:rPr>
                <w:rFonts w:cs="Arial"/>
                <w:iCs/>
                <w:sz w:val="18"/>
                <w:szCs w:val="18"/>
              </w:rPr>
            </w:pPr>
            <w:r w:rsidRPr="008A6F7E">
              <w:rPr>
                <w:rFonts w:cs="Arial"/>
                <w:iCs/>
                <w:sz w:val="18"/>
                <w:szCs w:val="18"/>
              </w:rPr>
              <w:t>3</w:t>
            </w:r>
          </w:p>
        </w:tc>
        <w:tc>
          <w:tcPr>
            <w:tcW w:w="1979" w:type="dxa"/>
          </w:tcPr>
          <w:p w:rsidR="00BA05C2" w:rsidRPr="008A6F7E" w:rsidRDefault="00BA05C2" w:rsidP="00E30CFD">
            <w:pPr>
              <w:spacing w:line="240" w:lineRule="auto"/>
              <w:jc w:val="both"/>
              <w:rPr>
                <w:rFonts w:cs="Arial"/>
                <w:iCs/>
                <w:sz w:val="18"/>
                <w:szCs w:val="18"/>
              </w:rPr>
            </w:pPr>
            <w:r w:rsidRPr="008A6F7E">
              <w:rPr>
                <w:rFonts w:cs="Arial"/>
                <w:iCs/>
                <w:sz w:val="18"/>
                <w:szCs w:val="18"/>
              </w:rPr>
              <w:t>Licencias Crystal Reports</w:t>
            </w:r>
          </w:p>
        </w:tc>
        <w:tc>
          <w:tcPr>
            <w:tcW w:w="2112" w:type="dxa"/>
          </w:tcPr>
          <w:p w:rsidR="00BA05C2" w:rsidRPr="008A6F7E" w:rsidRDefault="00BA05C2" w:rsidP="00E30CFD">
            <w:pPr>
              <w:spacing w:line="240" w:lineRule="auto"/>
              <w:jc w:val="center"/>
              <w:rPr>
                <w:rFonts w:cs="Arial"/>
                <w:sz w:val="18"/>
                <w:szCs w:val="18"/>
              </w:rPr>
            </w:pPr>
            <w:r w:rsidRPr="008A6F7E">
              <w:rPr>
                <w:rFonts w:cs="Arial"/>
                <w:sz w:val="18"/>
                <w:szCs w:val="18"/>
              </w:rPr>
              <w:t>$16.484.180</w:t>
            </w:r>
          </w:p>
        </w:tc>
        <w:tc>
          <w:tcPr>
            <w:tcW w:w="4187" w:type="dxa"/>
          </w:tcPr>
          <w:p w:rsidR="00BA05C2" w:rsidRPr="008A6F7E" w:rsidRDefault="00BA05C2" w:rsidP="00E30CFD">
            <w:pPr>
              <w:spacing w:line="240" w:lineRule="auto"/>
              <w:jc w:val="center"/>
              <w:rPr>
                <w:rFonts w:cs="Arial"/>
                <w:sz w:val="18"/>
                <w:szCs w:val="18"/>
              </w:rPr>
            </w:pPr>
          </w:p>
        </w:tc>
      </w:tr>
      <w:tr w:rsidR="00BA05C2" w:rsidRPr="008A6F7E" w:rsidTr="009533A4">
        <w:tc>
          <w:tcPr>
            <w:tcW w:w="2329" w:type="dxa"/>
            <w:gridSpan w:val="2"/>
          </w:tcPr>
          <w:p w:rsidR="00BA05C2" w:rsidRPr="008A6F7E" w:rsidRDefault="00BA05C2" w:rsidP="00E30CFD">
            <w:pPr>
              <w:spacing w:line="240" w:lineRule="auto"/>
              <w:jc w:val="both"/>
              <w:rPr>
                <w:rFonts w:cs="Arial"/>
                <w:b/>
                <w:iCs/>
                <w:sz w:val="18"/>
                <w:szCs w:val="18"/>
              </w:rPr>
            </w:pPr>
            <w:r w:rsidRPr="008A6F7E">
              <w:rPr>
                <w:rFonts w:cs="Arial"/>
                <w:b/>
                <w:iCs/>
                <w:sz w:val="18"/>
                <w:szCs w:val="18"/>
              </w:rPr>
              <w:t>TOTAL</w:t>
            </w:r>
          </w:p>
        </w:tc>
        <w:tc>
          <w:tcPr>
            <w:tcW w:w="2112" w:type="dxa"/>
          </w:tcPr>
          <w:p w:rsidR="00BA05C2" w:rsidRPr="008A6F7E" w:rsidRDefault="00BA05C2" w:rsidP="00E30CFD">
            <w:pPr>
              <w:spacing w:line="240" w:lineRule="auto"/>
              <w:jc w:val="center"/>
              <w:rPr>
                <w:rFonts w:cs="Arial"/>
                <w:b/>
                <w:sz w:val="18"/>
                <w:szCs w:val="18"/>
              </w:rPr>
            </w:pPr>
            <w:r w:rsidRPr="008A6F7E">
              <w:rPr>
                <w:rFonts w:cs="Arial"/>
                <w:b/>
                <w:sz w:val="18"/>
                <w:szCs w:val="18"/>
              </w:rPr>
              <w:t>$3.296.056.086</w:t>
            </w:r>
          </w:p>
        </w:tc>
        <w:tc>
          <w:tcPr>
            <w:tcW w:w="4187" w:type="dxa"/>
          </w:tcPr>
          <w:p w:rsidR="00BA05C2" w:rsidRPr="008A6F7E" w:rsidRDefault="00BA05C2" w:rsidP="00E30CFD">
            <w:pPr>
              <w:spacing w:line="240" w:lineRule="auto"/>
              <w:jc w:val="center"/>
              <w:rPr>
                <w:rFonts w:cs="Arial"/>
                <w:b/>
                <w:sz w:val="18"/>
                <w:szCs w:val="18"/>
              </w:rPr>
            </w:pPr>
          </w:p>
        </w:tc>
      </w:tr>
    </w:tbl>
    <w:p w:rsidR="00BA05C2" w:rsidRPr="00E30CFD" w:rsidRDefault="00BA05C2" w:rsidP="00E30CFD">
      <w:pPr>
        <w:spacing w:line="240" w:lineRule="auto"/>
        <w:rPr>
          <w:rFonts w:cs="Arial"/>
          <w:b/>
          <w:iCs/>
          <w:sz w:val="16"/>
          <w:szCs w:val="16"/>
        </w:rPr>
      </w:pPr>
      <w:r>
        <w:rPr>
          <w:rFonts w:cs="Arial"/>
          <w:b/>
          <w:iCs/>
          <w:sz w:val="18"/>
          <w:szCs w:val="18"/>
        </w:rPr>
        <w:t xml:space="preserve">                                                        </w:t>
      </w:r>
      <w:r w:rsidRPr="00E30CFD">
        <w:rPr>
          <w:rFonts w:cs="Arial"/>
          <w:b/>
          <w:iCs/>
          <w:sz w:val="16"/>
          <w:szCs w:val="16"/>
        </w:rPr>
        <w:t>FUENTE: Gerencia Nacional de Informática.</w:t>
      </w:r>
    </w:p>
    <w:p w:rsidR="00BA05C2" w:rsidRPr="008A6F7E" w:rsidRDefault="00BA05C2" w:rsidP="00E30CFD">
      <w:pPr>
        <w:spacing w:line="240" w:lineRule="auto"/>
        <w:ind w:left="426"/>
        <w:jc w:val="both"/>
        <w:rPr>
          <w:rFonts w:cs="Arial"/>
          <w:b/>
          <w:iCs/>
        </w:rPr>
      </w:pPr>
      <w:r w:rsidRPr="008A6F7E">
        <w:rPr>
          <w:rFonts w:cs="Arial"/>
          <w:b/>
          <w:iCs/>
        </w:rPr>
        <w:t>Hardware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
        <w:gridCol w:w="1983"/>
        <w:gridCol w:w="2142"/>
        <w:gridCol w:w="4151"/>
      </w:tblGrid>
      <w:tr w:rsidR="00BA05C2" w:rsidRPr="008A6F7E" w:rsidTr="006751E0">
        <w:tc>
          <w:tcPr>
            <w:tcW w:w="352" w:type="dxa"/>
          </w:tcPr>
          <w:p w:rsidR="00BA05C2" w:rsidRPr="008A6F7E" w:rsidRDefault="00BA05C2" w:rsidP="00E30CFD">
            <w:pPr>
              <w:spacing w:line="240" w:lineRule="auto"/>
              <w:jc w:val="both"/>
              <w:rPr>
                <w:rFonts w:cs="Arial"/>
                <w:iCs/>
                <w:sz w:val="20"/>
                <w:szCs w:val="20"/>
              </w:rPr>
            </w:pPr>
          </w:p>
        </w:tc>
        <w:tc>
          <w:tcPr>
            <w:tcW w:w="1983" w:type="dxa"/>
          </w:tcPr>
          <w:p w:rsidR="00BA05C2" w:rsidRPr="008A6F7E" w:rsidRDefault="00BA05C2" w:rsidP="00E30CFD">
            <w:pPr>
              <w:spacing w:line="240" w:lineRule="auto"/>
              <w:jc w:val="center"/>
              <w:rPr>
                <w:rFonts w:cs="Arial"/>
                <w:b/>
                <w:iCs/>
                <w:sz w:val="20"/>
                <w:szCs w:val="20"/>
              </w:rPr>
            </w:pPr>
            <w:r w:rsidRPr="008A6F7E">
              <w:rPr>
                <w:rFonts w:cs="Arial"/>
                <w:b/>
                <w:iCs/>
                <w:sz w:val="20"/>
                <w:szCs w:val="20"/>
              </w:rPr>
              <w:t>Descripción</w:t>
            </w:r>
          </w:p>
        </w:tc>
        <w:tc>
          <w:tcPr>
            <w:tcW w:w="2142" w:type="dxa"/>
          </w:tcPr>
          <w:p w:rsidR="00BA05C2" w:rsidRPr="008A6F7E" w:rsidRDefault="00BA05C2" w:rsidP="00E30CFD">
            <w:pPr>
              <w:spacing w:line="240" w:lineRule="auto"/>
              <w:jc w:val="center"/>
              <w:rPr>
                <w:rFonts w:cs="Arial"/>
                <w:b/>
                <w:sz w:val="20"/>
                <w:szCs w:val="20"/>
              </w:rPr>
            </w:pPr>
            <w:r w:rsidRPr="008A6F7E">
              <w:rPr>
                <w:rFonts w:cs="Arial"/>
                <w:b/>
                <w:sz w:val="20"/>
                <w:szCs w:val="20"/>
              </w:rPr>
              <w:t>Valor</w:t>
            </w:r>
          </w:p>
        </w:tc>
        <w:tc>
          <w:tcPr>
            <w:tcW w:w="4151" w:type="dxa"/>
          </w:tcPr>
          <w:p w:rsidR="00BA05C2" w:rsidRPr="008A6F7E" w:rsidRDefault="00BA05C2" w:rsidP="00E30CFD">
            <w:pPr>
              <w:spacing w:line="240" w:lineRule="auto"/>
              <w:jc w:val="center"/>
              <w:rPr>
                <w:rFonts w:cs="Arial"/>
                <w:b/>
                <w:sz w:val="20"/>
                <w:szCs w:val="20"/>
              </w:rPr>
            </w:pPr>
            <w:r w:rsidRPr="008A6F7E">
              <w:rPr>
                <w:rFonts w:cs="Arial"/>
                <w:b/>
                <w:sz w:val="20"/>
                <w:szCs w:val="20"/>
              </w:rPr>
              <w:t>Observación</w:t>
            </w:r>
          </w:p>
        </w:tc>
      </w:tr>
      <w:tr w:rsidR="00BA05C2" w:rsidRPr="008A6F7E" w:rsidTr="006751E0">
        <w:tc>
          <w:tcPr>
            <w:tcW w:w="352" w:type="dxa"/>
          </w:tcPr>
          <w:p w:rsidR="00BA05C2" w:rsidRPr="008A6F7E" w:rsidRDefault="00BA05C2" w:rsidP="00E30CFD">
            <w:pPr>
              <w:spacing w:line="240" w:lineRule="auto"/>
              <w:jc w:val="both"/>
              <w:rPr>
                <w:rFonts w:cs="Arial"/>
                <w:iCs/>
                <w:sz w:val="20"/>
                <w:szCs w:val="20"/>
              </w:rPr>
            </w:pPr>
          </w:p>
          <w:p w:rsidR="00BA05C2" w:rsidRPr="008A6F7E" w:rsidRDefault="00BA05C2" w:rsidP="00E30CFD">
            <w:pPr>
              <w:spacing w:line="240" w:lineRule="auto"/>
              <w:jc w:val="both"/>
              <w:rPr>
                <w:rFonts w:cs="Arial"/>
                <w:iCs/>
                <w:sz w:val="20"/>
                <w:szCs w:val="20"/>
              </w:rPr>
            </w:pPr>
          </w:p>
          <w:p w:rsidR="00BA05C2" w:rsidRPr="008A6F7E" w:rsidRDefault="00BA05C2" w:rsidP="00E30CFD">
            <w:pPr>
              <w:spacing w:line="240" w:lineRule="auto"/>
              <w:jc w:val="both"/>
              <w:rPr>
                <w:rFonts w:cs="Arial"/>
                <w:iCs/>
                <w:sz w:val="20"/>
                <w:szCs w:val="20"/>
              </w:rPr>
            </w:pPr>
            <w:r w:rsidRPr="008A6F7E">
              <w:rPr>
                <w:rFonts w:cs="Arial"/>
                <w:iCs/>
                <w:sz w:val="20"/>
                <w:szCs w:val="20"/>
              </w:rPr>
              <w:t>1</w:t>
            </w:r>
          </w:p>
        </w:tc>
        <w:tc>
          <w:tcPr>
            <w:tcW w:w="1983" w:type="dxa"/>
          </w:tcPr>
          <w:p w:rsidR="00BA05C2" w:rsidRPr="008A6F7E" w:rsidRDefault="00BA05C2" w:rsidP="00E30CFD">
            <w:pPr>
              <w:spacing w:line="240" w:lineRule="auto"/>
              <w:jc w:val="both"/>
              <w:rPr>
                <w:rFonts w:cs="Arial"/>
                <w:iCs/>
                <w:sz w:val="20"/>
                <w:szCs w:val="20"/>
              </w:rPr>
            </w:pPr>
          </w:p>
          <w:p w:rsidR="00BA05C2" w:rsidRPr="008A6F7E" w:rsidRDefault="00BA05C2" w:rsidP="00E30CFD">
            <w:pPr>
              <w:spacing w:line="240" w:lineRule="auto"/>
              <w:jc w:val="both"/>
              <w:rPr>
                <w:rFonts w:cs="Arial"/>
                <w:iCs/>
                <w:sz w:val="20"/>
                <w:szCs w:val="20"/>
              </w:rPr>
            </w:pPr>
          </w:p>
          <w:p w:rsidR="00BA05C2" w:rsidRPr="008A6F7E" w:rsidRDefault="00BA05C2" w:rsidP="00E30CFD">
            <w:pPr>
              <w:spacing w:line="240" w:lineRule="auto"/>
              <w:jc w:val="both"/>
              <w:rPr>
                <w:rFonts w:cs="Arial"/>
                <w:iCs/>
                <w:sz w:val="20"/>
                <w:szCs w:val="20"/>
              </w:rPr>
            </w:pPr>
            <w:r w:rsidRPr="008A6F7E">
              <w:rPr>
                <w:rFonts w:cs="Arial"/>
                <w:iCs/>
                <w:sz w:val="20"/>
                <w:szCs w:val="20"/>
              </w:rPr>
              <w:t>Equipos</w:t>
            </w:r>
          </w:p>
        </w:tc>
        <w:tc>
          <w:tcPr>
            <w:tcW w:w="2142" w:type="dxa"/>
          </w:tcPr>
          <w:p w:rsidR="00BA05C2" w:rsidRPr="008A6F7E" w:rsidRDefault="00BA05C2" w:rsidP="00E30CFD">
            <w:pPr>
              <w:spacing w:line="240" w:lineRule="auto"/>
              <w:jc w:val="center"/>
              <w:rPr>
                <w:rFonts w:cs="Arial"/>
                <w:sz w:val="20"/>
                <w:szCs w:val="20"/>
              </w:rPr>
            </w:pPr>
          </w:p>
          <w:p w:rsidR="00BA05C2" w:rsidRPr="008A6F7E" w:rsidRDefault="00BA05C2" w:rsidP="00E30CFD">
            <w:pPr>
              <w:spacing w:line="240" w:lineRule="auto"/>
              <w:jc w:val="center"/>
              <w:rPr>
                <w:rFonts w:cs="Arial"/>
                <w:sz w:val="20"/>
                <w:szCs w:val="20"/>
              </w:rPr>
            </w:pPr>
          </w:p>
          <w:p w:rsidR="00BA05C2" w:rsidRPr="008A6F7E" w:rsidRDefault="00BA05C2" w:rsidP="00E30CFD">
            <w:pPr>
              <w:spacing w:line="240" w:lineRule="auto"/>
              <w:jc w:val="center"/>
              <w:rPr>
                <w:rFonts w:cs="Arial"/>
                <w:iCs/>
                <w:sz w:val="20"/>
                <w:szCs w:val="20"/>
              </w:rPr>
            </w:pPr>
            <w:r w:rsidRPr="008A6F7E">
              <w:rPr>
                <w:rFonts w:cs="Arial"/>
                <w:sz w:val="20"/>
                <w:szCs w:val="20"/>
              </w:rPr>
              <w:t>$3.157.716.791</w:t>
            </w:r>
          </w:p>
        </w:tc>
        <w:tc>
          <w:tcPr>
            <w:tcW w:w="4151" w:type="dxa"/>
          </w:tcPr>
          <w:p w:rsidR="00BA05C2" w:rsidRPr="008A6F7E" w:rsidRDefault="00BA05C2" w:rsidP="00E30CFD">
            <w:pPr>
              <w:spacing w:line="240" w:lineRule="auto"/>
              <w:jc w:val="both"/>
              <w:rPr>
                <w:rFonts w:cs="Arial"/>
                <w:sz w:val="20"/>
                <w:szCs w:val="20"/>
              </w:rPr>
            </w:pPr>
          </w:p>
          <w:p w:rsidR="00BA05C2" w:rsidRPr="008A6F7E" w:rsidRDefault="00BA05C2" w:rsidP="00E30CFD">
            <w:pPr>
              <w:spacing w:line="240" w:lineRule="auto"/>
              <w:jc w:val="both"/>
              <w:rPr>
                <w:sz w:val="18"/>
                <w:szCs w:val="18"/>
              </w:rPr>
            </w:pPr>
            <w:r w:rsidRPr="008A6F7E">
              <w:rPr>
                <w:rFonts w:cs="Arial"/>
                <w:sz w:val="20"/>
                <w:szCs w:val="20"/>
              </w:rPr>
              <w:t xml:space="preserve">Infraestructura adquirida mediante el Contrato No. </w:t>
            </w:r>
            <w:r w:rsidRPr="008A6F7E">
              <w:rPr>
                <w:rFonts w:cs="Arial"/>
                <w:iCs/>
                <w:sz w:val="18"/>
                <w:szCs w:val="18"/>
              </w:rPr>
              <w:t xml:space="preserve">4700010361 de 2011, celebrado con  ASSENDA S.A.S,  </w:t>
            </w:r>
            <w:r w:rsidRPr="008A6F7E">
              <w:rPr>
                <w:rFonts w:cs="Arial"/>
                <w:sz w:val="18"/>
                <w:szCs w:val="18"/>
              </w:rPr>
              <w:t xml:space="preserve">y cuyo objeto consistió en el  </w:t>
            </w:r>
            <w:r w:rsidRPr="008A6F7E">
              <w:rPr>
                <w:sz w:val="18"/>
                <w:szCs w:val="18"/>
              </w:rPr>
              <w:t>Suministro de un Servidor de Producción, Servidores BLADE, Servidores de Rack, Sistemas de Almacenamiento y soporte.</w:t>
            </w:r>
          </w:p>
          <w:p w:rsidR="00BA05C2" w:rsidRPr="008A6F7E" w:rsidRDefault="00BA05C2" w:rsidP="00E30CFD">
            <w:pPr>
              <w:spacing w:line="240" w:lineRule="auto"/>
              <w:jc w:val="both"/>
              <w:rPr>
                <w:rFonts w:cs="Arial"/>
                <w:sz w:val="20"/>
                <w:szCs w:val="20"/>
              </w:rPr>
            </w:pPr>
          </w:p>
        </w:tc>
      </w:tr>
    </w:tbl>
    <w:p w:rsidR="00BA05C2" w:rsidRPr="006751E0" w:rsidRDefault="00BA05C2" w:rsidP="006751E0">
      <w:pPr>
        <w:spacing w:line="240" w:lineRule="auto"/>
        <w:ind w:left="426"/>
        <w:jc w:val="both"/>
        <w:rPr>
          <w:rFonts w:cs="Arial"/>
          <w:iCs/>
          <w:sz w:val="16"/>
          <w:szCs w:val="16"/>
        </w:rPr>
      </w:pPr>
      <w:r w:rsidRPr="006751E0">
        <w:rPr>
          <w:rFonts w:cs="Arial"/>
          <w:iCs/>
          <w:sz w:val="16"/>
          <w:szCs w:val="16"/>
        </w:rPr>
        <w:t>FUENTE: Gerencia Nacional de Informática</w:t>
      </w:r>
    </w:p>
    <w:p w:rsidR="00BA05C2" w:rsidRPr="00E30CFD" w:rsidRDefault="00BA05C2" w:rsidP="006751E0">
      <w:pPr>
        <w:spacing w:line="240" w:lineRule="auto"/>
        <w:ind w:left="426"/>
        <w:jc w:val="both"/>
        <w:rPr>
          <w:rFonts w:cs="Arial"/>
          <w:iCs/>
        </w:rPr>
      </w:pPr>
      <w:r w:rsidRPr="008A6F7E">
        <w:rPr>
          <w:rFonts w:cs="Arial"/>
          <w:iCs/>
        </w:rPr>
        <w:t>(*) Este valor incluye el soft</w:t>
      </w:r>
      <w:r>
        <w:rPr>
          <w:rFonts w:cs="Arial"/>
          <w:iCs/>
        </w:rPr>
        <w:t xml:space="preserve">ware instalado en los equipos. </w:t>
      </w:r>
    </w:p>
    <w:p w:rsidR="00BA05C2" w:rsidRDefault="00BA05C2" w:rsidP="00D37407">
      <w:pPr>
        <w:spacing w:line="240" w:lineRule="auto"/>
        <w:ind w:left="426" w:hanging="426"/>
        <w:jc w:val="both"/>
        <w:rPr>
          <w:rFonts w:cs="Arial"/>
          <w:b/>
          <w:iCs/>
        </w:rPr>
      </w:pPr>
      <w:r w:rsidRPr="008A6F7E">
        <w:rPr>
          <w:rFonts w:cs="Arial"/>
          <w:b/>
          <w:iCs/>
        </w:rPr>
        <w:lastRenderedPageBreak/>
        <w:tab/>
        <w:t>Contratos:</w:t>
      </w:r>
    </w:p>
    <w:p w:rsidR="00BA05C2" w:rsidRDefault="00BA05C2" w:rsidP="00D37407">
      <w:pPr>
        <w:spacing w:line="240" w:lineRule="auto"/>
        <w:ind w:left="426" w:hanging="426"/>
        <w:jc w:val="both"/>
        <w:rPr>
          <w:rFonts w:cs="Arial"/>
          <w:iCs/>
        </w:rPr>
      </w:pPr>
      <w:r w:rsidRPr="008A6F7E">
        <w:rPr>
          <w:rFonts w:cs="Arial"/>
          <w:b/>
          <w:iCs/>
        </w:rPr>
        <w:tab/>
      </w:r>
      <w:r w:rsidRPr="008A6F7E">
        <w:rPr>
          <w:rFonts w:cs="Arial"/>
          <w:iCs/>
        </w:rPr>
        <w:t>Los contratos cedidos a Co</w:t>
      </w:r>
      <w:r>
        <w:rPr>
          <w:rFonts w:cs="Arial"/>
          <w:iCs/>
        </w:rPr>
        <w:t>l</w:t>
      </w:r>
      <w:r w:rsidRPr="008A6F7E">
        <w:rPr>
          <w:rFonts w:cs="Arial"/>
          <w:iCs/>
        </w:rPr>
        <w:t>pensiones con componente tecnológico fueron:</w:t>
      </w:r>
    </w:p>
    <w:p w:rsidR="00BA05C2" w:rsidRPr="00D37407" w:rsidRDefault="009A73DF" w:rsidP="0047611E">
      <w:pPr>
        <w:spacing w:line="240" w:lineRule="auto"/>
        <w:ind w:left="426" w:hanging="426"/>
        <w:jc w:val="center"/>
        <w:rPr>
          <w:rFonts w:cs="Arial"/>
          <w:iCs/>
        </w:rPr>
      </w:pPr>
      <w:r>
        <w:rPr>
          <w:noProof/>
          <w:lang w:eastAsia="es-CO"/>
        </w:rPr>
        <w:drawing>
          <wp:inline distT="0" distB="0" distL="0" distR="0">
            <wp:extent cx="4110990" cy="4723130"/>
            <wp:effectExtent l="19050" t="19050" r="22860" b="2032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0990" cy="4723130"/>
                    </a:xfrm>
                    <a:prstGeom prst="rect">
                      <a:avLst/>
                    </a:prstGeom>
                    <a:noFill/>
                    <a:ln w="6350" cmpd="sng">
                      <a:solidFill>
                        <a:srgbClr val="000000"/>
                      </a:solidFill>
                      <a:miter lim="800000"/>
                      <a:headEnd/>
                      <a:tailEnd/>
                    </a:ln>
                    <a:effectLst/>
                  </pic:spPr>
                </pic:pic>
              </a:graphicData>
            </a:graphic>
          </wp:inline>
        </w:drawing>
      </w:r>
    </w:p>
    <w:p w:rsidR="00BA05C2" w:rsidRPr="008A6F7E" w:rsidRDefault="00BA05C2" w:rsidP="00E30CFD">
      <w:pPr>
        <w:spacing w:line="240" w:lineRule="auto"/>
        <w:ind w:left="426" w:hanging="426"/>
        <w:jc w:val="center"/>
        <w:rPr>
          <w:rFonts w:cs="Arial"/>
          <w:b/>
          <w:iCs/>
          <w:sz w:val="18"/>
          <w:szCs w:val="18"/>
        </w:rPr>
      </w:pPr>
      <w:r w:rsidRPr="008A6F7E">
        <w:tab/>
      </w:r>
      <w:r w:rsidRPr="008A6F7E">
        <w:rPr>
          <w:rFonts w:cs="Arial"/>
          <w:b/>
          <w:iCs/>
          <w:sz w:val="18"/>
          <w:szCs w:val="18"/>
        </w:rPr>
        <w:t>FUENTE:</w:t>
      </w:r>
      <w:r>
        <w:rPr>
          <w:rFonts w:cs="Arial"/>
          <w:b/>
          <w:iCs/>
          <w:sz w:val="18"/>
          <w:szCs w:val="18"/>
        </w:rPr>
        <w:t xml:space="preserve"> Gerencia Nacional de Bienes y Servicios.</w:t>
      </w:r>
    </w:p>
    <w:p w:rsidR="00BA05C2" w:rsidRPr="00C54161" w:rsidRDefault="00BA05C2" w:rsidP="00E30CFD">
      <w:pPr>
        <w:spacing w:line="240" w:lineRule="auto"/>
        <w:ind w:left="426" w:hanging="426"/>
        <w:jc w:val="both"/>
        <w:rPr>
          <w:b/>
        </w:rPr>
      </w:pPr>
      <w:r>
        <w:rPr>
          <w:b/>
        </w:rPr>
        <w:t>Bienes:</w:t>
      </w:r>
    </w:p>
    <w:tbl>
      <w:tblPr>
        <w:tblW w:w="594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5"/>
        <w:gridCol w:w="1281"/>
        <w:gridCol w:w="1403"/>
        <w:gridCol w:w="1341"/>
      </w:tblGrid>
      <w:tr w:rsidR="00BA05C2" w:rsidRPr="0047611E" w:rsidTr="0047611E">
        <w:trPr>
          <w:trHeight w:val="1110"/>
          <w:jc w:val="center"/>
        </w:trPr>
        <w:tc>
          <w:tcPr>
            <w:tcW w:w="5940" w:type="dxa"/>
            <w:gridSpan w:val="4"/>
            <w:vAlign w:val="bottom"/>
          </w:tcPr>
          <w:p w:rsidR="00BA05C2" w:rsidRPr="0047611E" w:rsidRDefault="00BA05C2" w:rsidP="0047611E">
            <w:pPr>
              <w:spacing w:after="0" w:line="240" w:lineRule="auto"/>
              <w:jc w:val="center"/>
              <w:rPr>
                <w:b/>
                <w:bCs/>
                <w:color w:val="000000"/>
                <w:sz w:val="18"/>
                <w:szCs w:val="18"/>
                <w:lang w:val="es-ES" w:eastAsia="es-ES"/>
              </w:rPr>
            </w:pPr>
            <w:r w:rsidRPr="0047611E">
              <w:rPr>
                <w:b/>
                <w:bCs/>
                <w:color w:val="000000"/>
                <w:sz w:val="18"/>
                <w:szCs w:val="18"/>
                <w:lang w:val="es-ES" w:eastAsia="es-ES"/>
              </w:rPr>
              <w:t>RELACION  BIENES EXCLUIDOS DE LA MASA DE LIQUIDACION ENTREGADOS A COLPENSIONES</w:t>
            </w:r>
          </w:p>
        </w:tc>
      </w:tr>
      <w:tr w:rsidR="00BA05C2" w:rsidRPr="0047611E" w:rsidTr="0047611E">
        <w:trPr>
          <w:trHeight w:val="510"/>
          <w:jc w:val="center"/>
        </w:trPr>
        <w:tc>
          <w:tcPr>
            <w:tcW w:w="1801" w:type="dxa"/>
            <w:vAlign w:val="bottom"/>
          </w:tcPr>
          <w:p w:rsidR="00BA05C2" w:rsidRPr="0047611E" w:rsidRDefault="00BA05C2" w:rsidP="0047611E">
            <w:pPr>
              <w:spacing w:after="0" w:line="240" w:lineRule="auto"/>
              <w:jc w:val="center"/>
              <w:rPr>
                <w:b/>
                <w:bCs/>
                <w:color w:val="000000"/>
                <w:sz w:val="18"/>
                <w:szCs w:val="18"/>
                <w:lang w:val="es-ES" w:eastAsia="es-ES"/>
              </w:rPr>
            </w:pPr>
            <w:r w:rsidRPr="0047611E">
              <w:rPr>
                <w:b/>
                <w:bCs/>
                <w:color w:val="000000"/>
                <w:sz w:val="18"/>
                <w:szCs w:val="18"/>
                <w:lang w:val="es-ES" w:eastAsia="es-ES"/>
              </w:rPr>
              <w:t>DESCRIPCION</w:t>
            </w:r>
          </w:p>
        </w:tc>
        <w:tc>
          <w:tcPr>
            <w:tcW w:w="1308" w:type="dxa"/>
            <w:vAlign w:val="bottom"/>
          </w:tcPr>
          <w:p w:rsidR="00BA05C2" w:rsidRPr="0047611E" w:rsidRDefault="00BA05C2" w:rsidP="0047611E">
            <w:pPr>
              <w:spacing w:after="0" w:line="240" w:lineRule="auto"/>
              <w:jc w:val="center"/>
              <w:rPr>
                <w:b/>
                <w:bCs/>
                <w:color w:val="000000"/>
                <w:sz w:val="18"/>
                <w:szCs w:val="18"/>
                <w:lang w:val="es-ES" w:eastAsia="es-ES"/>
              </w:rPr>
            </w:pPr>
            <w:r w:rsidRPr="0047611E">
              <w:rPr>
                <w:b/>
                <w:bCs/>
                <w:color w:val="000000"/>
                <w:sz w:val="18"/>
                <w:szCs w:val="18"/>
                <w:lang w:val="es-ES" w:eastAsia="es-ES"/>
              </w:rPr>
              <w:t>VR. ADQUISICION</w:t>
            </w:r>
          </w:p>
        </w:tc>
        <w:tc>
          <w:tcPr>
            <w:tcW w:w="1446" w:type="dxa"/>
            <w:vAlign w:val="bottom"/>
          </w:tcPr>
          <w:p w:rsidR="00BA05C2" w:rsidRPr="0047611E" w:rsidRDefault="00BA05C2" w:rsidP="0047611E">
            <w:pPr>
              <w:spacing w:after="0" w:line="240" w:lineRule="auto"/>
              <w:jc w:val="center"/>
              <w:rPr>
                <w:b/>
                <w:bCs/>
                <w:color w:val="000000"/>
                <w:sz w:val="18"/>
                <w:szCs w:val="18"/>
                <w:lang w:val="es-ES" w:eastAsia="es-ES"/>
              </w:rPr>
            </w:pPr>
            <w:r w:rsidRPr="0047611E">
              <w:rPr>
                <w:b/>
                <w:bCs/>
                <w:color w:val="000000"/>
                <w:sz w:val="18"/>
                <w:szCs w:val="18"/>
                <w:lang w:val="es-ES" w:eastAsia="es-ES"/>
              </w:rPr>
              <w:t>DEPRECIACION</w:t>
            </w:r>
          </w:p>
        </w:tc>
        <w:tc>
          <w:tcPr>
            <w:tcW w:w="1385" w:type="dxa"/>
            <w:vAlign w:val="bottom"/>
          </w:tcPr>
          <w:p w:rsidR="00BA05C2" w:rsidRPr="0047611E" w:rsidRDefault="00BA05C2" w:rsidP="0047611E">
            <w:pPr>
              <w:spacing w:after="0" w:line="240" w:lineRule="auto"/>
              <w:jc w:val="center"/>
              <w:rPr>
                <w:b/>
                <w:bCs/>
                <w:color w:val="000000"/>
                <w:sz w:val="18"/>
                <w:szCs w:val="18"/>
                <w:lang w:val="es-ES" w:eastAsia="es-ES"/>
              </w:rPr>
            </w:pPr>
            <w:r w:rsidRPr="0047611E">
              <w:rPr>
                <w:b/>
                <w:bCs/>
                <w:color w:val="000000"/>
                <w:sz w:val="18"/>
                <w:szCs w:val="18"/>
                <w:lang w:val="es-ES" w:eastAsia="es-ES"/>
              </w:rPr>
              <w:t>VR. CONTABLE</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VISORES DE MICROFICHAS INDUS</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lastRenderedPageBreak/>
              <w:t>VISORES DE MICROFICHAS EYECOM 1200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VISORES DE MICROFICHAS EYECOM 1200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750"/>
          <w:jc w:val="center"/>
        </w:trPr>
        <w:tc>
          <w:tcPr>
            <w:tcW w:w="1801" w:type="dxa"/>
            <w:vAlign w:val="bottom"/>
          </w:tcPr>
          <w:p w:rsidR="00BA05C2" w:rsidRPr="009533A4" w:rsidRDefault="00BA05C2" w:rsidP="0047611E">
            <w:pPr>
              <w:spacing w:after="0" w:line="240" w:lineRule="auto"/>
              <w:rPr>
                <w:color w:val="000000"/>
                <w:sz w:val="18"/>
                <w:szCs w:val="18"/>
                <w:lang w:val="en-US" w:eastAsia="es-ES"/>
              </w:rPr>
            </w:pPr>
            <w:r w:rsidRPr="009533A4">
              <w:rPr>
                <w:color w:val="000000"/>
                <w:sz w:val="18"/>
                <w:szCs w:val="18"/>
                <w:lang w:val="en-US" w:eastAsia="es-ES"/>
              </w:rPr>
              <w:t>VISORES DE MICROFICHAS  NORTH WEST</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51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VISORES DE MICROFICHAS</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VISOR DE MICROFICHAS MARCA EYECOM 1200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VISOR DE MICROFICHAS INDUS,  MODELO -04</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VISOR DE MICROFICHAS  MARCA MR-1,MODELO MR-1</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406.000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-179.317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226.683</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n-GB" w:eastAsia="es-ES"/>
              </w:rPr>
            </w:pPr>
            <w:r w:rsidRPr="0047611E">
              <w:rPr>
                <w:color w:val="000000"/>
                <w:sz w:val="18"/>
                <w:szCs w:val="18"/>
                <w:lang w:val="en-GB" w:eastAsia="es-ES"/>
              </w:rPr>
              <w:t>PC MOD. OPTIPLEX 745 INCLUYE LIC.MOLP2007- UB VIC</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2.281.526</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-2.281.526</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MUEBLE TIPO GAVETA EN LAMINA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5.544.800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-3.301.077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2.243.723</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MUEBLE TIPO GAVETA EN LAMINA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5.544.800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-3.301.077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2.243.723</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MUEBLE TIPO GAVETA EN LAMINA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5.544.800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-3.301.077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2.243.723</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MUEBLE TIPO GAVETA EN LAMINA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5.544.800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-3.301.077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2.243.723</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MUEBLE TIPO GAVETA EN LAMINA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5.544.800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-3.301.077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2.243.723</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LECTORES DE MICROFICHAS.  REF. EYE COM. 1200 C</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469.392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-469.392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VISOR DE MICROFICHAS MICRON</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399.000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-399.000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315"/>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lastRenderedPageBreak/>
              <w:t>LECTOR VISOR</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315"/>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VISOR</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315"/>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VISOR</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PARA MICROFICHAS SA 0122/97, OT 299/98  SR:</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PARA MICROFICHAS EYECOM 1200 SR: 11402, SA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PARA MICROFICHAS EYECOM   1200    SR.11425</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PARA MICROFICHAS ,  EYECOM SR: 108722, S.A.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PARA MICROFICHAS  SR: 11395, SA 0122/97, OT</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PARA MICROFICHAS  EYECOM 1200 SR: 11407, SA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MICROFICHAS SR: 11396</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69.964</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-69.964</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IMPRESOR DE MICROFICHAS CANON REF PC 70 LEN</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1.273.666</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-1.273.666</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IMPRESOR `MINOLTA' MODELO RP6052, SERIE 361</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29.825.521</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-29.825.521</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123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EYE COM 1000 DE SOBREMESA, LENTES INTERCAMB</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637.560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-637.560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MICROFICHAS,HISTORIA LABORAL NIVEL NAL</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419.650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-419.650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123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pt-BR" w:eastAsia="es-ES"/>
              </w:rPr>
              <w:lastRenderedPageBreak/>
              <w:t xml:space="preserve">LECTOR DE MICROFICHAS MICROIMAGE MOD. </w:t>
            </w:r>
            <w:r w:rsidRPr="0047611E">
              <w:rPr>
                <w:color w:val="000000"/>
                <w:sz w:val="18"/>
                <w:szCs w:val="18"/>
                <w:lang w:val="es-ES" w:eastAsia="es-ES"/>
              </w:rPr>
              <w:t>MR-1 CON LEN</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171.000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-171.000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MICROCON</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470.000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-470.000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DE MICROFICHAS MARCA QUANTOR S/N 3312465142</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1.577.600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-1.358.231</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219.369</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 1000, SERIE: 114500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537.794</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-537.794</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 1000, SERIE: 111243</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537.794</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-537.794</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 1000, SERIE: 111241</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537.794</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-537.794</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DE MICROFICHAS EYECOM 1000   SR: 115143</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641.522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-641.522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 1000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641.522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-641.522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470.000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-470.000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CANON PC-70   SERIE NO: 3510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3.543.395</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-3.543.395</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EYECOM 1200 , SERIE -  1140</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-396.982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FICHERO METALICO DE 48 GAV. PARA MICROFICHAS</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3.521.567</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-3.521.567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lastRenderedPageBreak/>
              <w:t xml:space="preserve"> LECTOR DE MICROFICHAS EYECOM 1000 SR 115145</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641.522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-641.522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SWITCH HP A5820-24XG-SFP- UBI CENTRO COMPUTO</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196.552.205</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-16.379.350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180.172.855</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SISTEMA DE ALMACENAMIENTO COMPUESTO POR 3 SWICH</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976.830.637</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-32.561.021</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944.269.616</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SERVIDOR III MOD. RX8640 RACK</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760.633.819</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-760.633.819</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SERVIDOR DE RACK DL360 G7 ESX, CON UNA LICENCIA</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143.087.059</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-4.769.569</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138.317.490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SERVIDOR BLADE BL890c i2  MARCA HP CON SOFWARE INC</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706.466.229</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-58.872.185</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647.594.044</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SAN SWITCHES- UB CENTRO DE COMPUTO</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16.522.475</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-1.376.873</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15.145.602</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LIBRERÍA DE BACKUP MSL 4048 (CAJA  ROBOT)</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56.498.119</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-4.708.177</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51.789.942</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EVA 8400, COMPUESTA POR DISCOS DUROS UNIDAD DE</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537.205.966</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-44.767.164</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492.438.802</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ARREGLO DE 6 SERVIDORES (SERVIDOR DE APLICACIONES)</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568.350.500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-47.362.542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520.987.958</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MICRON</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399.000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-399.000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990"/>
          <w:jc w:val="center"/>
        </w:trPr>
        <w:tc>
          <w:tcPr>
            <w:tcW w:w="1801" w:type="dxa"/>
            <w:vAlign w:val="bottom"/>
          </w:tcPr>
          <w:p w:rsidR="00BA05C2" w:rsidRPr="0047611E" w:rsidRDefault="00BA05C2" w:rsidP="0047611E">
            <w:pPr>
              <w:spacing w:after="0" w:line="240" w:lineRule="auto"/>
              <w:rPr>
                <w:color w:val="000000"/>
                <w:sz w:val="18"/>
                <w:szCs w:val="18"/>
                <w:lang w:val="pt-BR" w:eastAsia="es-ES"/>
              </w:rPr>
            </w:pPr>
            <w:r w:rsidRPr="0047611E">
              <w:rPr>
                <w:color w:val="000000"/>
                <w:sz w:val="18"/>
                <w:szCs w:val="18"/>
                <w:lang w:val="pt-BR" w:eastAsia="es-ES"/>
              </w:rPr>
              <w:t>LECTOR DE MICROFICHAS MICROM S/N 3D3369</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27.200</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-27.200</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750"/>
          <w:jc w:val="center"/>
        </w:trPr>
        <w:tc>
          <w:tcPr>
            <w:tcW w:w="1801" w:type="dxa"/>
            <w:vAlign w:val="bottom"/>
          </w:tcPr>
          <w:p w:rsidR="00BA05C2" w:rsidRPr="0047611E" w:rsidRDefault="00BA05C2" w:rsidP="0047611E">
            <w:pPr>
              <w:spacing w:after="0" w:line="240" w:lineRule="auto"/>
              <w:rPr>
                <w:color w:val="000000"/>
                <w:sz w:val="18"/>
                <w:szCs w:val="18"/>
                <w:lang w:val="es-ES" w:eastAsia="es-ES"/>
              </w:rPr>
            </w:pPr>
            <w:r w:rsidRPr="0047611E">
              <w:rPr>
                <w:color w:val="000000"/>
                <w:sz w:val="18"/>
                <w:szCs w:val="18"/>
                <w:lang w:val="es-ES" w:eastAsia="es-ES"/>
              </w:rPr>
              <w:t>LECTOR DE MICROFICHAS MARCA INDUS</w:t>
            </w:r>
          </w:p>
        </w:tc>
        <w:tc>
          <w:tcPr>
            <w:tcW w:w="1308"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469.392</w:t>
            </w:r>
          </w:p>
        </w:tc>
        <w:tc>
          <w:tcPr>
            <w:tcW w:w="1446"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-469.392</w:t>
            </w:r>
          </w:p>
        </w:tc>
        <w:tc>
          <w:tcPr>
            <w:tcW w:w="1385" w:type="dxa"/>
            <w:vAlign w:val="bottom"/>
          </w:tcPr>
          <w:p w:rsidR="00BA05C2" w:rsidRPr="0047611E" w:rsidRDefault="00BA05C2" w:rsidP="0047611E">
            <w:pPr>
              <w:spacing w:after="0" w:line="240" w:lineRule="auto"/>
              <w:jc w:val="right"/>
              <w:rPr>
                <w:color w:val="000000"/>
                <w:sz w:val="18"/>
                <w:szCs w:val="18"/>
                <w:lang w:val="es-ES" w:eastAsia="es-ES"/>
              </w:rPr>
            </w:pPr>
            <w:r w:rsidRPr="0047611E">
              <w:rPr>
                <w:color w:val="000000"/>
                <w:sz w:val="18"/>
                <w:szCs w:val="18"/>
                <w:lang w:val="es-ES" w:eastAsia="es-ES"/>
              </w:rPr>
              <w:t>0</w:t>
            </w:r>
          </w:p>
        </w:tc>
      </w:tr>
      <w:tr w:rsidR="00BA05C2" w:rsidRPr="0047611E" w:rsidTr="0047611E">
        <w:trPr>
          <w:trHeight w:val="315"/>
          <w:jc w:val="center"/>
        </w:trPr>
        <w:tc>
          <w:tcPr>
            <w:tcW w:w="1801" w:type="dxa"/>
            <w:vAlign w:val="bottom"/>
          </w:tcPr>
          <w:p w:rsidR="00BA05C2" w:rsidRPr="0047611E" w:rsidRDefault="00BA05C2" w:rsidP="0047611E">
            <w:pPr>
              <w:spacing w:after="0" w:line="240" w:lineRule="auto"/>
              <w:jc w:val="center"/>
              <w:rPr>
                <w:b/>
                <w:bCs/>
                <w:color w:val="000000"/>
                <w:sz w:val="18"/>
                <w:szCs w:val="18"/>
                <w:lang w:val="es-ES" w:eastAsia="es-ES"/>
              </w:rPr>
            </w:pPr>
            <w:r w:rsidRPr="0047611E">
              <w:rPr>
                <w:b/>
                <w:bCs/>
                <w:color w:val="000000"/>
                <w:sz w:val="18"/>
                <w:szCs w:val="18"/>
                <w:lang w:val="es-ES" w:eastAsia="es-ES"/>
              </w:rPr>
              <w:t>TOTAL</w:t>
            </w:r>
          </w:p>
        </w:tc>
        <w:tc>
          <w:tcPr>
            <w:tcW w:w="1308" w:type="dxa"/>
            <w:vAlign w:val="bottom"/>
          </w:tcPr>
          <w:p w:rsidR="00BA05C2" w:rsidRPr="0047611E" w:rsidRDefault="00BA05C2" w:rsidP="0047611E">
            <w:pPr>
              <w:spacing w:after="0" w:line="240" w:lineRule="auto"/>
              <w:jc w:val="right"/>
              <w:rPr>
                <w:b/>
                <w:bCs/>
                <w:color w:val="000000"/>
                <w:sz w:val="18"/>
                <w:szCs w:val="18"/>
                <w:lang w:val="es-ES" w:eastAsia="es-ES"/>
              </w:rPr>
            </w:pPr>
            <w:r w:rsidRPr="0047611E">
              <w:rPr>
                <w:b/>
                <w:bCs/>
                <w:color w:val="000000"/>
                <w:sz w:val="18"/>
                <w:szCs w:val="18"/>
                <w:lang w:val="es-ES" w:eastAsia="es-ES"/>
              </w:rPr>
              <w:t>4.047.049.192</w:t>
            </w:r>
          </w:p>
        </w:tc>
        <w:tc>
          <w:tcPr>
            <w:tcW w:w="1446" w:type="dxa"/>
            <w:vAlign w:val="bottom"/>
          </w:tcPr>
          <w:p w:rsidR="00BA05C2" w:rsidRPr="0047611E" w:rsidRDefault="00BA05C2" w:rsidP="0047611E">
            <w:pPr>
              <w:spacing w:after="0" w:line="240" w:lineRule="auto"/>
              <w:jc w:val="right"/>
              <w:rPr>
                <w:b/>
                <w:bCs/>
                <w:color w:val="000000"/>
                <w:sz w:val="18"/>
                <w:szCs w:val="18"/>
                <w:lang w:val="es-ES" w:eastAsia="es-ES"/>
              </w:rPr>
            </w:pPr>
            <w:r w:rsidRPr="0047611E">
              <w:rPr>
                <w:b/>
                <w:bCs/>
                <w:color w:val="000000"/>
                <w:sz w:val="18"/>
                <w:szCs w:val="18"/>
                <w:lang w:val="es-ES" w:eastAsia="es-ES"/>
              </w:rPr>
              <w:t>-1.043.308.118</w:t>
            </w:r>
          </w:p>
        </w:tc>
        <w:tc>
          <w:tcPr>
            <w:tcW w:w="1385" w:type="dxa"/>
            <w:vAlign w:val="bottom"/>
          </w:tcPr>
          <w:p w:rsidR="00BA05C2" w:rsidRPr="0047611E" w:rsidRDefault="00BA05C2" w:rsidP="0047611E">
            <w:pPr>
              <w:spacing w:after="0" w:line="240" w:lineRule="auto"/>
              <w:jc w:val="right"/>
              <w:rPr>
                <w:b/>
                <w:bCs/>
                <w:color w:val="000000"/>
                <w:sz w:val="18"/>
                <w:szCs w:val="18"/>
                <w:lang w:val="es-ES" w:eastAsia="es-ES"/>
              </w:rPr>
            </w:pPr>
            <w:r w:rsidRPr="0047611E">
              <w:rPr>
                <w:b/>
                <w:bCs/>
                <w:color w:val="000000"/>
                <w:sz w:val="18"/>
                <w:szCs w:val="18"/>
                <w:lang w:val="es-ES" w:eastAsia="es-ES"/>
              </w:rPr>
              <w:t>3.003.741.074</w:t>
            </w:r>
          </w:p>
        </w:tc>
      </w:tr>
    </w:tbl>
    <w:p w:rsidR="00BA05C2" w:rsidRPr="0047611E" w:rsidRDefault="00BA05C2" w:rsidP="00E30CFD">
      <w:pPr>
        <w:spacing w:line="240" w:lineRule="auto"/>
        <w:ind w:left="426" w:hanging="426"/>
        <w:jc w:val="center"/>
        <w:rPr>
          <w:rFonts w:cs="Arial"/>
          <w:b/>
          <w:iCs/>
          <w:sz w:val="16"/>
          <w:szCs w:val="16"/>
        </w:rPr>
      </w:pPr>
      <w:r w:rsidRPr="0047611E">
        <w:rPr>
          <w:sz w:val="16"/>
          <w:szCs w:val="16"/>
        </w:rPr>
        <w:tab/>
      </w:r>
      <w:r w:rsidRPr="0047611E">
        <w:rPr>
          <w:rFonts w:cs="Arial"/>
          <w:b/>
          <w:iCs/>
          <w:sz w:val="16"/>
          <w:szCs w:val="16"/>
        </w:rPr>
        <w:t>FUENTE: Gerencia Nacional de Bienes y Servicios.</w:t>
      </w:r>
    </w:p>
    <w:p w:rsidR="00BA05C2" w:rsidRPr="008A6F7E" w:rsidRDefault="00BA05C2" w:rsidP="00E30CFD">
      <w:pPr>
        <w:pStyle w:val="Prrafodelista"/>
        <w:spacing w:line="240" w:lineRule="auto"/>
        <w:rPr>
          <w:rFonts w:cs="Calibri"/>
          <w:b/>
          <w:sz w:val="24"/>
          <w:szCs w:val="24"/>
        </w:rPr>
      </w:pPr>
    </w:p>
    <w:p w:rsidR="00BA05C2" w:rsidRPr="008A6F7E" w:rsidRDefault="00BA05C2" w:rsidP="00E30CFD">
      <w:pPr>
        <w:pStyle w:val="Prrafodelista"/>
        <w:numPr>
          <w:ilvl w:val="0"/>
          <w:numId w:val="22"/>
        </w:numPr>
        <w:spacing w:after="0" w:line="240" w:lineRule="auto"/>
        <w:jc w:val="both"/>
        <w:rPr>
          <w:rFonts w:cs="Calibri"/>
          <w:b/>
          <w:sz w:val="24"/>
          <w:szCs w:val="24"/>
        </w:rPr>
      </w:pPr>
      <w:r w:rsidRPr="008A6F7E">
        <w:rPr>
          <w:rFonts w:cs="Calibri"/>
          <w:b/>
          <w:sz w:val="24"/>
          <w:szCs w:val="24"/>
        </w:rPr>
        <w:t>Explique los plazos que se han incumplido hasta la fecha que hayan sido establecidos en el decreto de liquidación del ISS y puesta en marcha de Colpensiones.</w:t>
      </w:r>
    </w:p>
    <w:p w:rsidR="00BA05C2" w:rsidRPr="008A6F7E" w:rsidRDefault="00BA05C2" w:rsidP="00E30CFD">
      <w:pPr>
        <w:pStyle w:val="Prrafodelista"/>
        <w:spacing w:line="240" w:lineRule="auto"/>
        <w:rPr>
          <w:rFonts w:cs="Calibri"/>
          <w:b/>
          <w:sz w:val="24"/>
          <w:szCs w:val="24"/>
        </w:rPr>
      </w:pPr>
    </w:p>
    <w:tbl>
      <w:tblPr>
        <w:tblW w:w="764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0"/>
        <w:gridCol w:w="1447"/>
        <w:gridCol w:w="1421"/>
        <w:gridCol w:w="1108"/>
        <w:gridCol w:w="1165"/>
        <w:gridCol w:w="1299"/>
      </w:tblGrid>
      <w:tr w:rsidR="00BA05C2" w:rsidRPr="00AC4CDB" w:rsidTr="00A31EB9">
        <w:trPr>
          <w:trHeight w:val="612"/>
          <w:jc w:val="center"/>
        </w:trPr>
        <w:tc>
          <w:tcPr>
            <w:tcW w:w="1200" w:type="dxa"/>
            <w:noWrap/>
            <w:vAlign w:val="center"/>
          </w:tcPr>
          <w:p w:rsidR="00BA05C2" w:rsidRPr="00AC4CDB" w:rsidRDefault="00BA05C2" w:rsidP="00A31EB9">
            <w:pPr>
              <w:spacing w:after="0" w:line="240" w:lineRule="auto"/>
              <w:jc w:val="center"/>
              <w:rPr>
                <w:color w:val="000000"/>
                <w:lang w:val="es-ES" w:eastAsia="es-ES"/>
              </w:rPr>
            </w:pPr>
          </w:p>
        </w:tc>
        <w:tc>
          <w:tcPr>
            <w:tcW w:w="6440" w:type="dxa"/>
            <w:gridSpan w:val="5"/>
            <w:vAlign w:val="center"/>
          </w:tcPr>
          <w:p w:rsidR="00BA05C2" w:rsidRPr="00AC4CDB" w:rsidRDefault="00BA05C2" w:rsidP="00A31EB9">
            <w:pPr>
              <w:spacing w:after="0" w:line="240" w:lineRule="auto"/>
              <w:jc w:val="center"/>
              <w:rPr>
                <w:color w:val="000000"/>
                <w:lang w:val="es-ES" w:eastAsia="es-ES"/>
              </w:rPr>
            </w:pPr>
            <w:r w:rsidRPr="00AC4CDB">
              <w:rPr>
                <w:color w:val="000000"/>
                <w:lang w:val="es-ES" w:eastAsia="es-ES"/>
              </w:rPr>
              <w:t>PLAZOS ESTABLECIDOS EN EL DECRETO 2013 DE 2012 PARA CUMPLIMIENTO DEL ISS EN LIQUIDACIÓN</w:t>
            </w:r>
          </w:p>
        </w:tc>
      </w:tr>
      <w:tr w:rsidR="00BA05C2" w:rsidRPr="00AC4CDB" w:rsidTr="00A31EB9">
        <w:trPr>
          <w:trHeight w:val="900"/>
          <w:jc w:val="center"/>
        </w:trPr>
        <w:tc>
          <w:tcPr>
            <w:tcW w:w="1200" w:type="dxa"/>
            <w:vAlign w:val="center"/>
          </w:tcPr>
          <w:p w:rsidR="00BA05C2" w:rsidRPr="00AC4CDB" w:rsidRDefault="00BA05C2" w:rsidP="00A31EB9">
            <w:pPr>
              <w:spacing w:after="0" w:line="240" w:lineRule="auto"/>
              <w:jc w:val="center"/>
              <w:rPr>
                <w:b/>
                <w:bCs/>
                <w:color w:val="000000"/>
                <w:lang w:val="es-ES" w:eastAsia="es-ES"/>
              </w:rPr>
            </w:pPr>
            <w:r w:rsidRPr="00AC4CDB">
              <w:rPr>
                <w:b/>
                <w:bCs/>
                <w:color w:val="000000"/>
                <w:lang w:val="es-ES" w:eastAsia="es-ES"/>
              </w:rPr>
              <w:t>ARTÍCULO</w:t>
            </w:r>
          </w:p>
        </w:tc>
        <w:tc>
          <w:tcPr>
            <w:tcW w:w="1333" w:type="dxa"/>
            <w:vAlign w:val="center"/>
          </w:tcPr>
          <w:p w:rsidR="00BA05C2" w:rsidRPr="00AC4CDB" w:rsidRDefault="00BA05C2" w:rsidP="00A31EB9">
            <w:pPr>
              <w:spacing w:after="0" w:line="240" w:lineRule="auto"/>
              <w:jc w:val="center"/>
              <w:rPr>
                <w:b/>
                <w:bCs/>
                <w:color w:val="000000"/>
                <w:lang w:val="es-ES" w:eastAsia="es-ES"/>
              </w:rPr>
            </w:pPr>
            <w:r w:rsidRPr="00AC4CDB">
              <w:rPr>
                <w:b/>
                <w:bCs/>
                <w:color w:val="000000"/>
                <w:lang w:val="es-ES" w:eastAsia="es-ES"/>
              </w:rPr>
              <w:t>PROCESO Y AREA RESPONSABLE</w:t>
            </w:r>
          </w:p>
        </w:tc>
        <w:tc>
          <w:tcPr>
            <w:tcW w:w="1307" w:type="dxa"/>
            <w:vAlign w:val="center"/>
          </w:tcPr>
          <w:p w:rsidR="00BA05C2" w:rsidRPr="00AC4CDB" w:rsidRDefault="00BA05C2" w:rsidP="00A31EB9">
            <w:pPr>
              <w:spacing w:after="0" w:line="240" w:lineRule="auto"/>
              <w:jc w:val="center"/>
              <w:rPr>
                <w:b/>
                <w:bCs/>
                <w:color w:val="000000"/>
                <w:lang w:val="es-ES" w:eastAsia="es-ES"/>
              </w:rPr>
            </w:pPr>
            <w:r w:rsidRPr="00AC4CDB">
              <w:rPr>
                <w:b/>
                <w:bCs/>
                <w:color w:val="000000"/>
                <w:lang w:val="es-ES" w:eastAsia="es-ES"/>
              </w:rPr>
              <w:t>OBLIGACIÓN</w:t>
            </w:r>
          </w:p>
        </w:tc>
        <w:tc>
          <w:tcPr>
            <w:tcW w:w="1175" w:type="dxa"/>
            <w:vAlign w:val="center"/>
          </w:tcPr>
          <w:p w:rsidR="00BA05C2" w:rsidRPr="00AC4CDB" w:rsidRDefault="00BA05C2" w:rsidP="00A31EB9">
            <w:pPr>
              <w:spacing w:after="0" w:line="240" w:lineRule="auto"/>
              <w:jc w:val="center"/>
              <w:rPr>
                <w:b/>
                <w:bCs/>
                <w:color w:val="000000"/>
                <w:lang w:val="es-ES" w:eastAsia="es-ES"/>
              </w:rPr>
            </w:pPr>
            <w:r w:rsidRPr="00AC4CDB">
              <w:rPr>
                <w:b/>
                <w:bCs/>
                <w:color w:val="000000"/>
                <w:lang w:val="es-ES" w:eastAsia="es-ES"/>
              </w:rPr>
              <w:t>PLAZO</w:t>
            </w:r>
          </w:p>
        </w:tc>
        <w:tc>
          <w:tcPr>
            <w:tcW w:w="1184" w:type="dxa"/>
            <w:vAlign w:val="center"/>
          </w:tcPr>
          <w:p w:rsidR="00BA05C2" w:rsidRPr="00AC4CDB" w:rsidRDefault="00BA05C2" w:rsidP="00A31EB9">
            <w:pPr>
              <w:spacing w:after="0" w:line="240" w:lineRule="auto"/>
              <w:jc w:val="center"/>
              <w:rPr>
                <w:b/>
                <w:bCs/>
                <w:color w:val="000000"/>
                <w:lang w:val="es-ES" w:eastAsia="es-ES"/>
              </w:rPr>
            </w:pPr>
            <w:r w:rsidRPr="00AC4CDB">
              <w:rPr>
                <w:b/>
                <w:bCs/>
                <w:color w:val="000000"/>
                <w:lang w:val="es-ES" w:eastAsia="es-ES"/>
              </w:rPr>
              <w:t>CUMPLIDO</w:t>
            </w:r>
          </w:p>
        </w:tc>
        <w:tc>
          <w:tcPr>
            <w:tcW w:w="1441" w:type="dxa"/>
            <w:vAlign w:val="center"/>
          </w:tcPr>
          <w:p w:rsidR="00BA05C2" w:rsidRPr="00AC4CDB" w:rsidRDefault="00BA05C2" w:rsidP="00A31EB9">
            <w:pPr>
              <w:spacing w:after="0" w:line="240" w:lineRule="auto"/>
              <w:jc w:val="center"/>
              <w:rPr>
                <w:b/>
                <w:bCs/>
                <w:color w:val="000000"/>
                <w:lang w:val="es-ES" w:eastAsia="es-ES"/>
              </w:rPr>
            </w:pPr>
            <w:r w:rsidRPr="00AC4CDB">
              <w:rPr>
                <w:b/>
                <w:bCs/>
                <w:color w:val="000000"/>
                <w:lang w:val="es-ES" w:eastAsia="es-ES"/>
              </w:rPr>
              <w:t>PENDIENTE</w:t>
            </w:r>
          </w:p>
        </w:tc>
      </w:tr>
      <w:tr w:rsidR="00BA05C2" w:rsidRPr="00AC4CDB" w:rsidTr="00A31EB9">
        <w:trPr>
          <w:trHeight w:val="145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 inciso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Cobro Coactivo</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Cobro Cobro Coactivo por conceptos de aportes a la seguridad social</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hasta la culminación de la Liquidación</w:t>
            </w:r>
          </w:p>
        </w:tc>
        <w:tc>
          <w:tcPr>
            <w:tcW w:w="1184" w:type="dxa"/>
            <w:vAlign w:val="center"/>
          </w:tcPr>
          <w:p w:rsidR="00BA05C2" w:rsidRPr="0047611E" w:rsidRDefault="00BA05C2" w:rsidP="00A31EB9">
            <w:pPr>
              <w:spacing w:after="0" w:line="240" w:lineRule="auto"/>
              <w:jc w:val="center"/>
              <w:rPr>
                <w:color w:val="000000"/>
                <w:sz w:val="18"/>
                <w:szCs w:val="18"/>
                <w:lang w:val="es-ES" w:eastAsia="es-ES"/>
              </w:rPr>
            </w:pPr>
            <w:r w:rsidRPr="0047611E">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217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 inciso 3</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Cobro Coactivo</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Presentación informe a Colpensiones de las acciones y el estado de los procesos de Cobro Coactivo</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28 de marzo de 2013</w:t>
            </w:r>
          </w:p>
        </w:tc>
        <w:tc>
          <w:tcPr>
            <w:tcW w:w="1184" w:type="dxa"/>
            <w:vAlign w:val="center"/>
          </w:tcPr>
          <w:p w:rsidR="00BA05C2" w:rsidRPr="0047611E" w:rsidRDefault="00BA05C2"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97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 inciso 4</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Tutelas - Central Nacional de Tutelas.</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Defensa Judicial en los temas de R.P.M</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28 de marzo de 2013</w:t>
            </w:r>
          </w:p>
        </w:tc>
        <w:tc>
          <w:tcPr>
            <w:tcW w:w="1184" w:type="dxa"/>
            <w:vAlign w:val="center"/>
          </w:tcPr>
          <w:p w:rsidR="00BA05C2" w:rsidRPr="00AC4CDB" w:rsidRDefault="009533A4"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21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7 numeral 15</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Elaboración del cronograma de actividades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Pr>
                <w:color w:val="000000"/>
                <w:sz w:val="18"/>
                <w:szCs w:val="18"/>
                <w:lang w:val="es-ES" w:eastAsia="es-ES"/>
              </w:rPr>
              <w:t>28 octubre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400"/>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7 numeral 15</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Rendir Informes Mensuales al Ministerio de Salus y Protección Social</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Mes a Mes</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97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7 numeral 20</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Elab</w:t>
            </w:r>
            <w:r>
              <w:rPr>
                <w:color w:val="000000"/>
                <w:sz w:val="18"/>
                <w:szCs w:val="18"/>
                <w:lang w:val="es-ES" w:eastAsia="es-ES"/>
              </w:rPr>
              <w:t>orar programa de supresión de c</w:t>
            </w:r>
            <w:r w:rsidRPr="00AC4CDB">
              <w:rPr>
                <w:color w:val="000000"/>
                <w:sz w:val="18"/>
                <w:szCs w:val="18"/>
                <w:lang w:val="es-ES" w:eastAsia="es-ES"/>
              </w:rPr>
              <w:t>a</w:t>
            </w:r>
            <w:r>
              <w:rPr>
                <w:color w:val="000000"/>
                <w:sz w:val="18"/>
                <w:szCs w:val="18"/>
                <w:lang w:val="es-ES" w:eastAsia="es-ES"/>
              </w:rPr>
              <w:t>r</w:t>
            </w:r>
            <w:r w:rsidRPr="00AC4CDB">
              <w:rPr>
                <w:color w:val="000000"/>
                <w:sz w:val="18"/>
                <w:szCs w:val="18"/>
                <w:lang w:val="es-ES" w:eastAsia="es-ES"/>
              </w:rPr>
              <w:t>gos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Pr>
                <w:color w:val="000000"/>
                <w:sz w:val="18"/>
                <w:szCs w:val="18"/>
                <w:lang w:val="es-ES" w:eastAsia="es-ES"/>
              </w:rPr>
              <w:t>28 octubre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757"/>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lastRenderedPageBreak/>
              <w:t>Artículo 7 parágrafo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Presentar informe al Ministerio de salud y Protección Social sobre el estado en que recibe la entidad</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28 de diciembre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73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11 parágrafo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ISS en Liquidación</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Cesión de contratos a Colpensiones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Noviembre 30 de 2012</w:t>
            </w:r>
          </w:p>
        </w:tc>
        <w:tc>
          <w:tcPr>
            <w:tcW w:w="1184" w:type="dxa"/>
            <w:vAlign w:val="center"/>
          </w:tcPr>
          <w:p w:rsidR="00BA05C2" w:rsidRPr="00AC4CDB" w:rsidRDefault="00506317"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301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12 inciso 3</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Vicepresidencia Financiera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Entrega a Colpensiones de la información que permita hacer los registros contables correspondientes a los aportes representados en los bienes recibidos en dación en pago</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Pr>
                <w:color w:val="000000"/>
                <w:sz w:val="18"/>
                <w:szCs w:val="18"/>
                <w:lang w:val="es-ES" w:eastAsia="es-ES"/>
              </w:rPr>
              <w:t xml:space="preserve">28 de </w:t>
            </w:r>
            <w:r w:rsidRPr="00AC4CDB">
              <w:rPr>
                <w:color w:val="000000"/>
                <w:sz w:val="18"/>
                <w:szCs w:val="18"/>
                <w:lang w:val="es-ES" w:eastAsia="es-ES"/>
              </w:rPr>
              <w:t>mar</w:t>
            </w:r>
            <w:r>
              <w:rPr>
                <w:color w:val="000000"/>
                <w:sz w:val="18"/>
                <w:szCs w:val="18"/>
                <w:lang w:val="es-ES" w:eastAsia="es-ES"/>
              </w:rPr>
              <w:t xml:space="preserve">zo </w:t>
            </w:r>
            <w:r w:rsidRPr="00AC4CDB">
              <w:rPr>
                <w:color w:val="000000"/>
                <w:sz w:val="18"/>
                <w:szCs w:val="18"/>
                <w:lang w:val="es-ES" w:eastAsia="es-ES"/>
              </w:rPr>
              <w:t>13</w:t>
            </w:r>
          </w:p>
        </w:tc>
        <w:tc>
          <w:tcPr>
            <w:tcW w:w="1184" w:type="dxa"/>
            <w:vAlign w:val="center"/>
          </w:tcPr>
          <w:p w:rsidR="00BA05C2" w:rsidRPr="00AC4CDB" w:rsidRDefault="00506317"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217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12 inciso 4</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Vicepresidencia Financiera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Traslado de saldos en cuentas corrientes y de ahorros de los Fondos de invalidez. Vejez y muerte.</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1 de octubre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241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12 inciso 4 final</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Vicepresidencia Financiera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Entrega de toda la información vinculada a las cuentas contables de los activos y pasivos de los fondos I.V.M</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28 marzo de 2013</w:t>
            </w:r>
          </w:p>
        </w:tc>
        <w:tc>
          <w:tcPr>
            <w:tcW w:w="1184" w:type="dxa"/>
            <w:vAlign w:val="center"/>
          </w:tcPr>
          <w:p w:rsidR="00BA05C2" w:rsidRPr="00AC4CDB" w:rsidRDefault="00506317"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3214"/>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lastRenderedPageBreak/>
              <w:t>Artículo 12 inciso 5</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Vicepresidencia Financiera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traslado de títulos y recursos en los cuales este representada la comisión de administración por concepto de conmutación pensional que no hubiera sido amortizada y que se encuentre en la contabilidad del ISS en Liquidación</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1 de octubre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3137"/>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12 inciso 7</w:t>
            </w:r>
          </w:p>
        </w:tc>
        <w:tc>
          <w:tcPr>
            <w:tcW w:w="1333" w:type="dxa"/>
            <w:vAlign w:val="center"/>
          </w:tcPr>
          <w:p w:rsidR="00BA05C2" w:rsidRPr="00AC4CDB" w:rsidRDefault="00BA05C2" w:rsidP="00A31EB9">
            <w:pPr>
              <w:spacing w:after="0" w:line="240" w:lineRule="auto"/>
              <w:jc w:val="center"/>
              <w:rPr>
                <w:color w:val="000000"/>
                <w:lang w:val="es-ES" w:eastAsia="es-ES"/>
              </w:rPr>
            </w:pP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Trasferencia de recursos con destino al aporte patronal de pensiones recibidas por concepto del Sistema General de Participaciones que no haya sido aplicado a los fondos correspondientes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1 de octubre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2077"/>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13</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Realización de inventario físico, jurídico y contable detallado de los activos y pasivos, cuentas de orden y contingencias de la entidad</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1 de octubre de 2012</w:t>
            </w:r>
          </w:p>
        </w:tc>
        <w:tc>
          <w:tcPr>
            <w:tcW w:w="1184" w:type="dxa"/>
            <w:vAlign w:val="center"/>
          </w:tcPr>
          <w:p w:rsidR="00BA05C2" w:rsidRPr="00AC4CDB" w:rsidRDefault="00506317"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73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13</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Vicepresidencia Financiera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Entrega de Registros Contables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30 de enero de 2013</w:t>
            </w:r>
          </w:p>
        </w:tc>
        <w:tc>
          <w:tcPr>
            <w:tcW w:w="1184" w:type="dxa"/>
            <w:vAlign w:val="center"/>
          </w:tcPr>
          <w:p w:rsidR="00BA05C2" w:rsidRPr="00AC4CDB" w:rsidRDefault="00506317"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97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20</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Elaboración der informe final de liquidación</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28 de septiembre de 2013</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97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21 inciso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Elaboración del programa de supresión de cargos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30 de octubre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470"/>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lastRenderedPageBreak/>
              <w:t>Artículo 24 inciso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Apoderada de la Liquidadora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Obtención de permisos para levantamiento de fuero sindical</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Términos establecidos en la Ley</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911"/>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Articulo 27 Transitorio</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Administración y pago de los derechos y obligaciones pensionales legalmente reconocidos por el ISS en calidad de empleador</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30 de junio de 2013</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709"/>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35 inciso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Dirección Jurídica Nacional</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Atención de los procesos judiciales en curso derivados de su gestión como administrador del R.P.M</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30 de diciembre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846"/>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35 inciso 2</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Dirección Jurídica Nacional</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Entrega de Procesos Judiciales a Colpensiones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30 de diciembre de 2012</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69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36</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Vicepresidencia Financiera</w:t>
            </w: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Entrega de información de los procesos de fiscalización y cobro coactivo</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30 de marzo de 2013</w:t>
            </w:r>
          </w:p>
        </w:tc>
        <w:tc>
          <w:tcPr>
            <w:tcW w:w="1184" w:type="dxa"/>
            <w:vAlign w:val="center"/>
          </w:tcPr>
          <w:p w:rsidR="00BA05C2" w:rsidRPr="00AC4CDB" w:rsidRDefault="00506317" w:rsidP="00A31EB9">
            <w:pPr>
              <w:spacing w:after="0" w:line="240" w:lineRule="auto"/>
              <w:jc w:val="center"/>
              <w:rPr>
                <w:color w:val="000000"/>
                <w:sz w:val="18"/>
                <w:szCs w:val="18"/>
                <w:lang w:val="es-ES" w:eastAsia="es-ES"/>
              </w:rPr>
            </w:pPr>
            <w:r>
              <w:rPr>
                <w:color w:val="000000"/>
                <w:sz w:val="18"/>
                <w:szCs w:val="18"/>
                <w:lang w:val="es-ES" w:eastAsia="es-ES"/>
              </w:rPr>
              <w:t>x</w:t>
            </w: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r w:rsidR="00BA05C2" w:rsidRPr="00AC4CDB" w:rsidTr="00A31EB9">
        <w:trPr>
          <w:trHeight w:val="1215"/>
          <w:jc w:val="center"/>
        </w:trPr>
        <w:tc>
          <w:tcPr>
            <w:tcW w:w="1200"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Artículo 37</w:t>
            </w:r>
          </w:p>
        </w:tc>
        <w:tc>
          <w:tcPr>
            <w:tcW w:w="1333" w:type="dxa"/>
            <w:vAlign w:val="center"/>
          </w:tcPr>
          <w:p w:rsidR="00BA05C2" w:rsidRPr="00AC4CDB" w:rsidRDefault="00BA05C2" w:rsidP="00A31EB9">
            <w:pPr>
              <w:spacing w:after="0" w:line="240" w:lineRule="auto"/>
              <w:jc w:val="center"/>
              <w:rPr>
                <w:color w:val="000000"/>
                <w:sz w:val="18"/>
                <w:szCs w:val="18"/>
                <w:lang w:val="es-ES" w:eastAsia="es-ES"/>
              </w:rPr>
            </w:pPr>
          </w:p>
        </w:tc>
        <w:tc>
          <w:tcPr>
            <w:tcW w:w="1307"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Entrega de documentación Nómina de Pensionados</w:t>
            </w:r>
          </w:p>
        </w:tc>
        <w:tc>
          <w:tcPr>
            <w:tcW w:w="1175" w:type="dxa"/>
            <w:vAlign w:val="center"/>
          </w:tcPr>
          <w:p w:rsidR="00BA05C2" w:rsidRPr="00AC4CDB" w:rsidRDefault="00BA05C2" w:rsidP="00A31EB9">
            <w:pPr>
              <w:spacing w:after="0" w:line="240" w:lineRule="auto"/>
              <w:jc w:val="center"/>
              <w:rPr>
                <w:color w:val="000000"/>
                <w:sz w:val="18"/>
                <w:szCs w:val="18"/>
                <w:lang w:val="es-ES" w:eastAsia="es-ES"/>
              </w:rPr>
            </w:pPr>
            <w:r w:rsidRPr="00AC4CDB">
              <w:rPr>
                <w:color w:val="000000"/>
                <w:sz w:val="18"/>
                <w:szCs w:val="18"/>
                <w:lang w:val="es-ES" w:eastAsia="es-ES"/>
              </w:rPr>
              <w:t>pendiente</w:t>
            </w:r>
          </w:p>
        </w:tc>
        <w:tc>
          <w:tcPr>
            <w:tcW w:w="1184" w:type="dxa"/>
            <w:vAlign w:val="center"/>
          </w:tcPr>
          <w:p w:rsidR="00BA05C2" w:rsidRPr="00AC4CDB" w:rsidRDefault="00BA05C2" w:rsidP="00A31EB9">
            <w:pPr>
              <w:spacing w:after="0" w:line="240" w:lineRule="auto"/>
              <w:jc w:val="center"/>
              <w:rPr>
                <w:color w:val="000000"/>
                <w:sz w:val="18"/>
                <w:szCs w:val="18"/>
                <w:lang w:val="es-ES" w:eastAsia="es-ES"/>
              </w:rPr>
            </w:pPr>
          </w:p>
        </w:tc>
        <w:tc>
          <w:tcPr>
            <w:tcW w:w="1441" w:type="dxa"/>
            <w:vAlign w:val="center"/>
          </w:tcPr>
          <w:p w:rsidR="00BA05C2" w:rsidRPr="00AC4CDB" w:rsidRDefault="00BA05C2" w:rsidP="00A31EB9">
            <w:pPr>
              <w:spacing w:after="0" w:line="240" w:lineRule="auto"/>
              <w:jc w:val="center"/>
              <w:rPr>
                <w:color w:val="000000"/>
                <w:sz w:val="18"/>
                <w:szCs w:val="18"/>
                <w:lang w:val="es-ES" w:eastAsia="es-ES"/>
              </w:rPr>
            </w:pPr>
          </w:p>
        </w:tc>
      </w:tr>
    </w:tbl>
    <w:p w:rsidR="00BA05C2" w:rsidRPr="0047611E" w:rsidRDefault="00BA05C2" w:rsidP="0047611E">
      <w:pPr>
        <w:pStyle w:val="Prrafodelista"/>
        <w:spacing w:line="240" w:lineRule="auto"/>
        <w:ind w:left="360"/>
        <w:jc w:val="center"/>
        <w:rPr>
          <w:rFonts w:cs="Calibri"/>
          <w:b/>
          <w:sz w:val="16"/>
          <w:szCs w:val="16"/>
        </w:rPr>
      </w:pPr>
      <w:r>
        <w:rPr>
          <w:rFonts w:cs="Calibri"/>
          <w:b/>
          <w:sz w:val="16"/>
          <w:szCs w:val="16"/>
        </w:rPr>
        <w:t>Fuente Secretaría General ISS en Liquidación</w:t>
      </w:r>
    </w:p>
    <w:p w:rsidR="00BA05C2" w:rsidRDefault="00BA05C2" w:rsidP="00E30CFD">
      <w:pPr>
        <w:spacing w:after="0" w:line="240" w:lineRule="auto"/>
        <w:jc w:val="both"/>
        <w:rPr>
          <w:rFonts w:cs="Calibri"/>
          <w:b/>
          <w:sz w:val="24"/>
          <w:szCs w:val="24"/>
        </w:rPr>
      </w:pPr>
    </w:p>
    <w:p w:rsidR="00BA05C2" w:rsidRDefault="00BA05C2" w:rsidP="00E30CFD">
      <w:pPr>
        <w:spacing w:after="0" w:line="240" w:lineRule="auto"/>
        <w:jc w:val="both"/>
        <w:rPr>
          <w:rFonts w:cs="Calibri"/>
          <w:b/>
          <w:sz w:val="24"/>
          <w:szCs w:val="24"/>
        </w:rPr>
      </w:pPr>
      <w:r w:rsidRPr="008A6F7E">
        <w:rPr>
          <w:rFonts w:cs="Calibri"/>
          <w:b/>
          <w:sz w:val="24"/>
          <w:szCs w:val="24"/>
        </w:rPr>
        <w:t>Proposición 139</w:t>
      </w:r>
    </w:p>
    <w:p w:rsidR="00BA05C2" w:rsidRDefault="00BA05C2" w:rsidP="00E30CFD">
      <w:pPr>
        <w:pStyle w:val="Prrafodelista4"/>
        <w:ind w:left="0"/>
        <w:jc w:val="both"/>
        <w:rPr>
          <w:rFonts w:ascii="Arial" w:hAnsi="Arial" w:cs="Arial"/>
          <w:sz w:val="22"/>
          <w:szCs w:val="22"/>
        </w:rPr>
      </w:pPr>
    </w:p>
    <w:p w:rsidR="00BA05C2" w:rsidRPr="008A6F7E" w:rsidRDefault="00BA05C2" w:rsidP="00E30CFD">
      <w:pPr>
        <w:pStyle w:val="Prrafodelista"/>
        <w:numPr>
          <w:ilvl w:val="3"/>
          <w:numId w:val="20"/>
        </w:numPr>
        <w:spacing w:after="0" w:line="240" w:lineRule="auto"/>
        <w:ind w:left="900"/>
        <w:jc w:val="both"/>
        <w:rPr>
          <w:rFonts w:cs="Calibri"/>
          <w:b/>
          <w:sz w:val="24"/>
          <w:szCs w:val="24"/>
        </w:rPr>
      </w:pPr>
      <w:r w:rsidRPr="008A6F7E">
        <w:rPr>
          <w:rFonts w:cs="Calibri"/>
          <w:b/>
          <w:sz w:val="24"/>
          <w:szCs w:val="24"/>
        </w:rPr>
        <w:t>Indicar el avance en el proceso de transferencia de información soportado en cifras y porcentajes de cumplimiento desde el inicio del empalme.</w:t>
      </w:r>
    </w:p>
    <w:p w:rsidR="00BA05C2" w:rsidRPr="008A6F7E" w:rsidRDefault="00BA05C2" w:rsidP="00E30CFD">
      <w:pPr>
        <w:pStyle w:val="Prrafodelista"/>
        <w:spacing w:after="0" w:line="240" w:lineRule="auto"/>
        <w:jc w:val="both"/>
        <w:rPr>
          <w:rFonts w:cs="Calibri"/>
          <w:b/>
          <w:sz w:val="24"/>
          <w:szCs w:val="24"/>
        </w:rPr>
      </w:pP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 xml:space="preserve">Expedientes digitalizados </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Solicitudes de reconocimiento</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Historias laborales</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Bonos pensionales</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lastRenderedPageBreak/>
        <w:t>Actos administrativos expedidos por el ISS pendientes de notificar a la fecha de inicio de la liquidación.</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Sentencias para cumplimiento</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Procesos judiciales</w:t>
      </w:r>
    </w:p>
    <w:p w:rsidR="00BA05C2" w:rsidRPr="008A6F7E" w:rsidRDefault="00BA05C2" w:rsidP="00E30CFD">
      <w:pPr>
        <w:pStyle w:val="Prrafodelista"/>
        <w:numPr>
          <w:ilvl w:val="0"/>
          <w:numId w:val="24"/>
        </w:numPr>
        <w:spacing w:after="0" w:line="240" w:lineRule="auto"/>
        <w:jc w:val="both"/>
        <w:rPr>
          <w:rFonts w:cs="Calibri"/>
          <w:b/>
          <w:sz w:val="24"/>
          <w:szCs w:val="24"/>
        </w:rPr>
      </w:pPr>
      <w:r w:rsidRPr="008A6F7E">
        <w:rPr>
          <w:rFonts w:cs="Calibri"/>
          <w:b/>
          <w:sz w:val="24"/>
          <w:szCs w:val="24"/>
        </w:rPr>
        <w:t>Tutelas</w:t>
      </w:r>
    </w:p>
    <w:p w:rsidR="00BA05C2" w:rsidRDefault="00BA05C2" w:rsidP="00E30CFD">
      <w:pPr>
        <w:spacing w:after="0" w:line="240" w:lineRule="auto"/>
        <w:jc w:val="both"/>
        <w:rPr>
          <w:rFonts w:cs="Calibri"/>
          <w:b/>
          <w:sz w:val="24"/>
          <w:szCs w:val="24"/>
          <w:lang w:val="es-ES"/>
        </w:rPr>
      </w:pPr>
    </w:p>
    <w:p w:rsidR="00BA05C2" w:rsidRPr="0092346B" w:rsidRDefault="00BA05C2" w:rsidP="00E30CFD">
      <w:pPr>
        <w:spacing w:after="0" w:line="240" w:lineRule="auto"/>
        <w:jc w:val="both"/>
        <w:rPr>
          <w:rFonts w:cs="Calibri"/>
          <w:sz w:val="24"/>
          <w:szCs w:val="24"/>
          <w:lang w:val="es-ES"/>
        </w:rPr>
      </w:pPr>
      <w:r>
        <w:rPr>
          <w:rFonts w:cs="Calibri"/>
          <w:sz w:val="24"/>
          <w:szCs w:val="24"/>
          <w:lang w:val="es-ES"/>
        </w:rPr>
        <w:t>De acuerdo a la metodología adoptada en este documento, e</w:t>
      </w:r>
      <w:r w:rsidRPr="0092346B">
        <w:rPr>
          <w:rFonts w:cs="Calibri"/>
          <w:sz w:val="24"/>
          <w:szCs w:val="24"/>
          <w:lang w:val="es-ES"/>
        </w:rPr>
        <w:t>sta pregunta fue resuelta dentro de la respuesta de la proposición 138, numeral primero.</w:t>
      </w:r>
      <w:r>
        <w:rPr>
          <w:rFonts w:cs="Calibri"/>
          <w:sz w:val="24"/>
          <w:szCs w:val="24"/>
          <w:lang w:val="es-ES"/>
        </w:rPr>
        <w:t xml:space="preserve"> </w:t>
      </w:r>
    </w:p>
    <w:p w:rsidR="00BA05C2" w:rsidRPr="00FC7918" w:rsidRDefault="00BA05C2" w:rsidP="00E30CFD">
      <w:pPr>
        <w:spacing w:after="0" w:line="240" w:lineRule="auto"/>
        <w:jc w:val="both"/>
        <w:rPr>
          <w:rFonts w:cs="Calibri"/>
          <w:b/>
          <w:sz w:val="24"/>
          <w:szCs w:val="24"/>
          <w:lang w:val="es-ES"/>
        </w:rPr>
      </w:pPr>
    </w:p>
    <w:p w:rsidR="00BA05C2" w:rsidRPr="00FC7918" w:rsidRDefault="00BA05C2" w:rsidP="00E30CFD">
      <w:pPr>
        <w:numPr>
          <w:ilvl w:val="3"/>
          <w:numId w:val="20"/>
        </w:numPr>
        <w:spacing w:after="0" w:line="240" w:lineRule="auto"/>
        <w:ind w:left="360"/>
        <w:jc w:val="both"/>
        <w:rPr>
          <w:rFonts w:cs="Calibri"/>
          <w:b/>
          <w:sz w:val="24"/>
          <w:szCs w:val="24"/>
          <w:lang w:val="es-ES"/>
        </w:rPr>
      </w:pPr>
      <w:r w:rsidRPr="00FC7918">
        <w:rPr>
          <w:rFonts w:cs="Calibri"/>
          <w:b/>
          <w:sz w:val="24"/>
          <w:szCs w:val="24"/>
          <w:lang w:val="es-ES"/>
        </w:rPr>
        <w:t>¿Cuáles son los motivos por los cuales se han presentado atrasos en entrega?</w:t>
      </w:r>
    </w:p>
    <w:p w:rsidR="00BA05C2"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Las condiciones de operación propias de la liquidación, han generado las siguientes dificultades en el proceso de entrega de información a Colpensiones: </w:t>
      </w:r>
    </w:p>
    <w:p w:rsidR="00BA05C2" w:rsidRDefault="00BA05C2" w:rsidP="00E30CFD">
      <w:pPr>
        <w:spacing w:after="0" w:line="240" w:lineRule="auto"/>
        <w:jc w:val="both"/>
        <w:rPr>
          <w:rFonts w:cs="Calibri"/>
          <w:sz w:val="24"/>
          <w:szCs w:val="24"/>
        </w:rPr>
      </w:pPr>
    </w:p>
    <w:p w:rsidR="00BA05C2" w:rsidRDefault="00BA05C2" w:rsidP="00E30CFD">
      <w:pPr>
        <w:spacing w:after="0" w:line="240" w:lineRule="auto"/>
        <w:jc w:val="both"/>
        <w:rPr>
          <w:rFonts w:cs="Calibri"/>
          <w:sz w:val="24"/>
          <w:szCs w:val="24"/>
        </w:rPr>
      </w:pPr>
      <w:r>
        <w:rPr>
          <w:rFonts w:cs="Calibri"/>
          <w:sz w:val="24"/>
          <w:szCs w:val="24"/>
        </w:rPr>
        <w:t>Antes de realizar una entrega, se envía el formato FUI para la validación de COLPENSIONES. Si es la primera vez que se va a entregar la serie documental, generalmente se hace una prueba piloto en el cual se revisa con Colpensiones si el alistamiento cumple con los términos definidos en el protocolo, o se identifican aspectos operativos no contemplados con anterioridad.</w:t>
      </w:r>
    </w:p>
    <w:p w:rsidR="00BA05C2" w:rsidRDefault="00BA05C2" w:rsidP="00E30CFD">
      <w:pPr>
        <w:spacing w:after="0" w:line="240" w:lineRule="auto"/>
        <w:jc w:val="both"/>
        <w:rPr>
          <w:rFonts w:cs="Calibri"/>
          <w:sz w:val="24"/>
          <w:szCs w:val="24"/>
        </w:rPr>
      </w:pPr>
    </w:p>
    <w:p w:rsidR="00BA05C2" w:rsidRDefault="00BA05C2" w:rsidP="00E30CFD">
      <w:pPr>
        <w:spacing w:after="0" w:line="240" w:lineRule="auto"/>
        <w:jc w:val="both"/>
        <w:rPr>
          <w:rFonts w:cs="Calibri"/>
          <w:sz w:val="24"/>
          <w:szCs w:val="24"/>
        </w:rPr>
      </w:pPr>
      <w:r>
        <w:rPr>
          <w:rFonts w:cs="Calibri"/>
          <w:sz w:val="24"/>
          <w:szCs w:val="24"/>
        </w:rPr>
        <w:t xml:space="preserve">Los plazos para la confirmación de la diligencia de entrega están sujetos a la disponibilidad de tiempo y logística de COLPENSIONES dependiendo de si la entrega tiene lugar en el nivel nacional o en los centros de decisión. Estos tiempos oscilan entre dos y quince días dentro de los cuales COLPENSIONES formula una serie de precisiones con respecto a los tipos documentales a entregar, su alcance, estado y los documentos que ellos consideran que deberían contener los expedientes, en algunos casos no contemplados dentro del protocolo sucrito. </w:t>
      </w:r>
    </w:p>
    <w:p w:rsidR="00BA05C2" w:rsidRDefault="00BA05C2" w:rsidP="00E30CFD">
      <w:pPr>
        <w:spacing w:after="0" w:line="240" w:lineRule="auto"/>
        <w:jc w:val="both"/>
        <w:rPr>
          <w:rFonts w:cs="Calibri"/>
          <w:sz w:val="24"/>
          <w:szCs w:val="24"/>
        </w:rPr>
      </w:pPr>
    </w:p>
    <w:p w:rsidR="00BA05C2" w:rsidRDefault="00BA05C2" w:rsidP="00E30CFD">
      <w:pPr>
        <w:spacing w:after="0" w:line="240" w:lineRule="auto"/>
        <w:jc w:val="both"/>
        <w:rPr>
          <w:rFonts w:cs="Calibri"/>
          <w:sz w:val="24"/>
          <w:szCs w:val="24"/>
        </w:rPr>
      </w:pPr>
      <w:r>
        <w:rPr>
          <w:rFonts w:cs="Calibri"/>
          <w:sz w:val="24"/>
          <w:szCs w:val="24"/>
        </w:rPr>
        <w:t>Esta situación implica re-procesos para el ISS en la medida que se ve obligado a replantear la documentación a entregar por requerimiento de COLPENSIONES ya que en algunos casos la información adicional solicitada puede estar en espacios distintos al que históricamente tenía el ISS e inclusive a realizar mesas de trabajo en las que se analice la información que históricamente tenía el ISS en sus expedientes para efectos de la entrega.</w:t>
      </w:r>
    </w:p>
    <w:p w:rsidR="00BA05C2"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Otro tema derivado del decreto 2013 de 2012, corresponde al proceso de Cobro Persuasivo y Fiscalización, en donde se han presentado observaciones de Colpensiones frente a la entrega de la información física.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En mesa de trabajo realizada entre funcionarios de Colpensiones y del ISS en liquidación en fecha 9 de noviembre de 2012, se presentó propuesta sobre las características del inventario general del estado de los procesos al corte del 30 de septiembre de 2012 y se </w:t>
      </w:r>
      <w:r w:rsidRPr="006274BD">
        <w:rPr>
          <w:rFonts w:cs="Calibri"/>
          <w:sz w:val="24"/>
          <w:szCs w:val="24"/>
        </w:rPr>
        <w:lastRenderedPageBreak/>
        <w:t>planteó que se hiciera una entrega piloto, con expedientes que sólo poseen deuda por concepto de pensión.</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En preparación para la entrega, el ISS en liquidación actualizó el inventario de expedientes por seccional, revisó el estado de los mismos y alistó los expedientes del proceso de cobro persuasivo, asesoría de cuenta y fiscalización durante los siguientes cuatro meses.</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En atención a que, como resultado de la diligencia de entrega piloto finalizada el día 3/04/2013, los funcionarios de Colpensiones determinaron que para efectos de la continuidad de los procesos de fiscalización y cobro persuasivo que debía realizar Colpensiones no contenía los documentos que precisaban, tales como la certificación de la deuda, en la mesa de trabajo realizada en fecha 04/04/2013 se determinó que el ISS enviaría 3 expedientes de la serie de Cobro Persuasivo y Fiscalización, información que fue allegada a Colpensiones, para el respectivo análisis de la documentación y que posteriormente Colpensiones informaría al ISS la continuidad o no de la entrega de la serie.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Posteriormente, </w:t>
      </w:r>
      <w:r>
        <w:rPr>
          <w:rFonts w:cs="Calibri"/>
          <w:sz w:val="24"/>
          <w:szCs w:val="24"/>
        </w:rPr>
        <w:t>el</w:t>
      </w:r>
      <w:r w:rsidRPr="006274BD">
        <w:rPr>
          <w:rFonts w:cs="Calibri"/>
          <w:sz w:val="24"/>
          <w:szCs w:val="24"/>
        </w:rPr>
        <w:t xml:space="preserve"> 24 de abril de 2013 se presentaron a Colpensiones </w:t>
      </w:r>
      <w:r>
        <w:rPr>
          <w:rFonts w:cs="Calibri"/>
          <w:sz w:val="24"/>
          <w:szCs w:val="24"/>
        </w:rPr>
        <w:t xml:space="preserve">las </w:t>
      </w:r>
      <w:r w:rsidRPr="006274BD">
        <w:rPr>
          <w:rFonts w:cs="Calibri"/>
          <w:sz w:val="24"/>
          <w:szCs w:val="24"/>
        </w:rPr>
        <w:t xml:space="preserve">observaciones sobre la información de la que dispone el Instituto y las implicaciones de Ley 1437 de 2011, por medio de la cual se expide el Procedimiento Administrativo y de lo Contencioso Administrativo, </w:t>
      </w:r>
      <w:r>
        <w:rPr>
          <w:rFonts w:cs="Calibri"/>
          <w:sz w:val="24"/>
          <w:szCs w:val="24"/>
        </w:rPr>
        <w:t>norma</w:t>
      </w:r>
      <w:r w:rsidRPr="006274BD">
        <w:rPr>
          <w:rFonts w:cs="Calibri"/>
          <w:sz w:val="24"/>
          <w:szCs w:val="24"/>
        </w:rPr>
        <w:t xml:space="preserve"> que derogó todas las disposiciones anteriores respecto a la notificación de la certificación de la deuda, por lo que el proceso de cobro persuasivo debe iniciarse nuevamente.  Así mismo, las variaciones que pudieron presentarse en la liquidación de la deuda, como resultado del pago de los aportes en mora que se hubieran cancelado posteriormente por los aportes.</w:t>
      </w:r>
    </w:p>
    <w:p w:rsidR="00BA05C2" w:rsidRPr="006274BD" w:rsidRDefault="00BA05C2" w:rsidP="00E30CFD">
      <w:pPr>
        <w:spacing w:after="0" w:line="240" w:lineRule="auto"/>
        <w:jc w:val="both"/>
        <w:rPr>
          <w:rFonts w:cs="Calibri"/>
          <w:sz w:val="24"/>
          <w:szCs w:val="24"/>
        </w:rPr>
      </w:pPr>
    </w:p>
    <w:p w:rsidR="00BA05C2" w:rsidRPr="006274BD" w:rsidRDefault="00BA05C2" w:rsidP="00971481">
      <w:pPr>
        <w:spacing w:after="0" w:line="240" w:lineRule="auto"/>
        <w:jc w:val="both"/>
        <w:rPr>
          <w:rFonts w:cs="Calibri"/>
          <w:sz w:val="24"/>
          <w:szCs w:val="24"/>
        </w:rPr>
      </w:pPr>
      <w:r w:rsidRPr="006274BD">
        <w:rPr>
          <w:rFonts w:cs="Calibri"/>
          <w:sz w:val="24"/>
          <w:szCs w:val="24"/>
        </w:rPr>
        <w:t>A la fecha el ISS en liquidación esta a la espera d</w:t>
      </w:r>
      <w:r>
        <w:rPr>
          <w:rFonts w:cs="Calibri"/>
          <w:sz w:val="24"/>
          <w:szCs w:val="24"/>
        </w:rPr>
        <w:t xml:space="preserve">el pronunciamiento por parte de </w:t>
      </w:r>
      <w:r w:rsidRPr="006274BD">
        <w:rPr>
          <w:rFonts w:cs="Calibri"/>
          <w:sz w:val="24"/>
          <w:szCs w:val="24"/>
        </w:rPr>
        <w:t xml:space="preserve">Colpensiones en relación al tema.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Pr>
          <w:rFonts w:cs="Calibri"/>
          <w:sz w:val="24"/>
          <w:szCs w:val="24"/>
        </w:rPr>
        <w:t>Otro</w:t>
      </w:r>
      <w:r w:rsidRPr="006274BD">
        <w:rPr>
          <w:rFonts w:cs="Calibri"/>
          <w:sz w:val="24"/>
          <w:szCs w:val="24"/>
        </w:rPr>
        <w:t xml:space="preserve"> ejemplo, en fecha 10 de enero de 2013 se realizó diligencia de entrega de 143 cajas, que contenían 13.407 solicitudes físicas de corrección de periodos de historia laboral posteriores a enero de 1995, diligencia que se suspendió por observaciones de los funcionarios de Colpensiones sobre los documentos que habían sido alistados para entrega y que debían ser reprocesados por el ISS en liquidación (retiro de documentos no necesarios para Colpensiones, pero que hacían parte de los a</w:t>
      </w:r>
      <w:r>
        <w:rPr>
          <w:rFonts w:cs="Calibri"/>
          <w:sz w:val="24"/>
          <w:szCs w:val="24"/>
        </w:rPr>
        <w:t>ntecedentes del caso en el ISS)</w:t>
      </w:r>
      <w:r w:rsidRPr="006274BD">
        <w:rPr>
          <w:rFonts w:cs="Calibri"/>
          <w:sz w:val="24"/>
          <w:szCs w:val="24"/>
        </w:rPr>
        <w:t xml:space="preserve">.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Como producto de  las experiencias previas, se ha determinado iniciar la entrega d</w:t>
      </w:r>
      <w:r>
        <w:rPr>
          <w:rFonts w:cs="Calibri"/>
          <w:sz w:val="24"/>
          <w:szCs w:val="24"/>
        </w:rPr>
        <w:t>e cada serie documental con una prueba piloto, que permita</w:t>
      </w:r>
      <w:r w:rsidRPr="006274BD">
        <w:rPr>
          <w:rFonts w:cs="Calibri"/>
          <w:sz w:val="24"/>
          <w:szCs w:val="24"/>
        </w:rPr>
        <w:t xml:space="preserve"> validar si existen aspectos operativos no contemplados dentro del Protocolo de Entrega.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lastRenderedPageBreak/>
        <w:t xml:space="preserve">Así mismo, la información física debe prepararse para su entrega de acuerdo a las normas del Archivo General de la Nación, lo que ha significado para algunos tipos documentales plantear ante el AGN y Colpensiones las diferencias frente al esquema de archivo existente en el ISS.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Por ejemplo, para la entrega de expedientes decididos, se efectuó la entrega piloto de la seccional Atlántico el 17 de diciembre de 2012, de la cual se evidenció que las resoluciones no estaban archivadas dentro del expediente debido a la ubicación de los Centros de Decisión con respecto a las seccionales concurrentes.</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Producto de lo anterior, Colpensiones requirió se generara una lista de chequeo que evidenciara para cada expediente y de acuerdo al tipo de prestación, que documentos de los esenciales se encontraban dentro del archivo objeto de entrega, argumentación que fue objetada por el ISS en Liquidación por la aplicación de las condiciones establecidas en el Protocolo de Entrega para este tipo documental, dado que los expedientes del Centro de Decisión Atlántico corresponden a expedientes decididos, que ya han cumplido la vía gubernativa, es decir que correspondería recibirlos de acuerdo al Numeral </w:t>
      </w:r>
      <w:r w:rsidRPr="006274BD">
        <w:rPr>
          <w:rFonts w:cs="Calibri"/>
          <w:i/>
          <w:sz w:val="24"/>
          <w:szCs w:val="24"/>
        </w:rPr>
        <w:t>3.15.2. Expedientes pensionales decididos</w:t>
      </w:r>
      <w:r w:rsidRPr="006274BD">
        <w:rPr>
          <w:rFonts w:cs="Calibri"/>
          <w:sz w:val="24"/>
          <w:szCs w:val="24"/>
        </w:rPr>
        <w:t xml:space="preserve">, que establece que “Estos expedientes se entregarán conforme a los lineamientos mínimos establecidos por el AGN”, y el Artículo 38 del Decreto 2013 de 2012,  es decir con el inventario ó Bases de Datos que ha producido el contratista en desarrollo del contrato y por el impacto en tiempo y costos.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El tema debió plantearse en el Comité Técnico de Archivo realizado en fecha 27 de febrero de 2013 entre Colpensiones, el ISS en Liquidación y el Archivo General de la Nacional, donde se definió que para efectos de transferencia de expedientes decididos el ISS en Liquidación deberá elaborar una lista de chequeo en la que se indique si existe o no cada uno de los documentos fundamentales que deben integrar los expedientes.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Los modelos de las listas de chequeo para cada tipo de prestación se elaboraron por parte del ISS en Liquidación y se enviaron para ser validadas por Colpensiones y el Archivo General de la Nación en fecha 13 de marzo. Como producto de las revisiones y ajustes realizados por Colpensiones hasta el 11 de abril, se remitieron nuevamente al AGN el 12/04/2013 para su validación y aprobación.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Posteriormente, en reunión del comité Técnico de Archivo celebrado el día 24 de abril, se acordó organizar un taller el 30 de abril con representantes de las tres entidades, a fin de definir la metodología de elaboración de las listas de chequeo para expedientes de prestaciones económicas decididos, a fin de dejar evidencia de los documentos que se entregarán a Colpensiones.</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La decisión de implementar las listas de chequeo ha tenido impacto en la entrega física de expedientes de prestaciones económicas decididas, que aproximadamente ascienden a </w:t>
      </w:r>
      <w:r w:rsidRPr="006274BD">
        <w:rPr>
          <w:rFonts w:cs="Calibri"/>
          <w:sz w:val="24"/>
          <w:szCs w:val="24"/>
        </w:rPr>
        <w:lastRenderedPageBreak/>
        <w:t xml:space="preserve">2´400.000 dentro de los que se encuentran los expedientes físicos de las resoluciones notificadas con posterioridad al 28 de septiembre de 2012.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Por otra parte, los temas denominados de transición, definidos en el Decreto 2013 del 28 de septiembre de 2012 y que en total corresponden a 7 procesos, han requerido que las dos entidades verifiquen las condiciones de la información que puede ser objeto de entrega y se logren acuerdos entre las entidades.  </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 xml:space="preserve">Por ejemplo, si bien dentro del decreto 2013 de 2012 está contemplado que “(…) </w:t>
      </w:r>
      <w:r w:rsidRPr="006274BD">
        <w:rPr>
          <w:rFonts w:cs="Calibri"/>
          <w:i/>
          <w:sz w:val="24"/>
          <w:szCs w:val="24"/>
        </w:rPr>
        <w:t>los actos administrativos expedidos por el Instituto de Seguros Sociales-ISS como administrador del régimen de prima media con prestación definida que no hubieren sido notificados a la fecha de entrada en vigencia del presente decreto, serán notificados por el Instituto de Seguros Sociales (…)”</w:t>
      </w:r>
      <w:r w:rsidRPr="006274BD">
        <w:rPr>
          <w:rFonts w:cs="Calibri"/>
          <w:sz w:val="24"/>
          <w:szCs w:val="24"/>
        </w:rPr>
        <w:t>, no se contemplo la entrega de las notificaciones con los expedientes físicos decididos.</w:t>
      </w:r>
    </w:p>
    <w:p w:rsidR="00BA05C2" w:rsidRPr="006274BD" w:rsidRDefault="00BA05C2" w:rsidP="00E30CFD">
      <w:pPr>
        <w:spacing w:after="0" w:line="240" w:lineRule="auto"/>
        <w:jc w:val="both"/>
        <w:rPr>
          <w:rFonts w:cs="Calibri"/>
          <w:sz w:val="24"/>
          <w:szCs w:val="24"/>
        </w:rPr>
      </w:pPr>
    </w:p>
    <w:p w:rsidR="00BA05C2" w:rsidRPr="00EC22C3" w:rsidRDefault="00BA05C2" w:rsidP="00E30CFD">
      <w:pPr>
        <w:spacing w:after="0" w:line="240" w:lineRule="auto"/>
        <w:jc w:val="both"/>
        <w:rPr>
          <w:rFonts w:cs="Calibri"/>
          <w:b/>
          <w:sz w:val="24"/>
          <w:szCs w:val="24"/>
        </w:rPr>
      </w:pPr>
    </w:p>
    <w:p w:rsidR="00BA05C2" w:rsidRPr="00EC22C3" w:rsidRDefault="00BA05C2" w:rsidP="00E30CFD">
      <w:pPr>
        <w:numPr>
          <w:ilvl w:val="3"/>
          <w:numId w:val="20"/>
        </w:numPr>
        <w:spacing w:after="0" w:line="240" w:lineRule="auto"/>
        <w:ind w:left="180"/>
        <w:jc w:val="both"/>
        <w:rPr>
          <w:rFonts w:cs="Calibri"/>
          <w:b/>
          <w:sz w:val="24"/>
          <w:szCs w:val="24"/>
          <w:lang w:val="es-ES"/>
        </w:rPr>
      </w:pPr>
      <w:r w:rsidRPr="00EC22C3">
        <w:rPr>
          <w:rFonts w:cs="Calibri"/>
          <w:b/>
          <w:sz w:val="24"/>
          <w:szCs w:val="24"/>
          <w:lang w:val="es-ES"/>
        </w:rPr>
        <w:t>¿Cómo responde el Seguro Social a las constantes afirmaciones del Presidente de la nueva Administradora de Pensiones, en donde asegura “la represa que se tiene hoy en día no es culpa de Colpensiones (…) es la represa que ya traía el ISS?</w:t>
      </w:r>
    </w:p>
    <w:p w:rsidR="00BA05C2" w:rsidRPr="006274BD" w:rsidRDefault="00BA05C2" w:rsidP="00E30CFD">
      <w:pPr>
        <w:spacing w:after="0" w:line="240" w:lineRule="auto"/>
        <w:jc w:val="both"/>
        <w:rPr>
          <w:rFonts w:cs="Calibri"/>
          <w:sz w:val="24"/>
          <w:szCs w:val="24"/>
          <w:lang w:val="es-ES"/>
        </w:rPr>
      </w:pPr>
    </w:p>
    <w:p w:rsidR="00BA05C2" w:rsidRPr="00323712" w:rsidRDefault="00BA05C2" w:rsidP="00E30CFD">
      <w:pPr>
        <w:pStyle w:val="Sinespaciado2"/>
        <w:jc w:val="both"/>
        <w:rPr>
          <w:rFonts w:cs="Arial"/>
          <w:sz w:val="24"/>
          <w:szCs w:val="24"/>
        </w:rPr>
      </w:pPr>
      <w:r w:rsidRPr="00323712">
        <w:rPr>
          <w:rFonts w:cs="Arial"/>
          <w:sz w:val="24"/>
          <w:szCs w:val="24"/>
        </w:rPr>
        <w:t>La gestión del Instituto frente a la decisión de pr</w:t>
      </w:r>
      <w:r>
        <w:rPr>
          <w:rFonts w:cs="Arial"/>
          <w:sz w:val="24"/>
          <w:szCs w:val="24"/>
        </w:rPr>
        <w:t>estaciones económicas, evidenció</w:t>
      </w:r>
      <w:r w:rsidRPr="00323712">
        <w:rPr>
          <w:rFonts w:cs="Arial"/>
          <w:sz w:val="24"/>
          <w:szCs w:val="24"/>
        </w:rPr>
        <w:t xml:space="preserve"> un promedio de 15.571 expedientes </w:t>
      </w:r>
      <w:r>
        <w:rPr>
          <w:rFonts w:cs="Arial"/>
          <w:sz w:val="24"/>
          <w:szCs w:val="24"/>
        </w:rPr>
        <w:t xml:space="preserve">al </w:t>
      </w:r>
      <w:r w:rsidRPr="00323712">
        <w:rPr>
          <w:rFonts w:cs="Arial"/>
          <w:sz w:val="24"/>
          <w:szCs w:val="24"/>
        </w:rPr>
        <w:t xml:space="preserve">mes durante el 2012, llegando a 140.137 expedientes decididos. Entre las actividades de mejoramiento en este proceso se encuentra la auditoría a la decisión y liquidación de prestaciones económicas, seguimiento a los centros de decisión e instrucción por medio de circulares y directrices con el fin de mejorar la decisión.  De igual forma, se implementó el nuevo liquidador automático para los riesgos de vejez e invalidez, reduciendo el tiempo de la decisión y mejorando la calidad de la misma.  Adicionalmente, en marzo de 2012, el Instituto impartió las instrucciones pertinentes para la implementación del Expediente Virtual Administrativo, EVA, con el fin de adelantar los procesos de radicación, decisión y notificación de prestaciones económicas, así como la digitalización de los expedientes.  </w:t>
      </w:r>
    </w:p>
    <w:p w:rsidR="00BA05C2" w:rsidRPr="00323712" w:rsidRDefault="00BA05C2" w:rsidP="00E30CFD">
      <w:pPr>
        <w:pStyle w:val="Sinespaciado2"/>
        <w:jc w:val="both"/>
        <w:rPr>
          <w:rFonts w:cs="Arial"/>
          <w:sz w:val="24"/>
          <w:szCs w:val="24"/>
        </w:rPr>
      </w:pPr>
    </w:p>
    <w:p w:rsidR="00BA05C2" w:rsidRPr="00323712" w:rsidRDefault="00BA05C2" w:rsidP="00E30CFD">
      <w:pPr>
        <w:pStyle w:val="Sinespaciado2"/>
        <w:jc w:val="both"/>
        <w:rPr>
          <w:rFonts w:cs="Arial"/>
          <w:sz w:val="24"/>
          <w:szCs w:val="24"/>
        </w:rPr>
      </w:pPr>
    </w:p>
    <w:p w:rsidR="00BA05C2" w:rsidRPr="00323712" w:rsidRDefault="00BA05C2" w:rsidP="00E30CFD">
      <w:pPr>
        <w:pStyle w:val="Sinespaciado2"/>
        <w:jc w:val="both"/>
        <w:rPr>
          <w:rFonts w:cs="Arial"/>
          <w:sz w:val="24"/>
          <w:szCs w:val="24"/>
        </w:rPr>
      </w:pPr>
      <w:r w:rsidRPr="00323712">
        <w:rPr>
          <w:rFonts w:cs="Arial"/>
          <w:sz w:val="24"/>
          <w:szCs w:val="24"/>
        </w:rPr>
        <w:t xml:space="preserve">El proceso nómina de pensionados cerró a septiembre de 2012 con 1.004.927 pensionados a los cuales el Instituto pagó oportunamente cada una de sus mesadas.  Los ingresos a la nómina, las diferentes novedades y reportes de los pensionados, no representan atraso en la gestión del Instituto y aquellos trámites pendientes de proceso ya fueron entregados a Colpensiones. </w:t>
      </w:r>
    </w:p>
    <w:p w:rsidR="00BA05C2" w:rsidRPr="00323712" w:rsidRDefault="00BA05C2" w:rsidP="00E30CFD">
      <w:pPr>
        <w:pStyle w:val="Sinespaciado2"/>
        <w:jc w:val="both"/>
        <w:rPr>
          <w:rFonts w:cs="Arial"/>
          <w:sz w:val="24"/>
          <w:szCs w:val="24"/>
        </w:rPr>
      </w:pPr>
    </w:p>
    <w:p w:rsidR="00BA05C2" w:rsidRPr="00323712" w:rsidRDefault="00BA05C2" w:rsidP="00E30CFD">
      <w:pPr>
        <w:pStyle w:val="Sinespaciado2"/>
        <w:jc w:val="both"/>
        <w:rPr>
          <w:rFonts w:cs="Arial"/>
          <w:sz w:val="24"/>
          <w:szCs w:val="24"/>
        </w:rPr>
      </w:pPr>
      <w:r w:rsidRPr="00323712">
        <w:rPr>
          <w:rFonts w:cs="Arial"/>
          <w:sz w:val="24"/>
          <w:szCs w:val="24"/>
        </w:rPr>
        <w:t xml:space="preserve">El Instituto, como se mencionó, ejecutó actividades tendientes a la optimización de sus procesos.  Desarrolló mecanismos de mejora, seguimiento y control, destinados a realizar una transferencia adecuada y ágil de su información, sin desconocer que dadas las </w:t>
      </w:r>
      <w:r w:rsidRPr="00323712">
        <w:rPr>
          <w:rFonts w:cs="Arial"/>
          <w:sz w:val="24"/>
          <w:szCs w:val="24"/>
        </w:rPr>
        <w:lastRenderedPageBreak/>
        <w:t>condiciones estructurales, económicas y tecnológicas, era imposible entregar procesos con cero atraso o en un 100% de sus ejecución y sí, en cambio, con un grado de avance y alistamiento óptimo para la entrada en operación de la nueva administradora.</w:t>
      </w:r>
    </w:p>
    <w:p w:rsidR="00BA05C2" w:rsidRPr="00323712" w:rsidRDefault="00BA05C2" w:rsidP="00E30CFD">
      <w:pPr>
        <w:pStyle w:val="Sinespaciado2"/>
        <w:jc w:val="both"/>
        <w:rPr>
          <w:rFonts w:cs="Arial"/>
          <w:sz w:val="24"/>
          <w:szCs w:val="24"/>
        </w:rPr>
      </w:pPr>
    </w:p>
    <w:p w:rsidR="00BA05C2" w:rsidRPr="00323712" w:rsidRDefault="00BA05C2" w:rsidP="00E30CFD">
      <w:pPr>
        <w:pStyle w:val="Sinespaciado2"/>
        <w:jc w:val="both"/>
        <w:rPr>
          <w:rFonts w:cs="Arial"/>
          <w:sz w:val="24"/>
          <w:szCs w:val="24"/>
        </w:rPr>
      </w:pPr>
      <w:r w:rsidRPr="00323712">
        <w:rPr>
          <w:rFonts w:cs="Arial"/>
          <w:sz w:val="24"/>
          <w:szCs w:val="24"/>
        </w:rPr>
        <w:t>Vale aclarar que el ISS desconoce el modelo de operación, de negocio y de gestión de Colpensiones, así como los volúmenes de transacciones recibidas para su procesamiento, posteriores al 28 de septiembre de 2012.</w:t>
      </w:r>
    </w:p>
    <w:p w:rsidR="00BA05C2" w:rsidRPr="00323712" w:rsidRDefault="00BA05C2" w:rsidP="00E30CFD">
      <w:pPr>
        <w:spacing w:after="0" w:line="240" w:lineRule="auto"/>
        <w:jc w:val="both"/>
        <w:rPr>
          <w:rFonts w:cs="Calibri"/>
          <w:sz w:val="24"/>
          <w:szCs w:val="24"/>
        </w:rPr>
      </w:pPr>
    </w:p>
    <w:p w:rsidR="00BA05C2" w:rsidRPr="00323712" w:rsidRDefault="00BA05C2" w:rsidP="00E30CFD">
      <w:pPr>
        <w:spacing w:after="0" w:line="240" w:lineRule="auto"/>
        <w:jc w:val="both"/>
        <w:rPr>
          <w:rFonts w:cs="Calibri"/>
          <w:sz w:val="24"/>
          <w:szCs w:val="24"/>
          <w:lang w:val="es-ES"/>
        </w:rPr>
      </w:pPr>
      <w:r>
        <w:rPr>
          <w:rFonts w:cs="Calibri"/>
          <w:sz w:val="24"/>
          <w:szCs w:val="24"/>
          <w:lang w:val="es-ES"/>
        </w:rPr>
        <w:t>Aunado a lo anterior, e</w:t>
      </w:r>
      <w:r w:rsidRPr="00323712">
        <w:rPr>
          <w:rFonts w:cs="Calibri"/>
          <w:sz w:val="24"/>
          <w:szCs w:val="24"/>
          <w:lang w:val="es-ES"/>
        </w:rPr>
        <w:t xml:space="preserve">n el periodo de transferencia del conocimiento y la construcción del Protocolo de Entrega con Colpensiones, se estimaron los volúmenes de trámites pendientes, información que debió ser contemplada por la nueva administradora para dimensionar su capacidad operativa.  </w:t>
      </w:r>
    </w:p>
    <w:p w:rsidR="00BA05C2" w:rsidRPr="00323712" w:rsidRDefault="00BA05C2" w:rsidP="00E30CFD">
      <w:pPr>
        <w:spacing w:after="0" w:line="240" w:lineRule="auto"/>
        <w:jc w:val="both"/>
        <w:rPr>
          <w:rFonts w:cs="Calibri"/>
          <w:sz w:val="24"/>
          <w:szCs w:val="24"/>
          <w:lang w:val="es-ES"/>
        </w:rPr>
      </w:pPr>
    </w:p>
    <w:p w:rsidR="00BA05C2" w:rsidRPr="00323712" w:rsidRDefault="00BA05C2" w:rsidP="00E30CFD">
      <w:pPr>
        <w:spacing w:after="0" w:line="240" w:lineRule="auto"/>
        <w:jc w:val="both"/>
        <w:rPr>
          <w:rFonts w:cs="Calibri"/>
          <w:sz w:val="24"/>
          <w:szCs w:val="24"/>
          <w:lang w:val="es-ES"/>
        </w:rPr>
      </w:pPr>
      <w:r w:rsidRPr="00323712">
        <w:rPr>
          <w:rFonts w:cs="Calibri"/>
          <w:sz w:val="24"/>
          <w:szCs w:val="24"/>
          <w:lang w:val="es-ES"/>
        </w:rPr>
        <w:t xml:space="preserve">Por lo anterior, no es posible determinar por el ISS a que obedece la represa que presenta Colpensiones, pues los volúmenes de peticiones a trasladar eran inherentes al proceso de entrada en funcionamiento de la nueva administradora. </w:t>
      </w:r>
    </w:p>
    <w:p w:rsidR="00BA05C2" w:rsidRDefault="00BA05C2" w:rsidP="00E30CFD">
      <w:pPr>
        <w:spacing w:after="0" w:line="240" w:lineRule="auto"/>
        <w:jc w:val="both"/>
        <w:rPr>
          <w:rFonts w:cs="Calibri"/>
          <w:b/>
          <w:sz w:val="24"/>
          <w:szCs w:val="24"/>
          <w:lang w:val="es-ES"/>
        </w:rPr>
      </w:pPr>
    </w:p>
    <w:p w:rsidR="00134854" w:rsidRPr="00323712" w:rsidRDefault="00134854" w:rsidP="00E30CFD">
      <w:pPr>
        <w:spacing w:after="0" w:line="240" w:lineRule="auto"/>
        <w:jc w:val="both"/>
        <w:rPr>
          <w:rFonts w:cs="Calibri"/>
          <w:b/>
          <w:sz w:val="24"/>
          <w:szCs w:val="24"/>
          <w:lang w:val="es-ES"/>
        </w:rPr>
      </w:pPr>
    </w:p>
    <w:p w:rsidR="00BA05C2" w:rsidRPr="008A6F7E" w:rsidRDefault="00BA05C2" w:rsidP="00971481">
      <w:pPr>
        <w:pStyle w:val="Prrafodelista"/>
        <w:numPr>
          <w:ilvl w:val="3"/>
          <w:numId w:val="20"/>
        </w:numPr>
        <w:spacing w:after="0" w:line="240" w:lineRule="auto"/>
        <w:ind w:left="180"/>
        <w:jc w:val="both"/>
        <w:rPr>
          <w:rFonts w:cs="Calibri"/>
          <w:b/>
          <w:sz w:val="24"/>
          <w:szCs w:val="24"/>
        </w:rPr>
      </w:pPr>
      <w:r w:rsidRPr="008A6F7E">
        <w:rPr>
          <w:rFonts w:cs="Calibri"/>
          <w:b/>
          <w:sz w:val="24"/>
          <w:szCs w:val="24"/>
        </w:rPr>
        <w:t xml:space="preserve">Recurso Humano. ¿Con </w:t>
      </w:r>
      <w:r w:rsidR="00134854" w:rsidRPr="008A6F7E">
        <w:rPr>
          <w:rFonts w:cs="Calibri"/>
          <w:b/>
          <w:sz w:val="24"/>
          <w:szCs w:val="24"/>
        </w:rPr>
        <w:t>cuántos</w:t>
      </w:r>
      <w:r w:rsidRPr="008A6F7E">
        <w:rPr>
          <w:rFonts w:cs="Calibri"/>
          <w:b/>
          <w:sz w:val="24"/>
          <w:szCs w:val="24"/>
        </w:rPr>
        <w:t xml:space="preserve"> empleados cuenta el Instituto de Seguros Sociales? ¿Cuántos contratistas tiene la Entidad? Presentar el gasto total que representa el recurso humano del ISS, en todas sus modalidades.</w:t>
      </w:r>
    </w:p>
    <w:p w:rsidR="00BA05C2" w:rsidRDefault="00BA05C2" w:rsidP="00971481">
      <w:pPr>
        <w:spacing w:after="0" w:line="240" w:lineRule="auto"/>
        <w:jc w:val="both"/>
      </w:pPr>
    </w:p>
    <w:p w:rsidR="00BA05C2" w:rsidRDefault="00BA05C2" w:rsidP="00E30CFD">
      <w:pPr>
        <w:spacing w:line="240" w:lineRule="auto"/>
        <w:jc w:val="both"/>
      </w:pPr>
      <w:r w:rsidRPr="00CA3577">
        <w:t>La planta de personal del ISS en Liquidación a 30 de abril de 2013 está conformada por 912 trabajadores oficiales y 231 empleados públicos, para un total de 1.143 servidores.  El valor mensual estimado por nómina de activos es de $3.659 millones.</w:t>
      </w:r>
    </w:p>
    <w:p w:rsidR="00134854" w:rsidRDefault="00134854" w:rsidP="00E30CFD">
      <w:pPr>
        <w:spacing w:line="240" w:lineRule="auto"/>
        <w:jc w:val="both"/>
      </w:pPr>
    </w:p>
    <w:p w:rsidR="00BA05C2" w:rsidRPr="00BC6C51" w:rsidRDefault="00BA05C2" w:rsidP="00BC6C51">
      <w:pPr>
        <w:pStyle w:val="Prrafodelista"/>
        <w:numPr>
          <w:ilvl w:val="3"/>
          <w:numId w:val="20"/>
        </w:numPr>
        <w:spacing w:after="0" w:line="240" w:lineRule="auto"/>
        <w:ind w:left="180"/>
        <w:jc w:val="both"/>
        <w:rPr>
          <w:rFonts w:cs="Calibri"/>
          <w:b/>
        </w:rPr>
      </w:pPr>
      <w:r w:rsidRPr="008A6F7E">
        <w:rPr>
          <w:rFonts w:cs="Calibri"/>
          <w:b/>
          <w:sz w:val="24"/>
          <w:szCs w:val="24"/>
        </w:rPr>
        <w:t xml:space="preserve">¿Es cierto que el Seguro Social no tiene bajo su poder la copia </w:t>
      </w:r>
      <w:r w:rsidR="00134854" w:rsidRPr="008A6F7E">
        <w:rPr>
          <w:rFonts w:cs="Calibri"/>
          <w:b/>
          <w:sz w:val="24"/>
          <w:szCs w:val="24"/>
        </w:rPr>
        <w:t>íntegra</w:t>
      </w:r>
      <w:r w:rsidRPr="008A6F7E">
        <w:rPr>
          <w:rFonts w:cs="Calibri"/>
          <w:b/>
          <w:sz w:val="24"/>
          <w:szCs w:val="24"/>
        </w:rPr>
        <w:t xml:space="preserve"> de todos los expedientes que corresponden a solicitudes de ciudadanos, debido a que los abogados </w:t>
      </w:r>
      <w:r w:rsidRPr="00BC6C51">
        <w:rPr>
          <w:rFonts w:cs="Calibri"/>
          <w:b/>
        </w:rPr>
        <w:t>que llevaban los procesos se quedaron con ellos?</w:t>
      </w:r>
    </w:p>
    <w:p w:rsidR="00BA05C2" w:rsidRPr="00BC6C51" w:rsidRDefault="00BA05C2" w:rsidP="00BC6C51">
      <w:pPr>
        <w:pStyle w:val="Prrafodelista"/>
        <w:spacing w:after="0" w:line="240" w:lineRule="auto"/>
        <w:jc w:val="both"/>
        <w:rPr>
          <w:rFonts w:cs="Calibri"/>
          <w:b/>
        </w:rPr>
      </w:pPr>
    </w:p>
    <w:p w:rsidR="00BA05C2" w:rsidRDefault="00BA05C2" w:rsidP="00954145">
      <w:pPr>
        <w:spacing w:after="0" w:line="240" w:lineRule="auto"/>
        <w:ind w:left="360"/>
        <w:jc w:val="both"/>
        <w:rPr>
          <w:rFonts w:cs="Arial"/>
          <w:bCs/>
          <w:sz w:val="24"/>
          <w:szCs w:val="24"/>
        </w:rPr>
      </w:pPr>
      <w:r w:rsidRPr="00BC6C51">
        <w:rPr>
          <w:rFonts w:cs="Arial"/>
          <w:bCs/>
          <w:sz w:val="24"/>
          <w:szCs w:val="24"/>
        </w:rPr>
        <w:t>Cabe resaltar que</w:t>
      </w:r>
      <w:r>
        <w:rPr>
          <w:rFonts w:cs="Arial"/>
          <w:bCs/>
          <w:sz w:val="24"/>
          <w:szCs w:val="24"/>
        </w:rPr>
        <w:t xml:space="preserve"> si la pregunta hace </w:t>
      </w:r>
      <w:r w:rsidRPr="00BC6C51">
        <w:rPr>
          <w:rFonts w:cs="Arial"/>
          <w:bCs/>
          <w:sz w:val="24"/>
          <w:szCs w:val="24"/>
        </w:rPr>
        <w:t>ref</w:t>
      </w:r>
      <w:r>
        <w:rPr>
          <w:rFonts w:cs="Arial"/>
          <w:bCs/>
          <w:sz w:val="24"/>
          <w:szCs w:val="24"/>
        </w:rPr>
        <w:t>erencia</w:t>
      </w:r>
      <w:r w:rsidRPr="00BC6C51">
        <w:rPr>
          <w:rFonts w:cs="Arial"/>
          <w:bCs/>
          <w:sz w:val="24"/>
          <w:szCs w:val="24"/>
        </w:rPr>
        <w:t xml:space="preserve"> a solicitudes de pensiones y todo lo relacionado con el Régimen de Prima Media con Prestación Definida, los apoderados externos del ISS nunca tuvieron acceso ni manejo de los expediente</w:t>
      </w:r>
      <w:r>
        <w:rPr>
          <w:rFonts w:cs="Arial"/>
          <w:bCs/>
          <w:sz w:val="24"/>
          <w:szCs w:val="24"/>
        </w:rPr>
        <w:t>s</w:t>
      </w:r>
      <w:r w:rsidRPr="00BC6C51">
        <w:rPr>
          <w:rFonts w:cs="Arial"/>
          <w:bCs/>
          <w:sz w:val="24"/>
          <w:szCs w:val="24"/>
        </w:rPr>
        <w:t xml:space="preserve"> administrativos de dichos casos.</w:t>
      </w:r>
    </w:p>
    <w:p w:rsidR="00134854" w:rsidRPr="00BC6C51" w:rsidRDefault="00134854" w:rsidP="00954145">
      <w:pPr>
        <w:spacing w:after="0" w:line="240" w:lineRule="auto"/>
        <w:ind w:left="360"/>
        <w:jc w:val="both"/>
        <w:rPr>
          <w:rFonts w:cs="Arial"/>
          <w:bCs/>
          <w:sz w:val="24"/>
          <w:szCs w:val="24"/>
        </w:rPr>
      </w:pPr>
    </w:p>
    <w:p w:rsidR="00BA05C2" w:rsidRPr="00323712" w:rsidRDefault="00BA05C2" w:rsidP="00E30CFD">
      <w:pPr>
        <w:numPr>
          <w:ilvl w:val="3"/>
          <w:numId w:val="20"/>
        </w:numPr>
        <w:spacing w:after="0" w:line="240" w:lineRule="auto"/>
        <w:ind w:left="180"/>
        <w:jc w:val="both"/>
        <w:rPr>
          <w:rFonts w:cs="Calibri"/>
          <w:b/>
          <w:sz w:val="24"/>
          <w:szCs w:val="24"/>
          <w:lang w:val="es-ES"/>
        </w:rPr>
      </w:pPr>
      <w:r w:rsidRPr="00323712">
        <w:rPr>
          <w:rFonts w:cs="Calibri"/>
          <w:b/>
          <w:sz w:val="24"/>
          <w:szCs w:val="24"/>
          <w:lang w:val="es-ES"/>
        </w:rPr>
        <w:t>Presentar el Cronograma que tiene establecido el ISS para entrega de pendientes para quedar al día antes de la fecha de liquidación absoluta.</w:t>
      </w:r>
    </w:p>
    <w:p w:rsidR="00134854" w:rsidRDefault="00134854"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Con base en el Protocolo de Entrega suscrito entre el ISS y Colpensiones, los ítems que corresponden a trámites pendientes ó documentos soportes  que afectan la decisión de las pensiones, se entregará a más tardar al 30 de junio del 2013.</w:t>
      </w:r>
    </w:p>
    <w:p w:rsidR="00BA05C2" w:rsidRPr="006274BD" w:rsidRDefault="00BA05C2" w:rsidP="00E30CFD">
      <w:pPr>
        <w:spacing w:after="0" w:line="240" w:lineRule="auto"/>
        <w:jc w:val="both"/>
        <w:rPr>
          <w:rFonts w:cs="Calibri"/>
          <w:sz w:val="24"/>
          <w:szCs w:val="24"/>
        </w:rPr>
      </w:pPr>
    </w:p>
    <w:p w:rsidR="00BA05C2" w:rsidRPr="006274BD" w:rsidRDefault="00BA05C2" w:rsidP="00E30CFD">
      <w:pPr>
        <w:spacing w:after="0" w:line="240" w:lineRule="auto"/>
        <w:jc w:val="both"/>
        <w:rPr>
          <w:rFonts w:cs="Calibri"/>
          <w:sz w:val="24"/>
          <w:szCs w:val="24"/>
        </w:rPr>
      </w:pPr>
      <w:r w:rsidRPr="006274BD">
        <w:rPr>
          <w:rFonts w:cs="Calibri"/>
          <w:sz w:val="24"/>
          <w:szCs w:val="24"/>
        </w:rPr>
        <w:t>Con respecto a la información que se encuentra pendiente y que corresponda a documentos físico de trámites concluidos (archivo), se tiene establecido terminar su entrega a más tardar al 28 de septiembre de 2013.</w:t>
      </w:r>
    </w:p>
    <w:p w:rsidR="00BA05C2" w:rsidRDefault="00BA05C2" w:rsidP="00E30CFD">
      <w:pPr>
        <w:spacing w:after="0" w:line="240" w:lineRule="auto"/>
        <w:jc w:val="both"/>
        <w:rPr>
          <w:rFonts w:cs="Calibri"/>
          <w:b/>
          <w:sz w:val="24"/>
          <w:szCs w:val="24"/>
        </w:rPr>
      </w:pPr>
    </w:p>
    <w:p w:rsidR="00134854" w:rsidRDefault="00134854" w:rsidP="00E30CFD">
      <w:pPr>
        <w:spacing w:after="0" w:line="240" w:lineRule="auto"/>
        <w:jc w:val="both"/>
        <w:rPr>
          <w:rFonts w:cs="Calibri"/>
          <w:b/>
          <w:sz w:val="24"/>
          <w:szCs w:val="24"/>
        </w:rPr>
      </w:pPr>
    </w:p>
    <w:p w:rsidR="00BA05C2" w:rsidRPr="008A6F7E" w:rsidRDefault="00BA05C2" w:rsidP="00E30CFD">
      <w:pPr>
        <w:pStyle w:val="Prrafodelista"/>
        <w:numPr>
          <w:ilvl w:val="3"/>
          <w:numId w:val="20"/>
        </w:numPr>
        <w:spacing w:after="0" w:line="240" w:lineRule="auto"/>
        <w:ind w:left="180"/>
        <w:jc w:val="both"/>
        <w:rPr>
          <w:rFonts w:cs="Calibri"/>
          <w:b/>
          <w:sz w:val="24"/>
          <w:szCs w:val="24"/>
        </w:rPr>
      </w:pPr>
      <w:r w:rsidRPr="008A6F7E">
        <w:rPr>
          <w:rFonts w:cs="Calibri"/>
          <w:b/>
          <w:sz w:val="24"/>
          <w:szCs w:val="24"/>
        </w:rPr>
        <w:t>¿Cómo responde el ISS a las funciones de advertencia diseñadas por la Contraloría General de la República y a los mensajes de urgencia permanente</w:t>
      </w:r>
      <w:r>
        <w:rPr>
          <w:rFonts w:cs="Calibri"/>
          <w:b/>
          <w:sz w:val="24"/>
          <w:szCs w:val="24"/>
        </w:rPr>
        <w:t>mente</w:t>
      </w:r>
      <w:r w:rsidRPr="008A6F7E">
        <w:rPr>
          <w:rFonts w:cs="Calibri"/>
          <w:b/>
          <w:sz w:val="24"/>
          <w:szCs w:val="24"/>
        </w:rPr>
        <w:t xml:space="preserve"> dispuestos por la Procuraduría General de la Nación?</w:t>
      </w:r>
    </w:p>
    <w:p w:rsidR="00BA05C2" w:rsidRDefault="00BA05C2" w:rsidP="00E30CFD">
      <w:pPr>
        <w:spacing w:after="0" w:line="240" w:lineRule="auto"/>
        <w:jc w:val="both"/>
        <w:rPr>
          <w:rFonts w:cs="Calibri"/>
          <w:b/>
          <w:sz w:val="24"/>
          <w:szCs w:val="24"/>
          <w:lang w:val="es-ES"/>
        </w:rPr>
      </w:pPr>
    </w:p>
    <w:p w:rsidR="00BA05C2" w:rsidRDefault="00BA05C2" w:rsidP="00E30CFD">
      <w:pPr>
        <w:spacing w:after="0" w:line="240" w:lineRule="auto"/>
        <w:jc w:val="both"/>
        <w:rPr>
          <w:rFonts w:cs="Calibri"/>
          <w:sz w:val="24"/>
          <w:szCs w:val="24"/>
          <w:lang w:val="es-ES"/>
        </w:rPr>
      </w:pPr>
      <w:r w:rsidRPr="00A77823">
        <w:rPr>
          <w:rFonts w:cs="Calibri"/>
          <w:sz w:val="24"/>
          <w:szCs w:val="24"/>
          <w:lang w:val="es-ES"/>
        </w:rPr>
        <w:t>El ISS elaboró planes de mejo</w:t>
      </w:r>
      <w:r>
        <w:rPr>
          <w:rFonts w:cs="Calibri"/>
          <w:sz w:val="24"/>
          <w:szCs w:val="24"/>
          <w:lang w:val="es-ES"/>
        </w:rPr>
        <w:t>ramiento con el propósito de corregir los procedimientos que, de acuerdo a las advertencias y mensajes de urgencia de los entes de control, amenazan el desarrollo del proceso de liquidación del Instituto y entrega a otras entidades.</w:t>
      </w:r>
    </w:p>
    <w:p w:rsidR="00BA05C2" w:rsidRDefault="00BA05C2" w:rsidP="00E30CFD">
      <w:pPr>
        <w:spacing w:after="0" w:line="240" w:lineRule="auto"/>
        <w:jc w:val="both"/>
        <w:rPr>
          <w:rFonts w:cs="Calibri"/>
          <w:sz w:val="24"/>
          <w:szCs w:val="24"/>
          <w:lang w:val="es-ES"/>
        </w:rPr>
      </w:pPr>
    </w:p>
    <w:p w:rsidR="00BA05C2" w:rsidRPr="00A77823" w:rsidRDefault="00BA05C2" w:rsidP="00E30CFD">
      <w:pPr>
        <w:spacing w:after="0" w:line="240" w:lineRule="auto"/>
        <w:jc w:val="both"/>
        <w:rPr>
          <w:rFonts w:cs="Calibri"/>
          <w:sz w:val="24"/>
          <w:szCs w:val="24"/>
          <w:lang w:val="es-ES"/>
        </w:rPr>
      </w:pPr>
    </w:p>
    <w:p w:rsidR="00BA05C2" w:rsidRPr="008A6F7E" w:rsidRDefault="00BA05C2" w:rsidP="00E30CFD">
      <w:pPr>
        <w:pStyle w:val="Sinespaciado"/>
        <w:tabs>
          <w:tab w:val="center" w:pos="4419"/>
        </w:tabs>
        <w:jc w:val="both"/>
        <w:rPr>
          <w:rFonts w:cs="Calibri"/>
          <w:bCs/>
          <w:sz w:val="24"/>
          <w:szCs w:val="24"/>
        </w:rPr>
      </w:pPr>
      <w:r w:rsidRPr="008A6F7E">
        <w:rPr>
          <w:rFonts w:cs="Calibri"/>
          <w:bCs/>
          <w:sz w:val="24"/>
          <w:szCs w:val="24"/>
        </w:rPr>
        <w:t xml:space="preserve">Un cordial saludo, </w:t>
      </w:r>
      <w:r w:rsidRPr="008A6F7E">
        <w:rPr>
          <w:rFonts w:cs="Calibri"/>
          <w:bCs/>
          <w:sz w:val="24"/>
          <w:szCs w:val="24"/>
        </w:rPr>
        <w:tab/>
      </w:r>
    </w:p>
    <w:p w:rsidR="00BA05C2" w:rsidRPr="008A6F7E" w:rsidRDefault="00BA05C2" w:rsidP="00E30CFD">
      <w:pPr>
        <w:pStyle w:val="Sinespaciado"/>
        <w:jc w:val="both"/>
        <w:rPr>
          <w:rFonts w:cs="Calibri"/>
          <w:bCs/>
          <w:sz w:val="24"/>
          <w:szCs w:val="24"/>
        </w:rPr>
      </w:pPr>
    </w:p>
    <w:p w:rsidR="00BA05C2" w:rsidRPr="008A6F7E" w:rsidRDefault="00BA05C2" w:rsidP="00E30CFD">
      <w:pPr>
        <w:pStyle w:val="Sinespaciado"/>
        <w:jc w:val="both"/>
        <w:rPr>
          <w:rFonts w:cs="Calibri"/>
          <w:bCs/>
          <w:sz w:val="24"/>
          <w:szCs w:val="24"/>
        </w:rPr>
      </w:pPr>
    </w:p>
    <w:p w:rsidR="00BA05C2" w:rsidRPr="008A6F7E" w:rsidRDefault="00BA05C2" w:rsidP="00E30CFD">
      <w:pPr>
        <w:pStyle w:val="Sinespaciado"/>
        <w:jc w:val="both"/>
        <w:rPr>
          <w:rFonts w:cs="Calibri"/>
          <w:bCs/>
          <w:sz w:val="24"/>
          <w:szCs w:val="24"/>
        </w:rPr>
      </w:pPr>
    </w:p>
    <w:p w:rsidR="00BA05C2" w:rsidRPr="008A6F7E" w:rsidRDefault="00BA05C2" w:rsidP="00E30CFD">
      <w:pPr>
        <w:pStyle w:val="Sinespaciado"/>
        <w:jc w:val="both"/>
        <w:rPr>
          <w:rFonts w:cs="Calibri"/>
          <w:b/>
          <w:bCs/>
          <w:sz w:val="24"/>
          <w:szCs w:val="24"/>
        </w:rPr>
      </w:pPr>
      <w:r w:rsidRPr="008A6F7E">
        <w:rPr>
          <w:rFonts w:cs="Calibri"/>
          <w:b/>
          <w:bCs/>
          <w:sz w:val="24"/>
          <w:szCs w:val="24"/>
        </w:rPr>
        <w:t>SILVIA HELENA RAMÍREZ SAAVEDRA</w:t>
      </w:r>
    </w:p>
    <w:p w:rsidR="00BA05C2" w:rsidRPr="008A6F7E" w:rsidRDefault="00BA05C2" w:rsidP="00E30CFD">
      <w:pPr>
        <w:pStyle w:val="Sinespaciado"/>
        <w:jc w:val="both"/>
        <w:rPr>
          <w:rFonts w:cs="Calibri"/>
          <w:b/>
          <w:bCs/>
          <w:sz w:val="24"/>
          <w:szCs w:val="24"/>
        </w:rPr>
      </w:pPr>
      <w:r w:rsidRPr="008A6F7E">
        <w:rPr>
          <w:rFonts w:cs="Calibri"/>
          <w:b/>
          <w:bCs/>
          <w:sz w:val="24"/>
          <w:szCs w:val="24"/>
        </w:rPr>
        <w:t>Apoderada General</w:t>
      </w:r>
    </w:p>
    <w:p w:rsidR="00BA05C2" w:rsidRPr="008A6F7E" w:rsidRDefault="00BA05C2" w:rsidP="00E30CFD">
      <w:pPr>
        <w:pStyle w:val="Sinespaciado"/>
        <w:jc w:val="both"/>
        <w:rPr>
          <w:rFonts w:cs="Calibri"/>
          <w:b/>
          <w:bCs/>
          <w:sz w:val="24"/>
          <w:szCs w:val="24"/>
        </w:rPr>
      </w:pPr>
      <w:r w:rsidRPr="008A6F7E">
        <w:rPr>
          <w:rFonts w:cs="Calibri"/>
          <w:b/>
          <w:bCs/>
          <w:sz w:val="24"/>
          <w:szCs w:val="24"/>
        </w:rPr>
        <w:t>FIDUPREVISORA S.A.- Liquidador-ISS en Liquidación</w:t>
      </w:r>
    </w:p>
    <w:p w:rsidR="00BA05C2" w:rsidRPr="008A6F7E" w:rsidRDefault="00BA05C2" w:rsidP="00E30CFD">
      <w:pPr>
        <w:pStyle w:val="Sinespaciado"/>
        <w:jc w:val="both"/>
        <w:rPr>
          <w:rFonts w:cs="Calibri"/>
          <w:b/>
          <w:bCs/>
          <w:sz w:val="24"/>
          <w:szCs w:val="24"/>
        </w:rPr>
      </w:pPr>
    </w:p>
    <w:p w:rsidR="00BA05C2" w:rsidRPr="008A6F7E" w:rsidRDefault="00BA05C2" w:rsidP="00E30CFD">
      <w:pPr>
        <w:pStyle w:val="Sinespaciado"/>
        <w:jc w:val="both"/>
        <w:rPr>
          <w:rFonts w:cs="Calibri"/>
          <w:b/>
          <w:bCs/>
          <w:sz w:val="16"/>
          <w:szCs w:val="16"/>
        </w:rPr>
      </w:pPr>
      <w:r w:rsidRPr="00DA6ED2">
        <w:rPr>
          <w:rFonts w:cs="Calibri"/>
          <w:b/>
          <w:bCs/>
          <w:sz w:val="16"/>
          <w:szCs w:val="16"/>
        </w:rPr>
        <w:t>Anexo: Video proceso Centro de Acopio</w:t>
      </w:r>
      <w:r w:rsidRPr="008A6F7E">
        <w:rPr>
          <w:rFonts w:cs="Calibri"/>
          <w:b/>
          <w:bCs/>
          <w:sz w:val="16"/>
          <w:szCs w:val="16"/>
        </w:rPr>
        <w:t xml:space="preserve"> </w:t>
      </w:r>
    </w:p>
    <w:p w:rsidR="00BA05C2" w:rsidRDefault="00BA05C2" w:rsidP="00E30CFD">
      <w:pPr>
        <w:pStyle w:val="Sinespaciado"/>
        <w:jc w:val="both"/>
        <w:rPr>
          <w:rFonts w:cs="Calibri"/>
          <w:b/>
          <w:bCs/>
          <w:sz w:val="16"/>
          <w:szCs w:val="16"/>
        </w:rPr>
      </w:pPr>
    </w:p>
    <w:p w:rsidR="00BA05C2" w:rsidRPr="008A6F7E" w:rsidRDefault="00BA05C2" w:rsidP="00E30CFD">
      <w:pPr>
        <w:pStyle w:val="Sinespaciado"/>
        <w:jc w:val="both"/>
        <w:rPr>
          <w:rFonts w:cs="Calibri"/>
          <w:b/>
          <w:bCs/>
          <w:sz w:val="16"/>
          <w:szCs w:val="16"/>
        </w:rPr>
      </w:pPr>
      <w:r w:rsidRPr="008A6F7E">
        <w:rPr>
          <w:rFonts w:cs="Calibri"/>
          <w:b/>
          <w:bCs/>
          <w:sz w:val="16"/>
          <w:szCs w:val="16"/>
        </w:rPr>
        <w:t>NR.6</w:t>
      </w:r>
      <w:r>
        <w:rPr>
          <w:rFonts w:cs="Calibri"/>
          <w:b/>
          <w:bCs/>
          <w:sz w:val="16"/>
          <w:szCs w:val="16"/>
        </w:rPr>
        <w:t>90</w:t>
      </w:r>
    </w:p>
    <w:sectPr w:rsidR="00BA05C2" w:rsidRPr="008A6F7E" w:rsidSect="003B12C8">
      <w:headerReference w:type="default" r:id="rId9"/>
      <w:footerReference w:type="even" r:id="rId10"/>
      <w:footerReference w:type="default" r:id="rId11"/>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8B" w:rsidRDefault="00574F8B" w:rsidP="00C75DD6">
      <w:pPr>
        <w:spacing w:after="0" w:line="240" w:lineRule="auto"/>
      </w:pPr>
      <w:r>
        <w:separator/>
      </w:r>
    </w:p>
  </w:endnote>
  <w:endnote w:type="continuationSeparator" w:id="0">
    <w:p w:rsidR="00574F8B" w:rsidRDefault="00574F8B" w:rsidP="00C7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A4" w:rsidRDefault="009533A4" w:rsidP="00E521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33A4" w:rsidRDefault="009533A4" w:rsidP="00030B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A4" w:rsidRDefault="009533A4" w:rsidP="00E521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33A">
      <w:rPr>
        <w:rStyle w:val="Nmerodepgina"/>
        <w:noProof/>
      </w:rPr>
      <w:t>1</w:t>
    </w:r>
    <w:r>
      <w:rPr>
        <w:rStyle w:val="Nmerodepgina"/>
      </w:rPr>
      <w:fldChar w:fldCharType="end"/>
    </w:r>
  </w:p>
  <w:p w:rsidR="009533A4" w:rsidRPr="003B12C8" w:rsidRDefault="009A73DF" w:rsidP="00030B32">
    <w:pPr>
      <w:pStyle w:val="Piedepgina"/>
      <w:ind w:right="360"/>
    </w:pPr>
    <w:r>
      <w:rPr>
        <w:noProof/>
        <w:lang w:eastAsia="es-CO"/>
      </w:rPr>
      <w:drawing>
        <wp:anchor distT="0" distB="0" distL="114300" distR="114300" simplePos="0" relativeHeight="251658752" behindDoc="0" locked="0" layoutInCell="1" allowOverlap="1">
          <wp:simplePos x="0" y="0"/>
          <wp:positionH relativeFrom="column">
            <wp:posOffset>4083685</wp:posOffset>
          </wp:positionH>
          <wp:positionV relativeFrom="paragraph">
            <wp:posOffset>-158750</wp:posOffset>
          </wp:positionV>
          <wp:extent cx="2406015" cy="659765"/>
          <wp:effectExtent l="0" t="0" r="0" b="6985"/>
          <wp:wrapNone/>
          <wp:docPr id="3" name="2 Imagen" descr="logos minsalud 2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s minsalud 2 (3).png"/>
                  <pic:cNvPicPr>
                    <a:picLocks noChangeAspect="1" noChangeArrowheads="1"/>
                  </pic:cNvPicPr>
                </pic:nvPicPr>
                <pic:blipFill>
                  <a:blip r:embed="rId1">
                    <a:extLst>
                      <a:ext uri="{28A0092B-C50C-407E-A947-70E740481C1C}">
                        <a14:useLocalDpi xmlns:a14="http://schemas.microsoft.com/office/drawing/2010/main" val="0"/>
                      </a:ext>
                    </a:extLst>
                  </a:blip>
                  <a:srcRect r="7275" b="11626"/>
                  <a:stretch>
                    <a:fillRect/>
                  </a:stretch>
                </pic:blipFill>
                <pic:spPr bwMode="auto">
                  <a:xfrm>
                    <a:off x="0" y="0"/>
                    <a:ext cx="2406015" cy="6597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8B" w:rsidRDefault="00574F8B" w:rsidP="00C75DD6">
      <w:pPr>
        <w:spacing w:after="0" w:line="240" w:lineRule="auto"/>
      </w:pPr>
      <w:r>
        <w:separator/>
      </w:r>
    </w:p>
  </w:footnote>
  <w:footnote w:type="continuationSeparator" w:id="0">
    <w:p w:rsidR="00574F8B" w:rsidRDefault="00574F8B" w:rsidP="00C75DD6">
      <w:pPr>
        <w:spacing w:after="0" w:line="240" w:lineRule="auto"/>
      </w:pPr>
      <w:r>
        <w:continuationSeparator/>
      </w:r>
    </w:p>
  </w:footnote>
  <w:footnote w:id="1">
    <w:p w:rsidR="009533A4" w:rsidRDefault="009533A4" w:rsidP="00F627C3">
      <w:pPr>
        <w:pStyle w:val="Textonotapie"/>
      </w:pPr>
      <w:r w:rsidRPr="00D402FA">
        <w:rPr>
          <w:rStyle w:val="Refdenotaalpie"/>
          <w:sz w:val="16"/>
          <w:szCs w:val="16"/>
        </w:rPr>
        <w:footnoteRef/>
      </w:r>
      <w:r w:rsidRPr="00D402FA">
        <w:rPr>
          <w:sz w:val="16"/>
          <w:szCs w:val="16"/>
        </w:rPr>
        <w:t xml:space="preserve"> </w:t>
      </w:r>
      <w:r w:rsidRPr="00D402FA">
        <w:rPr>
          <w:rFonts w:cs="Arial"/>
          <w:i/>
          <w:color w:val="000000"/>
          <w:sz w:val="16"/>
          <w:szCs w:val="16"/>
        </w:rPr>
        <w:t>Por el cual se regulan algunas medidas en relación con enfermedades de alto costo y se dictan otros disposiciones</w:t>
      </w:r>
      <w:r>
        <w:rPr>
          <w:rFonts w:cs="Arial"/>
          <w:i/>
          <w:color w:val="000000"/>
          <w:sz w:val="16"/>
          <w:szCs w:val="16"/>
        </w:rPr>
        <w:t>.</w:t>
      </w:r>
    </w:p>
  </w:footnote>
  <w:footnote w:id="2">
    <w:p w:rsidR="009533A4" w:rsidRDefault="009533A4" w:rsidP="00F627C3">
      <w:pPr>
        <w:pStyle w:val="Textonotapie"/>
      </w:pPr>
      <w:r>
        <w:rPr>
          <w:rStyle w:val="Refdenotaalpie"/>
        </w:rPr>
        <w:footnoteRef/>
      </w:r>
      <w:r>
        <w:t xml:space="preserve"> P</w:t>
      </w:r>
      <w:r w:rsidRPr="005F0427">
        <w:t>ágina 26</w:t>
      </w:r>
      <w:r>
        <w:t xml:space="preserve"> de la Resolución.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A4" w:rsidRDefault="009533A4">
    <w:pPr>
      <w:pStyle w:val="Encabezado"/>
    </w:pPr>
    <w:r>
      <w:t>[Escribir texto]</w:t>
    </w:r>
  </w:p>
  <w:p w:rsidR="009533A4" w:rsidRDefault="009A73DF">
    <w:pPr>
      <w:pStyle w:val="Encabezado"/>
    </w:pPr>
    <w:r>
      <w:rPr>
        <w:noProof/>
        <w:lang w:eastAsia="es-CO"/>
      </w:rPr>
      <w:drawing>
        <wp:anchor distT="0" distB="0" distL="114300" distR="114300" simplePos="0" relativeHeight="251657728" behindDoc="0" locked="0" layoutInCell="1" allowOverlap="1">
          <wp:simplePos x="0" y="0"/>
          <wp:positionH relativeFrom="column">
            <wp:posOffset>-194310</wp:posOffset>
          </wp:positionH>
          <wp:positionV relativeFrom="paragraph">
            <wp:posOffset>-436245</wp:posOffset>
          </wp:positionV>
          <wp:extent cx="1684020" cy="91440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r="73239"/>
                  <a:stretch>
                    <a:fillRect/>
                  </a:stretch>
                </pic:blipFill>
                <pic:spPr bwMode="auto">
                  <a:xfrm>
                    <a:off x="0" y="0"/>
                    <a:ext cx="168402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6704" behindDoc="0" locked="0" layoutInCell="1" allowOverlap="1">
          <wp:simplePos x="0" y="0"/>
          <wp:positionH relativeFrom="column">
            <wp:posOffset>4084320</wp:posOffset>
          </wp:positionH>
          <wp:positionV relativeFrom="paragraph">
            <wp:posOffset>-163195</wp:posOffset>
          </wp:positionV>
          <wp:extent cx="1837055" cy="559435"/>
          <wp:effectExtent l="0" t="0" r="0" b="0"/>
          <wp:wrapNone/>
          <wp:docPr id="2" name="0 Imagen" descr="Prosperidad CMYK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Prosperidad CMYK recorta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055" cy="5594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9DE"/>
    <w:multiLevelType w:val="hybridMultilevel"/>
    <w:tmpl w:val="1B8C3FD8"/>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
    <w:nsid w:val="04AE288F"/>
    <w:multiLevelType w:val="hybridMultilevel"/>
    <w:tmpl w:val="3572BF88"/>
    <w:lvl w:ilvl="0" w:tplc="5338DDA8">
      <w:start w:val="1"/>
      <w:numFmt w:val="lowerLetter"/>
      <w:lvlText w:val="%1."/>
      <w:lvlJc w:val="left"/>
      <w:pPr>
        <w:ind w:left="2160" w:hanging="360"/>
      </w:pPr>
      <w:rPr>
        <w:rFonts w:ascii="Times New Roman" w:eastAsia="Times New Roman" w:hAnsi="Times New Roman"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
    <w:nsid w:val="0A370816"/>
    <w:multiLevelType w:val="hybridMultilevel"/>
    <w:tmpl w:val="AA2E387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0CC76943"/>
    <w:multiLevelType w:val="hybridMultilevel"/>
    <w:tmpl w:val="CAA004EA"/>
    <w:lvl w:ilvl="0" w:tplc="0C0A0019">
      <w:start w:val="2"/>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0FB125DD"/>
    <w:multiLevelType w:val="hybridMultilevel"/>
    <w:tmpl w:val="D42631F8"/>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nsid w:val="14C156B7"/>
    <w:multiLevelType w:val="hybridMultilevel"/>
    <w:tmpl w:val="8784696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nsid w:val="1BCD43C7"/>
    <w:multiLevelType w:val="hybridMultilevel"/>
    <w:tmpl w:val="A21445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3412CAF"/>
    <w:multiLevelType w:val="hybridMultilevel"/>
    <w:tmpl w:val="C25009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8DF3F54"/>
    <w:multiLevelType w:val="hybridMultilevel"/>
    <w:tmpl w:val="BCEE950A"/>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nsid w:val="2E2D2B32"/>
    <w:multiLevelType w:val="hybridMultilevel"/>
    <w:tmpl w:val="BD1214DA"/>
    <w:lvl w:ilvl="0" w:tplc="0C0A000F">
      <w:start w:val="1"/>
      <w:numFmt w:val="decimal"/>
      <w:lvlText w:val="%1."/>
      <w:lvlJc w:val="left"/>
      <w:pPr>
        <w:tabs>
          <w:tab w:val="num" w:pos="720"/>
        </w:tabs>
        <w:ind w:left="720" w:hanging="36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2E2E476A"/>
    <w:multiLevelType w:val="multilevel"/>
    <w:tmpl w:val="48F66AD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2FB09DF"/>
    <w:multiLevelType w:val="hybridMultilevel"/>
    <w:tmpl w:val="0E2041CE"/>
    <w:lvl w:ilvl="0" w:tplc="F1C00E32">
      <w:start w:val="1"/>
      <w:numFmt w:val="decimal"/>
      <w:lvlText w:val="%1."/>
      <w:lvlJc w:val="left"/>
      <w:pPr>
        <w:tabs>
          <w:tab w:val="num" w:pos="1080"/>
        </w:tabs>
        <w:ind w:left="1080" w:hanging="36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2">
    <w:nsid w:val="340B3D7B"/>
    <w:multiLevelType w:val="hybridMultilevel"/>
    <w:tmpl w:val="AD3EBB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7050988"/>
    <w:multiLevelType w:val="multilevel"/>
    <w:tmpl w:val="67ACB14C"/>
    <w:lvl w:ilvl="0">
      <w:start w:val="1"/>
      <w:numFmt w:val="decimal"/>
      <w:pStyle w:val="Ttulo1"/>
      <w:lvlText w:val="%1."/>
      <w:lvlJc w:val="left"/>
      <w:pPr>
        <w:tabs>
          <w:tab w:val="num" w:pos="1430"/>
        </w:tabs>
        <w:ind w:left="1142" w:hanging="432"/>
      </w:pPr>
      <w:rPr>
        <w:rFonts w:ascii="Arial" w:hAnsi="Arial" w:cs="Times New Roman" w:hint="default"/>
      </w:rPr>
    </w:lvl>
    <w:lvl w:ilvl="1">
      <w:start w:val="1"/>
      <w:numFmt w:val="decimal"/>
      <w:pStyle w:val="Ttulo2"/>
      <w:lvlText w:val="%1.%2"/>
      <w:lvlJc w:val="left"/>
      <w:pPr>
        <w:tabs>
          <w:tab w:val="num" w:pos="1428"/>
        </w:tabs>
        <w:ind w:left="1428" w:hanging="576"/>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tabs>
          <w:tab w:val="num" w:pos="720"/>
        </w:tabs>
        <w:ind w:left="720" w:hanging="720"/>
      </w:pPr>
      <w:rPr>
        <w:rFonts w:ascii="Arial" w:hAnsi="Arial" w:cs="Arial" w:hint="default"/>
        <w:b w:val="0"/>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14">
    <w:nsid w:val="38375369"/>
    <w:multiLevelType w:val="hybridMultilevel"/>
    <w:tmpl w:val="D390BEC0"/>
    <w:lvl w:ilvl="0" w:tplc="6D609774">
      <w:start w:val="1"/>
      <w:numFmt w:val="decimal"/>
      <w:lvlText w:val="%1."/>
      <w:lvlJc w:val="left"/>
      <w:pPr>
        <w:ind w:left="1800" w:hanging="360"/>
      </w:pPr>
      <w:rPr>
        <w:rFonts w:cs="Times New Roman" w:hint="default"/>
      </w:rPr>
    </w:lvl>
    <w:lvl w:ilvl="1" w:tplc="77D48910">
      <w:start w:val="1"/>
      <w:numFmt w:val="lowerLetter"/>
      <w:lvlText w:val="%2."/>
      <w:lvlJc w:val="left"/>
      <w:pPr>
        <w:tabs>
          <w:tab w:val="num" w:pos="2520"/>
        </w:tabs>
        <w:ind w:left="2520" w:hanging="360"/>
      </w:pPr>
      <w:rPr>
        <w:rFonts w:cs="Times New Roman" w:hint="default"/>
      </w:rPr>
    </w:lvl>
    <w:lvl w:ilvl="2" w:tplc="240A001B">
      <w:start w:val="1"/>
      <w:numFmt w:val="lowerRoman"/>
      <w:lvlText w:val="%3."/>
      <w:lvlJc w:val="right"/>
      <w:pPr>
        <w:ind w:left="3240" w:hanging="180"/>
      </w:pPr>
      <w:rPr>
        <w:rFonts w:cs="Times New Roman"/>
      </w:rPr>
    </w:lvl>
    <w:lvl w:ilvl="3" w:tplc="240A000F">
      <w:start w:val="1"/>
      <w:numFmt w:val="decimal"/>
      <w:lvlText w:val="%4."/>
      <w:lvlJc w:val="left"/>
      <w:pPr>
        <w:ind w:left="3960" w:hanging="360"/>
      </w:pPr>
      <w:rPr>
        <w:rFonts w:cs="Times New Roman"/>
      </w:rPr>
    </w:lvl>
    <w:lvl w:ilvl="4" w:tplc="240A0019" w:tentative="1">
      <w:start w:val="1"/>
      <w:numFmt w:val="lowerLetter"/>
      <w:lvlText w:val="%5."/>
      <w:lvlJc w:val="left"/>
      <w:pPr>
        <w:ind w:left="4680" w:hanging="360"/>
      </w:pPr>
      <w:rPr>
        <w:rFonts w:cs="Times New Roman"/>
      </w:rPr>
    </w:lvl>
    <w:lvl w:ilvl="5" w:tplc="240A001B" w:tentative="1">
      <w:start w:val="1"/>
      <w:numFmt w:val="lowerRoman"/>
      <w:lvlText w:val="%6."/>
      <w:lvlJc w:val="right"/>
      <w:pPr>
        <w:ind w:left="5400" w:hanging="180"/>
      </w:pPr>
      <w:rPr>
        <w:rFonts w:cs="Times New Roman"/>
      </w:rPr>
    </w:lvl>
    <w:lvl w:ilvl="6" w:tplc="240A000F" w:tentative="1">
      <w:start w:val="1"/>
      <w:numFmt w:val="decimal"/>
      <w:lvlText w:val="%7."/>
      <w:lvlJc w:val="left"/>
      <w:pPr>
        <w:ind w:left="6120" w:hanging="360"/>
      </w:pPr>
      <w:rPr>
        <w:rFonts w:cs="Times New Roman"/>
      </w:rPr>
    </w:lvl>
    <w:lvl w:ilvl="7" w:tplc="240A0019" w:tentative="1">
      <w:start w:val="1"/>
      <w:numFmt w:val="lowerLetter"/>
      <w:lvlText w:val="%8."/>
      <w:lvlJc w:val="left"/>
      <w:pPr>
        <w:ind w:left="6840" w:hanging="360"/>
      </w:pPr>
      <w:rPr>
        <w:rFonts w:cs="Times New Roman"/>
      </w:rPr>
    </w:lvl>
    <w:lvl w:ilvl="8" w:tplc="240A001B" w:tentative="1">
      <w:start w:val="1"/>
      <w:numFmt w:val="lowerRoman"/>
      <w:lvlText w:val="%9."/>
      <w:lvlJc w:val="right"/>
      <w:pPr>
        <w:ind w:left="7560" w:hanging="180"/>
      </w:pPr>
      <w:rPr>
        <w:rFonts w:cs="Times New Roman"/>
      </w:rPr>
    </w:lvl>
  </w:abstractNum>
  <w:abstractNum w:abstractNumId="15">
    <w:nsid w:val="3CE54C92"/>
    <w:multiLevelType w:val="hybridMultilevel"/>
    <w:tmpl w:val="44B416E8"/>
    <w:lvl w:ilvl="0" w:tplc="240A000D">
      <w:start w:val="1"/>
      <w:numFmt w:val="bullet"/>
      <w:lvlText w:val=""/>
      <w:lvlJc w:val="left"/>
      <w:pPr>
        <w:ind w:left="1440" w:hanging="360"/>
      </w:pPr>
      <w:rPr>
        <w:rFonts w:ascii="Wingdings" w:hAnsi="Wingdings" w:hint="default"/>
      </w:rPr>
    </w:lvl>
    <w:lvl w:ilvl="1" w:tplc="0C0A0001">
      <w:start w:val="1"/>
      <w:numFmt w:val="bullet"/>
      <w:lvlText w:val=""/>
      <w:lvlJc w:val="left"/>
      <w:pPr>
        <w:tabs>
          <w:tab w:val="num" w:pos="2160"/>
        </w:tabs>
        <w:ind w:left="2160" w:hanging="360"/>
      </w:pPr>
      <w:rPr>
        <w:rFonts w:ascii="Symbol" w:hAnsi="Symbol"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3E075FD0"/>
    <w:multiLevelType w:val="hybridMultilevel"/>
    <w:tmpl w:val="F01638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nsid w:val="3ED532BB"/>
    <w:multiLevelType w:val="hybridMultilevel"/>
    <w:tmpl w:val="527856A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nsid w:val="41E36DAD"/>
    <w:multiLevelType w:val="hybridMultilevel"/>
    <w:tmpl w:val="53009958"/>
    <w:lvl w:ilvl="0" w:tplc="0C0A000F">
      <w:start w:val="1"/>
      <w:numFmt w:val="decimal"/>
      <w:lvlText w:val="%1."/>
      <w:lvlJc w:val="left"/>
      <w:pPr>
        <w:tabs>
          <w:tab w:val="num" w:pos="1080"/>
        </w:tabs>
        <w:ind w:left="1080" w:hanging="36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9">
    <w:nsid w:val="4347379F"/>
    <w:multiLevelType w:val="hybridMultilevel"/>
    <w:tmpl w:val="0782765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nsid w:val="45EB1EA4"/>
    <w:multiLevelType w:val="hybridMultilevel"/>
    <w:tmpl w:val="1B4E008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nsid w:val="4A920746"/>
    <w:multiLevelType w:val="hybridMultilevel"/>
    <w:tmpl w:val="720EF0C8"/>
    <w:lvl w:ilvl="0" w:tplc="0C0A000D">
      <w:start w:val="1"/>
      <w:numFmt w:val="bullet"/>
      <w:lvlText w:val=""/>
      <w:lvlJc w:val="left"/>
      <w:pPr>
        <w:ind w:left="2061" w:hanging="360"/>
      </w:pPr>
      <w:rPr>
        <w:rFonts w:ascii="Wingdings" w:hAnsi="Wingdings" w:hint="default"/>
      </w:rPr>
    </w:lvl>
    <w:lvl w:ilvl="1" w:tplc="0C0A0003" w:tentative="1">
      <w:start w:val="1"/>
      <w:numFmt w:val="bullet"/>
      <w:lvlText w:val="o"/>
      <w:lvlJc w:val="left"/>
      <w:pPr>
        <w:ind w:left="2781" w:hanging="360"/>
      </w:pPr>
      <w:rPr>
        <w:rFonts w:ascii="Courier New" w:hAnsi="Courier New"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22">
    <w:nsid w:val="4B332B1A"/>
    <w:multiLevelType w:val="multilevel"/>
    <w:tmpl w:val="A7BEA87C"/>
    <w:lvl w:ilvl="0">
      <w:start w:val="5"/>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360"/>
        </w:tabs>
        <w:ind w:left="360" w:hanging="360"/>
      </w:pPr>
      <w:rPr>
        <w:rFonts w:cs="Times New Roman" w:hint="default"/>
        <w:b/>
      </w:rPr>
    </w:lvl>
    <w:lvl w:ilvl="2">
      <w:start w:val="1"/>
      <w:numFmt w:val="decimalZero"/>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nsid w:val="4EEE358A"/>
    <w:multiLevelType w:val="hybridMultilevel"/>
    <w:tmpl w:val="D1C2907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545C1B78"/>
    <w:multiLevelType w:val="hybridMultilevel"/>
    <w:tmpl w:val="E5048B60"/>
    <w:lvl w:ilvl="0" w:tplc="DF069942">
      <w:start w:val="1"/>
      <w:numFmt w:val="decimal"/>
      <w:pStyle w:val="NormalVietas"/>
      <w:lvlText w:val="%1."/>
      <w:lvlJc w:val="left"/>
      <w:pPr>
        <w:ind w:left="1776" w:hanging="360"/>
      </w:pPr>
      <w:rPr>
        <w:rFonts w:cs="Times New Roman" w:hint="default"/>
      </w:rPr>
    </w:lvl>
    <w:lvl w:ilvl="1" w:tplc="240A0019" w:tentative="1">
      <w:start w:val="1"/>
      <w:numFmt w:val="lowerLetter"/>
      <w:lvlText w:val="%2."/>
      <w:lvlJc w:val="left"/>
      <w:pPr>
        <w:ind w:left="2496" w:hanging="360"/>
      </w:pPr>
      <w:rPr>
        <w:rFonts w:cs="Times New Roman"/>
      </w:rPr>
    </w:lvl>
    <w:lvl w:ilvl="2" w:tplc="240A001B" w:tentative="1">
      <w:start w:val="1"/>
      <w:numFmt w:val="lowerRoman"/>
      <w:lvlText w:val="%3."/>
      <w:lvlJc w:val="right"/>
      <w:pPr>
        <w:ind w:left="3216" w:hanging="180"/>
      </w:pPr>
      <w:rPr>
        <w:rFonts w:cs="Times New Roman"/>
      </w:rPr>
    </w:lvl>
    <w:lvl w:ilvl="3" w:tplc="240A000F" w:tentative="1">
      <w:start w:val="1"/>
      <w:numFmt w:val="decimal"/>
      <w:lvlText w:val="%4."/>
      <w:lvlJc w:val="left"/>
      <w:pPr>
        <w:ind w:left="3936" w:hanging="360"/>
      </w:pPr>
      <w:rPr>
        <w:rFonts w:cs="Times New Roman"/>
      </w:rPr>
    </w:lvl>
    <w:lvl w:ilvl="4" w:tplc="240A0019" w:tentative="1">
      <w:start w:val="1"/>
      <w:numFmt w:val="lowerLetter"/>
      <w:lvlText w:val="%5."/>
      <w:lvlJc w:val="left"/>
      <w:pPr>
        <w:ind w:left="4656" w:hanging="360"/>
      </w:pPr>
      <w:rPr>
        <w:rFonts w:cs="Times New Roman"/>
      </w:rPr>
    </w:lvl>
    <w:lvl w:ilvl="5" w:tplc="240A001B" w:tentative="1">
      <w:start w:val="1"/>
      <w:numFmt w:val="lowerRoman"/>
      <w:lvlText w:val="%6."/>
      <w:lvlJc w:val="right"/>
      <w:pPr>
        <w:ind w:left="5376" w:hanging="180"/>
      </w:pPr>
      <w:rPr>
        <w:rFonts w:cs="Times New Roman"/>
      </w:rPr>
    </w:lvl>
    <w:lvl w:ilvl="6" w:tplc="240A000F" w:tentative="1">
      <w:start w:val="1"/>
      <w:numFmt w:val="decimal"/>
      <w:lvlText w:val="%7."/>
      <w:lvlJc w:val="left"/>
      <w:pPr>
        <w:ind w:left="6096" w:hanging="360"/>
      </w:pPr>
      <w:rPr>
        <w:rFonts w:cs="Times New Roman"/>
      </w:rPr>
    </w:lvl>
    <w:lvl w:ilvl="7" w:tplc="240A0019" w:tentative="1">
      <w:start w:val="1"/>
      <w:numFmt w:val="lowerLetter"/>
      <w:lvlText w:val="%8."/>
      <w:lvlJc w:val="left"/>
      <w:pPr>
        <w:ind w:left="6816" w:hanging="360"/>
      </w:pPr>
      <w:rPr>
        <w:rFonts w:cs="Times New Roman"/>
      </w:rPr>
    </w:lvl>
    <w:lvl w:ilvl="8" w:tplc="240A001B" w:tentative="1">
      <w:start w:val="1"/>
      <w:numFmt w:val="lowerRoman"/>
      <w:lvlText w:val="%9."/>
      <w:lvlJc w:val="right"/>
      <w:pPr>
        <w:ind w:left="7536" w:hanging="180"/>
      </w:pPr>
      <w:rPr>
        <w:rFonts w:cs="Times New Roman"/>
      </w:rPr>
    </w:lvl>
  </w:abstractNum>
  <w:abstractNum w:abstractNumId="25">
    <w:nsid w:val="5AE3113F"/>
    <w:multiLevelType w:val="hybridMultilevel"/>
    <w:tmpl w:val="4A90D3D8"/>
    <w:lvl w:ilvl="0" w:tplc="240A0015">
      <w:start w:val="1"/>
      <w:numFmt w:val="upp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nsid w:val="5CF850DB"/>
    <w:multiLevelType w:val="hybridMultilevel"/>
    <w:tmpl w:val="8AC054DC"/>
    <w:lvl w:ilvl="0" w:tplc="BEE00DFA">
      <w:start w:val="24"/>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D4A2C08"/>
    <w:multiLevelType w:val="hybridMultilevel"/>
    <w:tmpl w:val="16283F4C"/>
    <w:lvl w:ilvl="0" w:tplc="240A000D">
      <w:start w:val="1"/>
      <w:numFmt w:val="bullet"/>
      <w:lvlText w:val=""/>
      <w:lvlJc w:val="left"/>
      <w:pPr>
        <w:ind w:left="1500" w:hanging="360"/>
      </w:pPr>
      <w:rPr>
        <w:rFonts w:ascii="Wingdings" w:hAnsi="Wingdings" w:hint="default"/>
      </w:rPr>
    </w:lvl>
    <w:lvl w:ilvl="1" w:tplc="0C0A0001">
      <w:start w:val="1"/>
      <w:numFmt w:val="bullet"/>
      <w:lvlText w:val=""/>
      <w:lvlJc w:val="left"/>
      <w:pPr>
        <w:tabs>
          <w:tab w:val="num" w:pos="2220"/>
        </w:tabs>
        <w:ind w:left="2220" w:hanging="360"/>
      </w:pPr>
      <w:rPr>
        <w:rFonts w:ascii="Symbol" w:hAnsi="Symbol"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8">
    <w:nsid w:val="600F6BB9"/>
    <w:multiLevelType w:val="hybridMultilevel"/>
    <w:tmpl w:val="1336709C"/>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77AA3082">
      <w:start w:val="1"/>
      <w:numFmt w:val="upperLetter"/>
      <w:lvlText w:val="%4)"/>
      <w:lvlJc w:val="left"/>
      <w:pPr>
        <w:tabs>
          <w:tab w:val="num" w:pos="2880"/>
        </w:tabs>
        <w:ind w:left="2880" w:hanging="360"/>
      </w:pPr>
      <w:rPr>
        <w:rFonts w:cs="Times New Roman" w:hint="default"/>
      </w:rPr>
    </w:lvl>
    <w:lvl w:ilvl="4" w:tplc="240A0019">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nsid w:val="64F54830"/>
    <w:multiLevelType w:val="hybridMultilevel"/>
    <w:tmpl w:val="3EAA61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67980E89"/>
    <w:multiLevelType w:val="multilevel"/>
    <w:tmpl w:val="4DA41BB8"/>
    <w:lvl w:ilvl="0">
      <w:start w:val="6"/>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69181D04"/>
    <w:multiLevelType w:val="hybridMultilevel"/>
    <w:tmpl w:val="6E4A79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1A463A2"/>
    <w:multiLevelType w:val="hybridMultilevel"/>
    <w:tmpl w:val="4152516C"/>
    <w:lvl w:ilvl="0" w:tplc="0C0A000F">
      <w:start w:val="4"/>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774E2F65"/>
    <w:multiLevelType w:val="hybridMultilevel"/>
    <w:tmpl w:val="40C6648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4">
    <w:nsid w:val="796C6496"/>
    <w:multiLevelType w:val="hybridMultilevel"/>
    <w:tmpl w:val="3F8668D6"/>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24"/>
  </w:num>
  <w:num w:numId="2">
    <w:abstractNumId w:val="13"/>
  </w:num>
  <w:num w:numId="3">
    <w:abstractNumId w:val="28"/>
  </w:num>
  <w:num w:numId="4">
    <w:abstractNumId w:val="7"/>
  </w:num>
  <w:num w:numId="5">
    <w:abstractNumId w:val="15"/>
  </w:num>
  <w:num w:numId="6">
    <w:abstractNumId w:val="27"/>
  </w:num>
  <w:num w:numId="7">
    <w:abstractNumId w:val="17"/>
  </w:num>
  <w:num w:numId="8">
    <w:abstractNumId w:val="0"/>
  </w:num>
  <w:num w:numId="9">
    <w:abstractNumId w:val="33"/>
  </w:num>
  <w:num w:numId="10">
    <w:abstractNumId w:val="6"/>
  </w:num>
  <w:num w:numId="11">
    <w:abstractNumId w:val="31"/>
  </w:num>
  <w:num w:numId="12">
    <w:abstractNumId w:val="2"/>
  </w:num>
  <w:num w:numId="13">
    <w:abstractNumId w:val="23"/>
  </w:num>
  <w:num w:numId="14">
    <w:abstractNumId w:val="11"/>
  </w:num>
  <w:num w:numId="15">
    <w:abstractNumId w:val="18"/>
  </w:num>
  <w:num w:numId="16">
    <w:abstractNumId w:val="25"/>
  </w:num>
  <w:num w:numId="17">
    <w:abstractNumId w:val="29"/>
  </w:num>
  <w:num w:numId="18">
    <w:abstractNumId w:val="32"/>
  </w:num>
  <w:num w:numId="19">
    <w:abstractNumId w:val="22"/>
  </w:num>
  <w:num w:numId="20">
    <w:abstractNumId w:val="14"/>
  </w:num>
  <w:num w:numId="21">
    <w:abstractNumId w:val="20"/>
  </w:num>
  <w:num w:numId="22">
    <w:abstractNumId w:val="5"/>
  </w:num>
  <w:num w:numId="23">
    <w:abstractNumId w:val="4"/>
  </w:num>
  <w:num w:numId="24">
    <w:abstractNumId w:val="16"/>
  </w:num>
  <w:num w:numId="25">
    <w:abstractNumId w:val="34"/>
  </w:num>
  <w:num w:numId="26">
    <w:abstractNumId w:val="19"/>
  </w:num>
  <w:num w:numId="27">
    <w:abstractNumId w:val="9"/>
  </w:num>
  <w:num w:numId="28">
    <w:abstractNumId w:val="26"/>
  </w:num>
  <w:num w:numId="29">
    <w:abstractNumId w:val="10"/>
  </w:num>
  <w:num w:numId="30">
    <w:abstractNumId w:val="12"/>
  </w:num>
  <w:num w:numId="31">
    <w:abstractNumId w:val="21"/>
  </w:num>
  <w:num w:numId="32">
    <w:abstractNumId w:val="30"/>
  </w:num>
  <w:num w:numId="33">
    <w:abstractNumId w:val="1"/>
  </w:num>
  <w:num w:numId="34">
    <w:abstractNumId w:val="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0B"/>
    <w:rsid w:val="000006D0"/>
    <w:rsid w:val="000056E1"/>
    <w:rsid w:val="00005F97"/>
    <w:rsid w:val="0001314C"/>
    <w:rsid w:val="0001485B"/>
    <w:rsid w:val="0001499A"/>
    <w:rsid w:val="0001547B"/>
    <w:rsid w:val="0002016E"/>
    <w:rsid w:val="0002282F"/>
    <w:rsid w:val="0002374E"/>
    <w:rsid w:val="00026267"/>
    <w:rsid w:val="00030B32"/>
    <w:rsid w:val="00031346"/>
    <w:rsid w:val="00034EE3"/>
    <w:rsid w:val="00036152"/>
    <w:rsid w:val="0004003A"/>
    <w:rsid w:val="00040E65"/>
    <w:rsid w:val="00043A2C"/>
    <w:rsid w:val="00043AB5"/>
    <w:rsid w:val="00050123"/>
    <w:rsid w:val="0005056C"/>
    <w:rsid w:val="00052C3D"/>
    <w:rsid w:val="000626C5"/>
    <w:rsid w:val="000650FD"/>
    <w:rsid w:val="00066163"/>
    <w:rsid w:val="00066EF5"/>
    <w:rsid w:val="000679FC"/>
    <w:rsid w:val="00073592"/>
    <w:rsid w:val="0007512B"/>
    <w:rsid w:val="00075AEB"/>
    <w:rsid w:val="0007792A"/>
    <w:rsid w:val="00080CED"/>
    <w:rsid w:val="0008215F"/>
    <w:rsid w:val="00082779"/>
    <w:rsid w:val="00086CD5"/>
    <w:rsid w:val="000871E2"/>
    <w:rsid w:val="000933C6"/>
    <w:rsid w:val="0009473A"/>
    <w:rsid w:val="000966FB"/>
    <w:rsid w:val="000A0367"/>
    <w:rsid w:val="000A0826"/>
    <w:rsid w:val="000B0102"/>
    <w:rsid w:val="000B076E"/>
    <w:rsid w:val="000B0C3D"/>
    <w:rsid w:val="000B222F"/>
    <w:rsid w:val="000B339C"/>
    <w:rsid w:val="000B38B0"/>
    <w:rsid w:val="000B4C0A"/>
    <w:rsid w:val="000B504A"/>
    <w:rsid w:val="000B7803"/>
    <w:rsid w:val="000C13AA"/>
    <w:rsid w:val="000C3128"/>
    <w:rsid w:val="000C3CF5"/>
    <w:rsid w:val="000C45A1"/>
    <w:rsid w:val="000C4F95"/>
    <w:rsid w:val="000C6241"/>
    <w:rsid w:val="000C63A8"/>
    <w:rsid w:val="000D081D"/>
    <w:rsid w:val="000D09FB"/>
    <w:rsid w:val="000D0ADE"/>
    <w:rsid w:val="000D0C1A"/>
    <w:rsid w:val="000D1D11"/>
    <w:rsid w:val="000D277E"/>
    <w:rsid w:val="000D309E"/>
    <w:rsid w:val="000D34D1"/>
    <w:rsid w:val="000D3C53"/>
    <w:rsid w:val="000D41DE"/>
    <w:rsid w:val="000D44AD"/>
    <w:rsid w:val="000D44D7"/>
    <w:rsid w:val="000D555D"/>
    <w:rsid w:val="000E06C4"/>
    <w:rsid w:val="000E07DA"/>
    <w:rsid w:val="000E0DD5"/>
    <w:rsid w:val="000E3357"/>
    <w:rsid w:val="000E4905"/>
    <w:rsid w:val="000E6559"/>
    <w:rsid w:val="000F0B83"/>
    <w:rsid w:val="000F2FDD"/>
    <w:rsid w:val="000F4805"/>
    <w:rsid w:val="000F5725"/>
    <w:rsid w:val="000F6EC1"/>
    <w:rsid w:val="000F7FD7"/>
    <w:rsid w:val="00100F3D"/>
    <w:rsid w:val="00102645"/>
    <w:rsid w:val="00103348"/>
    <w:rsid w:val="00104E99"/>
    <w:rsid w:val="001074BD"/>
    <w:rsid w:val="00110620"/>
    <w:rsid w:val="00111B2E"/>
    <w:rsid w:val="00112804"/>
    <w:rsid w:val="0011354E"/>
    <w:rsid w:val="001135D9"/>
    <w:rsid w:val="00113AB1"/>
    <w:rsid w:val="001151F5"/>
    <w:rsid w:val="0011635A"/>
    <w:rsid w:val="0011704C"/>
    <w:rsid w:val="00117E52"/>
    <w:rsid w:val="00124E23"/>
    <w:rsid w:val="001253F6"/>
    <w:rsid w:val="00125D65"/>
    <w:rsid w:val="00126194"/>
    <w:rsid w:val="0013059F"/>
    <w:rsid w:val="00131F6C"/>
    <w:rsid w:val="00132FD2"/>
    <w:rsid w:val="001342BD"/>
    <w:rsid w:val="00134854"/>
    <w:rsid w:val="00136473"/>
    <w:rsid w:val="00137A9C"/>
    <w:rsid w:val="00137C1C"/>
    <w:rsid w:val="00140157"/>
    <w:rsid w:val="00140E31"/>
    <w:rsid w:val="001417A6"/>
    <w:rsid w:val="001420F0"/>
    <w:rsid w:val="00142B41"/>
    <w:rsid w:val="0014341C"/>
    <w:rsid w:val="00143983"/>
    <w:rsid w:val="001452D8"/>
    <w:rsid w:val="00150A24"/>
    <w:rsid w:val="00151BDF"/>
    <w:rsid w:val="00153122"/>
    <w:rsid w:val="00154D96"/>
    <w:rsid w:val="00154E28"/>
    <w:rsid w:val="00160785"/>
    <w:rsid w:val="00160A5C"/>
    <w:rsid w:val="00170819"/>
    <w:rsid w:val="00172EBD"/>
    <w:rsid w:val="001759F2"/>
    <w:rsid w:val="00180084"/>
    <w:rsid w:val="0018509C"/>
    <w:rsid w:val="0018651F"/>
    <w:rsid w:val="00186E8D"/>
    <w:rsid w:val="001929A7"/>
    <w:rsid w:val="00194879"/>
    <w:rsid w:val="00194924"/>
    <w:rsid w:val="00195D40"/>
    <w:rsid w:val="001A5E60"/>
    <w:rsid w:val="001A67DB"/>
    <w:rsid w:val="001B0268"/>
    <w:rsid w:val="001B04CE"/>
    <w:rsid w:val="001B0951"/>
    <w:rsid w:val="001B34FC"/>
    <w:rsid w:val="001C2EC5"/>
    <w:rsid w:val="001C4BAD"/>
    <w:rsid w:val="001C4E64"/>
    <w:rsid w:val="001C556A"/>
    <w:rsid w:val="001C5A4E"/>
    <w:rsid w:val="001C77C6"/>
    <w:rsid w:val="001D3EAE"/>
    <w:rsid w:val="001D3EF6"/>
    <w:rsid w:val="001D40C8"/>
    <w:rsid w:val="001D41C8"/>
    <w:rsid w:val="001D4C97"/>
    <w:rsid w:val="001D7B35"/>
    <w:rsid w:val="001E0C66"/>
    <w:rsid w:val="001E344C"/>
    <w:rsid w:val="001E3FCB"/>
    <w:rsid w:val="001E5C61"/>
    <w:rsid w:val="001F1A47"/>
    <w:rsid w:val="001F3432"/>
    <w:rsid w:val="001F3941"/>
    <w:rsid w:val="001F3F02"/>
    <w:rsid w:val="001F5246"/>
    <w:rsid w:val="001F6A72"/>
    <w:rsid w:val="001F7805"/>
    <w:rsid w:val="00202B38"/>
    <w:rsid w:val="00204C08"/>
    <w:rsid w:val="00206ED3"/>
    <w:rsid w:val="00207154"/>
    <w:rsid w:val="002108A3"/>
    <w:rsid w:val="00210D96"/>
    <w:rsid w:val="00213B5B"/>
    <w:rsid w:val="00214D77"/>
    <w:rsid w:val="002241BC"/>
    <w:rsid w:val="00225ADA"/>
    <w:rsid w:val="0022672C"/>
    <w:rsid w:val="0023030F"/>
    <w:rsid w:val="00233354"/>
    <w:rsid w:val="00233B26"/>
    <w:rsid w:val="00234EEE"/>
    <w:rsid w:val="002448B6"/>
    <w:rsid w:val="00245773"/>
    <w:rsid w:val="00246F6E"/>
    <w:rsid w:val="00247A9F"/>
    <w:rsid w:val="002542B8"/>
    <w:rsid w:val="0025588C"/>
    <w:rsid w:val="00257FE2"/>
    <w:rsid w:val="002609F4"/>
    <w:rsid w:val="002624F3"/>
    <w:rsid w:val="002629CC"/>
    <w:rsid w:val="00265B63"/>
    <w:rsid w:val="0027068D"/>
    <w:rsid w:val="00270E66"/>
    <w:rsid w:val="002725A7"/>
    <w:rsid w:val="0027264C"/>
    <w:rsid w:val="0027403B"/>
    <w:rsid w:val="00274335"/>
    <w:rsid w:val="002753F5"/>
    <w:rsid w:val="0028168A"/>
    <w:rsid w:val="00281FF0"/>
    <w:rsid w:val="0028438B"/>
    <w:rsid w:val="00284C65"/>
    <w:rsid w:val="002850A8"/>
    <w:rsid w:val="00287ADB"/>
    <w:rsid w:val="0029157C"/>
    <w:rsid w:val="00291649"/>
    <w:rsid w:val="0029298E"/>
    <w:rsid w:val="00295772"/>
    <w:rsid w:val="002A2E5F"/>
    <w:rsid w:val="002A5D5A"/>
    <w:rsid w:val="002B0CF6"/>
    <w:rsid w:val="002B4ECA"/>
    <w:rsid w:val="002B6C0F"/>
    <w:rsid w:val="002C33FA"/>
    <w:rsid w:val="002C5144"/>
    <w:rsid w:val="002C78A8"/>
    <w:rsid w:val="002C7B77"/>
    <w:rsid w:val="002D1242"/>
    <w:rsid w:val="002D1983"/>
    <w:rsid w:val="002D36C3"/>
    <w:rsid w:val="002D45C7"/>
    <w:rsid w:val="002D5281"/>
    <w:rsid w:val="002D59BE"/>
    <w:rsid w:val="002D63BA"/>
    <w:rsid w:val="002D7535"/>
    <w:rsid w:val="002E0EA7"/>
    <w:rsid w:val="002E1B39"/>
    <w:rsid w:val="002E4857"/>
    <w:rsid w:val="002E4FEC"/>
    <w:rsid w:val="002E7DCF"/>
    <w:rsid w:val="002E7EA8"/>
    <w:rsid w:val="002F3782"/>
    <w:rsid w:val="002F4FE0"/>
    <w:rsid w:val="002F691B"/>
    <w:rsid w:val="002F7377"/>
    <w:rsid w:val="002F77C7"/>
    <w:rsid w:val="00301840"/>
    <w:rsid w:val="003022F3"/>
    <w:rsid w:val="0030274D"/>
    <w:rsid w:val="00304066"/>
    <w:rsid w:val="00312113"/>
    <w:rsid w:val="00312511"/>
    <w:rsid w:val="003138FA"/>
    <w:rsid w:val="003167E7"/>
    <w:rsid w:val="00320B8C"/>
    <w:rsid w:val="003210AE"/>
    <w:rsid w:val="00321446"/>
    <w:rsid w:val="00322299"/>
    <w:rsid w:val="00323712"/>
    <w:rsid w:val="00323DA0"/>
    <w:rsid w:val="0032445B"/>
    <w:rsid w:val="0032493F"/>
    <w:rsid w:val="00324FFE"/>
    <w:rsid w:val="0032590B"/>
    <w:rsid w:val="00326D1F"/>
    <w:rsid w:val="0032731D"/>
    <w:rsid w:val="003275EC"/>
    <w:rsid w:val="00331B65"/>
    <w:rsid w:val="003321C9"/>
    <w:rsid w:val="0033221B"/>
    <w:rsid w:val="003340DF"/>
    <w:rsid w:val="00341A8E"/>
    <w:rsid w:val="0034372E"/>
    <w:rsid w:val="003442F4"/>
    <w:rsid w:val="0034729C"/>
    <w:rsid w:val="00347647"/>
    <w:rsid w:val="00353542"/>
    <w:rsid w:val="003601DE"/>
    <w:rsid w:val="00367A09"/>
    <w:rsid w:val="00367C19"/>
    <w:rsid w:val="00371431"/>
    <w:rsid w:val="00371686"/>
    <w:rsid w:val="00373549"/>
    <w:rsid w:val="003747EB"/>
    <w:rsid w:val="00375559"/>
    <w:rsid w:val="003766A1"/>
    <w:rsid w:val="00380232"/>
    <w:rsid w:val="00380DD1"/>
    <w:rsid w:val="003860D7"/>
    <w:rsid w:val="003866B0"/>
    <w:rsid w:val="00386B13"/>
    <w:rsid w:val="00391F58"/>
    <w:rsid w:val="00392A0D"/>
    <w:rsid w:val="00392B60"/>
    <w:rsid w:val="00392C90"/>
    <w:rsid w:val="003935BF"/>
    <w:rsid w:val="00393A2D"/>
    <w:rsid w:val="003948BC"/>
    <w:rsid w:val="00394921"/>
    <w:rsid w:val="003958BA"/>
    <w:rsid w:val="00396B44"/>
    <w:rsid w:val="003971D3"/>
    <w:rsid w:val="0039741A"/>
    <w:rsid w:val="003A78AE"/>
    <w:rsid w:val="003A7C96"/>
    <w:rsid w:val="003B00A0"/>
    <w:rsid w:val="003B11E6"/>
    <w:rsid w:val="003B12C8"/>
    <w:rsid w:val="003B19B6"/>
    <w:rsid w:val="003B3A02"/>
    <w:rsid w:val="003B4707"/>
    <w:rsid w:val="003B79F9"/>
    <w:rsid w:val="003D03B0"/>
    <w:rsid w:val="003D0C53"/>
    <w:rsid w:val="003D2DB0"/>
    <w:rsid w:val="003D3D6E"/>
    <w:rsid w:val="003D4184"/>
    <w:rsid w:val="003D4661"/>
    <w:rsid w:val="003D571C"/>
    <w:rsid w:val="003D60FD"/>
    <w:rsid w:val="003E01D9"/>
    <w:rsid w:val="003E03D7"/>
    <w:rsid w:val="003E4513"/>
    <w:rsid w:val="003E4E2B"/>
    <w:rsid w:val="003E4EE9"/>
    <w:rsid w:val="003E6C3A"/>
    <w:rsid w:val="003F15DF"/>
    <w:rsid w:val="003F5262"/>
    <w:rsid w:val="004001BF"/>
    <w:rsid w:val="00401C3D"/>
    <w:rsid w:val="00403053"/>
    <w:rsid w:val="00403542"/>
    <w:rsid w:val="00407FFC"/>
    <w:rsid w:val="00422D69"/>
    <w:rsid w:val="00424E93"/>
    <w:rsid w:val="00430804"/>
    <w:rsid w:val="00431843"/>
    <w:rsid w:val="00431C65"/>
    <w:rsid w:val="00432EE9"/>
    <w:rsid w:val="00440265"/>
    <w:rsid w:val="0044084F"/>
    <w:rsid w:val="00441AF8"/>
    <w:rsid w:val="004462A9"/>
    <w:rsid w:val="00446599"/>
    <w:rsid w:val="00446F3C"/>
    <w:rsid w:val="00447C83"/>
    <w:rsid w:val="004547EE"/>
    <w:rsid w:val="00454D44"/>
    <w:rsid w:val="004572C0"/>
    <w:rsid w:val="004578CE"/>
    <w:rsid w:val="00460167"/>
    <w:rsid w:val="00460607"/>
    <w:rsid w:val="00460904"/>
    <w:rsid w:val="00461F75"/>
    <w:rsid w:val="00461F9D"/>
    <w:rsid w:val="00462034"/>
    <w:rsid w:val="0046272F"/>
    <w:rsid w:val="00462F50"/>
    <w:rsid w:val="00463FCD"/>
    <w:rsid w:val="00464FC9"/>
    <w:rsid w:val="00467165"/>
    <w:rsid w:val="004703D3"/>
    <w:rsid w:val="00470AA3"/>
    <w:rsid w:val="0047150D"/>
    <w:rsid w:val="00471763"/>
    <w:rsid w:val="0047611E"/>
    <w:rsid w:val="00476BF3"/>
    <w:rsid w:val="004776CE"/>
    <w:rsid w:val="004814EE"/>
    <w:rsid w:val="00481FA4"/>
    <w:rsid w:val="00483029"/>
    <w:rsid w:val="00485F5E"/>
    <w:rsid w:val="004909D0"/>
    <w:rsid w:val="00493935"/>
    <w:rsid w:val="00496662"/>
    <w:rsid w:val="00496BE3"/>
    <w:rsid w:val="004A13A6"/>
    <w:rsid w:val="004A186A"/>
    <w:rsid w:val="004A1F01"/>
    <w:rsid w:val="004A2C1D"/>
    <w:rsid w:val="004A3601"/>
    <w:rsid w:val="004A419B"/>
    <w:rsid w:val="004A460E"/>
    <w:rsid w:val="004A5971"/>
    <w:rsid w:val="004A6C8A"/>
    <w:rsid w:val="004B1397"/>
    <w:rsid w:val="004B2CA5"/>
    <w:rsid w:val="004B3797"/>
    <w:rsid w:val="004B4532"/>
    <w:rsid w:val="004B4F41"/>
    <w:rsid w:val="004C0682"/>
    <w:rsid w:val="004C2735"/>
    <w:rsid w:val="004C3536"/>
    <w:rsid w:val="004C4436"/>
    <w:rsid w:val="004D084D"/>
    <w:rsid w:val="004D14AE"/>
    <w:rsid w:val="004D2AAB"/>
    <w:rsid w:val="004D3954"/>
    <w:rsid w:val="004D3C13"/>
    <w:rsid w:val="004D7952"/>
    <w:rsid w:val="004E2F05"/>
    <w:rsid w:val="004E4BDA"/>
    <w:rsid w:val="004E5D56"/>
    <w:rsid w:val="004E7D5B"/>
    <w:rsid w:val="004F098C"/>
    <w:rsid w:val="004F1CE6"/>
    <w:rsid w:val="004F2714"/>
    <w:rsid w:val="004F2D30"/>
    <w:rsid w:val="004F3B38"/>
    <w:rsid w:val="004F4E59"/>
    <w:rsid w:val="00501811"/>
    <w:rsid w:val="005020F4"/>
    <w:rsid w:val="00502B56"/>
    <w:rsid w:val="00505CEE"/>
    <w:rsid w:val="00506317"/>
    <w:rsid w:val="005075E0"/>
    <w:rsid w:val="00511179"/>
    <w:rsid w:val="0051394E"/>
    <w:rsid w:val="005142FF"/>
    <w:rsid w:val="00514975"/>
    <w:rsid w:val="00514A4F"/>
    <w:rsid w:val="00520A12"/>
    <w:rsid w:val="0052653F"/>
    <w:rsid w:val="00530879"/>
    <w:rsid w:val="00530ED6"/>
    <w:rsid w:val="00531088"/>
    <w:rsid w:val="0053296C"/>
    <w:rsid w:val="00533BE2"/>
    <w:rsid w:val="00533C92"/>
    <w:rsid w:val="0053589C"/>
    <w:rsid w:val="00540E99"/>
    <w:rsid w:val="0054376B"/>
    <w:rsid w:val="00544D4B"/>
    <w:rsid w:val="00545488"/>
    <w:rsid w:val="005507FB"/>
    <w:rsid w:val="00550AEE"/>
    <w:rsid w:val="0055120B"/>
    <w:rsid w:val="00552DE9"/>
    <w:rsid w:val="00554736"/>
    <w:rsid w:val="00555116"/>
    <w:rsid w:val="0055740C"/>
    <w:rsid w:val="00560283"/>
    <w:rsid w:val="00560EC7"/>
    <w:rsid w:val="00565AB5"/>
    <w:rsid w:val="00567C5B"/>
    <w:rsid w:val="005723E8"/>
    <w:rsid w:val="0057308B"/>
    <w:rsid w:val="00573DE9"/>
    <w:rsid w:val="00574F8B"/>
    <w:rsid w:val="005768CC"/>
    <w:rsid w:val="00581471"/>
    <w:rsid w:val="00582507"/>
    <w:rsid w:val="00584218"/>
    <w:rsid w:val="00587E19"/>
    <w:rsid w:val="005905DD"/>
    <w:rsid w:val="005907C2"/>
    <w:rsid w:val="00590E81"/>
    <w:rsid w:val="00594CFE"/>
    <w:rsid w:val="0059518F"/>
    <w:rsid w:val="00595788"/>
    <w:rsid w:val="00595EB1"/>
    <w:rsid w:val="0059681A"/>
    <w:rsid w:val="005A0C64"/>
    <w:rsid w:val="005A249D"/>
    <w:rsid w:val="005A253E"/>
    <w:rsid w:val="005A450A"/>
    <w:rsid w:val="005A71F4"/>
    <w:rsid w:val="005B13DF"/>
    <w:rsid w:val="005B16C4"/>
    <w:rsid w:val="005B2329"/>
    <w:rsid w:val="005B7353"/>
    <w:rsid w:val="005C0683"/>
    <w:rsid w:val="005C0FE3"/>
    <w:rsid w:val="005C1284"/>
    <w:rsid w:val="005C48D2"/>
    <w:rsid w:val="005C6B8A"/>
    <w:rsid w:val="005D0046"/>
    <w:rsid w:val="005D2782"/>
    <w:rsid w:val="005D2A6F"/>
    <w:rsid w:val="005D56DA"/>
    <w:rsid w:val="005D6D9F"/>
    <w:rsid w:val="005D79A7"/>
    <w:rsid w:val="005E040A"/>
    <w:rsid w:val="005E0FB0"/>
    <w:rsid w:val="005E1BBD"/>
    <w:rsid w:val="005E30C8"/>
    <w:rsid w:val="005E56E6"/>
    <w:rsid w:val="005E5E39"/>
    <w:rsid w:val="005E68E1"/>
    <w:rsid w:val="005E706F"/>
    <w:rsid w:val="005E70FF"/>
    <w:rsid w:val="005E7FD7"/>
    <w:rsid w:val="005F0297"/>
    <w:rsid w:val="005F0427"/>
    <w:rsid w:val="005F2963"/>
    <w:rsid w:val="005F455B"/>
    <w:rsid w:val="005F66CD"/>
    <w:rsid w:val="00600C9F"/>
    <w:rsid w:val="00602CC9"/>
    <w:rsid w:val="00603D7B"/>
    <w:rsid w:val="00603EB8"/>
    <w:rsid w:val="0060475D"/>
    <w:rsid w:val="00607B57"/>
    <w:rsid w:val="00610597"/>
    <w:rsid w:val="006106E5"/>
    <w:rsid w:val="00612D53"/>
    <w:rsid w:val="00613328"/>
    <w:rsid w:val="00613C45"/>
    <w:rsid w:val="00614BE0"/>
    <w:rsid w:val="006159A6"/>
    <w:rsid w:val="00616A02"/>
    <w:rsid w:val="00617020"/>
    <w:rsid w:val="00621DC3"/>
    <w:rsid w:val="00622E21"/>
    <w:rsid w:val="00623700"/>
    <w:rsid w:val="0062530A"/>
    <w:rsid w:val="006274BD"/>
    <w:rsid w:val="006307BE"/>
    <w:rsid w:val="00633AB2"/>
    <w:rsid w:val="00637266"/>
    <w:rsid w:val="006429FF"/>
    <w:rsid w:val="00644348"/>
    <w:rsid w:val="00645C51"/>
    <w:rsid w:val="00646BDB"/>
    <w:rsid w:val="00646E7F"/>
    <w:rsid w:val="006513EA"/>
    <w:rsid w:val="0065175A"/>
    <w:rsid w:val="006525D3"/>
    <w:rsid w:val="0065354D"/>
    <w:rsid w:val="00656FE2"/>
    <w:rsid w:val="00657954"/>
    <w:rsid w:val="006602A0"/>
    <w:rsid w:val="00663469"/>
    <w:rsid w:val="006653CD"/>
    <w:rsid w:val="006671C6"/>
    <w:rsid w:val="00671CB8"/>
    <w:rsid w:val="00672B30"/>
    <w:rsid w:val="006736E5"/>
    <w:rsid w:val="006751E0"/>
    <w:rsid w:val="00677996"/>
    <w:rsid w:val="00681651"/>
    <w:rsid w:val="00681F85"/>
    <w:rsid w:val="00682CE0"/>
    <w:rsid w:val="0068361C"/>
    <w:rsid w:val="00683649"/>
    <w:rsid w:val="00684F3C"/>
    <w:rsid w:val="00686003"/>
    <w:rsid w:val="00686089"/>
    <w:rsid w:val="006860AE"/>
    <w:rsid w:val="00690550"/>
    <w:rsid w:val="00691D36"/>
    <w:rsid w:val="00694700"/>
    <w:rsid w:val="006A48EF"/>
    <w:rsid w:val="006A5E33"/>
    <w:rsid w:val="006A6BCD"/>
    <w:rsid w:val="006A7A5A"/>
    <w:rsid w:val="006B01B7"/>
    <w:rsid w:val="006B078D"/>
    <w:rsid w:val="006B12CE"/>
    <w:rsid w:val="006B1704"/>
    <w:rsid w:val="006B231C"/>
    <w:rsid w:val="006B2AE7"/>
    <w:rsid w:val="006B447B"/>
    <w:rsid w:val="006B75F8"/>
    <w:rsid w:val="006B774D"/>
    <w:rsid w:val="006C10D7"/>
    <w:rsid w:val="006C1220"/>
    <w:rsid w:val="006C3048"/>
    <w:rsid w:val="006C3FE6"/>
    <w:rsid w:val="006C47BC"/>
    <w:rsid w:val="006C48C1"/>
    <w:rsid w:val="006C50CA"/>
    <w:rsid w:val="006C5D07"/>
    <w:rsid w:val="006D24E6"/>
    <w:rsid w:val="006D2EFD"/>
    <w:rsid w:val="006D4CC9"/>
    <w:rsid w:val="006D713A"/>
    <w:rsid w:val="006D762D"/>
    <w:rsid w:val="006E03C1"/>
    <w:rsid w:val="006E1638"/>
    <w:rsid w:val="006E2171"/>
    <w:rsid w:val="006E2712"/>
    <w:rsid w:val="006E3D04"/>
    <w:rsid w:val="006E49EA"/>
    <w:rsid w:val="006E5F17"/>
    <w:rsid w:val="006F0ED3"/>
    <w:rsid w:val="006F12E6"/>
    <w:rsid w:val="006F354A"/>
    <w:rsid w:val="006F3F3E"/>
    <w:rsid w:val="006F7185"/>
    <w:rsid w:val="006F7EA3"/>
    <w:rsid w:val="00701C49"/>
    <w:rsid w:val="007068B0"/>
    <w:rsid w:val="00712AF2"/>
    <w:rsid w:val="007201BE"/>
    <w:rsid w:val="007215B2"/>
    <w:rsid w:val="00725CD3"/>
    <w:rsid w:val="0072770B"/>
    <w:rsid w:val="00730ECC"/>
    <w:rsid w:val="00732247"/>
    <w:rsid w:val="00735C0F"/>
    <w:rsid w:val="007373D0"/>
    <w:rsid w:val="00737B1F"/>
    <w:rsid w:val="00740767"/>
    <w:rsid w:val="0074754C"/>
    <w:rsid w:val="00747EC1"/>
    <w:rsid w:val="00760608"/>
    <w:rsid w:val="0076340C"/>
    <w:rsid w:val="0076363E"/>
    <w:rsid w:val="0076528B"/>
    <w:rsid w:val="00766C1D"/>
    <w:rsid w:val="00770999"/>
    <w:rsid w:val="0077151C"/>
    <w:rsid w:val="00772EF5"/>
    <w:rsid w:val="0077313A"/>
    <w:rsid w:val="0077462D"/>
    <w:rsid w:val="00776614"/>
    <w:rsid w:val="0078328D"/>
    <w:rsid w:val="00785F5C"/>
    <w:rsid w:val="0079063B"/>
    <w:rsid w:val="007907D8"/>
    <w:rsid w:val="0079344B"/>
    <w:rsid w:val="00793FF0"/>
    <w:rsid w:val="00794D85"/>
    <w:rsid w:val="00794E38"/>
    <w:rsid w:val="00795ACC"/>
    <w:rsid w:val="00795C2B"/>
    <w:rsid w:val="00797CF0"/>
    <w:rsid w:val="007A46C1"/>
    <w:rsid w:val="007A585C"/>
    <w:rsid w:val="007A6026"/>
    <w:rsid w:val="007A6582"/>
    <w:rsid w:val="007A6BE2"/>
    <w:rsid w:val="007A702A"/>
    <w:rsid w:val="007A76BF"/>
    <w:rsid w:val="007B04C0"/>
    <w:rsid w:val="007B2669"/>
    <w:rsid w:val="007B3EF8"/>
    <w:rsid w:val="007B4B2E"/>
    <w:rsid w:val="007B6071"/>
    <w:rsid w:val="007B76D1"/>
    <w:rsid w:val="007B789A"/>
    <w:rsid w:val="007B7B43"/>
    <w:rsid w:val="007C41C9"/>
    <w:rsid w:val="007C4FCE"/>
    <w:rsid w:val="007C5820"/>
    <w:rsid w:val="007D2734"/>
    <w:rsid w:val="007D3F36"/>
    <w:rsid w:val="007D4226"/>
    <w:rsid w:val="007D43A6"/>
    <w:rsid w:val="007D5909"/>
    <w:rsid w:val="007E3958"/>
    <w:rsid w:val="007E4675"/>
    <w:rsid w:val="007E7AB8"/>
    <w:rsid w:val="007F0270"/>
    <w:rsid w:val="007F0E9C"/>
    <w:rsid w:val="007F140E"/>
    <w:rsid w:val="007F1A50"/>
    <w:rsid w:val="007F7346"/>
    <w:rsid w:val="008037DB"/>
    <w:rsid w:val="00805258"/>
    <w:rsid w:val="008060EF"/>
    <w:rsid w:val="0081210F"/>
    <w:rsid w:val="008140F9"/>
    <w:rsid w:val="008164FE"/>
    <w:rsid w:val="008220F2"/>
    <w:rsid w:val="00822796"/>
    <w:rsid w:val="008250D4"/>
    <w:rsid w:val="0082615E"/>
    <w:rsid w:val="008344E7"/>
    <w:rsid w:val="00836DC6"/>
    <w:rsid w:val="008377E5"/>
    <w:rsid w:val="0084143A"/>
    <w:rsid w:val="00842AEF"/>
    <w:rsid w:val="00843F15"/>
    <w:rsid w:val="00845471"/>
    <w:rsid w:val="00846A40"/>
    <w:rsid w:val="008522C9"/>
    <w:rsid w:val="008549EA"/>
    <w:rsid w:val="008563ED"/>
    <w:rsid w:val="008565E4"/>
    <w:rsid w:val="00857281"/>
    <w:rsid w:val="00862007"/>
    <w:rsid w:val="00862994"/>
    <w:rsid w:val="00863AB4"/>
    <w:rsid w:val="00863C7A"/>
    <w:rsid w:val="00864CAC"/>
    <w:rsid w:val="00865045"/>
    <w:rsid w:val="00865A07"/>
    <w:rsid w:val="00867109"/>
    <w:rsid w:val="00871FBF"/>
    <w:rsid w:val="00872C2C"/>
    <w:rsid w:val="0087322F"/>
    <w:rsid w:val="00873A69"/>
    <w:rsid w:val="00873C9F"/>
    <w:rsid w:val="00874431"/>
    <w:rsid w:val="00874D88"/>
    <w:rsid w:val="008755EA"/>
    <w:rsid w:val="00875C9B"/>
    <w:rsid w:val="00875FF5"/>
    <w:rsid w:val="008768A1"/>
    <w:rsid w:val="008772E4"/>
    <w:rsid w:val="00880166"/>
    <w:rsid w:val="0088121E"/>
    <w:rsid w:val="008859DE"/>
    <w:rsid w:val="00885CF1"/>
    <w:rsid w:val="00886BDC"/>
    <w:rsid w:val="0089131B"/>
    <w:rsid w:val="00892D4D"/>
    <w:rsid w:val="00892DC8"/>
    <w:rsid w:val="008956C4"/>
    <w:rsid w:val="008972D8"/>
    <w:rsid w:val="008A1321"/>
    <w:rsid w:val="008A2A42"/>
    <w:rsid w:val="008A4841"/>
    <w:rsid w:val="008A56BB"/>
    <w:rsid w:val="008A5FB0"/>
    <w:rsid w:val="008A6F7E"/>
    <w:rsid w:val="008A70D0"/>
    <w:rsid w:val="008B1112"/>
    <w:rsid w:val="008B1D29"/>
    <w:rsid w:val="008B257B"/>
    <w:rsid w:val="008B3712"/>
    <w:rsid w:val="008B380F"/>
    <w:rsid w:val="008B4735"/>
    <w:rsid w:val="008C05C1"/>
    <w:rsid w:val="008C067D"/>
    <w:rsid w:val="008C0A8B"/>
    <w:rsid w:val="008C129C"/>
    <w:rsid w:val="008C1C11"/>
    <w:rsid w:val="008C2837"/>
    <w:rsid w:val="008C2AB8"/>
    <w:rsid w:val="008C2BE3"/>
    <w:rsid w:val="008C4EC7"/>
    <w:rsid w:val="008C546B"/>
    <w:rsid w:val="008C6AD5"/>
    <w:rsid w:val="008C6CFD"/>
    <w:rsid w:val="008D1037"/>
    <w:rsid w:val="008D1BC1"/>
    <w:rsid w:val="008D2823"/>
    <w:rsid w:val="008D3D88"/>
    <w:rsid w:val="008D4A07"/>
    <w:rsid w:val="008D5BF8"/>
    <w:rsid w:val="008D6473"/>
    <w:rsid w:val="008D733C"/>
    <w:rsid w:val="008E3487"/>
    <w:rsid w:val="008E4641"/>
    <w:rsid w:val="008E6D9E"/>
    <w:rsid w:val="008E7B12"/>
    <w:rsid w:val="008F099A"/>
    <w:rsid w:val="008F463E"/>
    <w:rsid w:val="008F47E9"/>
    <w:rsid w:val="008F70FC"/>
    <w:rsid w:val="00900C9D"/>
    <w:rsid w:val="00902540"/>
    <w:rsid w:val="00905705"/>
    <w:rsid w:val="0090649C"/>
    <w:rsid w:val="00910269"/>
    <w:rsid w:val="00911668"/>
    <w:rsid w:val="00911EDD"/>
    <w:rsid w:val="0091303A"/>
    <w:rsid w:val="00921681"/>
    <w:rsid w:val="0092176A"/>
    <w:rsid w:val="0092346B"/>
    <w:rsid w:val="00923C27"/>
    <w:rsid w:val="00924449"/>
    <w:rsid w:val="00930896"/>
    <w:rsid w:val="0093261C"/>
    <w:rsid w:val="0093406C"/>
    <w:rsid w:val="00934B7F"/>
    <w:rsid w:val="00934D5D"/>
    <w:rsid w:val="009379A6"/>
    <w:rsid w:val="00940DA1"/>
    <w:rsid w:val="0094152A"/>
    <w:rsid w:val="009418D0"/>
    <w:rsid w:val="00943833"/>
    <w:rsid w:val="00943938"/>
    <w:rsid w:val="00944CF0"/>
    <w:rsid w:val="009470D7"/>
    <w:rsid w:val="00947FB9"/>
    <w:rsid w:val="009504D9"/>
    <w:rsid w:val="0095068E"/>
    <w:rsid w:val="00950F21"/>
    <w:rsid w:val="00951ABA"/>
    <w:rsid w:val="009533A4"/>
    <w:rsid w:val="00953981"/>
    <w:rsid w:val="009539ED"/>
    <w:rsid w:val="00954145"/>
    <w:rsid w:val="00956262"/>
    <w:rsid w:val="00961927"/>
    <w:rsid w:val="00961C2B"/>
    <w:rsid w:val="00963040"/>
    <w:rsid w:val="009633EA"/>
    <w:rsid w:val="00964739"/>
    <w:rsid w:val="0097070E"/>
    <w:rsid w:val="00970867"/>
    <w:rsid w:val="00971481"/>
    <w:rsid w:val="00976831"/>
    <w:rsid w:val="00977A6B"/>
    <w:rsid w:val="00981FD6"/>
    <w:rsid w:val="00982240"/>
    <w:rsid w:val="00984074"/>
    <w:rsid w:val="00993282"/>
    <w:rsid w:val="00994287"/>
    <w:rsid w:val="0099513B"/>
    <w:rsid w:val="00997809"/>
    <w:rsid w:val="009A082D"/>
    <w:rsid w:val="009A21D6"/>
    <w:rsid w:val="009A243C"/>
    <w:rsid w:val="009A2882"/>
    <w:rsid w:val="009A349B"/>
    <w:rsid w:val="009A34C6"/>
    <w:rsid w:val="009A635E"/>
    <w:rsid w:val="009A6FDA"/>
    <w:rsid w:val="009A73DF"/>
    <w:rsid w:val="009A79FD"/>
    <w:rsid w:val="009B0A03"/>
    <w:rsid w:val="009B2866"/>
    <w:rsid w:val="009B2E42"/>
    <w:rsid w:val="009B35F8"/>
    <w:rsid w:val="009B3BE9"/>
    <w:rsid w:val="009B60CB"/>
    <w:rsid w:val="009B6D5D"/>
    <w:rsid w:val="009B7C48"/>
    <w:rsid w:val="009B7F81"/>
    <w:rsid w:val="009C048F"/>
    <w:rsid w:val="009C238A"/>
    <w:rsid w:val="009C6D0A"/>
    <w:rsid w:val="009D039A"/>
    <w:rsid w:val="009D03C1"/>
    <w:rsid w:val="009D044E"/>
    <w:rsid w:val="009D04F0"/>
    <w:rsid w:val="009D0F34"/>
    <w:rsid w:val="009D1721"/>
    <w:rsid w:val="009D2FB7"/>
    <w:rsid w:val="009D3466"/>
    <w:rsid w:val="009D657E"/>
    <w:rsid w:val="009E1609"/>
    <w:rsid w:val="009E1BA4"/>
    <w:rsid w:val="009E3DF0"/>
    <w:rsid w:val="009E4D12"/>
    <w:rsid w:val="009E7D42"/>
    <w:rsid w:val="009F2341"/>
    <w:rsid w:val="009F30B2"/>
    <w:rsid w:val="009F3D7D"/>
    <w:rsid w:val="009F455F"/>
    <w:rsid w:val="009F5D3D"/>
    <w:rsid w:val="009F6038"/>
    <w:rsid w:val="009F7443"/>
    <w:rsid w:val="009F7BBA"/>
    <w:rsid w:val="00A00831"/>
    <w:rsid w:val="00A01C5F"/>
    <w:rsid w:val="00A02459"/>
    <w:rsid w:val="00A02707"/>
    <w:rsid w:val="00A033F3"/>
    <w:rsid w:val="00A060C0"/>
    <w:rsid w:val="00A0661B"/>
    <w:rsid w:val="00A1146D"/>
    <w:rsid w:val="00A11EC9"/>
    <w:rsid w:val="00A15261"/>
    <w:rsid w:val="00A15755"/>
    <w:rsid w:val="00A1660F"/>
    <w:rsid w:val="00A17F92"/>
    <w:rsid w:val="00A201E0"/>
    <w:rsid w:val="00A20229"/>
    <w:rsid w:val="00A214AC"/>
    <w:rsid w:val="00A22926"/>
    <w:rsid w:val="00A246A3"/>
    <w:rsid w:val="00A246E1"/>
    <w:rsid w:val="00A24A28"/>
    <w:rsid w:val="00A27350"/>
    <w:rsid w:val="00A3005A"/>
    <w:rsid w:val="00A3091B"/>
    <w:rsid w:val="00A31252"/>
    <w:rsid w:val="00A31EB9"/>
    <w:rsid w:val="00A32641"/>
    <w:rsid w:val="00A328B6"/>
    <w:rsid w:val="00A33E5C"/>
    <w:rsid w:val="00A36762"/>
    <w:rsid w:val="00A37AFC"/>
    <w:rsid w:val="00A40AE8"/>
    <w:rsid w:val="00A44E84"/>
    <w:rsid w:val="00A51BF7"/>
    <w:rsid w:val="00A546BB"/>
    <w:rsid w:val="00A54E2D"/>
    <w:rsid w:val="00A5637D"/>
    <w:rsid w:val="00A567C6"/>
    <w:rsid w:val="00A64E72"/>
    <w:rsid w:val="00A7351A"/>
    <w:rsid w:val="00A74B12"/>
    <w:rsid w:val="00A77823"/>
    <w:rsid w:val="00A77CE2"/>
    <w:rsid w:val="00A800A9"/>
    <w:rsid w:val="00A803F2"/>
    <w:rsid w:val="00A82877"/>
    <w:rsid w:val="00A82953"/>
    <w:rsid w:val="00A863B7"/>
    <w:rsid w:val="00A86DEC"/>
    <w:rsid w:val="00A901B1"/>
    <w:rsid w:val="00A9050D"/>
    <w:rsid w:val="00A9070B"/>
    <w:rsid w:val="00A90804"/>
    <w:rsid w:val="00A908D3"/>
    <w:rsid w:val="00A91DEF"/>
    <w:rsid w:val="00A92026"/>
    <w:rsid w:val="00A945C7"/>
    <w:rsid w:val="00A957CD"/>
    <w:rsid w:val="00A9735F"/>
    <w:rsid w:val="00AA12B6"/>
    <w:rsid w:val="00AA3327"/>
    <w:rsid w:val="00AA3BD8"/>
    <w:rsid w:val="00AA5CE8"/>
    <w:rsid w:val="00AA60AD"/>
    <w:rsid w:val="00AA73F7"/>
    <w:rsid w:val="00AB147C"/>
    <w:rsid w:val="00AB1921"/>
    <w:rsid w:val="00AB232D"/>
    <w:rsid w:val="00AB67F9"/>
    <w:rsid w:val="00AC05A6"/>
    <w:rsid w:val="00AC4CDB"/>
    <w:rsid w:val="00AC7D4A"/>
    <w:rsid w:val="00AC7ECA"/>
    <w:rsid w:val="00AD11F5"/>
    <w:rsid w:val="00AD173E"/>
    <w:rsid w:val="00AD2A1F"/>
    <w:rsid w:val="00AD32FE"/>
    <w:rsid w:val="00AD59B1"/>
    <w:rsid w:val="00AE1F71"/>
    <w:rsid w:val="00AE4259"/>
    <w:rsid w:val="00AE5A4F"/>
    <w:rsid w:val="00AE65F5"/>
    <w:rsid w:val="00AE6699"/>
    <w:rsid w:val="00AF24EF"/>
    <w:rsid w:val="00AF251B"/>
    <w:rsid w:val="00AF4FB5"/>
    <w:rsid w:val="00B027C1"/>
    <w:rsid w:val="00B03AE0"/>
    <w:rsid w:val="00B03B11"/>
    <w:rsid w:val="00B04B18"/>
    <w:rsid w:val="00B135E4"/>
    <w:rsid w:val="00B153D4"/>
    <w:rsid w:val="00B17FCF"/>
    <w:rsid w:val="00B21979"/>
    <w:rsid w:val="00B23295"/>
    <w:rsid w:val="00B24C92"/>
    <w:rsid w:val="00B27EA2"/>
    <w:rsid w:val="00B33F4C"/>
    <w:rsid w:val="00B34414"/>
    <w:rsid w:val="00B3593C"/>
    <w:rsid w:val="00B36B30"/>
    <w:rsid w:val="00B40BC8"/>
    <w:rsid w:val="00B4236A"/>
    <w:rsid w:val="00B44EA1"/>
    <w:rsid w:val="00B46267"/>
    <w:rsid w:val="00B46708"/>
    <w:rsid w:val="00B4794E"/>
    <w:rsid w:val="00B50090"/>
    <w:rsid w:val="00B5164A"/>
    <w:rsid w:val="00B52657"/>
    <w:rsid w:val="00B546A8"/>
    <w:rsid w:val="00B54F05"/>
    <w:rsid w:val="00B560D4"/>
    <w:rsid w:val="00B56906"/>
    <w:rsid w:val="00B56C5B"/>
    <w:rsid w:val="00B57476"/>
    <w:rsid w:val="00B6463D"/>
    <w:rsid w:val="00B70BB2"/>
    <w:rsid w:val="00B74989"/>
    <w:rsid w:val="00B74AA6"/>
    <w:rsid w:val="00B74E67"/>
    <w:rsid w:val="00B750BD"/>
    <w:rsid w:val="00B77077"/>
    <w:rsid w:val="00B7769A"/>
    <w:rsid w:val="00B77DC0"/>
    <w:rsid w:val="00B8291E"/>
    <w:rsid w:val="00B83AA4"/>
    <w:rsid w:val="00B85CCD"/>
    <w:rsid w:val="00B86A0F"/>
    <w:rsid w:val="00B86D25"/>
    <w:rsid w:val="00B86F04"/>
    <w:rsid w:val="00B91C22"/>
    <w:rsid w:val="00B931D8"/>
    <w:rsid w:val="00B93A3F"/>
    <w:rsid w:val="00B956C4"/>
    <w:rsid w:val="00B96556"/>
    <w:rsid w:val="00BA05C2"/>
    <w:rsid w:val="00BA3428"/>
    <w:rsid w:val="00BA364E"/>
    <w:rsid w:val="00BA4BC9"/>
    <w:rsid w:val="00BA4D23"/>
    <w:rsid w:val="00BA6B44"/>
    <w:rsid w:val="00BA7475"/>
    <w:rsid w:val="00BA7884"/>
    <w:rsid w:val="00BB1FFD"/>
    <w:rsid w:val="00BB200C"/>
    <w:rsid w:val="00BB20B3"/>
    <w:rsid w:val="00BB704D"/>
    <w:rsid w:val="00BB72C5"/>
    <w:rsid w:val="00BB790B"/>
    <w:rsid w:val="00BC2C6C"/>
    <w:rsid w:val="00BC2ECA"/>
    <w:rsid w:val="00BC46C0"/>
    <w:rsid w:val="00BC52C8"/>
    <w:rsid w:val="00BC658A"/>
    <w:rsid w:val="00BC6C51"/>
    <w:rsid w:val="00BC78DF"/>
    <w:rsid w:val="00BC7C6B"/>
    <w:rsid w:val="00BD20B0"/>
    <w:rsid w:val="00BD283B"/>
    <w:rsid w:val="00BD3188"/>
    <w:rsid w:val="00BD60B1"/>
    <w:rsid w:val="00BE22BB"/>
    <w:rsid w:val="00BE3AEC"/>
    <w:rsid w:val="00BE448E"/>
    <w:rsid w:val="00BE52CA"/>
    <w:rsid w:val="00BE5E29"/>
    <w:rsid w:val="00BE5FF4"/>
    <w:rsid w:val="00BE6533"/>
    <w:rsid w:val="00BE755B"/>
    <w:rsid w:val="00BE7A25"/>
    <w:rsid w:val="00BF2F71"/>
    <w:rsid w:val="00BF33FD"/>
    <w:rsid w:val="00BF3462"/>
    <w:rsid w:val="00BF3E1B"/>
    <w:rsid w:val="00BF7652"/>
    <w:rsid w:val="00C051A3"/>
    <w:rsid w:val="00C12048"/>
    <w:rsid w:val="00C126E9"/>
    <w:rsid w:val="00C163D3"/>
    <w:rsid w:val="00C17BC4"/>
    <w:rsid w:val="00C205C2"/>
    <w:rsid w:val="00C20F3E"/>
    <w:rsid w:val="00C226B3"/>
    <w:rsid w:val="00C2556F"/>
    <w:rsid w:val="00C265B6"/>
    <w:rsid w:val="00C2677F"/>
    <w:rsid w:val="00C26ED5"/>
    <w:rsid w:val="00C27478"/>
    <w:rsid w:val="00C275E1"/>
    <w:rsid w:val="00C44464"/>
    <w:rsid w:val="00C44543"/>
    <w:rsid w:val="00C4581D"/>
    <w:rsid w:val="00C473B8"/>
    <w:rsid w:val="00C475EE"/>
    <w:rsid w:val="00C5127F"/>
    <w:rsid w:val="00C517C4"/>
    <w:rsid w:val="00C53876"/>
    <w:rsid w:val="00C53D2B"/>
    <w:rsid w:val="00C54161"/>
    <w:rsid w:val="00C541A9"/>
    <w:rsid w:val="00C5769F"/>
    <w:rsid w:val="00C579FB"/>
    <w:rsid w:val="00C60EA9"/>
    <w:rsid w:val="00C64BD4"/>
    <w:rsid w:val="00C657DC"/>
    <w:rsid w:val="00C65957"/>
    <w:rsid w:val="00C6632C"/>
    <w:rsid w:val="00C66FB2"/>
    <w:rsid w:val="00C70C52"/>
    <w:rsid w:val="00C714BF"/>
    <w:rsid w:val="00C71B49"/>
    <w:rsid w:val="00C75C4D"/>
    <w:rsid w:val="00C75DD6"/>
    <w:rsid w:val="00C762B3"/>
    <w:rsid w:val="00C763B5"/>
    <w:rsid w:val="00C8473D"/>
    <w:rsid w:val="00C851AD"/>
    <w:rsid w:val="00C86716"/>
    <w:rsid w:val="00C86C57"/>
    <w:rsid w:val="00C876A3"/>
    <w:rsid w:val="00C90989"/>
    <w:rsid w:val="00C91876"/>
    <w:rsid w:val="00C91D78"/>
    <w:rsid w:val="00C93812"/>
    <w:rsid w:val="00C95B4E"/>
    <w:rsid w:val="00C95F08"/>
    <w:rsid w:val="00C95FC7"/>
    <w:rsid w:val="00C965DF"/>
    <w:rsid w:val="00CA04B7"/>
    <w:rsid w:val="00CA0F07"/>
    <w:rsid w:val="00CA3577"/>
    <w:rsid w:val="00CA4155"/>
    <w:rsid w:val="00CA4F47"/>
    <w:rsid w:val="00CA6038"/>
    <w:rsid w:val="00CA63BD"/>
    <w:rsid w:val="00CB0936"/>
    <w:rsid w:val="00CB0F2A"/>
    <w:rsid w:val="00CB1023"/>
    <w:rsid w:val="00CB26B6"/>
    <w:rsid w:val="00CB3B0D"/>
    <w:rsid w:val="00CB41A4"/>
    <w:rsid w:val="00CB4825"/>
    <w:rsid w:val="00CB62B0"/>
    <w:rsid w:val="00CB7BDA"/>
    <w:rsid w:val="00CC01CD"/>
    <w:rsid w:val="00CC1871"/>
    <w:rsid w:val="00CC31A7"/>
    <w:rsid w:val="00CC33E7"/>
    <w:rsid w:val="00CD0331"/>
    <w:rsid w:val="00CD0C8F"/>
    <w:rsid w:val="00CD252A"/>
    <w:rsid w:val="00CD3354"/>
    <w:rsid w:val="00CD3517"/>
    <w:rsid w:val="00CD4A47"/>
    <w:rsid w:val="00CD5906"/>
    <w:rsid w:val="00CD76EC"/>
    <w:rsid w:val="00CE0388"/>
    <w:rsid w:val="00CE4403"/>
    <w:rsid w:val="00CF0CB2"/>
    <w:rsid w:val="00CF1020"/>
    <w:rsid w:val="00CF294C"/>
    <w:rsid w:val="00CF63CF"/>
    <w:rsid w:val="00D0177E"/>
    <w:rsid w:val="00D0187C"/>
    <w:rsid w:val="00D01BBD"/>
    <w:rsid w:val="00D025E4"/>
    <w:rsid w:val="00D03568"/>
    <w:rsid w:val="00D05575"/>
    <w:rsid w:val="00D063C9"/>
    <w:rsid w:val="00D110A3"/>
    <w:rsid w:val="00D13EC6"/>
    <w:rsid w:val="00D1421B"/>
    <w:rsid w:val="00D14D31"/>
    <w:rsid w:val="00D1522E"/>
    <w:rsid w:val="00D21DBC"/>
    <w:rsid w:val="00D2326A"/>
    <w:rsid w:val="00D251C7"/>
    <w:rsid w:val="00D26E87"/>
    <w:rsid w:val="00D32CBE"/>
    <w:rsid w:val="00D3340A"/>
    <w:rsid w:val="00D339B9"/>
    <w:rsid w:val="00D369E8"/>
    <w:rsid w:val="00D37151"/>
    <w:rsid w:val="00D37407"/>
    <w:rsid w:val="00D40020"/>
    <w:rsid w:val="00D402FA"/>
    <w:rsid w:val="00D439E9"/>
    <w:rsid w:val="00D44EB4"/>
    <w:rsid w:val="00D45573"/>
    <w:rsid w:val="00D5123F"/>
    <w:rsid w:val="00D528B2"/>
    <w:rsid w:val="00D56FDA"/>
    <w:rsid w:val="00D5762A"/>
    <w:rsid w:val="00D57EE1"/>
    <w:rsid w:val="00D604EC"/>
    <w:rsid w:val="00D6120F"/>
    <w:rsid w:val="00D63072"/>
    <w:rsid w:val="00D64E6D"/>
    <w:rsid w:val="00D65FAA"/>
    <w:rsid w:val="00D679D0"/>
    <w:rsid w:val="00D74B67"/>
    <w:rsid w:val="00D763A8"/>
    <w:rsid w:val="00D77430"/>
    <w:rsid w:val="00D77905"/>
    <w:rsid w:val="00D8177B"/>
    <w:rsid w:val="00D822A5"/>
    <w:rsid w:val="00D837E0"/>
    <w:rsid w:val="00D9068B"/>
    <w:rsid w:val="00D91E7B"/>
    <w:rsid w:val="00D91FC9"/>
    <w:rsid w:val="00D926E9"/>
    <w:rsid w:val="00D939F2"/>
    <w:rsid w:val="00D95176"/>
    <w:rsid w:val="00DA40E3"/>
    <w:rsid w:val="00DA6713"/>
    <w:rsid w:val="00DA6ED2"/>
    <w:rsid w:val="00DB0CA1"/>
    <w:rsid w:val="00DC0168"/>
    <w:rsid w:val="00DC0C31"/>
    <w:rsid w:val="00DC4F86"/>
    <w:rsid w:val="00DC4FB6"/>
    <w:rsid w:val="00DC61FC"/>
    <w:rsid w:val="00DC6C20"/>
    <w:rsid w:val="00DC76F0"/>
    <w:rsid w:val="00DC77B7"/>
    <w:rsid w:val="00DD026C"/>
    <w:rsid w:val="00DD3549"/>
    <w:rsid w:val="00DD5A07"/>
    <w:rsid w:val="00DD675E"/>
    <w:rsid w:val="00DD794D"/>
    <w:rsid w:val="00DE0D61"/>
    <w:rsid w:val="00DE11FA"/>
    <w:rsid w:val="00DE42D6"/>
    <w:rsid w:val="00DE4614"/>
    <w:rsid w:val="00DF0468"/>
    <w:rsid w:val="00DF04F8"/>
    <w:rsid w:val="00DF2098"/>
    <w:rsid w:val="00DF2333"/>
    <w:rsid w:val="00DF2F13"/>
    <w:rsid w:val="00DF62A4"/>
    <w:rsid w:val="00DF6F07"/>
    <w:rsid w:val="00E03BAD"/>
    <w:rsid w:val="00E03EA8"/>
    <w:rsid w:val="00E05CEF"/>
    <w:rsid w:val="00E11839"/>
    <w:rsid w:val="00E118DB"/>
    <w:rsid w:val="00E13EB8"/>
    <w:rsid w:val="00E16B4F"/>
    <w:rsid w:val="00E21B3E"/>
    <w:rsid w:val="00E220FC"/>
    <w:rsid w:val="00E2259D"/>
    <w:rsid w:val="00E229E8"/>
    <w:rsid w:val="00E2341E"/>
    <w:rsid w:val="00E272B1"/>
    <w:rsid w:val="00E27B99"/>
    <w:rsid w:val="00E30CFD"/>
    <w:rsid w:val="00E323CE"/>
    <w:rsid w:val="00E330EE"/>
    <w:rsid w:val="00E333A5"/>
    <w:rsid w:val="00E358A7"/>
    <w:rsid w:val="00E3611E"/>
    <w:rsid w:val="00E36606"/>
    <w:rsid w:val="00E3725D"/>
    <w:rsid w:val="00E43C7A"/>
    <w:rsid w:val="00E45FC7"/>
    <w:rsid w:val="00E46619"/>
    <w:rsid w:val="00E474CF"/>
    <w:rsid w:val="00E47DD7"/>
    <w:rsid w:val="00E509A5"/>
    <w:rsid w:val="00E521A5"/>
    <w:rsid w:val="00E52437"/>
    <w:rsid w:val="00E53D65"/>
    <w:rsid w:val="00E5459A"/>
    <w:rsid w:val="00E555F0"/>
    <w:rsid w:val="00E56B50"/>
    <w:rsid w:val="00E6620E"/>
    <w:rsid w:val="00E66402"/>
    <w:rsid w:val="00E66569"/>
    <w:rsid w:val="00E67E1C"/>
    <w:rsid w:val="00E73AB5"/>
    <w:rsid w:val="00E75D96"/>
    <w:rsid w:val="00E760B0"/>
    <w:rsid w:val="00E7727F"/>
    <w:rsid w:val="00E779B2"/>
    <w:rsid w:val="00E81698"/>
    <w:rsid w:val="00E81E97"/>
    <w:rsid w:val="00E81F39"/>
    <w:rsid w:val="00E82FA1"/>
    <w:rsid w:val="00E839AC"/>
    <w:rsid w:val="00E852FA"/>
    <w:rsid w:val="00E864B0"/>
    <w:rsid w:val="00E9270A"/>
    <w:rsid w:val="00E94041"/>
    <w:rsid w:val="00E94984"/>
    <w:rsid w:val="00E9502C"/>
    <w:rsid w:val="00E97818"/>
    <w:rsid w:val="00E97D7B"/>
    <w:rsid w:val="00EA06FB"/>
    <w:rsid w:val="00EA1689"/>
    <w:rsid w:val="00EA2559"/>
    <w:rsid w:val="00EA2F28"/>
    <w:rsid w:val="00EA46ED"/>
    <w:rsid w:val="00EA661D"/>
    <w:rsid w:val="00EA6E67"/>
    <w:rsid w:val="00EA73CC"/>
    <w:rsid w:val="00EB144C"/>
    <w:rsid w:val="00EB1A9E"/>
    <w:rsid w:val="00EB1B40"/>
    <w:rsid w:val="00EB1C94"/>
    <w:rsid w:val="00EB7A84"/>
    <w:rsid w:val="00EC1666"/>
    <w:rsid w:val="00EC22C3"/>
    <w:rsid w:val="00EC48D5"/>
    <w:rsid w:val="00EC5059"/>
    <w:rsid w:val="00ED1644"/>
    <w:rsid w:val="00ED1B28"/>
    <w:rsid w:val="00ED71FA"/>
    <w:rsid w:val="00ED78EB"/>
    <w:rsid w:val="00EE0306"/>
    <w:rsid w:val="00EE1FC7"/>
    <w:rsid w:val="00EE4CEA"/>
    <w:rsid w:val="00EE540C"/>
    <w:rsid w:val="00EE5545"/>
    <w:rsid w:val="00EE5742"/>
    <w:rsid w:val="00EE6B2C"/>
    <w:rsid w:val="00EF21F0"/>
    <w:rsid w:val="00EF2631"/>
    <w:rsid w:val="00EF2778"/>
    <w:rsid w:val="00EF48E7"/>
    <w:rsid w:val="00EF535E"/>
    <w:rsid w:val="00EF545A"/>
    <w:rsid w:val="00F071CB"/>
    <w:rsid w:val="00F077AB"/>
    <w:rsid w:val="00F10885"/>
    <w:rsid w:val="00F1196C"/>
    <w:rsid w:val="00F17A43"/>
    <w:rsid w:val="00F20416"/>
    <w:rsid w:val="00F21EDE"/>
    <w:rsid w:val="00F22275"/>
    <w:rsid w:val="00F2479A"/>
    <w:rsid w:val="00F25ACE"/>
    <w:rsid w:val="00F25CAA"/>
    <w:rsid w:val="00F3705D"/>
    <w:rsid w:val="00F40AEF"/>
    <w:rsid w:val="00F422A8"/>
    <w:rsid w:val="00F444FE"/>
    <w:rsid w:val="00F506EE"/>
    <w:rsid w:val="00F50E6C"/>
    <w:rsid w:val="00F51CED"/>
    <w:rsid w:val="00F528DD"/>
    <w:rsid w:val="00F52E8A"/>
    <w:rsid w:val="00F5418E"/>
    <w:rsid w:val="00F55D53"/>
    <w:rsid w:val="00F56422"/>
    <w:rsid w:val="00F6083A"/>
    <w:rsid w:val="00F61AB4"/>
    <w:rsid w:val="00F627C3"/>
    <w:rsid w:val="00F63108"/>
    <w:rsid w:val="00F6430F"/>
    <w:rsid w:val="00F65765"/>
    <w:rsid w:val="00F669E3"/>
    <w:rsid w:val="00F7042D"/>
    <w:rsid w:val="00F752B9"/>
    <w:rsid w:val="00F778E3"/>
    <w:rsid w:val="00F80A73"/>
    <w:rsid w:val="00F80C32"/>
    <w:rsid w:val="00F818F8"/>
    <w:rsid w:val="00F9059F"/>
    <w:rsid w:val="00F9072C"/>
    <w:rsid w:val="00F913B1"/>
    <w:rsid w:val="00F91D15"/>
    <w:rsid w:val="00F92CC3"/>
    <w:rsid w:val="00F92E4C"/>
    <w:rsid w:val="00F939C0"/>
    <w:rsid w:val="00F94E48"/>
    <w:rsid w:val="00F94ED9"/>
    <w:rsid w:val="00F95374"/>
    <w:rsid w:val="00F96DE7"/>
    <w:rsid w:val="00FA0C29"/>
    <w:rsid w:val="00FA133A"/>
    <w:rsid w:val="00FA46D8"/>
    <w:rsid w:val="00FA5DA0"/>
    <w:rsid w:val="00FA7A9C"/>
    <w:rsid w:val="00FA7E18"/>
    <w:rsid w:val="00FB4369"/>
    <w:rsid w:val="00FB5237"/>
    <w:rsid w:val="00FB5B14"/>
    <w:rsid w:val="00FB67F1"/>
    <w:rsid w:val="00FB74B9"/>
    <w:rsid w:val="00FC23C0"/>
    <w:rsid w:val="00FC4351"/>
    <w:rsid w:val="00FC523F"/>
    <w:rsid w:val="00FC551E"/>
    <w:rsid w:val="00FC725E"/>
    <w:rsid w:val="00FC7918"/>
    <w:rsid w:val="00FD0CE7"/>
    <w:rsid w:val="00FD0E36"/>
    <w:rsid w:val="00FD26FD"/>
    <w:rsid w:val="00FD5E62"/>
    <w:rsid w:val="00FE083B"/>
    <w:rsid w:val="00FE1003"/>
    <w:rsid w:val="00FE26E6"/>
    <w:rsid w:val="00FE55ED"/>
    <w:rsid w:val="00FE5E32"/>
    <w:rsid w:val="00FE6CFB"/>
    <w:rsid w:val="00FF1803"/>
    <w:rsid w:val="00FF21F2"/>
    <w:rsid w:val="00FF3EBF"/>
    <w:rsid w:val="00FF4140"/>
    <w:rsid w:val="00FF57C6"/>
    <w:rsid w:val="00FF78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E8"/>
    <w:pPr>
      <w:spacing w:after="200" w:line="276" w:lineRule="auto"/>
    </w:pPr>
    <w:rPr>
      <w:lang w:val="es-CO" w:eastAsia="en-US"/>
    </w:rPr>
  </w:style>
  <w:style w:type="paragraph" w:styleId="Ttulo1">
    <w:name w:val="heading 1"/>
    <w:aliases w:val="Edgar 1,Heading 1a,MT1,título 1"/>
    <w:basedOn w:val="Normal"/>
    <w:next w:val="Normal"/>
    <w:link w:val="Ttulo1Car"/>
    <w:uiPriority w:val="99"/>
    <w:qFormat/>
    <w:rsid w:val="000B0102"/>
    <w:pPr>
      <w:widowControl w:val="0"/>
      <w:numPr>
        <w:numId w:val="2"/>
      </w:numPr>
      <w:spacing w:before="240" w:after="240" w:line="240" w:lineRule="auto"/>
      <w:jc w:val="center"/>
      <w:outlineLvl w:val="0"/>
    </w:pPr>
    <w:rPr>
      <w:rFonts w:ascii="Arial" w:eastAsia="Arial Unicode MS" w:hAnsi="Arial" w:cs="Arial"/>
      <w:b/>
      <w:bCs/>
      <w:noProof/>
      <w:sz w:val="72"/>
      <w:szCs w:val="72"/>
      <w:lang w:val="es-ES" w:eastAsia="es-ES"/>
      <w14:shadow w14:blurRad="50800" w14:dist="38100" w14:dir="2700000" w14:sx="100000" w14:sy="100000" w14:kx="0" w14:ky="0" w14:algn="tl">
        <w14:srgbClr w14:val="000000">
          <w14:alpha w14:val="60000"/>
        </w14:srgbClr>
      </w14:shadow>
    </w:rPr>
  </w:style>
  <w:style w:type="paragraph" w:styleId="Ttulo2">
    <w:name w:val="heading 2"/>
    <w:aliases w:val="MT2"/>
    <w:basedOn w:val="Normal"/>
    <w:next w:val="Normal"/>
    <w:link w:val="Ttulo2Car"/>
    <w:uiPriority w:val="99"/>
    <w:qFormat/>
    <w:rsid w:val="000B0102"/>
    <w:pPr>
      <w:keepNext/>
      <w:numPr>
        <w:ilvl w:val="1"/>
        <w:numId w:val="2"/>
      </w:numPr>
      <w:spacing w:before="360" w:after="240" w:line="240" w:lineRule="auto"/>
      <w:jc w:val="both"/>
      <w:outlineLvl w:val="1"/>
    </w:pPr>
    <w:rPr>
      <w:rFonts w:ascii="Arial" w:eastAsia="Arial Unicode MS" w:hAnsi="Arial" w:cs="Arial"/>
      <w:b/>
      <w:bCs/>
      <w:sz w:val="28"/>
      <w:szCs w:val="40"/>
      <w:lang w:val="es-ES" w:eastAsia="es-ES"/>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uiPriority w:val="99"/>
    <w:qFormat/>
    <w:rsid w:val="000B0102"/>
    <w:pPr>
      <w:keepNext/>
      <w:numPr>
        <w:ilvl w:val="2"/>
        <w:numId w:val="2"/>
      </w:numPr>
      <w:spacing w:before="240" w:after="240" w:line="240" w:lineRule="auto"/>
      <w:jc w:val="both"/>
      <w:outlineLvl w:val="2"/>
    </w:pPr>
    <w:rPr>
      <w:rFonts w:ascii="Arial" w:eastAsia="Arial Unicode MS" w:hAnsi="Arial" w:cs="Arial"/>
      <w:b/>
      <w:bCs/>
      <w:color w:val="000000"/>
      <w:sz w:val="24"/>
      <w:szCs w:val="32"/>
      <w:lang w:val="es-ES" w:eastAsia="es-ES"/>
    </w:rPr>
  </w:style>
  <w:style w:type="paragraph" w:styleId="Ttulo6">
    <w:name w:val="heading 6"/>
    <w:basedOn w:val="Normal"/>
    <w:next w:val="Normal"/>
    <w:link w:val="Ttulo6Car"/>
    <w:uiPriority w:val="99"/>
    <w:qFormat/>
    <w:rsid w:val="000B0102"/>
    <w:pPr>
      <w:keepNext/>
      <w:numPr>
        <w:ilvl w:val="5"/>
        <w:numId w:val="2"/>
      </w:numPr>
      <w:spacing w:before="240" w:after="240" w:line="240" w:lineRule="auto"/>
      <w:jc w:val="center"/>
      <w:outlineLvl w:val="5"/>
    </w:pPr>
    <w:rPr>
      <w:rFonts w:ascii="Verdana" w:eastAsia="Arial Unicode MS" w:hAnsi="Verdana" w:cs="Arial"/>
      <w:b/>
      <w:spacing w:val="20"/>
      <w:sz w:val="15"/>
      <w:szCs w:val="20"/>
      <w:lang w:val="es-ES" w:eastAsia="es-ES"/>
    </w:rPr>
  </w:style>
  <w:style w:type="paragraph" w:styleId="Ttulo7">
    <w:name w:val="heading 7"/>
    <w:basedOn w:val="Normal"/>
    <w:next w:val="Normal"/>
    <w:link w:val="Ttulo7Car"/>
    <w:uiPriority w:val="99"/>
    <w:qFormat/>
    <w:rsid w:val="000B0102"/>
    <w:pPr>
      <w:keepNext/>
      <w:numPr>
        <w:ilvl w:val="6"/>
        <w:numId w:val="2"/>
      </w:numPr>
      <w:spacing w:before="240" w:after="240" w:line="240" w:lineRule="auto"/>
      <w:jc w:val="both"/>
      <w:outlineLvl w:val="6"/>
    </w:pPr>
    <w:rPr>
      <w:rFonts w:ascii="Verdana" w:eastAsia="Arial Unicode MS" w:hAnsi="Verdana" w:cs="Arial"/>
      <w:b/>
      <w:spacing w:val="20"/>
      <w:sz w:val="15"/>
      <w:szCs w:val="20"/>
      <w:lang w:val="es-ES" w:eastAsia="es-ES"/>
    </w:rPr>
  </w:style>
  <w:style w:type="paragraph" w:styleId="Ttulo8">
    <w:name w:val="heading 8"/>
    <w:basedOn w:val="Normal"/>
    <w:next w:val="Normal"/>
    <w:link w:val="Ttulo8Car"/>
    <w:uiPriority w:val="99"/>
    <w:qFormat/>
    <w:rsid w:val="000B0102"/>
    <w:pPr>
      <w:keepNext/>
      <w:numPr>
        <w:ilvl w:val="7"/>
        <w:numId w:val="2"/>
      </w:numPr>
      <w:spacing w:before="240" w:after="240" w:line="240" w:lineRule="auto"/>
      <w:jc w:val="both"/>
      <w:outlineLvl w:val="7"/>
    </w:pPr>
    <w:rPr>
      <w:rFonts w:ascii="Verdana" w:eastAsia="Arial Unicode MS" w:hAnsi="Verdana" w:cs="Arial"/>
      <w:b/>
      <w:bCs/>
      <w:spacing w:val="20"/>
      <w:sz w:val="18"/>
      <w:szCs w:val="20"/>
      <w:lang w:val="es-ES" w:eastAsia="es-ES"/>
    </w:rPr>
  </w:style>
  <w:style w:type="paragraph" w:styleId="Ttulo9">
    <w:name w:val="heading 9"/>
    <w:basedOn w:val="Normal"/>
    <w:next w:val="Normal"/>
    <w:link w:val="Ttulo9Car"/>
    <w:uiPriority w:val="99"/>
    <w:qFormat/>
    <w:rsid w:val="000B0102"/>
    <w:pPr>
      <w:keepNext/>
      <w:numPr>
        <w:ilvl w:val="8"/>
        <w:numId w:val="2"/>
      </w:numPr>
      <w:spacing w:before="240" w:after="240" w:line="240" w:lineRule="auto"/>
      <w:jc w:val="both"/>
      <w:outlineLvl w:val="8"/>
    </w:pPr>
    <w:rPr>
      <w:rFonts w:ascii="Verdana" w:eastAsia="Arial Unicode MS" w:hAnsi="Verdana" w:cs="Arial"/>
      <w:b/>
      <w:bCs/>
      <w:spacing w:val="20"/>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Heading 1a Car,MT1 Car,título 1 Car"/>
    <w:basedOn w:val="Fuentedeprrafopredeter"/>
    <w:link w:val="Ttulo1"/>
    <w:uiPriority w:val="99"/>
    <w:locked/>
    <w:rsid w:val="000B0102"/>
    <w:rPr>
      <w:rFonts w:ascii="Arial" w:eastAsia="Arial Unicode MS" w:hAnsi="Arial" w:cs="Arial"/>
      <w:b/>
      <w:bCs/>
      <w:noProof/>
      <w:sz w:val="72"/>
      <w:szCs w:val="72"/>
      <w:lang w:val="es-ES" w:eastAsia="es-ES" w:bidi="ar-SA"/>
      <w14:shadow w14:blurRad="50800" w14:dist="38100" w14:dir="2700000" w14:sx="100000" w14:sy="100000" w14:kx="0" w14:ky="0" w14:algn="tl">
        <w14:srgbClr w14:val="000000">
          <w14:alpha w14:val="60000"/>
        </w14:srgbClr>
      </w14:shadow>
    </w:rPr>
  </w:style>
  <w:style w:type="character" w:customStyle="1" w:styleId="Ttulo2Car">
    <w:name w:val="Título 2 Car"/>
    <w:aliases w:val="MT2 Car"/>
    <w:basedOn w:val="Fuentedeprrafopredeter"/>
    <w:link w:val="Ttulo2"/>
    <w:uiPriority w:val="99"/>
    <w:locked/>
    <w:rsid w:val="000B0102"/>
    <w:rPr>
      <w:rFonts w:ascii="Arial" w:eastAsia="Arial Unicode MS" w:hAnsi="Arial" w:cs="Arial"/>
      <w:b/>
      <w:bCs/>
      <w:sz w:val="40"/>
      <w:szCs w:val="40"/>
      <w:lang w:val="es-ES" w:eastAsia="es-ES" w:bidi="ar-SA"/>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uiPriority w:val="99"/>
    <w:locked/>
    <w:rsid w:val="000B0102"/>
    <w:rPr>
      <w:rFonts w:ascii="Arial" w:eastAsia="Arial Unicode MS" w:hAnsi="Arial" w:cs="Arial"/>
      <w:b/>
      <w:bCs/>
      <w:color w:val="000000"/>
      <w:sz w:val="32"/>
      <w:szCs w:val="32"/>
      <w:lang w:val="es-ES" w:eastAsia="es-ES" w:bidi="ar-SA"/>
    </w:rPr>
  </w:style>
  <w:style w:type="character" w:customStyle="1" w:styleId="Ttulo6Car">
    <w:name w:val="Título 6 Car"/>
    <w:basedOn w:val="Fuentedeprrafopredeter"/>
    <w:link w:val="Ttulo6"/>
    <w:uiPriority w:val="99"/>
    <w:locked/>
    <w:rsid w:val="000B0102"/>
    <w:rPr>
      <w:rFonts w:ascii="Verdana" w:eastAsia="Arial Unicode MS" w:hAnsi="Verdana" w:cs="Arial"/>
      <w:b/>
      <w:spacing w:val="20"/>
      <w:sz w:val="15"/>
      <w:lang w:val="es-ES" w:eastAsia="es-ES" w:bidi="ar-SA"/>
    </w:rPr>
  </w:style>
  <w:style w:type="character" w:customStyle="1" w:styleId="Ttulo7Car">
    <w:name w:val="Título 7 Car"/>
    <w:basedOn w:val="Fuentedeprrafopredeter"/>
    <w:link w:val="Ttulo7"/>
    <w:uiPriority w:val="99"/>
    <w:locked/>
    <w:rsid w:val="000B0102"/>
    <w:rPr>
      <w:rFonts w:ascii="Verdana" w:eastAsia="Arial Unicode MS" w:hAnsi="Verdana" w:cs="Arial"/>
      <w:b/>
      <w:spacing w:val="20"/>
      <w:sz w:val="15"/>
      <w:lang w:val="es-ES" w:eastAsia="es-ES" w:bidi="ar-SA"/>
    </w:rPr>
  </w:style>
  <w:style w:type="character" w:customStyle="1" w:styleId="Ttulo8Car">
    <w:name w:val="Título 8 Car"/>
    <w:basedOn w:val="Fuentedeprrafopredeter"/>
    <w:link w:val="Ttulo8"/>
    <w:uiPriority w:val="99"/>
    <w:locked/>
    <w:rsid w:val="000B0102"/>
    <w:rPr>
      <w:rFonts w:ascii="Verdana" w:eastAsia="Arial Unicode MS" w:hAnsi="Verdana" w:cs="Arial"/>
      <w:b/>
      <w:bCs/>
      <w:spacing w:val="20"/>
      <w:sz w:val="18"/>
      <w:lang w:val="es-ES" w:eastAsia="es-ES" w:bidi="ar-SA"/>
    </w:rPr>
  </w:style>
  <w:style w:type="character" w:customStyle="1" w:styleId="Ttulo9Car">
    <w:name w:val="Título 9 Car"/>
    <w:basedOn w:val="Fuentedeprrafopredeter"/>
    <w:link w:val="Ttulo9"/>
    <w:uiPriority w:val="99"/>
    <w:locked/>
    <w:rsid w:val="000B0102"/>
    <w:rPr>
      <w:rFonts w:ascii="Verdana" w:eastAsia="Arial Unicode MS" w:hAnsi="Verdana" w:cs="Arial"/>
      <w:b/>
      <w:bCs/>
      <w:spacing w:val="20"/>
      <w:sz w:val="18"/>
      <w:lang w:val="es-ES" w:eastAsia="es-ES" w:bidi="ar-SA"/>
    </w:rPr>
  </w:style>
  <w:style w:type="paragraph" w:styleId="Prrafodelista">
    <w:name w:val="List Paragraph"/>
    <w:basedOn w:val="Normal"/>
    <w:link w:val="PrrafodelistaCar1"/>
    <w:uiPriority w:val="99"/>
    <w:qFormat/>
    <w:rsid w:val="00FF1803"/>
    <w:pPr>
      <w:ind w:left="720"/>
      <w:contextualSpacing/>
    </w:pPr>
    <w:rPr>
      <w:lang w:val="es-ES"/>
    </w:rPr>
  </w:style>
  <w:style w:type="paragraph" w:styleId="Textodeglobo">
    <w:name w:val="Balloon Text"/>
    <w:basedOn w:val="Normal"/>
    <w:link w:val="TextodegloboCar"/>
    <w:uiPriority w:val="99"/>
    <w:semiHidden/>
    <w:rsid w:val="00FF1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F1803"/>
    <w:rPr>
      <w:rFonts w:ascii="Tahoma" w:hAnsi="Tahoma" w:cs="Tahoma"/>
      <w:sz w:val="16"/>
      <w:szCs w:val="16"/>
    </w:rPr>
  </w:style>
  <w:style w:type="character" w:customStyle="1" w:styleId="PrrafodelistaCar1">
    <w:name w:val="Párrafo de lista Car1"/>
    <w:basedOn w:val="Fuentedeprrafopredeter"/>
    <w:link w:val="Prrafodelista"/>
    <w:uiPriority w:val="99"/>
    <w:locked/>
    <w:rsid w:val="008377E5"/>
    <w:rPr>
      <w:rFonts w:cs="Times New Roman"/>
      <w:lang w:val="es-ES"/>
    </w:rPr>
  </w:style>
  <w:style w:type="paragraph" w:styleId="Encabezado">
    <w:name w:val="header"/>
    <w:basedOn w:val="Normal"/>
    <w:link w:val="EncabezadoCar"/>
    <w:uiPriority w:val="99"/>
    <w:rsid w:val="008377E5"/>
    <w:pPr>
      <w:tabs>
        <w:tab w:val="center" w:pos="4419"/>
        <w:tab w:val="right" w:pos="8838"/>
      </w:tabs>
      <w:spacing w:after="0" w:line="240" w:lineRule="auto"/>
    </w:pPr>
    <w:rPr>
      <w:rFonts w:eastAsia="Times New Roman"/>
    </w:rPr>
  </w:style>
  <w:style w:type="character" w:customStyle="1" w:styleId="EncabezadoCar">
    <w:name w:val="Encabezado Car"/>
    <w:basedOn w:val="Fuentedeprrafopredeter"/>
    <w:link w:val="Encabezado"/>
    <w:uiPriority w:val="99"/>
    <w:locked/>
    <w:rsid w:val="008377E5"/>
    <w:rPr>
      <w:rFonts w:ascii="Calibri" w:hAnsi="Calibri" w:cs="Times New Roman"/>
    </w:rPr>
  </w:style>
  <w:style w:type="paragraph" w:styleId="Textoindependiente">
    <w:name w:val="Body Text"/>
    <w:basedOn w:val="Normal"/>
    <w:link w:val="TextoindependienteCar"/>
    <w:uiPriority w:val="99"/>
    <w:rsid w:val="008377E5"/>
    <w:pPr>
      <w:tabs>
        <w:tab w:val="left" w:pos="8505"/>
        <w:tab w:val="left" w:pos="8789"/>
      </w:tabs>
      <w:spacing w:after="0" w:line="360" w:lineRule="atLeast"/>
      <w:ind w:right="-285"/>
      <w:jc w:val="both"/>
    </w:pPr>
    <w:rPr>
      <w:rFonts w:ascii="Times New Roman" w:hAnsi="Times New Roman"/>
      <w:sz w:val="28"/>
      <w:szCs w:val="20"/>
      <w:lang w:val="es-ES_tradnl" w:eastAsia="es-ES"/>
    </w:rPr>
  </w:style>
  <w:style w:type="character" w:customStyle="1" w:styleId="TextoindependienteCar">
    <w:name w:val="Texto independiente Car"/>
    <w:basedOn w:val="Fuentedeprrafopredeter"/>
    <w:link w:val="Textoindependiente"/>
    <w:uiPriority w:val="99"/>
    <w:locked/>
    <w:rsid w:val="008377E5"/>
    <w:rPr>
      <w:rFonts w:ascii="Times New Roman" w:hAnsi="Times New Roman" w:cs="Times New Roman"/>
      <w:sz w:val="20"/>
      <w:szCs w:val="20"/>
      <w:lang w:val="es-ES_tradnl" w:eastAsia="es-ES"/>
    </w:rPr>
  </w:style>
  <w:style w:type="paragraph" w:customStyle="1" w:styleId="NormalVietas">
    <w:name w:val="NormalViñetas"/>
    <w:basedOn w:val="Normal"/>
    <w:link w:val="NormalVietasCar"/>
    <w:uiPriority w:val="99"/>
    <w:rsid w:val="008377E5"/>
    <w:pPr>
      <w:numPr>
        <w:numId w:val="1"/>
      </w:numPr>
      <w:spacing w:before="60" w:after="60" w:line="240" w:lineRule="auto"/>
      <w:jc w:val="both"/>
    </w:pPr>
    <w:rPr>
      <w:rFonts w:ascii="Arial" w:eastAsia="Arial Unicode MS" w:hAnsi="Arial" w:cs="Arial"/>
      <w:sz w:val="24"/>
      <w:szCs w:val="20"/>
      <w:lang w:val="es-ES" w:eastAsia="es-ES"/>
    </w:rPr>
  </w:style>
  <w:style w:type="character" w:customStyle="1" w:styleId="NormalVietasCar">
    <w:name w:val="NormalViñetas Car"/>
    <w:basedOn w:val="Fuentedeprrafopredeter"/>
    <w:link w:val="NormalVietas"/>
    <w:uiPriority w:val="99"/>
    <w:locked/>
    <w:rsid w:val="008377E5"/>
    <w:rPr>
      <w:rFonts w:ascii="Arial" w:eastAsia="Arial Unicode MS" w:hAnsi="Arial" w:cs="Arial"/>
      <w:sz w:val="24"/>
      <w:lang w:val="es-ES" w:eastAsia="es-ES" w:bidi="ar-SA"/>
    </w:rPr>
  </w:style>
  <w:style w:type="paragraph" w:styleId="Ttulo">
    <w:name w:val="Title"/>
    <w:basedOn w:val="Normal"/>
    <w:link w:val="TtuloCar"/>
    <w:uiPriority w:val="99"/>
    <w:qFormat/>
    <w:rsid w:val="000B0102"/>
    <w:pPr>
      <w:spacing w:before="240" w:after="60" w:line="240" w:lineRule="auto"/>
      <w:jc w:val="center"/>
      <w:outlineLvl w:val="0"/>
    </w:pPr>
    <w:rPr>
      <w:rFonts w:ascii="Arial" w:eastAsia="Arial Unicode MS" w:hAnsi="Arial" w:cs="Arial"/>
      <w:b/>
      <w:bCs/>
      <w:kern w:val="28"/>
      <w:sz w:val="48"/>
      <w:szCs w:val="32"/>
      <w:lang w:val="es-ES" w:eastAsia="es-ES"/>
    </w:rPr>
  </w:style>
  <w:style w:type="character" w:customStyle="1" w:styleId="TtuloCar">
    <w:name w:val="Título Car"/>
    <w:basedOn w:val="Fuentedeprrafopredeter"/>
    <w:link w:val="Ttulo"/>
    <w:uiPriority w:val="99"/>
    <w:locked/>
    <w:rsid w:val="000B0102"/>
    <w:rPr>
      <w:rFonts w:ascii="Arial" w:eastAsia="Arial Unicode MS" w:hAnsi="Arial" w:cs="Arial"/>
      <w:b/>
      <w:bCs/>
      <w:kern w:val="28"/>
      <w:sz w:val="32"/>
      <w:szCs w:val="32"/>
      <w:lang w:val="es-ES" w:eastAsia="es-ES"/>
    </w:rPr>
  </w:style>
  <w:style w:type="character" w:styleId="Refdecomentario">
    <w:name w:val="annotation reference"/>
    <w:basedOn w:val="Fuentedeprrafopredeter"/>
    <w:uiPriority w:val="99"/>
    <w:semiHidden/>
    <w:rsid w:val="003E01D9"/>
    <w:rPr>
      <w:rFonts w:cs="Times New Roman"/>
      <w:sz w:val="16"/>
      <w:szCs w:val="16"/>
    </w:rPr>
  </w:style>
  <w:style w:type="paragraph" w:styleId="Textocomentario">
    <w:name w:val="annotation text"/>
    <w:basedOn w:val="Normal"/>
    <w:link w:val="TextocomentarioCar"/>
    <w:uiPriority w:val="99"/>
    <w:semiHidden/>
    <w:rsid w:val="003E01D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3E01D9"/>
    <w:rPr>
      <w:rFonts w:cs="Times New Roman"/>
      <w:sz w:val="20"/>
      <w:szCs w:val="20"/>
    </w:rPr>
  </w:style>
  <w:style w:type="paragraph" w:styleId="Piedepgina">
    <w:name w:val="footer"/>
    <w:basedOn w:val="Normal"/>
    <w:link w:val="PiedepginaCar"/>
    <w:uiPriority w:val="99"/>
    <w:rsid w:val="00C75D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C75DD6"/>
    <w:rPr>
      <w:rFonts w:cs="Times New Roman"/>
    </w:rPr>
  </w:style>
  <w:style w:type="paragraph" w:styleId="Sinespaciado">
    <w:name w:val="No Spacing"/>
    <w:basedOn w:val="Normal"/>
    <w:uiPriority w:val="99"/>
    <w:qFormat/>
    <w:rsid w:val="009E1BA4"/>
    <w:pPr>
      <w:spacing w:after="0" w:line="240" w:lineRule="auto"/>
    </w:pPr>
    <w:rPr>
      <w:lang w:eastAsia="es-CO"/>
    </w:rPr>
  </w:style>
  <w:style w:type="paragraph" w:customStyle="1" w:styleId="Default">
    <w:name w:val="Default"/>
    <w:uiPriority w:val="99"/>
    <w:rsid w:val="00DD675E"/>
    <w:pPr>
      <w:autoSpaceDE w:val="0"/>
      <w:autoSpaceDN w:val="0"/>
      <w:adjustRightInd w:val="0"/>
    </w:pPr>
    <w:rPr>
      <w:rFonts w:ascii="Arial" w:hAnsi="Arial" w:cs="Arial"/>
      <w:color w:val="000000"/>
      <w:sz w:val="24"/>
      <w:szCs w:val="24"/>
      <w:lang w:val="es-CO" w:eastAsia="en-US"/>
    </w:rPr>
  </w:style>
  <w:style w:type="paragraph" w:customStyle="1" w:styleId="Prrafodelista2">
    <w:name w:val="Párrafo de lista2"/>
    <w:basedOn w:val="Normal"/>
    <w:uiPriority w:val="99"/>
    <w:rsid w:val="00284C65"/>
    <w:pPr>
      <w:ind w:left="720"/>
      <w:contextualSpacing/>
    </w:pPr>
    <w:rPr>
      <w:rFonts w:eastAsia="Times New Roman"/>
    </w:rPr>
  </w:style>
  <w:style w:type="paragraph" w:customStyle="1" w:styleId="Prrafodelista1">
    <w:name w:val="Párrafo de lista1"/>
    <w:basedOn w:val="Normal"/>
    <w:link w:val="PrrafodelistaCar"/>
    <w:uiPriority w:val="99"/>
    <w:rsid w:val="001E5C61"/>
    <w:pPr>
      <w:spacing w:after="0" w:line="240" w:lineRule="auto"/>
      <w:ind w:left="720"/>
      <w:contextualSpacing/>
    </w:pPr>
    <w:rPr>
      <w:rFonts w:ascii="Times New Roman" w:hAnsi="Times New Roman"/>
      <w:sz w:val="24"/>
      <w:szCs w:val="24"/>
      <w:lang w:val="es-ES" w:eastAsia="es-ES"/>
    </w:rPr>
  </w:style>
  <w:style w:type="paragraph" w:customStyle="1" w:styleId="Sinespaciado1">
    <w:name w:val="Sin espaciado1"/>
    <w:basedOn w:val="Normal"/>
    <w:uiPriority w:val="99"/>
    <w:rsid w:val="001E5C61"/>
    <w:pPr>
      <w:spacing w:after="0" w:line="240" w:lineRule="auto"/>
    </w:pPr>
    <w:rPr>
      <w:rFonts w:eastAsia="Times New Roman"/>
      <w:lang w:eastAsia="es-CO"/>
    </w:rPr>
  </w:style>
  <w:style w:type="character" w:customStyle="1" w:styleId="PrrafodelistaCar">
    <w:name w:val="Párrafo de lista Car"/>
    <w:basedOn w:val="Fuentedeprrafopredeter"/>
    <w:link w:val="Prrafodelista1"/>
    <w:uiPriority w:val="99"/>
    <w:locked/>
    <w:rsid w:val="001E5C61"/>
    <w:rPr>
      <w:rFonts w:cs="Times New Roman"/>
      <w:sz w:val="24"/>
      <w:szCs w:val="24"/>
      <w:lang w:val="es-ES" w:eastAsia="es-ES" w:bidi="ar-SA"/>
    </w:rPr>
  </w:style>
  <w:style w:type="paragraph" w:styleId="Textoindependiente2">
    <w:name w:val="Body Text 2"/>
    <w:basedOn w:val="Normal"/>
    <w:link w:val="Textoindependiente2Car"/>
    <w:uiPriority w:val="99"/>
    <w:rsid w:val="00B027C1"/>
    <w:pPr>
      <w:spacing w:after="120" w:line="480" w:lineRule="auto"/>
    </w:pPr>
    <w:rPr>
      <w:sz w:val="20"/>
      <w:szCs w:val="20"/>
      <w:lang w:val="es-ES" w:eastAsia="es-ES"/>
    </w:rPr>
  </w:style>
  <w:style w:type="character" w:customStyle="1" w:styleId="BodyText2Char">
    <w:name w:val="Body Text 2 Char"/>
    <w:basedOn w:val="Fuentedeprrafopredeter"/>
    <w:uiPriority w:val="99"/>
    <w:semiHidden/>
    <w:locked/>
    <w:rsid w:val="003340DF"/>
    <w:rPr>
      <w:rFonts w:cs="Times New Roman"/>
      <w:lang w:val="es-CO" w:eastAsia="en-US"/>
    </w:rPr>
  </w:style>
  <w:style w:type="character" w:customStyle="1" w:styleId="Textoindependiente2Car">
    <w:name w:val="Texto independiente 2 Car"/>
    <w:link w:val="Textoindependiente2"/>
    <w:uiPriority w:val="99"/>
    <w:locked/>
    <w:rsid w:val="00B027C1"/>
    <w:rPr>
      <w:lang w:val="es-ES" w:eastAsia="es-ES"/>
    </w:rPr>
  </w:style>
  <w:style w:type="paragraph" w:customStyle="1" w:styleId="Prrafodelista11">
    <w:name w:val="Párrafo de lista11"/>
    <w:basedOn w:val="Normal"/>
    <w:uiPriority w:val="99"/>
    <w:rsid w:val="00B027C1"/>
    <w:pPr>
      <w:spacing w:after="0" w:line="240" w:lineRule="auto"/>
      <w:ind w:left="720"/>
      <w:contextualSpacing/>
      <w:jc w:val="both"/>
    </w:pPr>
    <w:rPr>
      <w:lang w:val="es-ES"/>
    </w:rPr>
  </w:style>
  <w:style w:type="character" w:styleId="Nmerodepgina">
    <w:name w:val="page number"/>
    <w:basedOn w:val="Fuentedeprrafopredeter"/>
    <w:uiPriority w:val="99"/>
    <w:rsid w:val="00030B32"/>
    <w:rPr>
      <w:rFonts w:cs="Times New Roman"/>
    </w:rPr>
  </w:style>
  <w:style w:type="paragraph" w:styleId="Sangradetextonormal">
    <w:name w:val="Body Text Indent"/>
    <w:basedOn w:val="Normal"/>
    <w:link w:val="SangradetextonormalCar"/>
    <w:uiPriority w:val="99"/>
    <w:rsid w:val="00043A2C"/>
    <w:pPr>
      <w:spacing w:after="120"/>
      <w:ind w:left="283"/>
    </w:pPr>
  </w:style>
  <w:style w:type="character" w:customStyle="1" w:styleId="SangradetextonormalCar">
    <w:name w:val="Sangría de texto normal Car"/>
    <w:basedOn w:val="Fuentedeprrafopredeter"/>
    <w:link w:val="Sangradetextonormal"/>
    <w:uiPriority w:val="99"/>
    <w:semiHidden/>
    <w:locked/>
    <w:rsid w:val="00863C7A"/>
    <w:rPr>
      <w:rFonts w:cs="Times New Roman"/>
      <w:lang w:val="es-CO" w:eastAsia="en-US"/>
    </w:rPr>
  </w:style>
  <w:style w:type="paragraph" w:customStyle="1" w:styleId="Prrafodelista3">
    <w:name w:val="Párrafo de lista3"/>
    <w:basedOn w:val="Normal"/>
    <w:uiPriority w:val="99"/>
    <w:rsid w:val="00043A2C"/>
    <w:pPr>
      <w:spacing w:after="0" w:line="240" w:lineRule="auto"/>
      <w:ind w:left="720"/>
    </w:pPr>
    <w:rPr>
      <w:rFonts w:eastAsia="Times New Roman"/>
      <w:lang w:eastAsia="es-CO"/>
    </w:rPr>
  </w:style>
  <w:style w:type="paragraph" w:styleId="Asuntodelcomentario">
    <w:name w:val="annotation subject"/>
    <w:basedOn w:val="Textocomentario"/>
    <w:next w:val="Textocomentario"/>
    <w:link w:val="AsuntodelcomentarioCar"/>
    <w:uiPriority w:val="99"/>
    <w:semiHidden/>
    <w:rsid w:val="00793FF0"/>
    <w:pPr>
      <w:spacing w:line="276" w:lineRule="auto"/>
    </w:pPr>
    <w:rPr>
      <w:b/>
      <w:bCs/>
    </w:rPr>
  </w:style>
  <w:style w:type="character" w:customStyle="1" w:styleId="AsuntodelcomentarioCar">
    <w:name w:val="Asunto del comentario Car"/>
    <w:basedOn w:val="TextocomentarioCar"/>
    <w:link w:val="Asuntodelcomentario"/>
    <w:uiPriority w:val="99"/>
    <w:semiHidden/>
    <w:locked/>
    <w:rsid w:val="00863C7A"/>
    <w:rPr>
      <w:rFonts w:cs="Times New Roman"/>
      <w:b/>
      <w:bCs/>
      <w:sz w:val="20"/>
      <w:szCs w:val="20"/>
      <w:lang w:val="es-CO" w:eastAsia="en-US"/>
    </w:rPr>
  </w:style>
  <w:style w:type="paragraph" w:styleId="Textonotapie">
    <w:name w:val="footnote text"/>
    <w:basedOn w:val="Normal"/>
    <w:link w:val="TextonotapieCar"/>
    <w:uiPriority w:val="99"/>
    <w:semiHidden/>
    <w:rsid w:val="00E94984"/>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E94984"/>
    <w:rPr>
      <w:rFonts w:ascii="Calibri" w:hAnsi="Calibri" w:cs="Times New Roman"/>
      <w:lang w:val="es-CO" w:eastAsia="en-US" w:bidi="ar-SA"/>
    </w:rPr>
  </w:style>
  <w:style w:type="character" w:styleId="Refdenotaalpie">
    <w:name w:val="footnote reference"/>
    <w:basedOn w:val="Fuentedeprrafopredeter"/>
    <w:uiPriority w:val="99"/>
    <w:semiHidden/>
    <w:rsid w:val="00E94984"/>
    <w:rPr>
      <w:rFonts w:cs="Times New Roman"/>
      <w:vertAlign w:val="superscript"/>
    </w:rPr>
  </w:style>
  <w:style w:type="paragraph" w:customStyle="1" w:styleId="Sinespaciado2">
    <w:name w:val="Sin espaciado2"/>
    <w:uiPriority w:val="99"/>
    <w:rsid w:val="00FC551E"/>
    <w:rPr>
      <w:rFonts w:eastAsia="Times New Roman"/>
      <w:lang w:val="es-CO" w:eastAsia="en-US"/>
    </w:rPr>
  </w:style>
  <w:style w:type="paragraph" w:customStyle="1" w:styleId="Prrafodelista4">
    <w:name w:val="Párrafo de lista4"/>
    <w:basedOn w:val="Normal"/>
    <w:uiPriority w:val="99"/>
    <w:rsid w:val="00FC551E"/>
    <w:pPr>
      <w:spacing w:after="0" w:line="240" w:lineRule="auto"/>
      <w:ind w:left="720"/>
      <w:contextualSpacing/>
    </w:pPr>
    <w:rPr>
      <w:rFonts w:ascii="Times New Roman" w:hAnsi="Times New Roman"/>
      <w:sz w:val="24"/>
      <w:szCs w:val="24"/>
      <w:lang w:val="es-ES" w:eastAsia="es-ES"/>
    </w:rPr>
  </w:style>
  <w:style w:type="paragraph" w:customStyle="1" w:styleId="Textoindependiente21">
    <w:name w:val="Texto independiente 21"/>
    <w:basedOn w:val="Normal"/>
    <w:uiPriority w:val="99"/>
    <w:rsid w:val="0011704C"/>
    <w:pPr>
      <w:overflowPunct w:val="0"/>
      <w:autoSpaceDE w:val="0"/>
      <w:autoSpaceDN w:val="0"/>
      <w:adjustRightInd w:val="0"/>
      <w:spacing w:after="0" w:line="240" w:lineRule="auto"/>
      <w:jc w:val="both"/>
    </w:pPr>
    <w:rPr>
      <w:rFonts w:ascii="Arial" w:hAnsi="Arial"/>
      <w:i/>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E8"/>
    <w:pPr>
      <w:spacing w:after="200" w:line="276" w:lineRule="auto"/>
    </w:pPr>
    <w:rPr>
      <w:lang w:val="es-CO" w:eastAsia="en-US"/>
    </w:rPr>
  </w:style>
  <w:style w:type="paragraph" w:styleId="Ttulo1">
    <w:name w:val="heading 1"/>
    <w:aliases w:val="Edgar 1,Heading 1a,MT1,título 1"/>
    <w:basedOn w:val="Normal"/>
    <w:next w:val="Normal"/>
    <w:link w:val="Ttulo1Car"/>
    <w:uiPriority w:val="99"/>
    <w:qFormat/>
    <w:rsid w:val="000B0102"/>
    <w:pPr>
      <w:widowControl w:val="0"/>
      <w:numPr>
        <w:numId w:val="2"/>
      </w:numPr>
      <w:spacing w:before="240" w:after="240" w:line="240" w:lineRule="auto"/>
      <w:jc w:val="center"/>
      <w:outlineLvl w:val="0"/>
    </w:pPr>
    <w:rPr>
      <w:rFonts w:ascii="Arial" w:eastAsia="Arial Unicode MS" w:hAnsi="Arial" w:cs="Arial"/>
      <w:b/>
      <w:bCs/>
      <w:noProof/>
      <w:sz w:val="72"/>
      <w:szCs w:val="72"/>
      <w:lang w:val="es-ES" w:eastAsia="es-ES"/>
      <w14:shadow w14:blurRad="50800" w14:dist="38100" w14:dir="2700000" w14:sx="100000" w14:sy="100000" w14:kx="0" w14:ky="0" w14:algn="tl">
        <w14:srgbClr w14:val="000000">
          <w14:alpha w14:val="60000"/>
        </w14:srgbClr>
      </w14:shadow>
    </w:rPr>
  </w:style>
  <w:style w:type="paragraph" w:styleId="Ttulo2">
    <w:name w:val="heading 2"/>
    <w:aliases w:val="MT2"/>
    <w:basedOn w:val="Normal"/>
    <w:next w:val="Normal"/>
    <w:link w:val="Ttulo2Car"/>
    <w:uiPriority w:val="99"/>
    <w:qFormat/>
    <w:rsid w:val="000B0102"/>
    <w:pPr>
      <w:keepNext/>
      <w:numPr>
        <w:ilvl w:val="1"/>
        <w:numId w:val="2"/>
      </w:numPr>
      <w:spacing w:before="360" w:after="240" w:line="240" w:lineRule="auto"/>
      <w:jc w:val="both"/>
      <w:outlineLvl w:val="1"/>
    </w:pPr>
    <w:rPr>
      <w:rFonts w:ascii="Arial" w:eastAsia="Arial Unicode MS" w:hAnsi="Arial" w:cs="Arial"/>
      <w:b/>
      <w:bCs/>
      <w:sz w:val="28"/>
      <w:szCs w:val="40"/>
      <w:lang w:val="es-ES" w:eastAsia="es-ES"/>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uiPriority w:val="99"/>
    <w:qFormat/>
    <w:rsid w:val="000B0102"/>
    <w:pPr>
      <w:keepNext/>
      <w:numPr>
        <w:ilvl w:val="2"/>
        <w:numId w:val="2"/>
      </w:numPr>
      <w:spacing w:before="240" w:after="240" w:line="240" w:lineRule="auto"/>
      <w:jc w:val="both"/>
      <w:outlineLvl w:val="2"/>
    </w:pPr>
    <w:rPr>
      <w:rFonts w:ascii="Arial" w:eastAsia="Arial Unicode MS" w:hAnsi="Arial" w:cs="Arial"/>
      <w:b/>
      <w:bCs/>
      <w:color w:val="000000"/>
      <w:sz w:val="24"/>
      <w:szCs w:val="32"/>
      <w:lang w:val="es-ES" w:eastAsia="es-ES"/>
    </w:rPr>
  </w:style>
  <w:style w:type="paragraph" w:styleId="Ttulo6">
    <w:name w:val="heading 6"/>
    <w:basedOn w:val="Normal"/>
    <w:next w:val="Normal"/>
    <w:link w:val="Ttulo6Car"/>
    <w:uiPriority w:val="99"/>
    <w:qFormat/>
    <w:rsid w:val="000B0102"/>
    <w:pPr>
      <w:keepNext/>
      <w:numPr>
        <w:ilvl w:val="5"/>
        <w:numId w:val="2"/>
      </w:numPr>
      <w:spacing w:before="240" w:after="240" w:line="240" w:lineRule="auto"/>
      <w:jc w:val="center"/>
      <w:outlineLvl w:val="5"/>
    </w:pPr>
    <w:rPr>
      <w:rFonts w:ascii="Verdana" w:eastAsia="Arial Unicode MS" w:hAnsi="Verdana" w:cs="Arial"/>
      <w:b/>
      <w:spacing w:val="20"/>
      <w:sz w:val="15"/>
      <w:szCs w:val="20"/>
      <w:lang w:val="es-ES" w:eastAsia="es-ES"/>
    </w:rPr>
  </w:style>
  <w:style w:type="paragraph" w:styleId="Ttulo7">
    <w:name w:val="heading 7"/>
    <w:basedOn w:val="Normal"/>
    <w:next w:val="Normal"/>
    <w:link w:val="Ttulo7Car"/>
    <w:uiPriority w:val="99"/>
    <w:qFormat/>
    <w:rsid w:val="000B0102"/>
    <w:pPr>
      <w:keepNext/>
      <w:numPr>
        <w:ilvl w:val="6"/>
        <w:numId w:val="2"/>
      </w:numPr>
      <w:spacing w:before="240" w:after="240" w:line="240" w:lineRule="auto"/>
      <w:jc w:val="both"/>
      <w:outlineLvl w:val="6"/>
    </w:pPr>
    <w:rPr>
      <w:rFonts w:ascii="Verdana" w:eastAsia="Arial Unicode MS" w:hAnsi="Verdana" w:cs="Arial"/>
      <w:b/>
      <w:spacing w:val="20"/>
      <w:sz w:val="15"/>
      <w:szCs w:val="20"/>
      <w:lang w:val="es-ES" w:eastAsia="es-ES"/>
    </w:rPr>
  </w:style>
  <w:style w:type="paragraph" w:styleId="Ttulo8">
    <w:name w:val="heading 8"/>
    <w:basedOn w:val="Normal"/>
    <w:next w:val="Normal"/>
    <w:link w:val="Ttulo8Car"/>
    <w:uiPriority w:val="99"/>
    <w:qFormat/>
    <w:rsid w:val="000B0102"/>
    <w:pPr>
      <w:keepNext/>
      <w:numPr>
        <w:ilvl w:val="7"/>
        <w:numId w:val="2"/>
      </w:numPr>
      <w:spacing w:before="240" w:after="240" w:line="240" w:lineRule="auto"/>
      <w:jc w:val="both"/>
      <w:outlineLvl w:val="7"/>
    </w:pPr>
    <w:rPr>
      <w:rFonts w:ascii="Verdana" w:eastAsia="Arial Unicode MS" w:hAnsi="Verdana" w:cs="Arial"/>
      <w:b/>
      <w:bCs/>
      <w:spacing w:val="20"/>
      <w:sz w:val="18"/>
      <w:szCs w:val="20"/>
      <w:lang w:val="es-ES" w:eastAsia="es-ES"/>
    </w:rPr>
  </w:style>
  <w:style w:type="paragraph" w:styleId="Ttulo9">
    <w:name w:val="heading 9"/>
    <w:basedOn w:val="Normal"/>
    <w:next w:val="Normal"/>
    <w:link w:val="Ttulo9Car"/>
    <w:uiPriority w:val="99"/>
    <w:qFormat/>
    <w:rsid w:val="000B0102"/>
    <w:pPr>
      <w:keepNext/>
      <w:numPr>
        <w:ilvl w:val="8"/>
        <w:numId w:val="2"/>
      </w:numPr>
      <w:spacing w:before="240" w:after="240" w:line="240" w:lineRule="auto"/>
      <w:jc w:val="both"/>
      <w:outlineLvl w:val="8"/>
    </w:pPr>
    <w:rPr>
      <w:rFonts w:ascii="Verdana" w:eastAsia="Arial Unicode MS" w:hAnsi="Verdana" w:cs="Arial"/>
      <w:b/>
      <w:bCs/>
      <w:spacing w:val="20"/>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Heading 1a Car,MT1 Car,título 1 Car"/>
    <w:basedOn w:val="Fuentedeprrafopredeter"/>
    <w:link w:val="Ttulo1"/>
    <w:uiPriority w:val="99"/>
    <w:locked/>
    <w:rsid w:val="000B0102"/>
    <w:rPr>
      <w:rFonts w:ascii="Arial" w:eastAsia="Arial Unicode MS" w:hAnsi="Arial" w:cs="Arial"/>
      <w:b/>
      <w:bCs/>
      <w:noProof/>
      <w:sz w:val="72"/>
      <w:szCs w:val="72"/>
      <w:lang w:val="es-ES" w:eastAsia="es-ES" w:bidi="ar-SA"/>
      <w14:shadow w14:blurRad="50800" w14:dist="38100" w14:dir="2700000" w14:sx="100000" w14:sy="100000" w14:kx="0" w14:ky="0" w14:algn="tl">
        <w14:srgbClr w14:val="000000">
          <w14:alpha w14:val="60000"/>
        </w14:srgbClr>
      </w14:shadow>
    </w:rPr>
  </w:style>
  <w:style w:type="character" w:customStyle="1" w:styleId="Ttulo2Car">
    <w:name w:val="Título 2 Car"/>
    <w:aliases w:val="MT2 Car"/>
    <w:basedOn w:val="Fuentedeprrafopredeter"/>
    <w:link w:val="Ttulo2"/>
    <w:uiPriority w:val="99"/>
    <w:locked/>
    <w:rsid w:val="000B0102"/>
    <w:rPr>
      <w:rFonts w:ascii="Arial" w:eastAsia="Arial Unicode MS" w:hAnsi="Arial" w:cs="Arial"/>
      <w:b/>
      <w:bCs/>
      <w:sz w:val="40"/>
      <w:szCs w:val="40"/>
      <w:lang w:val="es-ES" w:eastAsia="es-ES" w:bidi="ar-SA"/>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uiPriority w:val="99"/>
    <w:locked/>
    <w:rsid w:val="000B0102"/>
    <w:rPr>
      <w:rFonts w:ascii="Arial" w:eastAsia="Arial Unicode MS" w:hAnsi="Arial" w:cs="Arial"/>
      <w:b/>
      <w:bCs/>
      <w:color w:val="000000"/>
      <w:sz w:val="32"/>
      <w:szCs w:val="32"/>
      <w:lang w:val="es-ES" w:eastAsia="es-ES" w:bidi="ar-SA"/>
    </w:rPr>
  </w:style>
  <w:style w:type="character" w:customStyle="1" w:styleId="Ttulo6Car">
    <w:name w:val="Título 6 Car"/>
    <w:basedOn w:val="Fuentedeprrafopredeter"/>
    <w:link w:val="Ttulo6"/>
    <w:uiPriority w:val="99"/>
    <w:locked/>
    <w:rsid w:val="000B0102"/>
    <w:rPr>
      <w:rFonts w:ascii="Verdana" w:eastAsia="Arial Unicode MS" w:hAnsi="Verdana" w:cs="Arial"/>
      <w:b/>
      <w:spacing w:val="20"/>
      <w:sz w:val="15"/>
      <w:lang w:val="es-ES" w:eastAsia="es-ES" w:bidi="ar-SA"/>
    </w:rPr>
  </w:style>
  <w:style w:type="character" w:customStyle="1" w:styleId="Ttulo7Car">
    <w:name w:val="Título 7 Car"/>
    <w:basedOn w:val="Fuentedeprrafopredeter"/>
    <w:link w:val="Ttulo7"/>
    <w:uiPriority w:val="99"/>
    <w:locked/>
    <w:rsid w:val="000B0102"/>
    <w:rPr>
      <w:rFonts w:ascii="Verdana" w:eastAsia="Arial Unicode MS" w:hAnsi="Verdana" w:cs="Arial"/>
      <w:b/>
      <w:spacing w:val="20"/>
      <w:sz w:val="15"/>
      <w:lang w:val="es-ES" w:eastAsia="es-ES" w:bidi="ar-SA"/>
    </w:rPr>
  </w:style>
  <w:style w:type="character" w:customStyle="1" w:styleId="Ttulo8Car">
    <w:name w:val="Título 8 Car"/>
    <w:basedOn w:val="Fuentedeprrafopredeter"/>
    <w:link w:val="Ttulo8"/>
    <w:uiPriority w:val="99"/>
    <w:locked/>
    <w:rsid w:val="000B0102"/>
    <w:rPr>
      <w:rFonts w:ascii="Verdana" w:eastAsia="Arial Unicode MS" w:hAnsi="Verdana" w:cs="Arial"/>
      <w:b/>
      <w:bCs/>
      <w:spacing w:val="20"/>
      <w:sz w:val="18"/>
      <w:lang w:val="es-ES" w:eastAsia="es-ES" w:bidi="ar-SA"/>
    </w:rPr>
  </w:style>
  <w:style w:type="character" w:customStyle="1" w:styleId="Ttulo9Car">
    <w:name w:val="Título 9 Car"/>
    <w:basedOn w:val="Fuentedeprrafopredeter"/>
    <w:link w:val="Ttulo9"/>
    <w:uiPriority w:val="99"/>
    <w:locked/>
    <w:rsid w:val="000B0102"/>
    <w:rPr>
      <w:rFonts w:ascii="Verdana" w:eastAsia="Arial Unicode MS" w:hAnsi="Verdana" w:cs="Arial"/>
      <w:b/>
      <w:bCs/>
      <w:spacing w:val="20"/>
      <w:sz w:val="18"/>
      <w:lang w:val="es-ES" w:eastAsia="es-ES" w:bidi="ar-SA"/>
    </w:rPr>
  </w:style>
  <w:style w:type="paragraph" w:styleId="Prrafodelista">
    <w:name w:val="List Paragraph"/>
    <w:basedOn w:val="Normal"/>
    <w:link w:val="PrrafodelistaCar1"/>
    <w:uiPriority w:val="99"/>
    <w:qFormat/>
    <w:rsid w:val="00FF1803"/>
    <w:pPr>
      <w:ind w:left="720"/>
      <w:contextualSpacing/>
    </w:pPr>
    <w:rPr>
      <w:lang w:val="es-ES"/>
    </w:rPr>
  </w:style>
  <w:style w:type="paragraph" w:styleId="Textodeglobo">
    <w:name w:val="Balloon Text"/>
    <w:basedOn w:val="Normal"/>
    <w:link w:val="TextodegloboCar"/>
    <w:uiPriority w:val="99"/>
    <w:semiHidden/>
    <w:rsid w:val="00FF1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F1803"/>
    <w:rPr>
      <w:rFonts w:ascii="Tahoma" w:hAnsi="Tahoma" w:cs="Tahoma"/>
      <w:sz w:val="16"/>
      <w:szCs w:val="16"/>
    </w:rPr>
  </w:style>
  <w:style w:type="character" w:customStyle="1" w:styleId="PrrafodelistaCar1">
    <w:name w:val="Párrafo de lista Car1"/>
    <w:basedOn w:val="Fuentedeprrafopredeter"/>
    <w:link w:val="Prrafodelista"/>
    <w:uiPriority w:val="99"/>
    <w:locked/>
    <w:rsid w:val="008377E5"/>
    <w:rPr>
      <w:rFonts w:cs="Times New Roman"/>
      <w:lang w:val="es-ES"/>
    </w:rPr>
  </w:style>
  <w:style w:type="paragraph" w:styleId="Encabezado">
    <w:name w:val="header"/>
    <w:basedOn w:val="Normal"/>
    <w:link w:val="EncabezadoCar"/>
    <w:uiPriority w:val="99"/>
    <w:rsid w:val="008377E5"/>
    <w:pPr>
      <w:tabs>
        <w:tab w:val="center" w:pos="4419"/>
        <w:tab w:val="right" w:pos="8838"/>
      </w:tabs>
      <w:spacing w:after="0" w:line="240" w:lineRule="auto"/>
    </w:pPr>
    <w:rPr>
      <w:rFonts w:eastAsia="Times New Roman"/>
    </w:rPr>
  </w:style>
  <w:style w:type="character" w:customStyle="1" w:styleId="EncabezadoCar">
    <w:name w:val="Encabezado Car"/>
    <w:basedOn w:val="Fuentedeprrafopredeter"/>
    <w:link w:val="Encabezado"/>
    <w:uiPriority w:val="99"/>
    <w:locked/>
    <w:rsid w:val="008377E5"/>
    <w:rPr>
      <w:rFonts w:ascii="Calibri" w:hAnsi="Calibri" w:cs="Times New Roman"/>
    </w:rPr>
  </w:style>
  <w:style w:type="paragraph" w:styleId="Textoindependiente">
    <w:name w:val="Body Text"/>
    <w:basedOn w:val="Normal"/>
    <w:link w:val="TextoindependienteCar"/>
    <w:uiPriority w:val="99"/>
    <w:rsid w:val="008377E5"/>
    <w:pPr>
      <w:tabs>
        <w:tab w:val="left" w:pos="8505"/>
        <w:tab w:val="left" w:pos="8789"/>
      </w:tabs>
      <w:spacing w:after="0" w:line="360" w:lineRule="atLeast"/>
      <w:ind w:right="-285"/>
      <w:jc w:val="both"/>
    </w:pPr>
    <w:rPr>
      <w:rFonts w:ascii="Times New Roman" w:hAnsi="Times New Roman"/>
      <w:sz w:val="28"/>
      <w:szCs w:val="20"/>
      <w:lang w:val="es-ES_tradnl" w:eastAsia="es-ES"/>
    </w:rPr>
  </w:style>
  <w:style w:type="character" w:customStyle="1" w:styleId="TextoindependienteCar">
    <w:name w:val="Texto independiente Car"/>
    <w:basedOn w:val="Fuentedeprrafopredeter"/>
    <w:link w:val="Textoindependiente"/>
    <w:uiPriority w:val="99"/>
    <w:locked/>
    <w:rsid w:val="008377E5"/>
    <w:rPr>
      <w:rFonts w:ascii="Times New Roman" w:hAnsi="Times New Roman" w:cs="Times New Roman"/>
      <w:sz w:val="20"/>
      <w:szCs w:val="20"/>
      <w:lang w:val="es-ES_tradnl" w:eastAsia="es-ES"/>
    </w:rPr>
  </w:style>
  <w:style w:type="paragraph" w:customStyle="1" w:styleId="NormalVietas">
    <w:name w:val="NormalViñetas"/>
    <w:basedOn w:val="Normal"/>
    <w:link w:val="NormalVietasCar"/>
    <w:uiPriority w:val="99"/>
    <w:rsid w:val="008377E5"/>
    <w:pPr>
      <w:numPr>
        <w:numId w:val="1"/>
      </w:numPr>
      <w:spacing w:before="60" w:after="60" w:line="240" w:lineRule="auto"/>
      <w:jc w:val="both"/>
    </w:pPr>
    <w:rPr>
      <w:rFonts w:ascii="Arial" w:eastAsia="Arial Unicode MS" w:hAnsi="Arial" w:cs="Arial"/>
      <w:sz w:val="24"/>
      <w:szCs w:val="20"/>
      <w:lang w:val="es-ES" w:eastAsia="es-ES"/>
    </w:rPr>
  </w:style>
  <w:style w:type="character" w:customStyle="1" w:styleId="NormalVietasCar">
    <w:name w:val="NormalViñetas Car"/>
    <w:basedOn w:val="Fuentedeprrafopredeter"/>
    <w:link w:val="NormalVietas"/>
    <w:uiPriority w:val="99"/>
    <w:locked/>
    <w:rsid w:val="008377E5"/>
    <w:rPr>
      <w:rFonts w:ascii="Arial" w:eastAsia="Arial Unicode MS" w:hAnsi="Arial" w:cs="Arial"/>
      <w:sz w:val="24"/>
      <w:lang w:val="es-ES" w:eastAsia="es-ES" w:bidi="ar-SA"/>
    </w:rPr>
  </w:style>
  <w:style w:type="paragraph" w:styleId="Ttulo">
    <w:name w:val="Title"/>
    <w:basedOn w:val="Normal"/>
    <w:link w:val="TtuloCar"/>
    <w:uiPriority w:val="99"/>
    <w:qFormat/>
    <w:rsid w:val="000B0102"/>
    <w:pPr>
      <w:spacing w:before="240" w:after="60" w:line="240" w:lineRule="auto"/>
      <w:jc w:val="center"/>
      <w:outlineLvl w:val="0"/>
    </w:pPr>
    <w:rPr>
      <w:rFonts w:ascii="Arial" w:eastAsia="Arial Unicode MS" w:hAnsi="Arial" w:cs="Arial"/>
      <w:b/>
      <w:bCs/>
      <w:kern w:val="28"/>
      <w:sz w:val="48"/>
      <w:szCs w:val="32"/>
      <w:lang w:val="es-ES" w:eastAsia="es-ES"/>
    </w:rPr>
  </w:style>
  <w:style w:type="character" w:customStyle="1" w:styleId="TtuloCar">
    <w:name w:val="Título Car"/>
    <w:basedOn w:val="Fuentedeprrafopredeter"/>
    <w:link w:val="Ttulo"/>
    <w:uiPriority w:val="99"/>
    <w:locked/>
    <w:rsid w:val="000B0102"/>
    <w:rPr>
      <w:rFonts w:ascii="Arial" w:eastAsia="Arial Unicode MS" w:hAnsi="Arial" w:cs="Arial"/>
      <w:b/>
      <w:bCs/>
      <w:kern w:val="28"/>
      <w:sz w:val="32"/>
      <w:szCs w:val="32"/>
      <w:lang w:val="es-ES" w:eastAsia="es-ES"/>
    </w:rPr>
  </w:style>
  <w:style w:type="character" w:styleId="Refdecomentario">
    <w:name w:val="annotation reference"/>
    <w:basedOn w:val="Fuentedeprrafopredeter"/>
    <w:uiPriority w:val="99"/>
    <w:semiHidden/>
    <w:rsid w:val="003E01D9"/>
    <w:rPr>
      <w:rFonts w:cs="Times New Roman"/>
      <w:sz w:val="16"/>
      <w:szCs w:val="16"/>
    </w:rPr>
  </w:style>
  <w:style w:type="paragraph" w:styleId="Textocomentario">
    <w:name w:val="annotation text"/>
    <w:basedOn w:val="Normal"/>
    <w:link w:val="TextocomentarioCar"/>
    <w:uiPriority w:val="99"/>
    <w:semiHidden/>
    <w:rsid w:val="003E01D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3E01D9"/>
    <w:rPr>
      <w:rFonts w:cs="Times New Roman"/>
      <w:sz w:val="20"/>
      <w:szCs w:val="20"/>
    </w:rPr>
  </w:style>
  <w:style w:type="paragraph" w:styleId="Piedepgina">
    <w:name w:val="footer"/>
    <w:basedOn w:val="Normal"/>
    <w:link w:val="PiedepginaCar"/>
    <w:uiPriority w:val="99"/>
    <w:rsid w:val="00C75D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C75DD6"/>
    <w:rPr>
      <w:rFonts w:cs="Times New Roman"/>
    </w:rPr>
  </w:style>
  <w:style w:type="paragraph" w:styleId="Sinespaciado">
    <w:name w:val="No Spacing"/>
    <w:basedOn w:val="Normal"/>
    <w:uiPriority w:val="99"/>
    <w:qFormat/>
    <w:rsid w:val="009E1BA4"/>
    <w:pPr>
      <w:spacing w:after="0" w:line="240" w:lineRule="auto"/>
    </w:pPr>
    <w:rPr>
      <w:lang w:eastAsia="es-CO"/>
    </w:rPr>
  </w:style>
  <w:style w:type="paragraph" w:customStyle="1" w:styleId="Default">
    <w:name w:val="Default"/>
    <w:uiPriority w:val="99"/>
    <w:rsid w:val="00DD675E"/>
    <w:pPr>
      <w:autoSpaceDE w:val="0"/>
      <w:autoSpaceDN w:val="0"/>
      <w:adjustRightInd w:val="0"/>
    </w:pPr>
    <w:rPr>
      <w:rFonts w:ascii="Arial" w:hAnsi="Arial" w:cs="Arial"/>
      <w:color w:val="000000"/>
      <w:sz w:val="24"/>
      <w:szCs w:val="24"/>
      <w:lang w:val="es-CO" w:eastAsia="en-US"/>
    </w:rPr>
  </w:style>
  <w:style w:type="paragraph" w:customStyle="1" w:styleId="Prrafodelista2">
    <w:name w:val="Párrafo de lista2"/>
    <w:basedOn w:val="Normal"/>
    <w:uiPriority w:val="99"/>
    <w:rsid w:val="00284C65"/>
    <w:pPr>
      <w:ind w:left="720"/>
      <w:contextualSpacing/>
    </w:pPr>
    <w:rPr>
      <w:rFonts w:eastAsia="Times New Roman"/>
    </w:rPr>
  </w:style>
  <w:style w:type="paragraph" w:customStyle="1" w:styleId="Prrafodelista1">
    <w:name w:val="Párrafo de lista1"/>
    <w:basedOn w:val="Normal"/>
    <w:link w:val="PrrafodelistaCar"/>
    <w:uiPriority w:val="99"/>
    <w:rsid w:val="001E5C61"/>
    <w:pPr>
      <w:spacing w:after="0" w:line="240" w:lineRule="auto"/>
      <w:ind w:left="720"/>
      <w:contextualSpacing/>
    </w:pPr>
    <w:rPr>
      <w:rFonts w:ascii="Times New Roman" w:hAnsi="Times New Roman"/>
      <w:sz w:val="24"/>
      <w:szCs w:val="24"/>
      <w:lang w:val="es-ES" w:eastAsia="es-ES"/>
    </w:rPr>
  </w:style>
  <w:style w:type="paragraph" w:customStyle="1" w:styleId="Sinespaciado1">
    <w:name w:val="Sin espaciado1"/>
    <w:basedOn w:val="Normal"/>
    <w:uiPriority w:val="99"/>
    <w:rsid w:val="001E5C61"/>
    <w:pPr>
      <w:spacing w:after="0" w:line="240" w:lineRule="auto"/>
    </w:pPr>
    <w:rPr>
      <w:rFonts w:eastAsia="Times New Roman"/>
      <w:lang w:eastAsia="es-CO"/>
    </w:rPr>
  </w:style>
  <w:style w:type="character" w:customStyle="1" w:styleId="PrrafodelistaCar">
    <w:name w:val="Párrafo de lista Car"/>
    <w:basedOn w:val="Fuentedeprrafopredeter"/>
    <w:link w:val="Prrafodelista1"/>
    <w:uiPriority w:val="99"/>
    <w:locked/>
    <w:rsid w:val="001E5C61"/>
    <w:rPr>
      <w:rFonts w:cs="Times New Roman"/>
      <w:sz w:val="24"/>
      <w:szCs w:val="24"/>
      <w:lang w:val="es-ES" w:eastAsia="es-ES" w:bidi="ar-SA"/>
    </w:rPr>
  </w:style>
  <w:style w:type="paragraph" w:styleId="Textoindependiente2">
    <w:name w:val="Body Text 2"/>
    <w:basedOn w:val="Normal"/>
    <w:link w:val="Textoindependiente2Car"/>
    <w:uiPriority w:val="99"/>
    <w:rsid w:val="00B027C1"/>
    <w:pPr>
      <w:spacing w:after="120" w:line="480" w:lineRule="auto"/>
    </w:pPr>
    <w:rPr>
      <w:sz w:val="20"/>
      <w:szCs w:val="20"/>
      <w:lang w:val="es-ES" w:eastAsia="es-ES"/>
    </w:rPr>
  </w:style>
  <w:style w:type="character" w:customStyle="1" w:styleId="BodyText2Char">
    <w:name w:val="Body Text 2 Char"/>
    <w:basedOn w:val="Fuentedeprrafopredeter"/>
    <w:uiPriority w:val="99"/>
    <w:semiHidden/>
    <w:locked/>
    <w:rsid w:val="003340DF"/>
    <w:rPr>
      <w:rFonts w:cs="Times New Roman"/>
      <w:lang w:val="es-CO" w:eastAsia="en-US"/>
    </w:rPr>
  </w:style>
  <w:style w:type="character" w:customStyle="1" w:styleId="Textoindependiente2Car">
    <w:name w:val="Texto independiente 2 Car"/>
    <w:link w:val="Textoindependiente2"/>
    <w:uiPriority w:val="99"/>
    <w:locked/>
    <w:rsid w:val="00B027C1"/>
    <w:rPr>
      <w:lang w:val="es-ES" w:eastAsia="es-ES"/>
    </w:rPr>
  </w:style>
  <w:style w:type="paragraph" w:customStyle="1" w:styleId="Prrafodelista11">
    <w:name w:val="Párrafo de lista11"/>
    <w:basedOn w:val="Normal"/>
    <w:uiPriority w:val="99"/>
    <w:rsid w:val="00B027C1"/>
    <w:pPr>
      <w:spacing w:after="0" w:line="240" w:lineRule="auto"/>
      <w:ind w:left="720"/>
      <w:contextualSpacing/>
      <w:jc w:val="both"/>
    </w:pPr>
    <w:rPr>
      <w:lang w:val="es-ES"/>
    </w:rPr>
  </w:style>
  <w:style w:type="character" w:styleId="Nmerodepgina">
    <w:name w:val="page number"/>
    <w:basedOn w:val="Fuentedeprrafopredeter"/>
    <w:uiPriority w:val="99"/>
    <w:rsid w:val="00030B32"/>
    <w:rPr>
      <w:rFonts w:cs="Times New Roman"/>
    </w:rPr>
  </w:style>
  <w:style w:type="paragraph" w:styleId="Sangradetextonormal">
    <w:name w:val="Body Text Indent"/>
    <w:basedOn w:val="Normal"/>
    <w:link w:val="SangradetextonormalCar"/>
    <w:uiPriority w:val="99"/>
    <w:rsid w:val="00043A2C"/>
    <w:pPr>
      <w:spacing w:after="120"/>
      <w:ind w:left="283"/>
    </w:pPr>
  </w:style>
  <w:style w:type="character" w:customStyle="1" w:styleId="SangradetextonormalCar">
    <w:name w:val="Sangría de texto normal Car"/>
    <w:basedOn w:val="Fuentedeprrafopredeter"/>
    <w:link w:val="Sangradetextonormal"/>
    <w:uiPriority w:val="99"/>
    <w:semiHidden/>
    <w:locked/>
    <w:rsid w:val="00863C7A"/>
    <w:rPr>
      <w:rFonts w:cs="Times New Roman"/>
      <w:lang w:val="es-CO" w:eastAsia="en-US"/>
    </w:rPr>
  </w:style>
  <w:style w:type="paragraph" w:customStyle="1" w:styleId="Prrafodelista3">
    <w:name w:val="Párrafo de lista3"/>
    <w:basedOn w:val="Normal"/>
    <w:uiPriority w:val="99"/>
    <w:rsid w:val="00043A2C"/>
    <w:pPr>
      <w:spacing w:after="0" w:line="240" w:lineRule="auto"/>
      <w:ind w:left="720"/>
    </w:pPr>
    <w:rPr>
      <w:rFonts w:eastAsia="Times New Roman"/>
      <w:lang w:eastAsia="es-CO"/>
    </w:rPr>
  </w:style>
  <w:style w:type="paragraph" w:styleId="Asuntodelcomentario">
    <w:name w:val="annotation subject"/>
    <w:basedOn w:val="Textocomentario"/>
    <w:next w:val="Textocomentario"/>
    <w:link w:val="AsuntodelcomentarioCar"/>
    <w:uiPriority w:val="99"/>
    <w:semiHidden/>
    <w:rsid w:val="00793FF0"/>
    <w:pPr>
      <w:spacing w:line="276" w:lineRule="auto"/>
    </w:pPr>
    <w:rPr>
      <w:b/>
      <w:bCs/>
    </w:rPr>
  </w:style>
  <w:style w:type="character" w:customStyle="1" w:styleId="AsuntodelcomentarioCar">
    <w:name w:val="Asunto del comentario Car"/>
    <w:basedOn w:val="TextocomentarioCar"/>
    <w:link w:val="Asuntodelcomentario"/>
    <w:uiPriority w:val="99"/>
    <w:semiHidden/>
    <w:locked/>
    <w:rsid w:val="00863C7A"/>
    <w:rPr>
      <w:rFonts w:cs="Times New Roman"/>
      <w:b/>
      <w:bCs/>
      <w:sz w:val="20"/>
      <w:szCs w:val="20"/>
      <w:lang w:val="es-CO" w:eastAsia="en-US"/>
    </w:rPr>
  </w:style>
  <w:style w:type="paragraph" w:styleId="Textonotapie">
    <w:name w:val="footnote text"/>
    <w:basedOn w:val="Normal"/>
    <w:link w:val="TextonotapieCar"/>
    <w:uiPriority w:val="99"/>
    <w:semiHidden/>
    <w:rsid w:val="00E94984"/>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E94984"/>
    <w:rPr>
      <w:rFonts w:ascii="Calibri" w:hAnsi="Calibri" w:cs="Times New Roman"/>
      <w:lang w:val="es-CO" w:eastAsia="en-US" w:bidi="ar-SA"/>
    </w:rPr>
  </w:style>
  <w:style w:type="character" w:styleId="Refdenotaalpie">
    <w:name w:val="footnote reference"/>
    <w:basedOn w:val="Fuentedeprrafopredeter"/>
    <w:uiPriority w:val="99"/>
    <w:semiHidden/>
    <w:rsid w:val="00E94984"/>
    <w:rPr>
      <w:rFonts w:cs="Times New Roman"/>
      <w:vertAlign w:val="superscript"/>
    </w:rPr>
  </w:style>
  <w:style w:type="paragraph" w:customStyle="1" w:styleId="Sinespaciado2">
    <w:name w:val="Sin espaciado2"/>
    <w:uiPriority w:val="99"/>
    <w:rsid w:val="00FC551E"/>
    <w:rPr>
      <w:rFonts w:eastAsia="Times New Roman"/>
      <w:lang w:val="es-CO" w:eastAsia="en-US"/>
    </w:rPr>
  </w:style>
  <w:style w:type="paragraph" w:customStyle="1" w:styleId="Prrafodelista4">
    <w:name w:val="Párrafo de lista4"/>
    <w:basedOn w:val="Normal"/>
    <w:uiPriority w:val="99"/>
    <w:rsid w:val="00FC551E"/>
    <w:pPr>
      <w:spacing w:after="0" w:line="240" w:lineRule="auto"/>
      <w:ind w:left="720"/>
      <w:contextualSpacing/>
    </w:pPr>
    <w:rPr>
      <w:rFonts w:ascii="Times New Roman" w:hAnsi="Times New Roman"/>
      <w:sz w:val="24"/>
      <w:szCs w:val="24"/>
      <w:lang w:val="es-ES" w:eastAsia="es-ES"/>
    </w:rPr>
  </w:style>
  <w:style w:type="paragraph" w:customStyle="1" w:styleId="Textoindependiente21">
    <w:name w:val="Texto independiente 21"/>
    <w:basedOn w:val="Normal"/>
    <w:uiPriority w:val="99"/>
    <w:rsid w:val="0011704C"/>
    <w:pPr>
      <w:overflowPunct w:val="0"/>
      <w:autoSpaceDE w:val="0"/>
      <w:autoSpaceDN w:val="0"/>
      <w:adjustRightInd w:val="0"/>
      <w:spacing w:after="0" w:line="240" w:lineRule="auto"/>
      <w:jc w:val="both"/>
    </w:pPr>
    <w:rPr>
      <w:rFonts w:ascii="Arial" w:hAnsi="Arial"/>
      <w:i/>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30620">
      <w:marLeft w:val="0"/>
      <w:marRight w:val="0"/>
      <w:marTop w:val="0"/>
      <w:marBottom w:val="0"/>
      <w:divBdr>
        <w:top w:val="none" w:sz="0" w:space="0" w:color="auto"/>
        <w:left w:val="none" w:sz="0" w:space="0" w:color="auto"/>
        <w:bottom w:val="none" w:sz="0" w:space="0" w:color="auto"/>
        <w:right w:val="none" w:sz="0" w:space="0" w:color="auto"/>
      </w:divBdr>
    </w:div>
    <w:div w:id="244730621">
      <w:marLeft w:val="0"/>
      <w:marRight w:val="0"/>
      <w:marTop w:val="0"/>
      <w:marBottom w:val="0"/>
      <w:divBdr>
        <w:top w:val="none" w:sz="0" w:space="0" w:color="auto"/>
        <w:left w:val="none" w:sz="0" w:space="0" w:color="auto"/>
        <w:bottom w:val="none" w:sz="0" w:space="0" w:color="auto"/>
        <w:right w:val="none" w:sz="0" w:space="0" w:color="auto"/>
      </w:divBdr>
    </w:div>
    <w:div w:id="244730622">
      <w:marLeft w:val="0"/>
      <w:marRight w:val="0"/>
      <w:marTop w:val="0"/>
      <w:marBottom w:val="0"/>
      <w:divBdr>
        <w:top w:val="none" w:sz="0" w:space="0" w:color="auto"/>
        <w:left w:val="none" w:sz="0" w:space="0" w:color="auto"/>
        <w:bottom w:val="none" w:sz="0" w:space="0" w:color="auto"/>
        <w:right w:val="none" w:sz="0" w:space="0" w:color="auto"/>
      </w:divBdr>
    </w:div>
    <w:div w:id="244730623">
      <w:marLeft w:val="0"/>
      <w:marRight w:val="0"/>
      <w:marTop w:val="0"/>
      <w:marBottom w:val="0"/>
      <w:divBdr>
        <w:top w:val="none" w:sz="0" w:space="0" w:color="auto"/>
        <w:left w:val="none" w:sz="0" w:space="0" w:color="auto"/>
        <w:bottom w:val="none" w:sz="0" w:space="0" w:color="auto"/>
        <w:right w:val="none" w:sz="0" w:space="0" w:color="auto"/>
      </w:divBdr>
    </w:div>
    <w:div w:id="244730624">
      <w:marLeft w:val="0"/>
      <w:marRight w:val="0"/>
      <w:marTop w:val="0"/>
      <w:marBottom w:val="0"/>
      <w:divBdr>
        <w:top w:val="none" w:sz="0" w:space="0" w:color="auto"/>
        <w:left w:val="none" w:sz="0" w:space="0" w:color="auto"/>
        <w:bottom w:val="none" w:sz="0" w:space="0" w:color="auto"/>
        <w:right w:val="none" w:sz="0" w:space="0" w:color="auto"/>
      </w:divBdr>
    </w:div>
    <w:div w:id="244730625">
      <w:marLeft w:val="0"/>
      <w:marRight w:val="0"/>
      <w:marTop w:val="0"/>
      <w:marBottom w:val="0"/>
      <w:divBdr>
        <w:top w:val="none" w:sz="0" w:space="0" w:color="auto"/>
        <w:left w:val="none" w:sz="0" w:space="0" w:color="auto"/>
        <w:bottom w:val="none" w:sz="0" w:space="0" w:color="auto"/>
        <w:right w:val="none" w:sz="0" w:space="0" w:color="auto"/>
      </w:divBdr>
    </w:div>
    <w:div w:id="244730626">
      <w:marLeft w:val="0"/>
      <w:marRight w:val="0"/>
      <w:marTop w:val="0"/>
      <w:marBottom w:val="0"/>
      <w:divBdr>
        <w:top w:val="none" w:sz="0" w:space="0" w:color="auto"/>
        <w:left w:val="none" w:sz="0" w:space="0" w:color="auto"/>
        <w:bottom w:val="none" w:sz="0" w:space="0" w:color="auto"/>
        <w:right w:val="none" w:sz="0" w:space="0" w:color="auto"/>
      </w:divBdr>
    </w:div>
    <w:div w:id="244730627">
      <w:marLeft w:val="0"/>
      <w:marRight w:val="0"/>
      <w:marTop w:val="0"/>
      <w:marBottom w:val="0"/>
      <w:divBdr>
        <w:top w:val="none" w:sz="0" w:space="0" w:color="auto"/>
        <w:left w:val="none" w:sz="0" w:space="0" w:color="auto"/>
        <w:bottom w:val="none" w:sz="0" w:space="0" w:color="auto"/>
        <w:right w:val="none" w:sz="0" w:space="0" w:color="auto"/>
      </w:divBdr>
    </w:div>
    <w:div w:id="244730628">
      <w:marLeft w:val="0"/>
      <w:marRight w:val="0"/>
      <w:marTop w:val="0"/>
      <w:marBottom w:val="0"/>
      <w:divBdr>
        <w:top w:val="none" w:sz="0" w:space="0" w:color="auto"/>
        <w:left w:val="none" w:sz="0" w:space="0" w:color="auto"/>
        <w:bottom w:val="none" w:sz="0" w:space="0" w:color="auto"/>
        <w:right w:val="none" w:sz="0" w:space="0" w:color="auto"/>
      </w:divBdr>
    </w:div>
    <w:div w:id="244730629">
      <w:marLeft w:val="0"/>
      <w:marRight w:val="0"/>
      <w:marTop w:val="0"/>
      <w:marBottom w:val="0"/>
      <w:divBdr>
        <w:top w:val="none" w:sz="0" w:space="0" w:color="auto"/>
        <w:left w:val="none" w:sz="0" w:space="0" w:color="auto"/>
        <w:bottom w:val="none" w:sz="0" w:space="0" w:color="auto"/>
        <w:right w:val="none" w:sz="0" w:space="0" w:color="auto"/>
      </w:divBdr>
    </w:div>
    <w:div w:id="244730630">
      <w:marLeft w:val="0"/>
      <w:marRight w:val="0"/>
      <w:marTop w:val="0"/>
      <w:marBottom w:val="0"/>
      <w:divBdr>
        <w:top w:val="none" w:sz="0" w:space="0" w:color="auto"/>
        <w:left w:val="none" w:sz="0" w:space="0" w:color="auto"/>
        <w:bottom w:val="none" w:sz="0" w:space="0" w:color="auto"/>
        <w:right w:val="none" w:sz="0" w:space="0" w:color="auto"/>
      </w:divBdr>
    </w:div>
    <w:div w:id="244730631">
      <w:marLeft w:val="0"/>
      <w:marRight w:val="0"/>
      <w:marTop w:val="0"/>
      <w:marBottom w:val="0"/>
      <w:divBdr>
        <w:top w:val="none" w:sz="0" w:space="0" w:color="auto"/>
        <w:left w:val="none" w:sz="0" w:space="0" w:color="auto"/>
        <w:bottom w:val="none" w:sz="0" w:space="0" w:color="auto"/>
        <w:right w:val="none" w:sz="0" w:space="0" w:color="auto"/>
      </w:divBdr>
    </w:div>
    <w:div w:id="244730632">
      <w:marLeft w:val="0"/>
      <w:marRight w:val="0"/>
      <w:marTop w:val="0"/>
      <w:marBottom w:val="0"/>
      <w:divBdr>
        <w:top w:val="none" w:sz="0" w:space="0" w:color="auto"/>
        <w:left w:val="none" w:sz="0" w:space="0" w:color="auto"/>
        <w:bottom w:val="none" w:sz="0" w:space="0" w:color="auto"/>
        <w:right w:val="none" w:sz="0" w:space="0" w:color="auto"/>
      </w:divBdr>
    </w:div>
    <w:div w:id="244730633">
      <w:marLeft w:val="0"/>
      <w:marRight w:val="0"/>
      <w:marTop w:val="0"/>
      <w:marBottom w:val="0"/>
      <w:divBdr>
        <w:top w:val="none" w:sz="0" w:space="0" w:color="auto"/>
        <w:left w:val="none" w:sz="0" w:space="0" w:color="auto"/>
        <w:bottom w:val="none" w:sz="0" w:space="0" w:color="auto"/>
        <w:right w:val="none" w:sz="0" w:space="0" w:color="auto"/>
      </w:divBdr>
    </w:div>
    <w:div w:id="244730634">
      <w:marLeft w:val="0"/>
      <w:marRight w:val="0"/>
      <w:marTop w:val="0"/>
      <w:marBottom w:val="0"/>
      <w:divBdr>
        <w:top w:val="none" w:sz="0" w:space="0" w:color="auto"/>
        <w:left w:val="none" w:sz="0" w:space="0" w:color="auto"/>
        <w:bottom w:val="none" w:sz="0" w:space="0" w:color="auto"/>
        <w:right w:val="none" w:sz="0" w:space="0" w:color="auto"/>
      </w:divBdr>
    </w:div>
    <w:div w:id="244730635">
      <w:marLeft w:val="0"/>
      <w:marRight w:val="0"/>
      <w:marTop w:val="0"/>
      <w:marBottom w:val="0"/>
      <w:divBdr>
        <w:top w:val="none" w:sz="0" w:space="0" w:color="auto"/>
        <w:left w:val="none" w:sz="0" w:space="0" w:color="auto"/>
        <w:bottom w:val="none" w:sz="0" w:space="0" w:color="auto"/>
        <w:right w:val="none" w:sz="0" w:space="0" w:color="auto"/>
      </w:divBdr>
    </w:div>
    <w:div w:id="244730636">
      <w:marLeft w:val="0"/>
      <w:marRight w:val="0"/>
      <w:marTop w:val="0"/>
      <w:marBottom w:val="0"/>
      <w:divBdr>
        <w:top w:val="none" w:sz="0" w:space="0" w:color="auto"/>
        <w:left w:val="none" w:sz="0" w:space="0" w:color="auto"/>
        <w:bottom w:val="none" w:sz="0" w:space="0" w:color="auto"/>
        <w:right w:val="none" w:sz="0" w:space="0" w:color="auto"/>
      </w:divBdr>
    </w:div>
    <w:div w:id="244730637">
      <w:marLeft w:val="0"/>
      <w:marRight w:val="0"/>
      <w:marTop w:val="0"/>
      <w:marBottom w:val="0"/>
      <w:divBdr>
        <w:top w:val="none" w:sz="0" w:space="0" w:color="auto"/>
        <w:left w:val="none" w:sz="0" w:space="0" w:color="auto"/>
        <w:bottom w:val="none" w:sz="0" w:space="0" w:color="auto"/>
        <w:right w:val="none" w:sz="0" w:space="0" w:color="auto"/>
      </w:divBdr>
    </w:div>
    <w:div w:id="244730638">
      <w:marLeft w:val="0"/>
      <w:marRight w:val="0"/>
      <w:marTop w:val="0"/>
      <w:marBottom w:val="0"/>
      <w:divBdr>
        <w:top w:val="none" w:sz="0" w:space="0" w:color="auto"/>
        <w:left w:val="none" w:sz="0" w:space="0" w:color="auto"/>
        <w:bottom w:val="none" w:sz="0" w:space="0" w:color="auto"/>
        <w:right w:val="none" w:sz="0" w:space="0" w:color="auto"/>
      </w:divBdr>
    </w:div>
    <w:div w:id="244730639">
      <w:marLeft w:val="0"/>
      <w:marRight w:val="0"/>
      <w:marTop w:val="0"/>
      <w:marBottom w:val="0"/>
      <w:divBdr>
        <w:top w:val="none" w:sz="0" w:space="0" w:color="auto"/>
        <w:left w:val="none" w:sz="0" w:space="0" w:color="auto"/>
        <w:bottom w:val="none" w:sz="0" w:space="0" w:color="auto"/>
        <w:right w:val="none" w:sz="0" w:space="0" w:color="auto"/>
      </w:divBdr>
    </w:div>
    <w:div w:id="244730640">
      <w:marLeft w:val="0"/>
      <w:marRight w:val="0"/>
      <w:marTop w:val="0"/>
      <w:marBottom w:val="0"/>
      <w:divBdr>
        <w:top w:val="none" w:sz="0" w:space="0" w:color="auto"/>
        <w:left w:val="none" w:sz="0" w:space="0" w:color="auto"/>
        <w:bottom w:val="none" w:sz="0" w:space="0" w:color="auto"/>
        <w:right w:val="none" w:sz="0" w:space="0" w:color="auto"/>
      </w:divBdr>
    </w:div>
    <w:div w:id="244730641">
      <w:marLeft w:val="0"/>
      <w:marRight w:val="0"/>
      <w:marTop w:val="0"/>
      <w:marBottom w:val="0"/>
      <w:divBdr>
        <w:top w:val="none" w:sz="0" w:space="0" w:color="auto"/>
        <w:left w:val="none" w:sz="0" w:space="0" w:color="auto"/>
        <w:bottom w:val="none" w:sz="0" w:space="0" w:color="auto"/>
        <w:right w:val="none" w:sz="0" w:space="0" w:color="auto"/>
      </w:divBdr>
    </w:div>
    <w:div w:id="244730642">
      <w:marLeft w:val="0"/>
      <w:marRight w:val="0"/>
      <w:marTop w:val="0"/>
      <w:marBottom w:val="0"/>
      <w:divBdr>
        <w:top w:val="none" w:sz="0" w:space="0" w:color="auto"/>
        <w:left w:val="none" w:sz="0" w:space="0" w:color="auto"/>
        <w:bottom w:val="none" w:sz="0" w:space="0" w:color="auto"/>
        <w:right w:val="none" w:sz="0" w:space="0" w:color="auto"/>
      </w:divBdr>
    </w:div>
    <w:div w:id="244730643">
      <w:marLeft w:val="0"/>
      <w:marRight w:val="0"/>
      <w:marTop w:val="0"/>
      <w:marBottom w:val="0"/>
      <w:divBdr>
        <w:top w:val="none" w:sz="0" w:space="0" w:color="auto"/>
        <w:left w:val="none" w:sz="0" w:space="0" w:color="auto"/>
        <w:bottom w:val="none" w:sz="0" w:space="0" w:color="auto"/>
        <w:right w:val="none" w:sz="0" w:space="0" w:color="auto"/>
      </w:divBdr>
    </w:div>
    <w:div w:id="244730644">
      <w:marLeft w:val="0"/>
      <w:marRight w:val="0"/>
      <w:marTop w:val="0"/>
      <w:marBottom w:val="0"/>
      <w:divBdr>
        <w:top w:val="none" w:sz="0" w:space="0" w:color="auto"/>
        <w:left w:val="none" w:sz="0" w:space="0" w:color="auto"/>
        <w:bottom w:val="none" w:sz="0" w:space="0" w:color="auto"/>
        <w:right w:val="none" w:sz="0" w:space="0" w:color="auto"/>
      </w:divBdr>
    </w:div>
    <w:div w:id="244730645">
      <w:marLeft w:val="0"/>
      <w:marRight w:val="0"/>
      <w:marTop w:val="0"/>
      <w:marBottom w:val="0"/>
      <w:divBdr>
        <w:top w:val="none" w:sz="0" w:space="0" w:color="auto"/>
        <w:left w:val="none" w:sz="0" w:space="0" w:color="auto"/>
        <w:bottom w:val="none" w:sz="0" w:space="0" w:color="auto"/>
        <w:right w:val="none" w:sz="0" w:space="0" w:color="auto"/>
      </w:divBdr>
    </w:div>
    <w:div w:id="244730646">
      <w:marLeft w:val="0"/>
      <w:marRight w:val="0"/>
      <w:marTop w:val="0"/>
      <w:marBottom w:val="0"/>
      <w:divBdr>
        <w:top w:val="none" w:sz="0" w:space="0" w:color="auto"/>
        <w:left w:val="none" w:sz="0" w:space="0" w:color="auto"/>
        <w:bottom w:val="none" w:sz="0" w:space="0" w:color="auto"/>
        <w:right w:val="none" w:sz="0" w:space="0" w:color="auto"/>
      </w:divBdr>
    </w:div>
    <w:div w:id="244730647">
      <w:marLeft w:val="0"/>
      <w:marRight w:val="0"/>
      <w:marTop w:val="0"/>
      <w:marBottom w:val="0"/>
      <w:divBdr>
        <w:top w:val="none" w:sz="0" w:space="0" w:color="auto"/>
        <w:left w:val="none" w:sz="0" w:space="0" w:color="auto"/>
        <w:bottom w:val="none" w:sz="0" w:space="0" w:color="auto"/>
        <w:right w:val="none" w:sz="0" w:space="0" w:color="auto"/>
      </w:divBdr>
    </w:div>
    <w:div w:id="244730648">
      <w:marLeft w:val="0"/>
      <w:marRight w:val="0"/>
      <w:marTop w:val="0"/>
      <w:marBottom w:val="0"/>
      <w:divBdr>
        <w:top w:val="none" w:sz="0" w:space="0" w:color="auto"/>
        <w:left w:val="none" w:sz="0" w:space="0" w:color="auto"/>
        <w:bottom w:val="none" w:sz="0" w:space="0" w:color="auto"/>
        <w:right w:val="none" w:sz="0" w:space="0" w:color="auto"/>
      </w:divBdr>
    </w:div>
    <w:div w:id="244730649">
      <w:marLeft w:val="0"/>
      <w:marRight w:val="0"/>
      <w:marTop w:val="0"/>
      <w:marBottom w:val="0"/>
      <w:divBdr>
        <w:top w:val="none" w:sz="0" w:space="0" w:color="auto"/>
        <w:left w:val="none" w:sz="0" w:space="0" w:color="auto"/>
        <w:bottom w:val="none" w:sz="0" w:space="0" w:color="auto"/>
        <w:right w:val="none" w:sz="0" w:space="0" w:color="auto"/>
      </w:divBdr>
    </w:div>
    <w:div w:id="244730650">
      <w:marLeft w:val="0"/>
      <w:marRight w:val="0"/>
      <w:marTop w:val="0"/>
      <w:marBottom w:val="0"/>
      <w:divBdr>
        <w:top w:val="none" w:sz="0" w:space="0" w:color="auto"/>
        <w:left w:val="none" w:sz="0" w:space="0" w:color="auto"/>
        <w:bottom w:val="none" w:sz="0" w:space="0" w:color="auto"/>
        <w:right w:val="none" w:sz="0" w:space="0" w:color="auto"/>
      </w:divBdr>
    </w:div>
    <w:div w:id="244730651">
      <w:marLeft w:val="0"/>
      <w:marRight w:val="0"/>
      <w:marTop w:val="0"/>
      <w:marBottom w:val="0"/>
      <w:divBdr>
        <w:top w:val="none" w:sz="0" w:space="0" w:color="auto"/>
        <w:left w:val="none" w:sz="0" w:space="0" w:color="auto"/>
        <w:bottom w:val="none" w:sz="0" w:space="0" w:color="auto"/>
        <w:right w:val="none" w:sz="0" w:space="0" w:color="auto"/>
      </w:divBdr>
    </w:div>
    <w:div w:id="244730652">
      <w:marLeft w:val="0"/>
      <w:marRight w:val="0"/>
      <w:marTop w:val="0"/>
      <w:marBottom w:val="0"/>
      <w:divBdr>
        <w:top w:val="none" w:sz="0" w:space="0" w:color="auto"/>
        <w:left w:val="none" w:sz="0" w:space="0" w:color="auto"/>
        <w:bottom w:val="none" w:sz="0" w:space="0" w:color="auto"/>
        <w:right w:val="none" w:sz="0" w:space="0" w:color="auto"/>
      </w:divBdr>
    </w:div>
    <w:div w:id="244730653">
      <w:marLeft w:val="0"/>
      <w:marRight w:val="0"/>
      <w:marTop w:val="0"/>
      <w:marBottom w:val="0"/>
      <w:divBdr>
        <w:top w:val="none" w:sz="0" w:space="0" w:color="auto"/>
        <w:left w:val="none" w:sz="0" w:space="0" w:color="auto"/>
        <w:bottom w:val="none" w:sz="0" w:space="0" w:color="auto"/>
        <w:right w:val="none" w:sz="0" w:space="0" w:color="auto"/>
      </w:divBdr>
    </w:div>
    <w:div w:id="244730654">
      <w:marLeft w:val="0"/>
      <w:marRight w:val="0"/>
      <w:marTop w:val="0"/>
      <w:marBottom w:val="0"/>
      <w:divBdr>
        <w:top w:val="none" w:sz="0" w:space="0" w:color="auto"/>
        <w:left w:val="none" w:sz="0" w:space="0" w:color="auto"/>
        <w:bottom w:val="none" w:sz="0" w:space="0" w:color="auto"/>
        <w:right w:val="none" w:sz="0" w:space="0" w:color="auto"/>
      </w:divBdr>
    </w:div>
    <w:div w:id="244730655">
      <w:marLeft w:val="0"/>
      <w:marRight w:val="0"/>
      <w:marTop w:val="0"/>
      <w:marBottom w:val="0"/>
      <w:divBdr>
        <w:top w:val="none" w:sz="0" w:space="0" w:color="auto"/>
        <w:left w:val="none" w:sz="0" w:space="0" w:color="auto"/>
        <w:bottom w:val="none" w:sz="0" w:space="0" w:color="auto"/>
        <w:right w:val="none" w:sz="0" w:space="0" w:color="auto"/>
      </w:divBdr>
    </w:div>
    <w:div w:id="244730656">
      <w:marLeft w:val="0"/>
      <w:marRight w:val="0"/>
      <w:marTop w:val="0"/>
      <w:marBottom w:val="0"/>
      <w:divBdr>
        <w:top w:val="none" w:sz="0" w:space="0" w:color="auto"/>
        <w:left w:val="none" w:sz="0" w:space="0" w:color="auto"/>
        <w:bottom w:val="none" w:sz="0" w:space="0" w:color="auto"/>
        <w:right w:val="none" w:sz="0" w:space="0" w:color="auto"/>
      </w:divBdr>
    </w:div>
    <w:div w:id="244730657">
      <w:marLeft w:val="0"/>
      <w:marRight w:val="0"/>
      <w:marTop w:val="0"/>
      <w:marBottom w:val="0"/>
      <w:divBdr>
        <w:top w:val="none" w:sz="0" w:space="0" w:color="auto"/>
        <w:left w:val="none" w:sz="0" w:space="0" w:color="auto"/>
        <w:bottom w:val="none" w:sz="0" w:space="0" w:color="auto"/>
        <w:right w:val="none" w:sz="0" w:space="0" w:color="auto"/>
      </w:divBdr>
    </w:div>
    <w:div w:id="244730658">
      <w:marLeft w:val="0"/>
      <w:marRight w:val="0"/>
      <w:marTop w:val="0"/>
      <w:marBottom w:val="0"/>
      <w:divBdr>
        <w:top w:val="none" w:sz="0" w:space="0" w:color="auto"/>
        <w:left w:val="none" w:sz="0" w:space="0" w:color="auto"/>
        <w:bottom w:val="none" w:sz="0" w:space="0" w:color="auto"/>
        <w:right w:val="none" w:sz="0" w:space="0" w:color="auto"/>
      </w:divBdr>
    </w:div>
    <w:div w:id="244730659">
      <w:marLeft w:val="0"/>
      <w:marRight w:val="0"/>
      <w:marTop w:val="0"/>
      <w:marBottom w:val="0"/>
      <w:divBdr>
        <w:top w:val="none" w:sz="0" w:space="0" w:color="auto"/>
        <w:left w:val="none" w:sz="0" w:space="0" w:color="auto"/>
        <w:bottom w:val="none" w:sz="0" w:space="0" w:color="auto"/>
        <w:right w:val="none" w:sz="0" w:space="0" w:color="auto"/>
      </w:divBdr>
    </w:div>
    <w:div w:id="244730660">
      <w:marLeft w:val="0"/>
      <w:marRight w:val="0"/>
      <w:marTop w:val="0"/>
      <w:marBottom w:val="0"/>
      <w:divBdr>
        <w:top w:val="none" w:sz="0" w:space="0" w:color="auto"/>
        <w:left w:val="none" w:sz="0" w:space="0" w:color="auto"/>
        <w:bottom w:val="none" w:sz="0" w:space="0" w:color="auto"/>
        <w:right w:val="none" w:sz="0" w:space="0" w:color="auto"/>
      </w:divBdr>
    </w:div>
    <w:div w:id="244730661">
      <w:marLeft w:val="0"/>
      <w:marRight w:val="0"/>
      <w:marTop w:val="0"/>
      <w:marBottom w:val="0"/>
      <w:divBdr>
        <w:top w:val="none" w:sz="0" w:space="0" w:color="auto"/>
        <w:left w:val="none" w:sz="0" w:space="0" w:color="auto"/>
        <w:bottom w:val="none" w:sz="0" w:space="0" w:color="auto"/>
        <w:right w:val="none" w:sz="0" w:space="0" w:color="auto"/>
      </w:divBdr>
    </w:div>
    <w:div w:id="244730662">
      <w:marLeft w:val="0"/>
      <w:marRight w:val="0"/>
      <w:marTop w:val="0"/>
      <w:marBottom w:val="0"/>
      <w:divBdr>
        <w:top w:val="none" w:sz="0" w:space="0" w:color="auto"/>
        <w:left w:val="none" w:sz="0" w:space="0" w:color="auto"/>
        <w:bottom w:val="none" w:sz="0" w:space="0" w:color="auto"/>
        <w:right w:val="none" w:sz="0" w:space="0" w:color="auto"/>
      </w:divBdr>
    </w:div>
    <w:div w:id="244730663">
      <w:marLeft w:val="0"/>
      <w:marRight w:val="0"/>
      <w:marTop w:val="0"/>
      <w:marBottom w:val="0"/>
      <w:divBdr>
        <w:top w:val="none" w:sz="0" w:space="0" w:color="auto"/>
        <w:left w:val="none" w:sz="0" w:space="0" w:color="auto"/>
        <w:bottom w:val="none" w:sz="0" w:space="0" w:color="auto"/>
        <w:right w:val="none" w:sz="0" w:space="0" w:color="auto"/>
      </w:divBdr>
    </w:div>
    <w:div w:id="244730664">
      <w:marLeft w:val="0"/>
      <w:marRight w:val="0"/>
      <w:marTop w:val="0"/>
      <w:marBottom w:val="0"/>
      <w:divBdr>
        <w:top w:val="none" w:sz="0" w:space="0" w:color="auto"/>
        <w:left w:val="none" w:sz="0" w:space="0" w:color="auto"/>
        <w:bottom w:val="none" w:sz="0" w:space="0" w:color="auto"/>
        <w:right w:val="none" w:sz="0" w:space="0" w:color="auto"/>
      </w:divBdr>
    </w:div>
    <w:div w:id="244730665">
      <w:marLeft w:val="0"/>
      <w:marRight w:val="0"/>
      <w:marTop w:val="0"/>
      <w:marBottom w:val="0"/>
      <w:divBdr>
        <w:top w:val="none" w:sz="0" w:space="0" w:color="auto"/>
        <w:left w:val="none" w:sz="0" w:space="0" w:color="auto"/>
        <w:bottom w:val="none" w:sz="0" w:space="0" w:color="auto"/>
        <w:right w:val="none" w:sz="0" w:space="0" w:color="auto"/>
      </w:divBdr>
    </w:div>
    <w:div w:id="244730666">
      <w:marLeft w:val="0"/>
      <w:marRight w:val="0"/>
      <w:marTop w:val="0"/>
      <w:marBottom w:val="0"/>
      <w:divBdr>
        <w:top w:val="none" w:sz="0" w:space="0" w:color="auto"/>
        <w:left w:val="none" w:sz="0" w:space="0" w:color="auto"/>
        <w:bottom w:val="none" w:sz="0" w:space="0" w:color="auto"/>
        <w:right w:val="none" w:sz="0" w:space="0" w:color="auto"/>
      </w:divBdr>
    </w:div>
    <w:div w:id="244730667">
      <w:marLeft w:val="0"/>
      <w:marRight w:val="0"/>
      <w:marTop w:val="0"/>
      <w:marBottom w:val="0"/>
      <w:divBdr>
        <w:top w:val="none" w:sz="0" w:space="0" w:color="auto"/>
        <w:left w:val="none" w:sz="0" w:space="0" w:color="auto"/>
        <w:bottom w:val="none" w:sz="0" w:space="0" w:color="auto"/>
        <w:right w:val="none" w:sz="0" w:space="0" w:color="auto"/>
      </w:divBdr>
    </w:div>
    <w:div w:id="244730668">
      <w:marLeft w:val="0"/>
      <w:marRight w:val="0"/>
      <w:marTop w:val="0"/>
      <w:marBottom w:val="0"/>
      <w:divBdr>
        <w:top w:val="none" w:sz="0" w:space="0" w:color="auto"/>
        <w:left w:val="none" w:sz="0" w:space="0" w:color="auto"/>
        <w:bottom w:val="none" w:sz="0" w:space="0" w:color="auto"/>
        <w:right w:val="none" w:sz="0" w:space="0" w:color="auto"/>
      </w:divBdr>
    </w:div>
    <w:div w:id="244730669">
      <w:marLeft w:val="0"/>
      <w:marRight w:val="0"/>
      <w:marTop w:val="0"/>
      <w:marBottom w:val="0"/>
      <w:divBdr>
        <w:top w:val="none" w:sz="0" w:space="0" w:color="auto"/>
        <w:left w:val="none" w:sz="0" w:space="0" w:color="auto"/>
        <w:bottom w:val="none" w:sz="0" w:space="0" w:color="auto"/>
        <w:right w:val="none" w:sz="0" w:space="0" w:color="auto"/>
      </w:divBdr>
    </w:div>
    <w:div w:id="244730670">
      <w:marLeft w:val="0"/>
      <w:marRight w:val="0"/>
      <w:marTop w:val="0"/>
      <w:marBottom w:val="0"/>
      <w:divBdr>
        <w:top w:val="none" w:sz="0" w:space="0" w:color="auto"/>
        <w:left w:val="none" w:sz="0" w:space="0" w:color="auto"/>
        <w:bottom w:val="none" w:sz="0" w:space="0" w:color="auto"/>
        <w:right w:val="none" w:sz="0" w:space="0" w:color="auto"/>
      </w:divBdr>
    </w:div>
    <w:div w:id="244730671">
      <w:marLeft w:val="0"/>
      <w:marRight w:val="0"/>
      <w:marTop w:val="0"/>
      <w:marBottom w:val="0"/>
      <w:divBdr>
        <w:top w:val="none" w:sz="0" w:space="0" w:color="auto"/>
        <w:left w:val="none" w:sz="0" w:space="0" w:color="auto"/>
        <w:bottom w:val="none" w:sz="0" w:space="0" w:color="auto"/>
        <w:right w:val="none" w:sz="0" w:space="0" w:color="auto"/>
      </w:divBdr>
    </w:div>
    <w:div w:id="244730672">
      <w:marLeft w:val="0"/>
      <w:marRight w:val="0"/>
      <w:marTop w:val="0"/>
      <w:marBottom w:val="0"/>
      <w:divBdr>
        <w:top w:val="none" w:sz="0" w:space="0" w:color="auto"/>
        <w:left w:val="none" w:sz="0" w:space="0" w:color="auto"/>
        <w:bottom w:val="none" w:sz="0" w:space="0" w:color="auto"/>
        <w:right w:val="none" w:sz="0" w:space="0" w:color="auto"/>
      </w:divBdr>
    </w:div>
    <w:div w:id="244730673">
      <w:marLeft w:val="0"/>
      <w:marRight w:val="0"/>
      <w:marTop w:val="0"/>
      <w:marBottom w:val="0"/>
      <w:divBdr>
        <w:top w:val="none" w:sz="0" w:space="0" w:color="auto"/>
        <w:left w:val="none" w:sz="0" w:space="0" w:color="auto"/>
        <w:bottom w:val="none" w:sz="0" w:space="0" w:color="auto"/>
        <w:right w:val="none" w:sz="0" w:space="0" w:color="auto"/>
      </w:divBdr>
    </w:div>
    <w:div w:id="244730674">
      <w:marLeft w:val="0"/>
      <w:marRight w:val="0"/>
      <w:marTop w:val="0"/>
      <w:marBottom w:val="0"/>
      <w:divBdr>
        <w:top w:val="none" w:sz="0" w:space="0" w:color="auto"/>
        <w:left w:val="none" w:sz="0" w:space="0" w:color="auto"/>
        <w:bottom w:val="none" w:sz="0" w:space="0" w:color="auto"/>
        <w:right w:val="none" w:sz="0" w:space="0" w:color="auto"/>
      </w:divBdr>
    </w:div>
    <w:div w:id="244730675">
      <w:marLeft w:val="0"/>
      <w:marRight w:val="0"/>
      <w:marTop w:val="0"/>
      <w:marBottom w:val="0"/>
      <w:divBdr>
        <w:top w:val="none" w:sz="0" w:space="0" w:color="auto"/>
        <w:left w:val="none" w:sz="0" w:space="0" w:color="auto"/>
        <w:bottom w:val="none" w:sz="0" w:space="0" w:color="auto"/>
        <w:right w:val="none" w:sz="0" w:space="0" w:color="auto"/>
      </w:divBdr>
    </w:div>
    <w:div w:id="244730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9874</Words>
  <Characters>54310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10000-</vt:lpstr>
    </vt:vector>
  </TitlesOfParts>
  <Company>Hewlett-Packard Company</Company>
  <LinksUpToDate>false</LinksUpToDate>
  <CharactersWithSpaces>64056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10000-</dc:title>
  <dc:creator>ISS</dc:creator>
  <cp:lastModifiedBy>diegogonzalez</cp:lastModifiedBy>
  <cp:revision>2</cp:revision>
  <cp:lastPrinted>2013-05-07T21:03:00Z</cp:lastPrinted>
  <dcterms:created xsi:type="dcterms:W3CDTF">2013-05-08T01:05:00Z</dcterms:created>
  <dcterms:modified xsi:type="dcterms:W3CDTF">2013-05-08T01:05:00Z</dcterms:modified>
</cp:coreProperties>
</file>