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496838" w14:paraId="60379A5B" w14:textId="77777777" w:rsidTr="00F53200">
        <w:trPr>
          <w:cantSplit/>
          <w:trHeight w:val="275"/>
        </w:trPr>
        <w:tc>
          <w:tcPr>
            <w:tcW w:w="1428" w:type="pct"/>
            <w:vMerge w:val="restart"/>
            <w:tcBorders>
              <w:bottom w:val="single" w:sz="4" w:space="0" w:color="auto"/>
            </w:tcBorders>
            <w:vAlign w:val="center"/>
          </w:tcPr>
          <w:p w14:paraId="3B92C2D6" w14:textId="77777777" w:rsidR="00496838" w:rsidRDefault="00496838" w:rsidP="00F53200">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069359C1" wp14:editId="5DE6FD5B">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8495E64" w14:textId="77777777" w:rsidR="00496838" w:rsidRPr="00A45DDC" w:rsidRDefault="00496838" w:rsidP="00F53200">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01B6E338" w14:textId="77777777" w:rsidR="00496838" w:rsidRPr="00C621C5" w:rsidRDefault="00496838" w:rsidP="00F53200">
            <w:pPr>
              <w:pStyle w:val="Encabezado"/>
              <w:ind w:right="-107"/>
              <w:jc w:val="center"/>
              <w:rPr>
                <w:b/>
                <w:sz w:val="20"/>
                <w:szCs w:val="20"/>
              </w:rPr>
            </w:pPr>
          </w:p>
        </w:tc>
      </w:tr>
      <w:tr w:rsidR="00496838" w14:paraId="3DC278D2" w14:textId="77777777" w:rsidTr="00F53200">
        <w:trPr>
          <w:cantSplit/>
          <w:trHeight w:val="137"/>
        </w:trPr>
        <w:tc>
          <w:tcPr>
            <w:tcW w:w="1428" w:type="pct"/>
            <w:vMerge/>
            <w:tcBorders>
              <w:bottom w:val="single" w:sz="4" w:space="0" w:color="auto"/>
            </w:tcBorders>
            <w:vAlign w:val="center"/>
          </w:tcPr>
          <w:p w14:paraId="50298C0C" w14:textId="77777777" w:rsidR="00496838" w:rsidRDefault="00496838" w:rsidP="00F53200">
            <w:pPr>
              <w:pStyle w:val="Encabezado"/>
              <w:jc w:val="center"/>
            </w:pPr>
          </w:p>
        </w:tc>
        <w:tc>
          <w:tcPr>
            <w:tcW w:w="2144" w:type="pct"/>
            <w:vMerge w:val="restart"/>
            <w:vAlign w:val="center"/>
          </w:tcPr>
          <w:p w14:paraId="64EE83EB" w14:textId="77777777" w:rsidR="00496838" w:rsidRPr="00EC47A2" w:rsidRDefault="00496838" w:rsidP="00F53200">
            <w:pPr>
              <w:pStyle w:val="Encabezado"/>
              <w:jc w:val="center"/>
              <w:rPr>
                <w:rFonts w:cstheme="minorHAnsi"/>
                <w:b/>
              </w:rPr>
            </w:pPr>
            <w:r w:rsidRPr="00EC47A2">
              <w:rPr>
                <w:rFonts w:cstheme="minorHAnsi"/>
                <w:b/>
              </w:rPr>
              <w:t>Periodo Constitucional  2022 - 2026</w:t>
            </w:r>
          </w:p>
          <w:p w14:paraId="2D47CD3A" w14:textId="77777777" w:rsidR="00496838" w:rsidRPr="00D93A3A" w:rsidRDefault="00496838" w:rsidP="00F53200">
            <w:pPr>
              <w:pStyle w:val="Encabezado"/>
              <w:jc w:val="center"/>
              <w:rPr>
                <w:b/>
              </w:rPr>
            </w:pPr>
            <w:r w:rsidRPr="00EC47A2">
              <w:rPr>
                <w:rFonts w:cstheme="minorHAnsi"/>
                <w:b/>
              </w:rPr>
              <w:t>Legislatura 2025 - 2026</w:t>
            </w:r>
          </w:p>
        </w:tc>
        <w:tc>
          <w:tcPr>
            <w:tcW w:w="499" w:type="pct"/>
            <w:vAlign w:val="center"/>
          </w:tcPr>
          <w:p w14:paraId="3698F167" w14:textId="77777777" w:rsidR="00496838" w:rsidRPr="00EC47A2" w:rsidRDefault="00496838" w:rsidP="00F53200">
            <w:pPr>
              <w:pStyle w:val="Encabezado"/>
              <w:spacing w:line="360" w:lineRule="auto"/>
              <w:jc w:val="center"/>
              <w:rPr>
                <w:sz w:val="16"/>
                <w:szCs w:val="16"/>
              </w:rPr>
            </w:pPr>
            <w:r w:rsidRPr="00EC47A2">
              <w:rPr>
                <w:sz w:val="16"/>
                <w:szCs w:val="16"/>
              </w:rPr>
              <w:t>CÓDIGO</w:t>
            </w:r>
          </w:p>
        </w:tc>
        <w:tc>
          <w:tcPr>
            <w:tcW w:w="929" w:type="pct"/>
            <w:vAlign w:val="center"/>
          </w:tcPr>
          <w:p w14:paraId="2471D343" w14:textId="2C91925E" w:rsidR="00496838" w:rsidRPr="00EC47A2" w:rsidRDefault="00496838" w:rsidP="00F53200">
            <w:pPr>
              <w:pStyle w:val="Encabezado"/>
              <w:spacing w:line="360" w:lineRule="auto"/>
              <w:ind w:right="-94" w:hanging="108"/>
              <w:jc w:val="center"/>
              <w:rPr>
                <w:sz w:val="16"/>
                <w:szCs w:val="16"/>
              </w:rPr>
            </w:pPr>
            <w:r w:rsidRPr="00EC47A2">
              <w:rPr>
                <w:sz w:val="16"/>
                <w:szCs w:val="16"/>
              </w:rPr>
              <w:t>CLC. 3.9   16</w:t>
            </w:r>
            <w:r>
              <w:rPr>
                <w:sz w:val="16"/>
                <w:szCs w:val="16"/>
              </w:rPr>
              <w:t>8</w:t>
            </w:r>
            <w:r w:rsidR="008F3BFA">
              <w:rPr>
                <w:sz w:val="16"/>
                <w:szCs w:val="16"/>
              </w:rPr>
              <w:t>7</w:t>
            </w:r>
            <w:r w:rsidRPr="00EC47A2">
              <w:rPr>
                <w:sz w:val="16"/>
                <w:szCs w:val="16"/>
              </w:rPr>
              <w:t xml:space="preserve"> - 25</w:t>
            </w:r>
          </w:p>
        </w:tc>
      </w:tr>
      <w:tr w:rsidR="00496838" w14:paraId="66128E83" w14:textId="77777777" w:rsidTr="00F53200">
        <w:trPr>
          <w:cantSplit/>
          <w:trHeight w:val="63"/>
        </w:trPr>
        <w:tc>
          <w:tcPr>
            <w:tcW w:w="1428" w:type="pct"/>
            <w:vMerge/>
            <w:tcBorders>
              <w:bottom w:val="single" w:sz="4" w:space="0" w:color="auto"/>
            </w:tcBorders>
            <w:vAlign w:val="center"/>
          </w:tcPr>
          <w:p w14:paraId="68A1F511" w14:textId="77777777" w:rsidR="00496838" w:rsidRDefault="00496838" w:rsidP="00F53200">
            <w:pPr>
              <w:pStyle w:val="Encabezado"/>
              <w:jc w:val="center"/>
              <w:rPr>
                <w:b/>
                <w:sz w:val="28"/>
                <w:szCs w:val="28"/>
              </w:rPr>
            </w:pPr>
          </w:p>
        </w:tc>
        <w:tc>
          <w:tcPr>
            <w:tcW w:w="2144" w:type="pct"/>
            <w:vMerge/>
            <w:vAlign w:val="center"/>
          </w:tcPr>
          <w:p w14:paraId="284372C8" w14:textId="77777777" w:rsidR="00496838" w:rsidRPr="00D335DF" w:rsidRDefault="00496838" w:rsidP="00F53200">
            <w:pPr>
              <w:pStyle w:val="Encabezado"/>
              <w:jc w:val="center"/>
              <w:rPr>
                <w:b/>
                <w:sz w:val="28"/>
                <w:szCs w:val="28"/>
              </w:rPr>
            </w:pPr>
          </w:p>
        </w:tc>
        <w:tc>
          <w:tcPr>
            <w:tcW w:w="499" w:type="pct"/>
            <w:vAlign w:val="center"/>
          </w:tcPr>
          <w:p w14:paraId="3E9721D2" w14:textId="77777777" w:rsidR="00496838" w:rsidRPr="00EC47A2" w:rsidRDefault="00496838" w:rsidP="00F53200">
            <w:pPr>
              <w:pStyle w:val="Encabezado"/>
              <w:spacing w:line="360" w:lineRule="auto"/>
              <w:jc w:val="center"/>
              <w:rPr>
                <w:sz w:val="16"/>
                <w:szCs w:val="16"/>
              </w:rPr>
            </w:pPr>
            <w:r w:rsidRPr="00EC47A2">
              <w:rPr>
                <w:sz w:val="16"/>
                <w:szCs w:val="16"/>
              </w:rPr>
              <w:t>VERSIÓN</w:t>
            </w:r>
          </w:p>
        </w:tc>
        <w:tc>
          <w:tcPr>
            <w:tcW w:w="929" w:type="pct"/>
            <w:vAlign w:val="center"/>
          </w:tcPr>
          <w:p w14:paraId="46F953D9" w14:textId="77777777" w:rsidR="00496838" w:rsidRPr="00EC47A2" w:rsidRDefault="00496838" w:rsidP="00F53200">
            <w:pPr>
              <w:pStyle w:val="Encabezado"/>
              <w:spacing w:line="360" w:lineRule="auto"/>
              <w:jc w:val="center"/>
              <w:rPr>
                <w:sz w:val="16"/>
                <w:szCs w:val="16"/>
              </w:rPr>
            </w:pPr>
            <w:r w:rsidRPr="00EC47A2">
              <w:rPr>
                <w:sz w:val="16"/>
                <w:szCs w:val="16"/>
              </w:rPr>
              <w:t>01-2016</w:t>
            </w:r>
          </w:p>
        </w:tc>
      </w:tr>
      <w:tr w:rsidR="00496838" w14:paraId="4AFD4617" w14:textId="77777777" w:rsidTr="00F53200">
        <w:trPr>
          <w:cantSplit/>
          <w:trHeight w:val="322"/>
        </w:trPr>
        <w:tc>
          <w:tcPr>
            <w:tcW w:w="1428" w:type="pct"/>
            <w:vMerge/>
            <w:tcBorders>
              <w:bottom w:val="single" w:sz="4" w:space="0" w:color="auto"/>
            </w:tcBorders>
            <w:vAlign w:val="center"/>
          </w:tcPr>
          <w:p w14:paraId="70F219E5" w14:textId="77777777" w:rsidR="00496838" w:rsidRDefault="00496838" w:rsidP="00F53200">
            <w:pPr>
              <w:pStyle w:val="Encabezado"/>
              <w:jc w:val="center"/>
              <w:rPr>
                <w:b/>
                <w:sz w:val="28"/>
                <w:szCs w:val="28"/>
              </w:rPr>
            </w:pPr>
          </w:p>
        </w:tc>
        <w:tc>
          <w:tcPr>
            <w:tcW w:w="2144" w:type="pct"/>
            <w:vMerge/>
            <w:vAlign w:val="center"/>
          </w:tcPr>
          <w:p w14:paraId="12D84C06" w14:textId="77777777" w:rsidR="00496838" w:rsidRPr="00D335DF" w:rsidRDefault="00496838" w:rsidP="00F53200">
            <w:pPr>
              <w:pStyle w:val="Encabezado"/>
              <w:jc w:val="center"/>
              <w:rPr>
                <w:b/>
                <w:sz w:val="28"/>
                <w:szCs w:val="28"/>
              </w:rPr>
            </w:pPr>
          </w:p>
        </w:tc>
        <w:tc>
          <w:tcPr>
            <w:tcW w:w="499" w:type="pct"/>
            <w:vAlign w:val="center"/>
          </w:tcPr>
          <w:p w14:paraId="0EE92FF7" w14:textId="77777777" w:rsidR="00496838" w:rsidRPr="00EC47A2" w:rsidRDefault="00496838" w:rsidP="00F53200">
            <w:pPr>
              <w:pStyle w:val="Encabezado"/>
              <w:spacing w:line="360" w:lineRule="auto"/>
              <w:jc w:val="center"/>
              <w:rPr>
                <w:sz w:val="16"/>
                <w:szCs w:val="16"/>
              </w:rPr>
            </w:pPr>
            <w:r w:rsidRPr="00EC47A2">
              <w:rPr>
                <w:sz w:val="16"/>
                <w:szCs w:val="16"/>
              </w:rPr>
              <w:t>PÁGINA</w:t>
            </w:r>
          </w:p>
        </w:tc>
        <w:tc>
          <w:tcPr>
            <w:tcW w:w="929" w:type="pct"/>
            <w:vAlign w:val="center"/>
          </w:tcPr>
          <w:p w14:paraId="22E1C989" w14:textId="77777777" w:rsidR="00496838" w:rsidRPr="00EC47A2" w:rsidRDefault="00496838" w:rsidP="00F53200">
            <w:pPr>
              <w:pStyle w:val="Encabezado"/>
              <w:spacing w:line="360" w:lineRule="auto"/>
              <w:jc w:val="center"/>
              <w:rPr>
                <w:sz w:val="16"/>
                <w:szCs w:val="16"/>
              </w:rPr>
            </w:pPr>
            <w:r w:rsidRPr="00EC47A2">
              <w:rPr>
                <w:b/>
                <w:sz w:val="16"/>
                <w:szCs w:val="16"/>
              </w:rPr>
              <w:t>1</w:t>
            </w:r>
          </w:p>
        </w:tc>
      </w:tr>
    </w:tbl>
    <w:p w14:paraId="7176B878" w14:textId="77777777" w:rsidR="00496838" w:rsidRDefault="00496838" w:rsidP="00496838">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28FC4CF" w14:textId="77777777" w:rsidR="00496838" w:rsidRDefault="00496838" w:rsidP="00496838">
      <w:pPr>
        <w:jc w:val="both"/>
        <w:rPr>
          <w:bCs/>
          <w:sz w:val="28"/>
          <w:szCs w:val="28"/>
          <w:lang w:val="es-MX"/>
        </w:rPr>
      </w:pPr>
    </w:p>
    <w:p w14:paraId="107E24B9" w14:textId="77777777" w:rsidR="00496838" w:rsidRDefault="00496838" w:rsidP="00496838">
      <w:pPr>
        <w:jc w:val="both"/>
        <w:rPr>
          <w:bCs/>
          <w:sz w:val="28"/>
          <w:szCs w:val="28"/>
          <w:lang w:val="es-MX"/>
        </w:rPr>
      </w:pPr>
    </w:p>
    <w:p w14:paraId="525399DC" w14:textId="77777777" w:rsidR="00496838" w:rsidRPr="002B5B6E" w:rsidRDefault="00496838" w:rsidP="00496838">
      <w:pPr>
        <w:jc w:val="both"/>
        <w:rPr>
          <w:sz w:val="28"/>
          <w:szCs w:val="28"/>
        </w:rPr>
      </w:pPr>
    </w:p>
    <w:p w14:paraId="6C425FCA" w14:textId="23339E20" w:rsidR="00496838" w:rsidRPr="00DB63C7" w:rsidRDefault="00496838" w:rsidP="00496838">
      <w:pPr>
        <w:pStyle w:val="Prrafodelista"/>
        <w:ind w:left="0" w:right="49"/>
        <w:jc w:val="both"/>
        <w:rPr>
          <w:sz w:val="28"/>
          <w:szCs w:val="28"/>
        </w:rPr>
      </w:pPr>
      <w:r w:rsidRPr="00DB63C7">
        <w:rPr>
          <w:sz w:val="28"/>
          <w:szCs w:val="28"/>
        </w:rPr>
        <w:t>Doctor</w:t>
      </w:r>
      <w:r w:rsidR="008F3BFA">
        <w:rPr>
          <w:sz w:val="28"/>
          <w:szCs w:val="28"/>
        </w:rPr>
        <w:t>a</w:t>
      </w:r>
    </w:p>
    <w:p w14:paraId="054BD109" w14:textId="77777777" w:rsidR="008F3BFA" w:rsidRPr="002B5B6E" w:rsidRDefault="008F3BFA" w:rsidP="008F3BFA">
      <w:pPr>
        <w:widowControl/>
        <w:autoSpaceDE/>
        <w:autoSpaceDN/>
        <w:jc w:val="both"/>
        <w:rPr>
          <w:b/>
          <w:bCs/>
          <w:sz w:val="28"/>
          <w:szCs w:val="28"/>
        </w:rPr>
      </w:pPr>
      <w:r w:rsidRPr="008F3BFA">
        <w:rPr>
          <w:b/>
          <w:bCs/>
          <w:sz w:val="28"/>
          <w:szCs w:val="28"/>
        </w:rPr>
        <w:t>MARÍA FERNANDA ROJAS MANTILLA</w:t>
      </w:r>
    </w:p>
    <w:p w14:paraId="1B5E9B6E" w14:textId="216648B3" w:rsidR="008F3BFA" w:rsidRPr="002B5B6E" w:rsidRDefault="008F3BFA" w:rsidP="008F3BFA">
      <w:pPr>
        <w:widowControl/>
        <w:autoSpaceDE/>
        <w:autoSpaceDN/>
        <w:jc w:val="both"/>
        <w:rPr>
          <w:sz w:val="28"/>
          <w:szCs w:val="28"/>
        </w:rPr>
      </w:pPr>
      <w:r w:rsidRPr="008F3BFA">
        <w:rPr>
          <w:sz w:val="28"/>
          <w:szCs w:val="28"/>
        </w:rPr>
        <w:t>Ministr</w:t>
      </w:r>
      <w:r w:rsidR="00C21257" w:rsidRPr="002B5B6E">
        <w:rPr>
          <w:sz w:val="28"/>
          <w:szCs w:val="28"/>
        </w:rPr>
        <w:t>a</w:t>
      </w:r>
      <w:r w:rsidRPr="008F3BFA">
        <w:rPr>
          <w:sz w:val="28"/>
          <w:szCs w:val="28"/>
        </w:rPr>
        <w:t xml:space="preserve"> de Transporte</w:t>
      </w:r>
    </w:p>
    <w:p w14:paraId="0EA67718" w14:textId="331E5AFC" w:rsidR="008F3BFA" w:rsidRPr="002B5B6E" w:rsidRDefault="008F3BFA" w:rsidP="008F3BFA">
      <w:pPr>
        <w:widowControl/>
        <w:autoSpaceDE/>
        <w:autoSpaceDN/>
        <w:jc w:val="both"/>
        <w:rPr>
          <w:sz w:val="28"/>
          <w:szCs w:val="28"/>
        </w:rPr>
      </w:pPr>
      <w:r w:rsidRPr="008F3BFA">
        <w:rPr>
          <w:sz w:val="28"/>
          <w:szCs w:val="28"/>
        </w:rPr>
        <w:t>C</w:t>
      </w:r>
      <w:r w:rsidR="002B5B6E">
        <w:rPr>
          <w:sz w:val="28"/>
          <w:szCs w:val="28"/>
        </w:rPr>
        <w:t>alle</w:t>
      </w:r>
      <w:r w:rsidRPr="008F3BFA">
        <w:rPr>
          <w:sz w:val="28"/>
          <w:szCs w:val="28"/>
        </w:rPr>
        <w:t xml:space="preserve"> 24 # 62 - 49 P</w:t>
      </w:r>
      <w:r w:rsidR="002B5B6E">
        <w:rPr>
          <w:sz w:val="28"/>
          <w:szCs w:val="28"/>
        </w:rPr>
        <w:t>iso</w:t>
      </w:r>
      <w:r w:rsidRPr="008F3BFA">
        <w:rPr>
          <w:sz w:val="28"/>
          <w:szCs w:val="28"/>
        </w:rPr>
        <w:t xml:space="preserve"> 9 </w:t>
      </w:r>
      <w:r w:rsidR="002B5B6E" w:rsidRPr="008F3BFA">
        <w:rPr>
          <w:sz w:val="28"/>
          <w:szCs w:val="28"/>
        </w:rPr>
        <w:t>Centro Comercial Gran Estación I</w:t>
      </w:r>
      <w:r w:rsidR="002B5B6E">
        <w:rPr>
          <w:sz w:val="28"/>
          <w:szCs w:val="28"/>
        </w:rPr>
        <w:t>I</w:t>
      </w:r>
    </w:p>
    <w:p w14:paraId="4245FE84" w14:textId="77777777" w:rsidR="00C21257" w:rsidRPr="002B5B6E" w:rsidRDefault="00C21257" w:rsidP="00C21257">
      <w:pPr>
        <w:widowControl/>
        <w:autoSpaceDE/>
        <w:autoSpaceDN/>
        <w:jc w:val="both"/>
        <w:rPr>
          <w:sz w:val="28"/>
          <w:szCs w:val="28"/>
        </w:rPr>
      </w:pPr>
      <w:r w:rsidRPr="008F3BFA">
        <w:rPr>
          <w:sz w:val="28"/>
          <w:szCs w:val="28"/>
        </w:rPr>
        <w:t>Ministr</w:t>
      </w:r>
      <w:r w:rsidRPr="002B5B6E">
        <w:rPr>
          <w:sz w:val="28"/>
          <w:szCs w:val="28"/>
        </w:rPr>
        <w:t>a</w:t>
      </w:r>
      <w:r w:rsidRPr="008F3BFA">
        <w:rPr>
          <w:sz w:val="28"/>
          <w:szCs w:val="28"/>
        </w:rPr>
        <w:t xml:space="preserve"> de Transporte</w:t>
      </w:r>
    </w:p>
    <w:p w14:paraId="3DF6DB40" w14:textId="77777777" w:rsidR="00C21257" w:rsidRDefault="00C21257" w:rsidP="00496838">
      <w:pPr>
        <w:pStyle w:val="Prrafodelista"/>
        <w:ind w:left="0" w:right="49"/>
        <w:jc w:val="both"/>
        <w:rPr>
          <w:sz w:val="28"/>
          <w:szCs w:val="28"/>
        </w:rPr>
      </w:pPr>
    </w:p>
    <w:p w14:paraId="6BFC4D82" w14:textId="4BDED0A3" w:rsidR="00496838" w:rsidRPr="00DB63C7" w:rsidRDefault="00496838" w:rsidP="00496838">
      <w:pPr>
        <w:pStyle w:val="Prrafodelista"/>
        <w:ind w:left="0" w:right="49"/>
        <w:jc w:val="both"/>
        <w:rPr>
          <w:sz w:val="28"/>
          <w:szCs w:val="28"/>
        </w:rPr>
      </w:pPr>
      <w:r w:rsidRPr="00DB63C7">
        <w:rPr>
          <w:sz w:val="28"/>
          <w:szCs w:val="28"/>
        </w:rPr>
        <w:t xml:space="preserve">Bogotá, D.C. </w:t>
      </w:r>
    </w:p>
    <w:p w14:paraId="49366A2A" w14:textId="77777777" w:rsidR="00496838" w:rsidRDefault="00496838" w:rsidP="00496838">
      <w:pPr>
        <w:rPr>
          <w:sz w:val="28"/>
          <w:szCs w:val="28"/>
        </w:rPr>
      </w:pPr>
    </w:p>
    <w:p w14:paraId="4793A380" w14:textId="77777777" w:rsidR="00496838" w:rsidRPr="00DB63C7" w:rsidRDefault="00496838" w:rsidP="00496838">
      <w:pPr>
        <w:rPr>
          <w:sz w:val="28"/>
          <w:szCs w:val="28"/>
        </w:rPr>
      </w:pPr>
    </w:p>
    <w:p w14:paraId="05F441F7" w14:textId="67EF87B3" w:rsidR="00496838" w:rsidRDefault="00496838" w:rsidP="00496838">
      <w:pPr>
        <w:rPr>
          <w:sz w:val="28"/>
          <w:szCs w:val="28"/>
        </w:rPr>
      </w:pPr>
      <w:r w:rsidRPr="00DB63C7">
        <w:rPr>
          <w:sz w:val="28"/>
          <w:szCs w:val="28"/>
        </w:rPr>
        <w:t>Respetad</w:t>
      </w:r>
      <w:r w:rsidR="00725745">
        <w:rPr>
          <w:sz w:val="28"/>
          <w:szCs w:val="28"/>
        </w:rPr>
        <w:t>a</w:t>
      </w:r>
      <w:r w:rsidRPr="00DB63C7">
        <w:rPr>
          <w:sz w:val="28"/>
          <w:szCs w:val="28"/>
        </w:rPr>
        <w:t xml:space="preserve"> Doctor</w:t>
      </w:r>
      <w:r w:rsidR="008F3BFA">
        <w:rPr>
          <w:sz w:val="28"/>
          <w:szCs w:val="28"/>
        </w:rPr>
        <w:t>a</w:t>
      </w:r>
      <w:r w:rsidRPr="00DB63C7">
        <w:rPr>
          <w:sz w:val="28"/>
          <w:szCs w:val="28"/>
        </w:rPr>
        <w:t xml:space="preserve"> </w:t>
      </w:r>
      <w:r w:rsidR="008F3BFA">
        <w:rPr>
          <w:sz w:val="28"/>
          <w:szCs w:val="28"/>
        </w:rPr>
        <w:t>Rojas</w:t>
      </w:r>
      <w:r w:rsidRPr="00DB63C7">
        <w:rPr>
          <w:sz w:val="28"/>
          <w:szCs w:val="28"/>
        </w:rPr>
        <w:t>:</w:t>
      </w:r>
    </w:p>
    <w:p w14:paraId="344062E3" w14:textId="77777777" w:rsidR="00586C6F" w:rsidRDefault="00586C6F" w:rsidP="00586C6F">
      <w:pPr>
        <w:pStyle w:val="Prrafodelista"/>
        <w:ind w:left="0" w:right="49"/>
        <w:jc w:val="both"/>
        <w:rPr>
          <w:sz w:val="28"/>
          <w:szCs w:val="28"/>
        </w:rPr>
      </w:pPr>
    </w:p>
    <w:p w14:paraId="251E7B61" w14:textId="77777777" w:rsidR="00586C6F" w:rsidRPr="00ED6E5A" w:rsidRDefault="00586C6F" w:rsidP="00586C6F">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D6FF4B5" w14:textId="77777777" w:rsidR="00586C6F" w:rsidRPr="00ED6E5A" w:rsidRDefault="00586C6F" w:rsidP="00586C6F">
      <w:pPr>
        <w:pStyle w:val="Prrafodelista"/>
        <w:ind w:left="0" w:right="49" w:hanging="284"/>
        <w:jc w:val="both"/>
        <w:rPr>
          <w:sz w:val="28"/>
          <w:szCs w:val="28"/>
        </w:rPr>
      </w:pPr>
    </w:p>
    <w:p w14:paraId="6B0B8DA2" w14:textId="77777777" w:rsidR="00586C6F" w:rsidRDefault="00586C6F" w:rsidP="00586C6F">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35455D70" w14:textId="77777777" w:rsidR="00586C6F" w:rsidRDefault="00586C6F" w:rsidP="00586C6F">
      <w:pPr>
        <w:pStyle w:val="Prrafodelista"/>
        <w:ind w:left="0" w:right="49"/>
        <w:jc w:val="both"/>
        <w:rPr>
          <w:sz w:val="28"/>
          <w:szCs w:val="28"/>
        </w:rPr>
      </w:pPr>
    </w:p>
    <w:p w14:paraId="411E6695" w14:textId="77777777" w:rsidR="00586C6F" w:rsidRDefault="00586C6F" w:rsidP="00586C6F">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p w14:paraId="46685F4A" w14:textId="77777777" w:rsidR="00586C6F" w:rsidRDefault="00586C6F" w:rsidP="00586C6F">
      <w:pPr>
        <w:pStyle w:val="Ttulo1"/>
        <w:ind w:left="-284" w:right="-234"/>
      </w:pPr>
    </w:p>
    <w:p w14:paraId="2D1C7A51" w14:textId="31E8E49A" w:rsidR="00586C6F" w:rsidRPr="007C3032" w:rsidRDefault="00586C6F" w:rsidP="00586C6F">
      <w:pPr>
        <w:pStyle w:val="Ttulo1"/>
        <w:ind w:left="0" w:right="49"/>
        <w:rPr>
          <w:b w:val="0"/>
          <w:bCs w:val="0"/>
          <w:sz w:val="28"/>
          <w:szCs w:val="28"/>
        </w:rPr>
      </w:pPr>
      <w:bookmarkStart w:id="0" w:name="_Hlk207787968"/>
      <w:r w:rsidRPr="007C3032">
        <w:rPr>
          <w:sz w:val="28"/>
          <w:szCs w:val="28"/>
        </w:rPr>
        <w:t>1.- OPINIÓN</w:t>
      </w:r>
      <w:r w:rsidRPr="007C3032">
        <w:rPr>
          <w:spacing w:val="1"/>
          <w:sz w:val="28"/>
          <w:szCs w:val="28"/>
        </w:rPr>
        <w:t xml:space="preserve"> </w:t>
      </w:r>
      <w:r w:rsidRPr="007C3032">
        <w:rPr>
          <w:sz w:val="28"/>
          <w:szCs w:val="28"/>
        </w:rPr>
        <w:t>CONTABLE</w:t>
      </w:r>
      <w:r>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47F34AAA" w14:textId="77777777" w:rsidR="00586C6F" w:rsidRPr="00586C6F" w:rsidRDefault="00586C6F" w:rsidP="000B5CEE">
      <w:pPr>
        <w:ind w:left="-426" w:firstLine="426"/>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586C6F" w:rsidRPr="00F15305" w14:paraId="6274C14A" w14:textId="77777777" w:rsidTr="00586C6F">
        <w:trPr>
          <w:trHeight w:val="1741"/>
          <w:jc w:val="center"/>
        </w:trPr>
        <w:tc>
          <w:tcPr>
            <w:tcW w:w="2942" w:type="dxa"/>
          </w:tcPr>
          <w:p w14:paraId="1466795C" w14:textId="77777777" w:rsidR="00586C6F" w:rsidRPr="00F15305" w:rsidRDefault="00586C6F" w:rsidP="00B35DEA">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3A4A8CDF" w14:textId="77777777" w:rsidR="00586C6F" w:rsidRPr="00F15305" w:rsidRDefault="00586C6F" w:rsidP="00B35DEA">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90B27AB" w14:textId="77777777" w:rsidR="00586C6F" w:rsidRDefault="00586C6F" w:rsidP="00B35DEA">
            <w:pPr>
              <w:pStyle w:val="Textoindependiente"/>
              <w:ind w:right="29"/>
              <w:jc w:val="center"/>
              <w:rPr>
                <w:b/>
                <w:sz w:val="20"/>
                <w:szCs w:val="20"/>
              </w:rPr>
            </w:pPr>
            <w:r w:rsidRPr="00F15305">
              <w:rPr>
                <w:b/>
                <w:sz w:val="20"/>
                <w:szCs w:val="20"/>
              </w:rPr>
              <w:t xml:space="preserve">0PINIÓN CONTABLE SEGÚN LA </w:t>
            </w:r>
          </w:p>
          <w:p w14:paraId="1BFDB11A" w14:textId="77777777" w:rsidR="00586C6F" w:rsidRPr="00F15305" w:rsidRDefault="00586C6F" w:rsidP="00B35DEA">
            <w:pPr>
              <w:pStyle w:val="Textoindependiente"/>
              <w:ind w:right="29"/>
              <w:jc w:val="center"/>
              <w:rPr>
                <w:b/>
                <w:sz w:val="20"/>
                <w:szCs w:val="20"/>
              </w:rPr>
            </w:pPr>
            <w:r w:rsidRPr="00F15305">
              <w:rPr>
                <w:b/>
                <w:sz w:val="20"/>
                <w:szCs w:val="20"/>
              </w:rPr>
              <w:t xml:space="preserve">CGR </w:t>
            </w:r>
          </w:p>
          <w:p w14:paraId="6E7FEE16" w14:textId="77777777" w:rsidR="00586C6F" w:rsidRPr="00F15305" w:rsidRDefault="00586C6F" w:rsidP="00B35DEA">
            <w:pPr>
              <w:pStyle w:val="Textoindependiente"/>
              <w:ind w:right="29"/>
              <w:jc w:val="center"/>
              <w:rPr>
                <w:b/>
                <w:sz w:val="20"/>
                <w:szCs w:val="20"/>
              </w:rPr>
            </w:pPr>
            <w:r w:rsidRPr="00F15305">
              <w:rPr>
                <w:b/>
                <w:sz w:val="20"/>
                <w:szCs w:val="20"/>
              </w:rPr>
              <w:t>2024</w:t>
            </w:r>
          </w:p>
        </w:tc>
        <w:tc>
          <w:tcPr>
            <w:tcW w:w="1672" w:type="dxa"/>
          </w:tcPr>
          <w:p w14:paraId="3CDDB24F" w14:textId="77777777" w:rsidR="00586C6F" w:rsidRDefault="00586C6F" w:rsidP="00B35DEA">
            <w:pPr>
              <w:pStyle w:val="Textoindependiente"/>
              <w:ind w:right="29"/>
              <w:jc w:val="center"/>
              <w:rPr>
                <w:b/>
                <w:sz w:val="20"/>
                <w:szCs w:val="20"/>
              </w:rPr>
            </w:pPr>
            <w:r w:rsidRPr="00F15305">
              <w:rPr>
                <w:b/>
                <w:sz w:val="20"/>
                <w:szCs w:val="20"/>
              </w:rPr>
              <w:t xml:space="preserve">EVALUACIÓN CONTROL INTERNO FINANCIERO SEGÚN LA </w:t>
            </w:r>
          </w:p>
          <w:p w14:paraId="200E6555" w14:textId="77777777" w:rsidR="00586C6F" w:rsidRPr="00F15305" w:rsidRDefault="00586C6F" w:rsidP="00B35DEA">
            <w:pPr>
              <w:pStyle w:val="Textoindependiente"/>
              <w:ind w:right="29"/>
              <w:jc w:val="center"/>
              <w:rPr>
                <w:b/>
                <w:sz w:val="20"/>
                <w:szCs w:val="20"/>
              </w:rPr>
            </w:pPr>
            <w:r w:rsidRPr="00F15305">
              <w:rPr>
                <w:b/>
                <w:sz w:val="20"/>
                <w:szCs w:val="20"/>
              </w:rPr>
              <w:t xml:space="preserve">CGR </w:t>
            </w:r>
          </w:p>
          <w:p w14:paraId="63521F2E" w14:textId="77777777" w:rsidR="00586C6F" w:rsidRPr="00F15305" w:rsidRDefault="00586C6F" w:rsidP="00B35DEA">
            <w:pPr>
              <w:pStyle w:val="Textoindependiente"/>
              <w:ind w:right="29"/>
              <w:jc w:val="center"/>
              <w:rPr>
                <w:b/>
                <w:sz w:val="20"/>
                <w:szCs w:val="20"/>
              </w:rPr>
            </w:pPr>
            <w:r w:rsidRPr="00F15305">
              <w:rPr>
                <w:b/>
                <w:sz w:val="20"/>
                <w:szCs w:val="20"/>
              </w:rPr>
              <w:t>2024</w:t>
            </w:r>
          </w:p>
          <w:p w14:paraId="6083157B" w14:textId="77777777" w:rsidR="00586C6F" w:rsidRPr="00F15305" w:rsidRDefault="00586C6F" w:rsidP="00B35DEA">
            <w:pPr>
              <w:pStyle w:val="Textoindependiente"/>
              <w:ind w:right="29"/>
              <w:jc w:val="center"/>
              <w:rPr>
                <w:b/>
                <w:sz w:val="20"/>
                <w:szCs w:val="20"/>
              </w:rPr>
            </w:pPr>
          </w:p>
        </w:tc>
        <w:tc>
          <w:tcPr>
            <w:tcW w:w="1840" w:type="dxa"/>
          </w:tcPr>
          <w:p w14:paraId="1FDBED7F" w14:textId="77777777" w:rsidR="00586C6F" w:rsidRPr="00F15305" w:rsidRDefault="00586C6F" w:rsidP="00B35DEA">
            <w:pPr>
              <w:pStyle w:val="Textoindependiente"/>
              <w:ind w:right="29"/>
              <w:jc w:val="center"/>
              <w:rPr>
                <w:b/>
                <w:sz w:val="20"/>
                <w:szCs w:val="20"/>
              </w:rPr>
            </w:pPr>
            <w:r w:rsidRPr="00F15305">
              <w:rPr>
                <w:b/>
                <w:sz w:val="20"/>
                <w:szCs w:val="20"/>
              </w:rPr>
              <w:t xml:space="preserve">FENECIMIENTO DE LA CUENTA FISCAL POR PARTE DE LA CGR </w:t>
            </w:r>
          </w:p>
          <w:p w14:paraId="5332E47F" w14:textId="77777777" w:rsidR="00586C6F" w:rsidRPr="00F15305" w:rsidRDefault="00586C6F" w:rsidP="00B35DEA">
            <w:pPr>
              <w:pStyle w:val="Textoindependiente"/>
              <w:ind w:right="29"/>
              <w:jc w:val="center"/>
              <w:rPr>
                <w:b/>
                <w:sz w:val="20"/>
                <w:szCs w:val="20"/>
              </w:rPr>
            </w:pPr>
            <w:r w:rsidRPr="00F15305">
              <w:rPr>
                <w:b/>
                <w:sz w:val="20"/>
                <w:szCs w:val="20"/>
              </w:rPr>
              <w:t>2024</w:t>
            </w:r>
          </w:p>
        </w:tc>
      </w:tr>
      <w:tr w:rsidR="00586C6F" w:rsidRPr="00F15305" w14:paraId="75F3C95B" w14:textId="77777777" w:rsidTr="00586C6F">
        <w:trPr>
          <w:jc w:val="center"/>
        </w:trPr>
        <w:tc>
          <w:tcPr>
            <w:tcW w:w="2942" w:type="dxa"/>
          </w:tcPr>
          <w:p w14:paraId="342815F7" w14:textId="77777777" w:rsidR="00586C6F" w:rsidRPr="00F15305" w:rsidRDefault="00586C6F" w:rsidP="00B35DEA">
            <w:pPr>
              <w:pStyle w:val="Textoindependiente"/>
              <w:ind w:right="29"/>
              <w:jc w:val="both"/>
              <w:rPr>
                <w:b/>
                <w:sz w:val="20"/>
                <w:szCs w:val="20"/>
              </w:rPr>
            </w:pPr>
            <w:r w:rsidRPr="00F15305">
              <w:rPr>
                <w:b/>
                <w:sz w:val="20"/>
                <w:szCs w:val="20"/>
              </w:rPr>
              <w:t>MINISTERIO DE TRANSPORTE - MINTRANSPORTE</w:t>
            </w:r>
          </w:p>
        </w:tc>
        <w:tc>
          <w:tcPr>
            <w:tcW w:w="1868" w:type="dxa"/>
          </w:tcPr>
          <w:p w14:paraId="00DF75A8" w14:textId="77777777" w:rsidR="00586C6F" w:rsidRPr="00F15305" w:rsidRDefault="00586C6F" w:rsidP="00B35DEA">
            <w:pPr>
              <w:pStyle w:val="Textoindependiente"/>
              <w:ind w:right="29"/>
              <w:jc w:val="center"/>
              <w:rPr>
                <w:b/>
                <w:sz w:val="20"/>
                <w:szCs w:val="20"/>
              </w:rPr>
            </w:pPr>
          </w:p>
        </w:tc>
        <w:tc>
          <w:tcPr>
            <w:tcW w:w="1568" w:type="dxa"/>
          </w:tcPr>
          <w:p w14:paraId="17B1681A" w14:textId="77777777" w:rsidR="00586C6F" w:rsidRPr="00F15305" w:rsidRDefault="00586C6F" w:rsidP="00B35DEA">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0BF37E86" w14:textId="77777777" w:rsidR="00586C6F" w:rsidRPr="00F15305" w:rsidRDefault="00586C6F" w:rsidP="00B35DEA">
            <w:pPr>
              <w:pStyle w:val="Textoindependiente"/>
              <w:ind w:right="29"/>
              <w:jc w:val="center"/>
              <w:rPr>
                <w:b/>
                <w:bCs/>
                <w:sz w:val="20"/>
                <w:szCs w:val="20"/>
                <w:lang w:eastAsia="es-CO"/>
              </w:rPr>
            </w:pPr>
            <w:r w:rsidRPr="00F15305">
              <w:rPr>
                <w:b/>
                <w:bCs/>
                <w:sz w:val="20"/>
                <w:szCs w:val="20"/>
                <w:lang w:eastAsia="es-CO"/>
              </w:rPr>
              <w:t>CON</w:t>
            </w:r>
          </w:p>
          <w:p w14:paraId="174987D4" w14:textId="77777777" w:rsidR="00586C6F" w:rsidRPr="00F15305" w:rsidRDefault="00586C6F" w:rsidP="00B35DEA">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7AEC8121" w14:textId="77777777" w:rsidR="00586C6F" w:rsidRPr="00F15305" w:rsidRDefault="00586C6F" w:rsidP="00B35DEA">
            <w:pPr>
              <w:pStyle w:val="Textoindependiente"/>
              <w:ind w:right="29"/>
              <w:jc w:val="center"/>
              <w:rPr>
                <w:b/>
                <w:sz w:val="20"/>
                <w:szCs w:val="20"/>
              </w:rPr>
            </w:pPr>
            <w:r w:rsidRPr="00F15305">
              <w:rPr>
                <w:b/>
                <w:sz w:val="20"/>
                <w:szCs w:val="20"/>
              </w:rPr>
              <w:t>NO SE</w:t>
            </w:r>
          </w:p>
          <w:p w14:paraId="5E22BE84" w14:textId="77777777" w:rsidR="00586C6F" w:rsidRPr="00F15305" w:rsidRDefault="00586C6F" w:rsidP="00B35DEA">
            <w:pPr>
              <w:pStyle w:val="Textoindependiente"/>
              <w:ind w:right="29"/>
              <w:jc w:val="center"/>
              <w:rPr>
                <w:b/>
                <w:sz w:val="20"/>
                <w:szCs w:val="20"/>
              </w:rPr>
            </w:pPr>
            <w:r w:rsidRPr="00F15305">
              <w:rPr>
                <w:b/>
                <w:sz w:val="20"/>
                <w:szCs w:val="20"/>
              </w:rPr>
              <w:t>FENECE</w:t>
            </w:r>
          </w:p>
        </w:tc>
      </w:tr>
    </w:tbl>
    <w:p w14:paraId="78FDAC47" w14:textId="63FC11AD" w:rsidR="00586C6F" w:rsidRDefault="00586C6F" w:rsidP="000B5CEE">
      <w:pPr>
        <w:ind w:left="-426" w:firstLine="426"/>
        <w:jc w:val="both"/>
        <w:rPr>
          <w:b/>
          <w:sz w:val="28"/>
          <w:szCs w:val="28"/>
        </w:rPr>
      </w:pPr>
    </w:p>
    <w:p w14:paraId="75DFE189" w14:textId="46DCCA33" w:rsidR="00C07FDB" w:rsidRDefault="00C07FDB" w:rsidP="00C07FDB">
      <w:pPr>
        <w:pStyle w:val="Textoindependiente"/>
        <w:ind w:right="49"/>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583F0D29" w14:textId="6D927DF2" w:rsidR="00C07FDB" w:rsidRDefault="00C07FDB" w:rsidP="000B5CEE">
      <w:pPr>
        <w:ind w:left="-426" w:firstLine="426"/>
        <w:jc w:val="both"/>
        <w:rPr>
          <w:b/>
          <w:sz w:val="28"/>
          <w:szCs w:val="28"/>
        </w:rPr>
      </w:pPr>
    </w:p>
    <w:p w14:paraId="178633D8" w14:textId="77777777" w:rsidR="00C07FDB" w:rsidRPr="00FE2B1F" w:rsidRDefault="00C07FDB" w:rsidP="00C07FDB">
      <w:pPr>
        <w:pStyle w:val="Textoindependiente"/>
        <w:rPr>
          <w:b/>
          <w:color w:val="231F20"/>
          <w:spacing w:val="-2"/>
          <w:sz w:val="28"/>
          <w:szCs w:val="28"/>
        </w:rPr>
      </w:pPr>
      <w:r w:rsidRPr="00FE2B1F">
        <w:rPr>
          <w:b/>
          <w:color w:val="231F20"/>
          <w:sz w:val="28"/>
          <w:szCs w:val="28"/>
        </w:rPr>
        <w:t>MINISTERIO</w:t>
      </w:r>
      <w:r w:rsidRPr="00FE2B1F">
        <w:rPr>
          <w:b/>
          <w:color w:val="231F20"/>
          <w:spacing w:val="-3"/>
          <w:sz w:val="28"/>
          <w:szCs w:val="28"/>
        </w:rPr>
        <w:t xml:space="preserve"> </w:t>
      </w:r>
      <w:r w:rsidRPr="00FE2B1F">
        <w:rPr>
          <w:b/>
          <w:color w:val="231F20"/>
          <w:sz w:val="28"/>
          <w:szCs w:val="28"/>
        </w:rPr>
        <w:t>DE</w:t>
      </w:r>
      <w:r w:rsidRPr="00FE2B1F">
        <w:rPr>
          <w:b/>
          <w:color w:val="231F20"/>
          <w:spacing w:val="-2"/>
          <w:sz w:val="28"/>
          <w:szCs w:val="28"/>
        </w:rPr>
        <w:t xml:space="preserve"> TRANSPORTE.</w:t>
      </w:r>
    </w:p>
    <w:p w14:paraId="127F9786" w14:textId="77777777" w:rsidR="00C07FDB" w:rsidRPr="00FE2B1F" w:rsidRDefault="00C07FDB" w:rsidP="00C07FDB">
      <w:pPr>
        <w:pStyle w:val="Textoindependiente"/>
        <w:rPr>
          <w:b/>
          <w:color w:val="231F20"/>
          <w:spacing w:val="-2"/>
          <w:sz w:val="28"/>
          <w:szCs w:val="28"/>
        </w:rPr>
      </w:pPr>
    </w:p>
    <w:p w14:paraId="43E4B00B" w14:textId="77777777" w:rsidR="00C07FDB" w:rsidRDefault="00C07FDB" w:rsidP="00C07FDB">
      <w:pPr>
        <w:pStyle w:val="Textoindependiente"/>
        <w:rPr>
          <w:b/>
          <w:color w:val="231F20"/>
          <w:spacing w:val="-2"/>
          <w:sz w:val="28"/>
          <w:szCs w:val="28"/>
        </w:rPr>
      </w:pPr>
      <w:r w:rsidRPr="00FE2B1F">
        <w:rPr>
          <w:b/>
          <w:color w:val="231F20"/>
          <w:sz w:val="28"/>
          <w:szCs w:val="28"/>
        </w:rPr>
        <w:t>OPINIÓN</w:t>
      </w:r>
      <w:r w:rsidRPr="00FE2B1F">
        <w:rPr>
          <w:b/>
          <w:color w:val="231F20"/>
          <w:spacing w:val="-13"/>
          <w:sz w:val="28"/>
          <w:szCs w:val="28"/>
        </w:rPr>
        <w:t xml:space="preserve"> </w:t>
      </w:r>
      <w:r w:rsidRPr="00FE2B1F">
        <w:rPr>
          <w:b/>
          <w:color w:val="231F20"/>
          <w:sz w:val="28"/>
          <w:szCs w:val="28"/>
        </w:rPr>
        <w:t>CONTABLE:</w:t>
      </w:r>
      <w:r w:rsidRPr="00FE2B1F">
        <w:rPr>
          <w:b/>
          <w:color w:val="231F20"/>
          <w:spacing w:val="-13"/>
          <w:sz w:val="28"/>
          <w:szCs w:val="28"/>
        </w:rPr>
        <w:t xml:space="preserve"> </w:t>
      </w:r>
      <w:r w:rsidRPr="00FE2B1F">
        <w:rPr>
          <w:b/>
          <w:color w:val="231F20"/>
          <w:spacing w:val="-2"/>
          <w:sz w:val="28"/>
          <w:szCs w:val="28"/>
          <w:u w:val="single"/>
        </w:rPr>
        <w:t>NEGATIVA</w:t>
      </w:r>
      <w:r w:rsidRPr="00FE2B1F">
        <w:rPr>
          <w:b/>
          <w:color w:val="231F20"/>
          <w:spacing w:val="-2"/>
          <w:sz w:val="28"/>
          <w:szCs w:val="28"/>
        </w:rPr>
        <w:t>.</w:t>
      </w:r>
    </w:p>
    <w:p w14:paraId="374270F6" w14:textId="77777777" w:rsidR="00C07FDB" w:rsidRDefault="00C07FDB" w:rsidP="00C07FDB">
      <w:pPr>
        <w:pStyle w:val="Textoindependiente"/>
        <w:rPr>
          <w:b/>
          <w:color w:val="231F20"/>
          <w:spacing w:val="-2"/>
          <w:sz w:val="28"/>
          <w:szCs w:val="28"/>
        </w:rPr>
      </w:pPr>
    </w:p>
    <w:p w14:paraId="0AF4547A" w14:textId="77777777" w:rsidR="00C07FDB" w:rsidRDefault="00C07FDB" w:rsidP="00C07FDB">
      <w:pPr>
        <w:pStyle w:val="Textoindependiente"/>
        <w:jc w:val="both"/>
        <w:rPr>
          <w:color w:val="231F20"/>
        </w:rPr>
      </w:pPr>
      <w:r w:rsidRPr="000B67BD">
        <w:rPr>
          <w:b/>
          <w:color w:val="231F20"/>
          <w:spacing w:val="-2"/>
          <w:sz w:val="28"/>
          <w:szCs w:val="28"/>
        </w:rPr>
        <w:t>-</w:t>
      </w:r>
      <w:r w:rsidRPr="000B67BD">
        <w:rPr>
          <w:b/>
          <w:color w:val="231F20"/>
        </w:rPr>
        <w:t>Incorrección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cantidad</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ingresos</w:t>
      </w:r>
      <w:r w:rsidRPr="00697E23">
        <w:rPr>
          <w:color w:val="231F20"/>
          <w:spacing w:val="-12"/>
        </w:rPr>
        <w:t xml:space="preserve"> </w:t>
      </w:r>
      <w:r w:rsidRPr="00697E23">
        <w:rPr>
          <w:color w:val="231F20"/>
        </w:rPr>
        <w:t>fiscales,</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$3.787,72</w:t>
      </w:r>
      <w:r w:rsidRPr="00697E23">
        <w:rPr>
          <w:color w:val="231F20"/>
          <w:spacing w:val="-12"/>
        </w:rPr>
        <w:t xml:space="preserve"> </w:t>
      </w:r>
      <w:r w:rsidRPr="00697E23">
        <w:rPr>
          <w:color w:val="231F20"/>
        </w:rPr>
        <w:t>millones, debido</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que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cuenta</w:t>
      </w:r>
      <w:r w:rsidRPr="00697E23">
        <w:rPr>
          <w:color w:val="231F20"/>
          <w:spacing w:val="-1"/>
        </w:rPr>
        <w:t xml:space="preserve"> </w:t>
      </w:r>
      <w:r w:rsidRPr="00697E23">
        <w:rPr>
          <w:color w:val="231F20"/>
        </w:rPr>
        <w:t>ingresos</w:t>
      </w:r>
      <w:r w:rsidRPr="00697E23">
        <w:rPr>
          <w:color w:val="231F20"/>
          <w:spacing w:val="-1"/>
        </w:rPr>
        <w:t xml:space="preserve"> </w:t>
      </w:r>
      <w:r w:rsidRPr="00697E23">
        <w:rPr>
          <w:color w:val="231F20"/>
        </w:rPr>
        <w:t>tasas</w:t>
      </w:r>
      <w:r w:rsidRPr="00697E23">
        <w:rPr>
          <w:color w:val="231F20"/>
          <w:spacing w:val="-1"/>
        </w:rPr>
        <w:t xml:space="preserve"> </w:t>
      </w:r>
      <w:r w:rsidRPr="00697E23">
        <w:rPr>
          <w:color w:val="231F20"/>
        </w:rPr>
        <w:t>presentó</w:t>
      </w:r>
      <w:r w:rsidRPr="00697E23">
        <w:rPr>
          <w:color w:val="231F20"/>
          <w:spacing w:val="-1"/>
        </w:rPr>
        <w:t xml:space="preserve"> </w:t>
      </w:r>
      <w:r w:rsidRPr="00697E23">
        <w:rPr>
          <w:color w:val="231F20"/>
        </w:rPr>
        <w:t>sobrestimación</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 xml:space="preserve">el registro como ingreso del porcentaje de las tarifas para el Fondo de </w:t>
      </w:r>
      <w:r w:rsidRPr="00697E23">
        <w:rPr>
          <w:color w:val="231F20"/>
          <w:spacing w:val="-2"/>
        </w:rPr>
        <w:t>Sostenibilidad</w:t>
      </w:r>
      <w:r w:rsidRPr="00697E23">
        <w:rPr>
          <w:color w:val="231F20"/>
          <w:spacing w:val="-16"/>
        </w:rPr>
        <w:t xml:space="preserve"> </w:t>
      </w:r>
      <w:r w:rsidRPr="00697E23">
        <w:rPr>
          <w:color w:val="231F20"/>
          <w:spacing w:val="-2"/>
        </w:rPr>
        <w:t>del</w:t>
      </w:r>
      <w:r w:rsidRPr="00697E23">
        <w:rPr>
          <w:color w:val="231F20"/>
          <w:spacing w:val="-16"/>
        </w:rPr>
        <w:t xml:space="preserve"> </w:t>
      </w:r>
      <w:r w:rsidRPr="00697E23">
        <w:rPr>
          <w:color w:val="231F20"/>
          <w:spacing w:val="-2"/>
        </w:rPr>
        <w:t>RUNT</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diciembre</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2023,</w:t>
      </w:r>
      <w:r w:rsidRPr="00697E23">
        <w:rPr>
          <w:color w:val="231F20"/>
          <w:spacing w:val="-16"/>
        </w:rPr>
        <w:t xml:space="preserve"> </w:t>
      </w:r>
      <w:r w:rsidRPr="00697E23">
        <w:rPr>
          <w:color w:val="231F20"/>
          <w:spacing w:val="-2"/>
        </w:rPr>
        <w:t>por</w:t>
      </w:r>
      <w:r w:rsidRPr="00697E23">
        <w:rPr>
          <w:color w:val="231F20"/>
          <w:spacing w:val="-16"/>
        </w:rPr>
        <w:t xml:space="preserve"> </w:t>
      </w:r>
      <w:r w:rsidRPr="00697E23">
        <w:rPr>
          <w:color w:val="231F20"/>
          <w:spacing w:val="-2"/>
        </w:rPr>
        <w:t>$3.772,42</w:t>
      </w:r>
      <w:r w:rsidRPr="00697E23">
        <w:rPr>
          <w:color w:val="231F20"/>
          <w:spacing w:val="-16"/>
        </w:rPr>
        <w:t xml:space="preserve"> </w:t>
      </w:r>
      <w:r w:rsidRPr="00697E23">
        <w:rPr>
          <w:color w:val="231F20"/>
          <w:spacing w:val="-2"/>
        </w:rPr>
        <w:t xml:space="preserve">millones, </w:t>
      </w:r>
      <w:r w:rsidRPr="00697E23">
        <w:rPr>
          <w:color w:val="231F20"/>
        </w:rPr>
        <w:t>y los rendimientos financieros, por $15,28 millones, de mayo y junio de 2023, los cuales fueron registrados en enero y abril de 2024.</w:t>
      </w:r>
    </w:p>
    <w:p w14:paraId="5A598E42" w14:textId="77777777" w:rsidR="00C07FDB" w:rsidRDefault="00C07FDB" w:rsidP="00C07FDB">
      <w:pPr>
        <w:pStyle w:val="Textoindependiente"/>
        <w:jc w:val="both"/>
        <w:rPr>
          <w:color w:val="231F20"/>
        </w:rPr>
      </w:pPr>
    </w:p>
    <w:p w14:paraId="38B34DD2" w14:textId="77777777" w:rsidR="00C07FDB" w:rsidRDefault="00C07FDB" w:rsidP="00C07FDB">
      <w:pPr>
        <w:pStyle w:val="Textoindependiente"/>
        <w:jc w:val="both"/>
        <w:rPr>
          <w:color w:val="231F20"/>
        </w:rPr>
      </w:pPr>
      <w:r w:rsidRPr="00697E23">
        <w:rPr>
          <w:color w:val="231F20"/>
        </w:rPr>
        <w:t>Lo</w:t>
      </w:r>
      <w:r w:rsidRPr="00697E23">
        <w:rPr>
          <w:color w:val="231F20"/>
          <w:spacing w:val="41"/>
        </w:rPr>
        <w:t xml:space="preserve"> </w:t>
      </w:r>
      <w:r w:rsidRPr="00697E23">
        <w:rPr>
          <w:color w:val="231F20"/>
        </w:rPr>
        <w:t>anterior,</w:t>
      </w:r>
      <w:r w:rsidRPr="00697E23">
        <w:rPr>
          <w:color w:val="231F20"/>
          <w:spacing w:val="41"/>
        </w:rPr>
        <w:t xml:space="preserve"> </w:t>
      </w:r>
      <w:r w:rsidRPr="00697E23">
        <w:rPr>
          <w:color w:val="231F20"/>
        </w:rPr>
        <w:t>contravino</w:t>
      </w:r>
      <w:r w:rsidRPr="00697E23">
        <w:rPr>
          <w:color w:val="231F20"/>
          <w:spacing w:val="41"/>
        </w:rPr>
        <w:t xml:space="preserve"> </w:t>
      </w:r>
      <w:r w:rsidRPr="00697E23">
        <w:rPr>
          <w:color w:val="231F20"/>
        </w:rPr>
        <w:t>lo</w:t>
      </w:r>
      <w:r w:rsidRPr="00697E23">
        <w:rPr>
          <w:color w:val="231F20"/>
          <w:spacing w:val="41"/>
        </w:rPr>
        <w:t xml:space="preserve"> </w:t>
      </w:r>
      <w:r w:rsidRPr="00697E23">
        <w:rPr>
          <w:color w:val="231F20"/>
        </w:rPr>
        <w:t>establecido</w:t>
      </w:r>
      <w:r w:rsidRPr="00697E23">
        <w:rPr>
          <w:color w:val="231F20"/>
          <w:spacing w:val="42"/>
        </w:rPr>
        <w:t xml:space="preserve"> </w:t>
      </w:r>
      <w:r w:rsidRPr="00697E23">
        <w:rPr>
          <w:color w:val="231F20"/>
        </w:rPr>
        <w:t>en</w:t>
      </w:r>
      <w:r w:rsidRPr="00697E23">
        <w:rPr>
          <w:color w:val="231F20"/>
          <w:spacing w:val="41"/>
        </w:rPr>
        <w:t xml:space="preserve"> </w:t>
      </w:r>
      <w:r w:rsidRPr="00697E23">
        <w:rPr>
          <w:color w:val="231F20"/>
        </w:rPr>
        <w:t>Marco</w:t>
      </w:r>
      <w:r w:rsidRPr="00697E23">
        <w:rPr>
          <w:color w:val="231F20"/>
          <w:spacing w:val="41"/>
        </w:rPr>
        <w:t xml:space="preserve"> </w:t>
      </w:r>
      <w:r w:rsidRPr="00697E23">
        <w:rPr>
          <w:color w:val="231F20"/>
        </w:rPr>
        <w:t>conceptual</w:t>
      </w:r>
      <w:r w:rsidRPr="00697E23">
        <w:rPr>
          <w:color w:val="231F20"/>
          <w:spacing w:val="41"/>
        </w:rPr>
        <w:t xml:space="preserve"> </w:t>
      </w:r>
      <w:r w:rsidRPr="00697E23">
        <w:rPr>
          <w:color w:val="231F20"/>
        </w:rPr>
        <w:t>para</w:t>
      </w:r>
      <w:r w:rsidRPr="00697E23">
        <w:rPr>
          <w:color w:val="231F20"/>
          <w:spacing w:val="42"/>
        </w:rPr>
        <w:t xml:space="preserve"> </w:t>
      </w:r>
      <w:r w:rsidRPr="00697E23">
        <w:rPr>
          <w:color w:val="231F20"/>
          <w:spacing w:val="-5"/>
        </w:rPr>
        <w:t>la</w:t>
      </w:r>
      <w:r>
        <w:rPr>
          <w:color w:val="231F20"/>
          <w:spacing w:val="-5"/>
        </w:rPr>
        <w:t xml:space="preserve"> </w:t>
      </w:r>
      <w:r w:rsidRPr="00697E23">
        <w:rPr>
          <w:color w:val="231F20"/>
          <w:spacing w:val="-2"/>
        </w:rPr>
        <w:t>preparación</w:t>
      </w:r>
      <w:r w:rsidRPr="00697E23">
        <w:rPr>
          <w:color w:val="231F20"/>
          <w:spacing w:val="-10"/>
        </w:rPr>
        <w:t xml:space="preserve"> </w:t>
      </w:r>
      <w:r w:rsidRPr="00697E23">
        <w:rPr>
          <w:color w:val="231F20"/>
          <w:spacing w:val="-2"/>
        </w:rPr>
        <w:t>y</w:t>
      </w:r>
      <w:r w:rsidRPr="00697E23">
        <w:rPr>
          <w:color w:val="231F20"/>
          <w:spacing w:val="-10"/>
        </w:rPr>
        <w:t xml:space="preserve"> </w:t>
      </w:r>
      <w:r w:rsidRPr="00697E23">
        <w:rPr>
          <w:color w:val="231F20"/>
          <w:spacing w:val="-2"/>
        </w:rPr>
        <w:t>presentación</w:t>
      </w:r>
      <w:r w:rsidRPr="00697E23">
        <w:rPr>
          <w:color w:val="231F20"/>
          <w:spacing w:val="-10"/>
        </w:rPr>
        <w:t xml:space="preserve"> </w:t>
      </w:r>
      <w:r w:rsidRPr="00697E23">
        <w:rPr>
          <w:color w:val="231F20"/>
          <w:spacing w:val="-2"/>
        </w:rPr>
        <w:t>de</w:t>
      </w:r>
      <w:r w:rsidRPr="00697E23">
        <w:rPr>
          <w:color w:val="231F20"/>
          <w:spacing w:val="-10"/>
        </w:rPr>
        <w:t xml:space="preserve"> </w:t>
      </w:r>
      <w:r w:rsidRPr="00697E23">
        <w:rPr>
          <w:color w:val="231F20"/>
          <w:spacing w:val="-2"/>
        </w:rPr>
        <w:t>la</w:t>
      </w:r>
      <w:r w:rsidRPr="00697E23">
        <w:rPr>
          <w:color w:val="231F20"/>
          <w:spacing w:val="-9"/>
        </w:rPr>
        <w:t xml:space="preserve"> </w:t>
      </w:r>
      <w:r w:rsidRPr="00697E23">
        <w:rPr>
          <w:color w:val="231F20"/>
          <w:spacing w:val="-2"/>
        </w:rPr>
        <w:t>información</w:t>
      </w:r>
      <w:r w:rsidRPr="00697E23">
        <w:rPr>
          <w:color w:val="231F20"/>
          <w:spacing w:val="-10"/>
        </w:rPr>
        <w:t xml:space="preserve"> </w:t>
      </w:r>
      <w:r w:rsidRPr="00697E23">
        <w:rPr>
          <w:color w:val="231F20"/>
          <w:spacing w:val="-2"/>
        </w:rPr>
        <w:t>financiera</w:t>
      </w:r>
      <w:r w:rsidRPr="00697E23">
        <w:rPr>
          <w:color w:val="231F20"/>
          <w:spacing w:val="-10"/>
        </w:rPr>
        <w:t xml:space="preserve"> </w:t>
      </w:r>
      <w:r w:rsidRPr="00697E23">
        <w:rPr>
          <w:color w:val="231F20"/>
          <w:spacing w:val="-2"/>
        </w:rPr>
        <w:t>para</w:t>
      </w:r>
      <w:r w:rsidRPr="00697E23">
        <w:rPr>
          <w:color w:val="231F20"/>
          <w:spacing w:val="-10"/>
        </w:rPr>
        <w:t xml:space="preserve"> </w:t>
      </w:r>
      <w:r w:rsidRPr="00697E23">
        <w:rPr>
          <w:color w:val="231F20"/>
          <w:spacing w:val="-2"/>
        </w:rPr>
        <w:t>entidades</w:t>
      </w:r>
      <w:r>
        <w:rPr>
          <w:color w:val="231F20"/>
          <w:spacing w:val="-2"/>
        </w:rPr>
        <w:t xml:space="preserve"> </w:t>
      </w:r>
      <w:r w:rsidRPr="00697E23">
        <w:rPr>
          <w:color w:val="231F20"/>
        </w:rPr>
        <w:t>de</w:t>
      </w:r>
      <w:r w:rsidRPr="00697E23">
        <w:rPr>
          <w:color w:val="231F20"/>
          <w:spacing w:val="40"/>
        </w:rPr>
        <w:t xml:space="preserve"> </w:t>
      </w:r>
      <w:r w:rsidRPr="00697E23">
        <w:rPr>
          <w:color w:val="231F20"/>
        </w:rPr>
        <w:t>Gobierno,</w:t>
      </w:r>
      <w:r w:rsidRPr="00697E23">
        <w:rPr>
          <w:color w:val="231F20"/>
          <w:spacing w:val="40"/>
        </w:rPr>
        <w:t xml:space="preserve"> </w:t>
      </w:r>
      <w:r w:rsidRPr="00697E23">
        <w:rPr>
          <w:color w:val="231F20"/>
        </w:rPr>
        <w:t>numeral</w:t>
      </w:r>
      <w:r w:rsidRPr="00697E23">
        <w:rPr>
          <w:color w:val="231F20"/>
          <w:spacing w:val="40"/>
        </w:rPr>
        <w:t xml:space="preserve"> </w:t>
      </w:r>
      <w:r w:rsidRPr="00697E23">
        <w:rPr>
          <w:color w:val="231F20"/>
        </w:rPr>
        <w:t>5.</w:t>
      </w:r>
      <w:r w:rsidRPr="00697E23">
        <w:rPr>
          <w:color w:val="231F20"/>
          <w:spacing w:val="40"/>
        </w:rPr>
        <w:t xml:space="preserve"> </w:t>
      </w:r>
      <w:r w:rsidRPr="00697E23">
        <w:rPr>
          <w:color w:val="231F20"/>
        </w:rPr>
        <w:t>Principios</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contabilidad</w:t>
      </w:r>
      <w:r w:rsidRPr="00697E23">
        <w:rPr>
          <w:color w:val="231F20"/>
          <w:spacing w:val="40"/>
        </w:rPr>
        <w:t xml:space="preserve"> </w:t>
      </w:r>
      <w:r w:rsidRPr="00697E23">
        <w:rPr>
          <w:color w:val="231F20"/>
        </w:rPr>
        <w:t>pública,</w:t>
      </w:r>
      <w:r w:rsidRPr="00697E23">
        <w:rPr>
          <w:color w:val="231F20"/>
          <w:spacing w:val="40"/>
        </w:rPr>
        <w:t xml:space="preserve"> </w:t>
      </w:r>
      <w:r w:rsidRPr="00697E23">
        <w:rPr>
          <w:color w:val="231F20"/>
        </w:rPr>
        <w:t xml:space="preserve">lo cual generó sobrestimación de la cuenta ingresos tributarios tasas, </w:t>
      </w:r>
      <w:r w:rsidRPr="00697E23">
        <w:rPr>
          <w:color w:val="231F20"/>
          <w:spacing w:val="-4"/>
        </w:rPr>
        <w:t>afectando</w:t>
      </w:r>
      <w:r w:rsidRPr="00697E23">
        <w:rPr>
          <w:color w:val="231F20"/>
          <w:spacing w:val="-12"/>
        </w:rPr>
        <w:t xml:space="preserve"> </w:t>
      </w:r>
      <w:r w:rsidRPr="00697E23">
        <w:rPr>
          <w:color w:val="231F20"/>
          <w:spacing w:val="-4"/>
        </w:rPr>
        <w:t>la</w:t>
      </w:r>
      <w:r w:rsidRPr="00697E23">
        <w:rPr>
          <w:color w:val="231F20"/>
          <w:spacing w:val="-12"/>
        </w:rPr>
        <w:t xml:space="preserve"> </w:t>
      </w:r>
      <w:r w:rsidRPr="00697E23">
        <w:rPr>
          <w:color w:val="231F20"/>
          <w:spacing w:val="-4"/>
        </w:rPr>
        <w:t>razonabilidad</w:t>
      </w:r>
      <w:r w:rsidRPr="00697E23">
        <w:rPr>
          <w:color w:val="231F20"/>
          <w:spacing w:val="-12"/>
        </w:rPr>
        <w:t xml:space="preserve"> </w:t>
      </w:r>
      <w:r w:rsidRPr="00697E23">
        <w:rPr>
          <w:color w:val="231F20"/>
          <w:spacing w:val="-4"/>
        </w:rPr>
        <w:t>de</w:t>
      </w:r>
      <w:r w:rsidRPr="00697E23">
        <w:rPr>
          <w:color w:val="231F20"/>
          <w:spacing w:val="-12"/>
        </w:rPr>
        <w:t xml:space="preserve"> </w:t>
      </w:r>
      <w:r w:rsidRPr="00697E23">
        <w:rPr>
          <w:color w:val="231F20"/>
          <w:spacing w:val="-4"/>
        </w:rPr>
        <w:t>estas</w:t>
      </w:r>
      <w:r w:rsidRPr="00697E23">
        <w:rPr>
          <w:color w:val="231F20"/>
          <w:spacing w:val="-12"/>
        </w:rPr>
        <w:t xml:space="preserve"> </w:t>
      </w:r>
      <w:r w:rsidRPr="00697E23">
        <w:rPr>
          <w:color w:val="231F20"/>
          <w:spacing w:val="-4"/>
        </w:rPr>
        <w:t>y</w:t>
      </w:r>
      <w:r w:rsidRPr="00697E23">
        <w:rPr>
          <w:color w:val="231F20"/>
          <w:spacing w:val="-12"/>
        </w:rPr>
        <w:t xml:space="preserve"> </w:t>
      </w:r>
      <w:r w:rsidRPr="00697E23">
        <w:rPr>
          <w:color w:val="231F20"/>
          <w:spacing w:val="-4"/>
        </w:rPr>
        <w:t>la</w:t>
      </w:r>
      <w:r w:rsidRPr="00697E23">
        <w:rPr>
          <w:color w:val="231F20"/>
          <w:spacing w:val="-12"/>
        </w:rPr>
        <w:t xml:space="preserve"> </w:t>
      </w:r>
      <w:r w:rsidRPr="00697E23">
        <w:rPr>
          <w:color w:val="231F20"/>
          <w:spacing w:val="-4"/>
        </w:rPr>
        <w:t>gestión</w:t>
      </w:r>
      <w:r w:rsidRPr="00697E23">
        <w:rPr>
          <w:color w:val="231F20"/>
          <w:spacing w:val="-12"/>
        </w:rPr>
        <w:t xml:space="preserve"> </w:t>
      </w:r>
      <w:r w:rsidRPr="00697E23">
        <w:rPr>
          <w:color w:val="231F20"/>
          <w:spacing w:val="-4"/>
        </w:rPr>
        <w:t>de</w:t>
      </w:r>
      <w:r w:rsidRPr="00697E23">
        <w:rPr>
          <w:color w:val="231F20"/>
          <w:spacing w:val="-12"/>
        </w:rPr>
        <w:t xml:space="preserve"> </w:t>
      </w:r>
      <w:r w:rsidRPr="00697E23">
        <w:rPr>
          <w:color w:val="231F20"/>
          <w:spacing w:val="-4"/>
        </w:rPr>
        <w:t>la</w:t>
      </w:r>
      <w:r w:rsidRPr="00697E23">
        <w:rPr>
          <w:color w:val="231F20"/>
          <w:spacing w:val="-12"/>
        </w:rPr>
        <w:t xml:space="preserve"> </w:t>
      </w:r>
      <w:r w:rsidRPr="00697E23">
        <w:rPr>
          <w:color w:val="231F20"/>
          <w:spacing w:val="-4"/>
        </w:rPr>
        <w:t>Entidad</w:t>
      </w:r>
      <w:r w:rsidRPr="00697E23">
        <w:rPr>
          <w:color w:val="231F20"/>
          <w:spacing w:val="-12"/>
        </w:rPr>
        <w:t xml:space="preserve"> </w:t>
      </w:r>
      <w:r w:rsidRPr="00697E23">
        <w:rPr>
          <w:color w:val="231F20"/>
          <w:spacing w:val="-4"/>
        </w:rPr>
        <w:t>al</w:t>
      </w:r>
      <w:r w:rsidRPr="00697E23">
        <w:rPr>
          <w:color w:val="231F20"/>
          <w:spacing w:val="-12"/>
        </w:rPr>
        <w:t xml:space="preserve"> </w:t>
      </w:r>
      <w:r w:rsidRPr="00697E23">
        <w:rPr>
          <w:color w:val="231F20"/>
          <w:spacing w:val="-4"/>
        </w:rPr>
        <w:t>no</w:t>
      </w:r>
      <w:r w:rsidRPr="00697E23">
        <w:rPr>
          <w:color w:val="231F20"/>
          <w:spacing w:val="-12"/>
        </w:rPr>
        <w:t xml:space="preserve"> </w:t>
      </w:r>
      <w:r w:rsidRPr="00697E23">
        <w:rPr>
          <w:color w:val="231F20"/>
          <w:spacing w:val="-4"/>
        </w:rPr>
        <w:t xml:space="preserve">tener </w:t>
      </w:r>
      <w:r w:rsidRPr="00697E23">
        <w:rPr>
          <w:color w:val="231F20"/>
        </w:rPr>
        <w:t>claridad sobre la disponibilidad de los recursos que deben conciliar el grupo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cartera</w:t>
      </w:r>
      <w:r w:rsidRPr="00697E23">
        <w:rPr>
          <w:color w:val="231F20"/>
          <w:spacing w:val="-7"/>
        </w:rPr>
        <w:t xml:space="preserve"> </w:t>
      </w:r>
      <w:r w:rsidRPr="00697E23">
        <w:rPr>
          <w:color w:val="231F20"/>
        </w:rPr>
        <w:t>con</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fiduciaria</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contabilidad</w:t>
      </w:r>
      <w:r w:rsidRPr="00697E23">
        <w:rPr>
          <w:color w:val="231F20"/>
          <w:spacing w:val="-7"/>
        </w:rPr>
        <w:t xml:space="preserve"> </w:t>
      </w:r>
      <w:r w:rsidRPr="00697E23">
        <w:rPr>
          <w:color w:val="231F20"/>
        </w:rPr>
        <w:t>e</w:t>
      </w:r>
      <w:r w:rsidRPr="00697E23">
        <w:rPr>
          <w:color w:val="231F20"/>
          <w:spacing w:val="-7"/>
        </w:rPr>
        <w:t xml:space="preserve"> </w:t>
      </w:r>
      <w:r w:rsidRPr="00697E23">
        <w:rPr>
          <w:color w:val="231F20"/>
        </w:rPr>
        <w:t>incumplimiento</w:t>
      </w:r>
      <w:r w:rsidRPr="00697E23">
        <w:rPr>
          <w:color w:val="231F20"/>
          <w:spacing w:val="-7"/>
        </w:rPr>
        <w:t xml:space="preserve"> </w:t>
      </w:r>
      <w:r w:rsidRPr="00697E23">
        <w:rPr>
          <w:color w:val="231F20"/>
        </w:rPr>
        <w:t>a</w:t>
      </w:r>
      <w:r w:rsidRPr="00697E23">
        <w:rPr>
          <w:color w:val="231F20"/>
          <w:spacing w:val="-7"/>
        </w:rPr>
        <w:t xml:space="preserve"> </w:t>
      </w:r>
      <w:r w:rsidRPr="00697E23">
        <w:rPr>
          <w:color w:val="231F20"/>
        </w:rPr>
        <w:t xml:space="preserve">lo </w:t>
      </w:r>
      <w:r w:rsidRPr="00697E23">
        <w:rPr>
          <w:color w:val="231F20"/>
          <w:spacing w:val="-2"/>
        </w:rPr>
        <w:t>establecido</w:t>
      </w:r>
      <w:r w:rsidRPr="00697E23">
        <w:rPr>
          <w:color w:val="231F20"/>
          <w:spacing w:val="-15"/>
        </w:rPr>
        <w:t xml:space="preserve"> </w:t>
      </w:r>
      <w:r w:rsidRPr="00697E23">
        <w:rPr>
          <w:color w:val="231F20"/>
          <w:spacing w:val="-2"/>
        </w:rPr>
        <w:t>en</w:t>
      </w:r>
      <w:r w:rsidRPr="00697E23">
        <w:rPr>
          <w:color w:val="231F20"/>
          <w:spacing w:val="-15"/>
        </w:rPr>
        <w:t xml:space="preserve"> </w:t>
      </w:r>
      <w:r w:rsidRPr="00697E23">
        <w:rPr>
          <w:color w:val="231F20"/>
          <w:spacing w:val="-2"/>
        </w:rPr>
        <w:t>las</w:t>
      </w:r>
      <w:r w:rsidRPr="00697E23">
        <w:rPr>
          <w:color w:val="231F20"/>
          <w:spacing w:val="-15"/>
        </w:rPr>
        <w:t xml:space="preserve"> </w:t>
      </w:r>
      <w:r w:rsidRPr="00697E23">
        <w:rPr>
          <w:color w:val="231F20"/>
          <w:spacing w:val="-2"/>
        </w:rPr>
        <w:t>normas</w:t>
      </w:r>
      <w:r w:rsidRPr="00697E23">
        <w:rPr>
          <w:color w:val="231F20"/>
          <w:spacing w:val="-15"/>
        </w:rPr>
        <w:t xml:space="preserve"> </w:t>
      </w:r>
      <w:r w:rsidRPr="00697E23">
        <w:rPr>
          <w:color w:val="231F20"/>
          <w:spacing w:val="-2"/>
        </w:rPr>
        <w:t>para</w:t>
      </w:r>
      <w:r w:rsidRPr="00697E23">
        <w:rPr>
          <w:color w:val="231F20"/>
          <w:spacing w:val="-15"/>
        </w:rPr>
        <w:t xml:space="preserve"> </w:t>
      </w:r>
      <w:r w:rsidRPr="00697E23">
        <w:rPr>
          <w:color w:val="231F20"/>
          <w:spacing w:val="-2"/>
        </w:rPr>
        <w:t>el</w:t>
      </w:r>
      <w:r w:rsidRPr="00697E23">
        <w:rPr>
          <w:color w:val="231F20"/>
          <w:spacing w:val="-15"/>
        </w:rPr>
        <w:t xml:space="preserve"> </w:t>
      </w:r>
      <w:r w:rsidRPr="00697E23">
        <w:rPr>
          <w:color w:val="231F20"/>
          <w:spacing w:val="-2"/>
        </w:rPr>
        <w:t>reconocimiento,</w:t>
      </w:r>
      <w:r w:rsidRPr="00697E23">
        <w:rPr>
          <w:color w:val="231F20"/>
          <w:spacing w:val="-15"/>
        </w:rPr>
        <w:t xml:space="preserve"> </w:t>
      </w:r>
      <w:r w:rsidRPr="00697E23">
        <w:rPr>
          <w:color w:val="231F20"/>
          <w:spacing w:val="-2"/>
        </w:rPr>
        <w:t>medición,</w:t>
      </w:r>
      <w:r w:rsidRPr="00697E23">
        <w:rPr>
          <w:color w:val="231F20"/>
          <w:spacing w:val="-15"/>
        </w:rPr>
        <w:t xml:space="preserve"> </w:t>
      </w:r>
      <w:r w:rsidRPr="00697E23">
        <w:rPr>
          <w:color w:val="231F20"/>
          <w:spacing w:val="-2"/>
        </w:rPr>
        <w:t xml:space="preserve">revelación </w:t>
      </w:r>
      <w:r w:rsidRPr="00697E23">
        <w:rPr>
          <w:color w:val="231F20"/>
        </w:rPr>
        <w:t>y presentación de los hechos económicos.</w:t>
      </w:r>
    </w:p>
    <w:p w14:paraId="51BD54F1" w14:textId="77777777" w:rsidR="00C07FDB" w:rsidRDefault="00C07FDB" w:rsidP="00C07FDB">
      <w:pPr>
        <w:pStyle w:val="Textoindependiente"/>
        <w:jc w:val="both"/>
        <w:rPr>
          <w:color w:val="231F20"/>
        </w:rPr>
      </w:pPr>
    </w:p>
    <w:p w14:paraId="677091B7" w14:textId="77777777" w:rsidR="00C07FDB" w:rsidRDefault="00C07FDB" w:rsidP="00C07FDB">
      <w:pPr>
        <w:pStyle w:val="Textoindependiente"/>
        <w:jc w:val="both"/>
        <w:rPr>
          <w:color w:val="231F20"/>
        </w:rPr>
      </w:pPr>
      <w:r w:rsidRPr="00C07FDB">
        <w:rPr>
          <w:b/>
          <w:bCs/>
          <w:color w:val="231F20"/>
          <w:sz w:val="28"/>
          <w:szCs w:val="28"/>
        </w:rPr>
        <w:t>-</w:t>
      </w:r>
      <w:r w:rsidRPr="00C07FDB">
        <w:rPr>
          <w:b/>
          <w:bCs/>
          <w:color w:val="231F20"/>
        </w:rPr>
        <w:t>Incorrección</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cantidad</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ingresos</w:t>
      </w:r>
      <w:r w:rsidRPr="00697E23">
        <w:rPr>
          <w:color w:val="231F20"/>
          <w:spacing w:val="-13"/>
        </w:rPr>
        <w:t xml:space="preserve"> </w:t>
      </w:r>
      <w:r w:rsidRPr="00697E23">
        <w:rPr>
          <w:color w:val="231F20"/>
        </w:rPr>
        <w:t>fiscales,</w:t>
      </w:r>
      <w:r w:rsidRPr="00697E23">
        <w:rPr>
          <w:color w:val="231F20"/>
          <w:spacing w:val="-13"/>
        </w:rPr>
        <w:t xml:space="preserve"> </w:t>
      </w:r>
      <w:r w:rsidRPr="00697E23">
        <w:rPr>
          <w:color w:val="231F20"/>
        </w:rPr>
        <w:t>por</w:t>
      </w:r>
      <w:r w:rsidRPr="00697E23">
        <w:rPr>
          <w:color w:val="231F20"/>
          <w:spacing w:val="-13"/>
        </w:rPr>
        <w:t xml:space="preserve"> </w:t>
      </w:r>
      <w:r w:rsidRPr="00697E23">
        <w:rPr>
          <w:color w:val="231F20"/>
        </w:rPr>
        <w:t>$6.323,57</w:t>
      </w:r>
      <w:r w:rsidRPr="00697E23">
        <w:rPr>
          <w:color w:val="231F20"/>
          <w:spacing w:val="-13"/>
        </w:rPr>
        <w:t xml:space="preserve"> </w:t>
      </w:r>
      <w:r w:rsidRPr="00697E23">
        <w:rPr>
          <w:color w:val="231F20"/>
        </w:rPr>
        <w:t xml:space="preserve">millones, </w:t>
      </w:r>
      <w:r w:rsidRPr="00697E23">
        <w:rPr>
          <w:color w:val="231F20"/>
          <w:spacing w:val="-4"/>
        </w:rPr>
        <w:t>debido</w:t>
      </w:r>
      <w:r w:rsidRPr="00697E23">
        <w:rPr>
          <w:color w:val="231F20"/>
          <w:spacing w:val="-16"/>
        </w:rPr>
        <w:t xml:space="preserve"> </w:t>
      </w:r>
      <w:r w:rsidRPr="00697E23">
        <w:rPr>
          <w:color w:val="231F20"/>
          <w:spacing w:val="-4"/>
        </w:rPr>
        <w:t>a</w:t>
      </w:r>
      <w:r w:rsidRPr="00697E23">
        <w:rPr>
          <w:color w:val="231F20"/>
          <w:spacing w:val="-15"/>
        </w:rPr>
        <w:t xml:space="preserve"> </w:t>
      </w:r>
      <w:r w:rsidRPr="00697E23">
        <w:rPr>
          <w:color w:val="231F20"/>
          <w:spacing w:val="-4"/>
        </w:rPr>
        <w:t>que</w:t>
      </w:r>
      <w:r w:rsidRPr="00697E23">
        <w:rPr>
          <w:color w:val="231F20"/>
          <w:spacing w:val="-14"/>
        </w:rPr>
        <w:t xml:space="preserve"> </w:t>
      </w:r>
      <w:r w:rsidRPr="00697E23">
        <w:rPr>
          <w:color w:val="231F20"/>
          <w:spacing w:val="-4"/>
        </w:rPr>
        <w:t>la</w:t>
      </w:r>
      <w:r w:rsidRPr="00697E23">
        <w:rPr>
          <w:color w:val="231F20"/>
          <w:spacing w:val="-15"/>
        </w:rPr>
        <w:t xml:space="preserve"> </w:t>
      </w:r>
      <w:r w:rsidRPr="00697E23">
        <w:rPr>
          <w:color w:val="231F20"/>
          <w:spacing w:val="-4"/>
        </w:rPr>
        <w:t>cuenta</w:t>
      </w:r>
      <w:r w:rsidRPr="00697E23">
        <w:rPr>
          <w:color w:val="231F20"/>
          <w:spacing w:val="-16"/>
        </w:rPr>
        <w:t xml:space="preserve"> </w:t>
      </w:r>
      <w:r w:rsidRPr="00697E23">
        <w:rPr>
          <w:color w:val="231F20"/>
          <w:spacing w:val="-4"/>
        </w:rPr>
        <w:t>ingresos</w:t>
      </w:r>
      <w:r w:rsidRPr="00697E23">
        <w:rPr>
          <w:color w:val="231F20"/>
          <w:spacing w:val="-15"/>
        </w:rPr>
        <w:t xml:space="preserve"> </w:t>
      </w:r>
      <w:r w:rsidRPr="00697E23">
        <w:rPr>
          <w:color w:val="231F20"/>
          <w:spacing w:val="-4"/>
        </w:rPr>
        <w:t>formularios</w:t>
      </w:r>
      <w:r w:rsidRPr="00697E23">
        <w:rPr>
          <w:color w:val="231F20"/>
          <w:spacing w:val="-15"/>
        </w:rPr>
        <w:t xml:space="preserve"> </w:t>
      </w:r>
      <w:r w:rsidRPr="00697E23">
        <w:rPr>
          <w:color w:val="231F20"/>
          <w:spacing w:val="-4"/>
        </w:rPr>
        <w:t>especies</w:t>
      </w:r>
      <w:r w:rsidRPr="00697E23">
        <w:rPr>
          <w:color w:val="231F20"/>
          <w:spacing w:val="-16"/>
        </w:rPr>
        <w:t xml:space="preserve"> </w:t>
      </w:r>
      <w:r w:rsidRPr="00697E23">
        <w:rPr>
          <w:color w:val="231F20"/>
          <w:spacing w:val="-4"/>
        </w:rPr>
        <w:t>valoradas</w:t>
      </w:r>
      <w:r w:rsidRPr="00697E23">
        <w:rPr>
          <w:color w:val="231F20"/>
          <w:spacing w:val="-15"/>
        </w:rPr>
        <w:t xml:space="preserve"> </w:t>
      </w:r>
      <w:r w:rsidRPr="00697E23">
        <w:rPr>
          <w:color w:val="231F20"/>
          <w:spacing w:val="-4"/>
        </w:rPr>
        <w:t xml:space="preserve">presentó </w:t>
      </w:r>
      <w:r w:rsidRPr="00697E23">
        <w:rPr>
          <w:color w:val="231F20"/>
        </w:rPr>
        <w:t>sobrestimación entre el registro de los soportes de las resoluciones de 2020, 2021 y 2023 y el reporte de causación correspondientes a vigencias anteriores de faltantes del 35% de las especies venales de los organismos de tránsito de las vigencias 2016, 2018, 2019, 2020, 2021</w:t>
      </w:r>
      <w:r w:rsidRPr="00697E23">
        <w:rPr>
          <w:color w:val="231F20"/>
          <w:spacing w:val="-5"/>
        </w:rPr>
        <w:t xml:space="preserve"> </w:t>
      </w:r>
      <w:r w:rsidRPr="00697E23">
        <w:rPr>
          <w:color w:val="231F20"/>
        </w:rPr>
        <w:t>y</w:t>
      </w:r>
      <w:r w:rsidRPr="00697E23">
        <w:rPr>
          <w:color w:val="231F20"/>
          <w:spacing w:val="-6"/>
        </w:rPr>
        <w:t xml:space="preserve"> </w:t>
      </w:r>
      <w:r w:rsidRPr="00697E23">
        <w:rPr>
          <w:color w:val="231F20"/>
        </w:rPr>
        <w:t>2023,</w:t>
      </w:r>
      <w:r w:rsidRPr="00697E23">
        <w:rPr>
          <w:color w:val="231F20"/>
          <w:spacing w:val="-5"/>
        </w:rPr>
        <w:t xml:space="preserve"> </w:t>
      </w:r>
      <w:r w:rsidRPr="00697E23">
        <w:rPr>
          <w:color w:val="231F20"/>
        </w:rPr>
        <w:t>ya</w:t>
      </w:r>
      <w:r w:rsidRPr="00697E23">
        <w:rPr>
          <w:color w:val="231F20"/>
          <w:spacing w:val="-6"/>
        </w:rPr>
        <w:t xml:space="preserve"> </w:t>
      </w:r>
      <w:r w:rsidRPr="00697E23">
        <w:rPr>
          <w:color w:val="231F20"/>
        </w:rPr>
        <w:t>que</w:t>
      </w:r>
      <w:r w:rsidRPr="00697E23">
        <w:rPr>
          <w:color w:val="231F20"/>
          <w:spacing w:val="-5"/>
        </w:rPr>
        <w:t xml:space="preserve"> </w:t>
      </w:r>
      <w:r w:rsidRPr="00697E23">
        <w:rPr>
          <w:color w:val="231F20"/>
        </w:rPr>
        <w:t>fueron</w:t>
      </w:r>
      <w:r w:rsidRPr="00697E23">
        <w:rPr>
          <w:color w:val="231F20"/>
          <w:spacing w:val="-6"/>
        </w:rPr>
        <w:t xml:space="preserve"> </w:t>
      </w:r>
      <w:r w:rsidRPr="00697E23">
        <w:rPr>
          <w:color w:val="231F20"/>
        </w:rPr>
        <w:t>registrados</w:t>
      </w:r>
      <w:r w:rsidRPr="00697E23">
        <w:rPr>
          <w:color w:val="231F20"/>
          <w:spacing w:val="-5"/>
        </w:rPr>
        <w:t xml:space="preserve"> </w:t>
      </w:r>
      <w:r w:rsidRPr="00697E23">
        <w:rPr>
          <w:color w:val="231F20"/>
        </w:rPr>
        <w:t>en</w:t>
      </w:r>
      <w:r w:rsidRPr="00697E23">
        <w:rPr>
          <w:color w:val="231F20"/>
          <w:spacing w:val="-6"/>
        </w:rPr>
        <w:t xml:space="preserve"> </w:t>
      </w:r>
      <w:r w:rsidRPr="00697E23">
        <w:rPr>
          <w:color w:val="231F20"/>
        </w:rPr>
        <w:lastRenderedPageBreak/>
        <w:t>julio,</w:t>
      </w:r>
      <w:r w:rsidRPr="00697E23">
        <w:rPr>
          <w:color w:val="231F20"/>
          <w:spacing w:val="-5"/>
        </w:rPr>
        <w:t xml:space="preserve"> </w:t>
      </w:r>
      <w:r w:rsidRPr="00697E23">
        <w:rPr>
          <w:color w:val="231F20"/>
        </w:rPr>
        <w:t>agosto</w:t>
      </w:r>
      <w:r w:rsidRPr="00697E23">
        <w:rPr>
          <w:color w:val="231F20"/>
          <w:spacing w:val="-6"/>
        </w:rPr>
        <w:t xml:space="preserve"> </w:t>
      </w:r>
      <w:r w:rsidRPr="00697E23">
        <w:rPr>
          <w:color w:val="231F20"/>
        </w:rPr>
        <w:t>y</w:t>
      </w:r>
      <w:r w:rsidRPr="00697E23">
        <w:rPr>
          <w:color w:val="231F20"/>
          <w:spacing w:val="-5"/>
        </w:rPr>
        <w:t xml:space="preserve"> </w:t>
      </w:r>
      <w:r w:rsidRPr="00697E23">
        <w:rPr>
          <w:color w:val="231F20"/>
        </w:rPr>
        <w:t>septiembre de 2024.</w:t>
      </w:r>
    </w:p>
    <w:p w14:paraId="64931675" w14:textId="77777777" w:rsidR="00C07FDB" w:rsidRDefault="00C07FDB" w:rsidP="00C07FDB">
      <w:pPr>
        <w:pStyle w:val="Textoindependiente"/>
        <w:jc w:val="both"/>
        <w:rPr>
          <w:color w:val="231F20"/>
        </w:rPr>
      </w:pPr>
    </w:p>
    <w:p w14:paraId="79D185CE" w14:textId="77777777" w:rsidR="00C07FDB" w:rsidRDefault="00C07FDB" w:rsidP="00C07FDB">
      <w:pPr>
        <w:pStyle w:val="Textoindependiente"/>
        <w:jc w:val="both"/>
        <w:rPr>
          <w:color w:val="231F20"/>
        </w:rPr>
      </w:pPr>
      <w:r w:rsidRPr="00697E23">
        <w:rPr>
          <w:color w:val="231F20"/>
        </w:rPr>
        <w:t xml:space="preserve">Lo anterior, contravino lo establecido en el Marco conceptual para la </w:t>
      </w:r>
      <w:r w:rsidRPr="00697E23">
        <w:rPr>
          <w:color w:val="231F20"/>
          <w:spacing w:val="-2"/>
        </w:rPr>
        <w:t>preparación</w:t>
      </w:r>
      <w:r w:rsidRPr="00697E23">
        <w:rPr>
          <w:color w:val="231F20"/>
          <w:spacing w:val="-10"/>
        </w:rPr>
        <w:t xml:space="preserve"> </w:t>
      </w:r>
      <w:r w:rsidRPr="00697E23">
        <w:rPr>
          <w:color w:val="231F20"/>
          <w:spacing w:val="-2"/>
        </w:rPr>
        <w:t>y</w:t>
      </w:r>
      <w:r w:rsidRPr="00697E23">
        <w:rPr>
          <w:color w:val="231F20"/>
          <w:spacing w:val="-10"/>
        </w:rPr>
        <w:t xml:space="preserve"> </w:t>
      </w:r>
      <w:r w:rsidRPr="00697E23">
        <w:rPr>
          <w:color w:val="231F20"/>
          <w:spacing w:val="-2"/>
        </w:rPr>
        <w:t>presentación</w:t>
      </w:r>
      <w:r w:rsidRPr="00697E23">
        <w:rPr>
          <w:color w:val="231F20"/>
          <w:spacing w:val="-10"/>
        </w:rPr>
        <w:t xml:space="preserve"> </w:t>
      </w:r>
      <w:r w:rsidRPr="00697E23">
        <w:rPr>
          <w:color w:val="231F20"/>
          <w:spacing w:val="-2"/>
        </w:rPr>
        <w:t>de</w:t>
      </w:r>
      <w:r w:rsidRPr="00697E23">
        <w:rPr>
          <w:color w:val="231F20"/>
          <w:spacing w:val="-10"/>
        </w:rPr>
        <w:t xml:space="preserve"> </w:t>
      </w:r>
      <w:r w:rsidRPr="00697E23">
        <w:rPr>
          <w:color w:val="231F20"/>
          <w:spacing w:val="-2"/>
        </w:rPr>
        <w:t>la</w:t>
      </w:r>
      <w:r w:rsidRPr="00697E23">
        <w:rPr>
          <w:color w:val="231F20"/>
          <w:spacing w:val="-10"/>
        </w:rPr>
        <w:t xml:space="preserve"> </w:t>
      </w:r>
      <w:r w:rsidRPr="00697E23">
        <w:rPr>
          <w:color w:val="231F20"/>
          <w:spacing w:val="-2"/>
        </w:rPr>
        <w:t>información</w:t>
      </w:r>
      <w:r w:rsidRPr="00697E23">
        <w:rPr>
          <w:color w:val="231F20"/>
          <w:spacing w:val="-10"/>
        </w:rPr>
        <w:t xml:space="preserve"> </w:t>
      </w:r>
      <w:r w:rsidRPr="00697E23">
        <w:rPr>
          <w:color w:val="231F20"/>
          <w:spacing w:val="-2"/>
        </w:rPr>
        <w:t>financiera</w:t>
      </w:r>
      <w:r w:rsidRPr="00697E23">
        <w:rPr>
          <w:color w:val="231F20"/>
          <w:spacing w:val="-10"/>
        </w:rPr>
        <w:t xml:space="preserve"> </w:t>
      </w:r>
      <w:r w:rsidRPr="00697E23">
        <w:rPr>
          <w:color w:val="231F20"/>
          <w:spacing w:val="-2"/>
        </w:rPr>
        <w:t>para</w:t>
      </w:r>
      <w:r w:rsidRPr="00697E23">
        <w:rPr>
          <w:color w:val="231F20"/>
          <w:spacing w:val="-10"/>
        </w:rPr>
        <w:t xml:space="preserve"> </w:t>
      </w:r>
      <w:r w:rsidRPr="00697E23">
        <w:rPr>
          <w:color w:val="231F20"/>
          <w:spacing w:val="-2"/>
        </w:rPr>
        <w:t xml:space="preserve">entidades </w:t>
      </w:r>
      <w:r w:rsidRPr="00697E23">
        <w:rPr>
          <w:color w:val="231F20"/>
          <w:spacing w:val="-4"/>
        </w:rPr>
        <w:t>de</w:t>
      </w:r>
      <w:r w:rsidRPr="00697E23">
        <w:rPr>
          <w:color w:val="231F20"/>
          <w:spacing w:val="-14"/>
        </w:rPr>
        <w:t xml:space="preserve"> </w:t>
      </w:r>
      <w:r w:rsidRPr="00697E23">
        <w:rPr>
          <w:color w:val="231F20"/>
          <w:spacing w:val="-4"/>
        </w:rPr>
        <w:t>Gobierno,</w:t>
      </w:r>
      <w:r w:rsidRPr="00697E23">
        <w:rPr>
          <w:color w:val="231F20"/>
          <w:spacing w:val="-15"/>
        </w:rPr>
        <w:t xml:space="preserve"> </w:t>
      </w:r>
      <w:r w:rsidRPr="00697E23">
        <w:rPr>
          <w:color w:val="231F20"/>
          <w:spacing w:val="-4"/>
        </w:rPr>
        <w:t>Resolución</w:t>
      </w:r>
      <w:r w:rsidRPr="00697E23">
        <w:rPr>
          <w:color w:val="231F20"/>
          <w:spacing w:val="-14"/>
        </w:rPr>
        <w:t xml:space="preserve"> </w:t>
      </w:r>
      <w:r w:rsidRPr="00697E23">
        <w:rPr>
          <w:color w:val="231F20"/>
          <w:spacing w:val="-4"/>
        </w:rPr>
        <w:t>285</w:t>
      </w:r>
      <w:r w:rsidRPr="00697E23">
        <w:rPr>
          <w:color w:val="231F20"/>
          <w:spacing w:val="-15"/>
        </w:rPr>
        <w:t xml:space="preserve"> </w:t>
      </w:r>
      <w:r w:rsidRPr="00697E23">
        <w:rPr>
          <w:color w:val="231F20"/>
          <w:spacing w:val="-4"/>
        </w:rPr>
        <w:t>del</w:t>
      </w:r>
      <w:r w:rsidRPr="00697E23">
        <w:rPr>
          <w:color w:val="231F20"/>
          <w:spacing w:val="-14"/>
        </w:rPr>
        <w:t xml:space="preserve"> </w:t>
      </w:r>
      <w:r w:rsidRPr="00697E23">
        <w:rPr>
          <w:color w:val="231F20"/>
          <w:spacing w:val="-4"/>
        </w:rPr>
        <w:t>5</w:t>
      </w:r>
      <w:r w:rsidRPr="00697E23">
        <w:rPr>
          <w:color w:val="231F20"/>
          <w:spacing w:val="-15"/>
        </w:rPr>
        <w:t xml:space="preserve"> </w:t>
      </w:r>
      <w:r w:rsidRPr="00697E23">
        <w:rPr>
          <w:color w:val="231F20"/>
          <w:spacing w:val="-4"/>
        </w:rPr>
        <w:t>de</w:t>
      </w:r>
      <w:r w:rsidRPr="00697E23">
        <w:rPr>
          <w:color w:val="231F20"/>
          <w:spacing w:val="-14"/>
        </w:rPr>
        <w:t xml:space="preserve"> </w:t>
      </w:r>
      <w:r w:rsidRPr="00697E23">
        <w:rPr>
          <w:color w:val="231F20"/>
          <w:spacing w:val="-4"/>
        </w:rPr>
        <w:t>septiembre</w:t>
      </w:r>
      <w:r w:rsidRPr="00697E23">
        <w:rPr>
          <w:color w:val="231F20"/>
          <w:spacing w:val="-15"/>
        </w:rPr>
        <w:t xml:space="preserve"> </w:t>
      </w:r>
      <w:r w:rsidRPr="00697E23">
        <w:rPr>
          <w:color w:val="231F20"/>
          <w:spacing w:val="-4"/>
        </w:rPr>
        <w:t>de</w:t>
      </w:r>
      <w:r w:rsidRPr="00697E23">
        <w:rPr>
          <w:color w:val="231F20"/>
          <w:spacing w:val="-14"/>
        </w:rPr>
        <w:t xml:space="preserve"> </w:t>
      </w:r>
      <w:r w:rsidRPr="00697E23">
        <w:rPr>
          <w:color w:val="231F20"/>
          <w:spacing w:val="-4"/>
        </w:rPr>
        <w:t>2023,</w:t>
      </w:r>
      <w:r w:rsidRPr="00697E23">
        <w:rPr>
          <w:color w:val="231F20"/>
          <w:spacing w:val="-15"/>
        </w:rPr>
        <w:t xml:space="preserve"> </w:t>
      </w:r>
      <w:r w:rsidRPr="00697E23">
        <w:rPr>
          <w:color w:val="231F20"/>
          <w:spacing w:val="-4"/>
        </w:rPr>
        <w:t>por</w:t>
      </w:r>
      <w:r w:rsidRPr="00697E23">
        <w:rPr>
          <w:color w:val="231F20"/>
          <w:spacing w:val="-14"/>
        </w:rPr>
        <w:t xml:space="preserve"> </w:t>
      </w:r>
      <w:r w:rsidRPr="00697E23">
        <w:rPr>
          <w:color w:val="231F20"/>
          <w:spacing w:val="-4"/>
        </w:rPr>
        <w:t>la</w:t>
      </w:r>
      <w:r w:rsidRPr="00697E23">
        <w:rPr>
          <w:color w:val="231F20"/>
          <w:spacing w:val="-15"/>
        </w:rPr>
        <w:t xml:space="preserve"> </w:t>
      </w:r>
      <w:r w:rsidRPr="00697E23">
        <w:rPr>
          <w:color w:val="231F20"/>
          <w:spacing w:val="-4"/>
        </w:rPr>
        <w:t>cual</w:t>
      </w:r>
      <w:r w:rsidRPr="00697E23">
        <w:rPr>
          <w:color w:val="231F20"/>
          <w:spacing w:val="-14"/>
        </w:rPr>
        <w:t xml:space="preserve"> </w:t>
      </w:r>
      <w:r w:rsidRPr="00697E23">
        <w:rPr>
          <w:color w:val="231F20"/>
          <w:spacing w:val="-4"/>
        </w:rPr>
        <w:t xml:space="preserve">se </w:t>
      </w:r>
      <w:r w:rsidRPr="00697E23">
        <w:rPr>
          <w:color w:val="231F20"/>
        </w:rPr>
        <w:t>modificaron las normas para el reconocimiento, medición, revelación y presentación de los hechos económicos del marco normativa para entidades</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Gobierno;</w:t>
      </w:r>
      <w:r w:rsidRPr="00697E23">
        <w:rPr>
          <w:color w:val="231F20"/>
          <w:spacing w:val="-2"/>
        </w:rPr>
        <w:t xml:space="preserve"> </w:t>
      </w:r>
      <w:r w:rsidRPr="00697E23">
        <w:rPr>
          <w:color w:val="231F20"/>
        </w:rPr>
        <w:t>4.3.</w:t>
      </w:r>
      <w:r w:rsidRPr="00697E23">
        <w:rPr>
          <w:color w:val="231F20"/>
          <w:spacing w:val="-2"/>
        </w:rPr>
        <w:t xml:space="preserve"> </w:t>
      </w:r>
      <w:r w:rsidRPr="00697E23">
        <w:rPr>
          <w:color w:val="231F20"/>
        </w:rPr>
        <w:t>Corrección</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errores,</w:t>
      </w:r>
      <w:r w:rsidRPr="00697E23">
        <w:rPr>
          <w:color w:val="231F20"/>
          <w:spacing w:val="-2"/>
        </w:rPr>
        <w:t xml:space="preserve"> </w:t>
      </w:r>
      <w:r w:rsidRPr="00697E23">
        <w:rPr>
          <w:color w:val="231F20"/>
        </w:rPr>
        <w:t>Resolución</w:t>
      </w:r>
      <w:r w:rsidRPr="00697E23">
        <w:rPr>
          <w:color w:val="231F20"/>
          <w:spacing w:val="-2"/>
        </w:rPr>
        <w:t xml:space="preserve"> </w:t>
      </w:r>
      <w:r w:rsidRPr="00697E23">
        <w:rPr>
          <w:color w:val="231F20"/>
        </w:rPr>
        <w:t xml:space="preserve">45295 </w:t>
      </w:r>
      <w:r w:rsidRPr="00697E23">
        <w:rPr>
          <w:color w:val="231F20"/>
          <w:spacing w:val="-4"/>
        </w:rPr>
        <w:t>del</w:t>
      </w:r>
      <w:r w:rsidRPr="00697E23">
        <w:rPr>
          <w:color w:val="231F20"/>
          <w:spacing w:val="-14"/>
        </w:rPr>
        <w:t xml:space="preserve"> </w:t>
      </w:r>
      <w:r w:rsidRPr="00697E23">
        <w:rPr>
          <w:color w:val="231F20"/>
          <w:spacing w:val="-4"/>
        </w:rPr>
        <w:t>4</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agosto</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2022</w:t>
      </w:r>
      <w:r w:rsidRPr="00697E23">
        <w:rPr>
          <w:color w:val="231F20"/>
          <w:spacing w:val="-14"/>
        </w:rPr>
        <w:t xml:space="preserve"> </w:t>
      </w:r>
      <w:r w:rsidRPr="00697E23">
        <w:rPr>
          <w:color w:val="231F20"/>
          <w:spacing w:val="-4"/>
        </w:rPr>
        <w:t>del</w:t>
      </w:r>
      <w:r w:rsidRPr="00697E23">
        <w:rPr>
          <w:color w:val="231F20"/>
          <w:spacing w:val="-14"/>
        </w:rPr>
        <w:t xml:space="preserve"> </w:t>
      </w:r>
      <w:r w:rsidRPr="00697E23">
        <w:rPr>
          <w:color w:val="231F20"/>
          <w:spacing w:val="-4"/>
        </w:rPr>
        <w:t>Ministerio</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Transporte;</w:t>
      </w:r>
      <w:r w:rsidRPr="00697E23">
        <w:rPr>
          <w:color w:val="231F20"/>
          <w:spacing w:val="-14"/>
        </w:rPr>
        <w:t xml:space="preserve"> </w:t>
      </w:r>
      <w:r w:rsidRPr="00697E23">
        <w:rPr>
          <w:color w:val="231F20"/>
          <w:spacing w:val="-4"/>
        </w:rPr>
        <w:t>el</w:t>
      </w:r>
      <w:r w:rsidRPr="00697E23">
        <w:rPr>
          <w:color w:val="231F20"/>
          <w:spacing w:val="-14"/>
        </w:rPr>
        <w:t xml:space="preserve"> </w:t>
      </w:r>
      <w:r w:rsidRPr="00697E23">
        <w:rPr>
          <w:color w:val="231F20"/>
          <w:spacing w:val="-4"/>
        </w:rPr>
        <w:t>artículo</w:t>
      </w:r>
      <w:r w:rsidRPr="00697E23">
        <w:rPr>
          <w:color w:val="231F20"/>
          <w:spacing w:val="-14"/>
        </w:rPr>
        <w:t xml:space="preserve"> </w:t>
      </w:r>
      <w:r w:rsidRPr="00697E23">
        <w:rPr>
          <w:color w:val="231F20"/>
          <w:spacing w:val="-4"/>
        </w:rPr>
        <w:t xml:space="preserve">4.10.5., </w:t>
      </w:r>
      <w:r w:rsidRPr="00697E23">
        <w:rPr>
          <w:color w:val="231F20"/>
        </w:rPr>
        <w:t>numeral 5. Principios de la contabilidad pública. Devengo, lo cual generó sobrestimación en la cuenta ingresos formularios y especies valoradas,</w:t>
      </w:r>
      <w:r w:rsidRPr="00697E23">
        <w:rPr>
          <w:color w:val="231F20"/>
          <w:spacing w:val="-2"/>
        </w:rPr>
        <w:t xml:space="preserve"> </w:t>
      </w:r>
      <w:r w:rsidRPr="00697E23">
        <w:rPr>
          <w:color w:val="231F20"/>
        </w:rPr>
        <w:t>que</w:t>
      </w:r>
      <w:r w:rsidRPr="00697E23">
        <w:rPr>
          <w:color w:val="231F20"/>
          <w:spacing w:val="-2"/>
        </w:rPr>
        <w:t xml:space="preserve"> </w:t>
      </w:r>
      <w:r w:rsidRPr="00697E23">
        <w:rPr>
          <w:color w:val="231F20"/>
        </w:rPr>
        <w:t>afectó</w:t>
      </w:r>
      <w:r w:rsidRPr="00697E23">
        <w:rPr>
          <w:color w:val="231F20"/>
          <w:spacing w:val="-2"/>
        </w:rPr>
        <w:t xml:space="preserve"> </w:t>
      </w:r>
      <w:r w:rsidRPr="00697E23">
        <w:rPr>
          <w:color w:val="231F20"/>
        </w:rPr>
        <w:t>el</w:t>
      </w:r>
      <w:r w:rsidRPr="00697E23">
        <w:rPr>
          <w:color w:val="231F20"/>
          <w:spacing w:val="-2"/>
        </w:rPr>
        <w:t xml:space="preserve"> </w:t>
      </w:r>
      <w:r w:rsidRPr="00697E23">
        <w:rPr>
          <w:color w:val="231F20"/>
        </w:rPr>
        <w:t>resultado</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ejercicio</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subestimó</w:t>
      </w:r>
      <w:r w:rsidRPr="00697E23">
        <w:rPr>
          <w:color w:val="231F20"/>
          <w:spacing w:val="-2"/>
        </w:rPr>
        <w:t xml:space="preserve"> </w:t>
      </w:r>
      <w:r w:rsidRPr="00697E23">
        <w:rPr>
          <w:color w:val="231F20"/>
        </w:rPr>
        <w:t>resultado de ejercicios anteriores.</w:t>
      </w:r>
    </w:p>
    <w:p w14:paraId="760720FA" w14:textId="77777777" w:rsidR="00C07FDB" w:rsidRDefault="00C07FDB" w:rsidP="00C07FDB">
      <w:pPr>
        <w:pStyle w:val="Textoindependiente"/>
        <w:jc w:val="both"/>
        <w:rPr>
          <w:color w:val="231F20"/>
        </w:rPr>
      </w:pPr>
    </w:p>
    <w:p w14:paraId="0A88FB74" w14:textId="77777777" w:rsidR="00C07FDB" w:rsidRDefault="00C07FDB" w:rsidP="00C07FDB">
      <w:pPr>
        <w:pStyle w:val="Textoindependiente"/>
        <w:jc w:val="both"/>
        <w:rPr>
          <w:color w:val="231F20"/>
        </w:rPr>
      </w:pPr>
      <w:r w:rsidRPr="00C07FDB">
        <w:rPr>
          <w:b/>
          <w:bCs/>
          <w:color w:val="231F20"/>
          <w:sz w:val="28"/>
          <w:szCs w:val="28"/>
        </w:rPr>
        <w:t>-I</w:t>
      </w:r>
      <w:r w:rsidRPr="00C07FDB">
        <w:rPr>
          <w:b/>
          <w:bCs/>
          <w:color w:val="231F20"/>
        </w:rPr>
        <w:t>ncorrección</w:t>
      </w:r>
      <w:r w:rsidRPr="00697E23">
        <w:rPr>
          <w:color w:val="231F20"/>
        </w:rPr>
        <w:t xml:space="preserve"> de cantidad en cuentas por cobrar, por $37.942,99 millones, debido a que cuentas por cobrar de difícil recaudo presentó subestimación por el no registro de cartera que, a pesar de tener antigüedad superior a cinco años, nivel de riesgo significativo y de incobrabilidad, se registró en las cuentas por cobrar contribuciones, por $34.870,29 millones; Transferencias por cobrar, por $457,48 millones, y Otras cuentas por cobrar, por $2.615,22 millones.</w:t>
      </w:r>
    </w:p>
    <w:p w14:paraId="17BBB6B2" w14:textId="77777777" w:rsidR="00C07FDB" w:rsidRDefault="00C07FDB" w:rsidP="00C07FDB">
      <w:pPr>
        <w:pStyle w:val="Textoindependiente"/>
        <w:jc w:val="both"/>
        <w:rPr>
          <w:color w:val="231F20"/>
        </w:rPr>
      </w:pPr>
      <w:r w:rsidRPr="00697E23">
        <w:rPr>
          <w:color w:val="231F20"/>
        </w:rPr>
        <w:t>Lo anterior, contravino lo establecido en el catálogo de cuentas de la Contaduría General de la Nación (CGN) y el reglamento interno del recaudo</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cartera</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Ministerio</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Transporte.</w:t>
      </w:r>
      <w:r w:rsidRPr="00697E23">
        <w:rPr>
          <w:color w:val="231F20"/>
          <w:spacing w:val="-6"/>
        </w:rPr>
        <w:t xml:space="preserve"> </w:t>
      </w:r>
      <w:r w:rsidRPr="00697E23">
        <w:rPr>
          <w:color w:val="231F20"/>
        </w:rPr>
        <w:t>Así</w:t>
      </w:r>
      <w:r w:rsidRPr="00697E23">
        <w:rPr>
          <w:color w:val="231F20"/>
          <w:spacing w:val="-6"/>
        </w:rPr>
        <w:t xml:space="preserve"> </w:t>
      </w:r>
      <w:r w:rsidRPr="00697E23">
        <w:rPr>
          <w:color w:val="231F20"/>
        </w:rPr>
        <w:t>mismo,</w:t>
      </w:r>
      <w:r w:rsidRPr="00697E23">
        <w:rPr>
          <w:color w:val="231F20"/>
          <w:spacing w:val="-6"/>
        </w:rPr>
        <w:t xml:space="preserve"> </w:t>
      </w:r>
      <w:r w:rsidRPr="00697E23">
        <w:rPr>
          <w:color w:val="231F20"/>
        </w:rPr>
        <w:t>se</w:t>
      </w:r>
      <w:r w:rsidRPr="00697E23">
        <w:rPr>
          <w:color w:val="231F20"/>
          <w:spacing w:val="-6"/>
        </w:rPr>
        <w:t xml:space="preserve"> </w:t>
      </w:r>
      <w:r w:rsidRPr="00697E23">
        <w:rPr>
          <w:color w:val="231F20"/>
        </w:rPr>
        <w:t>omitió la</w:t>
      </w:r>
      <w:r w:rsidRPr="00697E23">
        <w:rPr>
          <w:color w:val="231F20"/>
          <w:spacing w:val="-2"/>
        </w:rPr>
        <w:t xml:space="preserve"> </w:t>
      </w:r>
      <w:r w:rsidRPr="00697E23">
        <w:rPr>
          <w:color w:val="231F20"/>
        </w:rPr>
        <w:t>revelación</w:t>
      </w:r>
      <w:r w:rsidRPr="00697E23">
        <w:rPr>
          <w:color w:val="231F20"/>
          <w:spacing w:val="-1"/>
        </w:rPr>
        <w:t xml:space="preserve"> </w:t>
      </w:r>
      <w:r w:rsidRPr="00697E23">
        <w:rPr>
          <w:color w:val="231F20"/>
        </w:rPr>
        <w:t>en</w:t>
      </w:r>
      <w:r w:rsidRPr="00697E23">
        <w:rPr>
          <w:color w:val="231F20"/>
          <w:spacing w:val="-2"/>
        </w:rPr>
        <w:t xml:space="preserve"> </w:t>
      </w:r>
      <w:r w:rsidRPr="00697E23">
        <w:rPr>
          <w:color w:val="231F20"/>
        </w:rPr>
        <w:t>las</w:t>
      </w:r>
      <w:r w:rsidRPr="00697E23">
        <w:rPr>
          <w:color w:val="231F20"/>
          <w:spacing w:val="-2"/>
        </w:rPr>
        <w:t xml:space="preserve"> </w:t>
      </w:r>
      <w:r w:rsidRPr="00697E23">
        <w:rPr>
          <w:color w:val="231F20"/>
        </w:rPr>
        <w:t>notas</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los</w:t>
      </w:r>
      <w:r w:rsidRPr="00697E23">
        <w:rPr>
          <w:color w:val="231F20"/>
          <w:spacing w:val="-2"/>
        </w:rPr>
        <w:t xml:space="preserve"> </w:t>
      </w:r>
      <w:r w:rsidRPr="00697E23">
        <w:rPr>
          <w:color w:val="231F20"/>
        </w:rPr>
        <w:t>estados</w:t>
      </w:r>
      <w:r w:rsidRPr="00697E23">
        <w:rPr>
          <w:color w:val="231F20"/>
          <w:spacing w:val="-2"/>
        </w:rPr>
        <w:t xml:space="preserve"> </w:t>
      </w:r>
      <w:r w:rsidRPr="00697E23">
        <w:rPr>
          <w:color w:val="231F20"/>
        </w:rPr>
        <w:t>contables</w:t>
      </w:r>
      <w:r w:rsidRPr="00697E23">
        <w:rPr>
          <w:color w:val="231F20"/>
          <w:spacing w:val="-1"/>
        </w:rPr>
        <w:t xml:space="preserve"> </w:t>
      </w:r>
      <w:r w:rsidRPr="00697E23">
        <w:rPr>
          <w:color w:val="231F20"/>
        </w:rPr>
        <w:t>de</w:t>
      </w:r>
      <w:r w:rsidRPr="00697E23">
        <w:rPr>
          <w:color w:val="231F20"/>
          <w:spacing w:val="-2"/>
        </w:rPr>
        <w:t xml:space="preserve"> </w:t>
      </w:r>
      <w:r w:rsidRPr="00697E23">
        <w:rPr>
          <w:color w:val="231F20"/>
        </w:rPr>
        <w:t>las</w:t>
      </w:r>
      <w:r w:rsidRPr="00697E23">
        <w:rPr>
          <w:color w:val="231F20"/>
          <w:spacing w:val="-1"/>
        </w:rPr>
        <w:t xml:space="preserve"> </w:t>
      </w:r>
      <w:r w:rsidRPr="00697E23">
        <w:rPr>
          <w:color w:val="231F20"/>
        </w:rPr>
        <w:t>condiciones que presentaban las mismas.</w:t>
      </w:r>
    </w:p>
    <w:p w14:paraId="175C7DFE" w14:textId="77777777" w:rsidR="00C07FDB" w:rsidRDefault="00C07FDB" w:rsidP="00C07FDB">
      <w:pPr>
        <w:pStyle w:val="Textoindependiente"/>
        <w:jc w:val="both"/>
        <w:rPr>
          <w:color w:val="231F20"/>
        </w:rPr>
      </w:pPr>
    </w:p>
    <w:p w14:paraId="525A3D02" w14:textId="77777777" w:rsidR="00C07FDB" w:rsidRDefault="00C07FDB" w:rsidP="00C07FDB">
      <w:pPr>
        <w:pStyle w:val="Textoindependiente"/>
        <w:jc w:val="both"/>
        <w:rPr>
          <w:color w:val="231F20"/>
        </w:rPr>
      </w:pPr>
      <w:r w:rsidRPr="00697E23">
        <w:rPr>
          <w:color w:val="231F20"/>
        </w:rPr>
        <w:t>De</w:t>
      </w:r>
      <w:r w:rsidRPr="00697E23">
        <w:rPr>
          <w:color w:val="231F20"/>
          <w:spacing w:val="-16"/>
        </w:rPr>
        <w:t xml:space="preserve"> </w:t>
      </w:r>
      <w:r w:rsidRPr="00697E23">
        <w:rPr>
          <w:color w:val="231F20"/>
        </w:rPr>
        <w:t>igual</w:t>
      </w:r>
      <w:r w:rsidRPr="00697E23">
        <w:rPr>
          <w:color w:val="231F20"/>
          <w:spacing w:val="-14"/>
        </w:rPr>
        <w:t xml:space="preserve"> </w:t>
      </w:r>
      <w:r w:rsidRPr="00697E23">
        <w:rPr>
          <w:color w:val="231F20"/>
        </w:rPr>
        <w:t>manera,</w:t>
      </w:r>
      <w:r w:rsidRPr="00697E23">
        <w:rPr>
          <w:color w:val="231F20"/>
          <w:spacing w:val="-14"/>
        </w:rPr>
        <w:t xml:space="preserve"> </w:t>
      </w:r>
      <w:r w:rsidRPr="00697E23">
        <w:rPr>
          <w:color w:val="231F20"/>
        </w:rPr>
        <w:t>se</w:t>
      </w:r>
      <w:r w:rsidRPr="00697E23">
        <w:rPr>
          <w:color w:val="231F20"/>
          <w:spacing w:val="-14"/>
        </w:rPr>
        <w:t xml:space="preserve"> </w:t>
      </w:r>
      <w:r w:rsidRPr="00697E23">
        <w:rPr>
          <w:color w:val="231F20"/>
        </w:rPr>
        <w:t>contravino</w:t>
      </w:r>
      <w:r w:rsidRPr="00697E23">
        <w:rPr>
          <w:color w:val="231F20"/>
          <w:spacing w:val="-14"/>
        </w:rPr>
        <w:t xml:space="preserve"> </w:t>
      </w:r>
      <w:r w:rsidRPr="00697E23">
        <w:rPr>
          <w:color w:val="231F20"/>
        </w:rPr>
        <w:t>lo</w:t>
      </w:r>
      <w:r w:rsidRPr="00697E23">
        <w:rPr>
          <w:color w:val="231F20"/>
          <w:spacing w:val="-14"/>
        </w:rPr>
        <w:t xml:space="preserve"> </w:t>
      </w:r>
      <w:r w:rsidRPr="00697E23">
        <w:rPr>
          <w:color w:val="231F20"/>
        </w:rPr>
        <w:t>establecido</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Resolución</w:t>
      </w:r>
      <w:r w:rsidRPr="00697E23">
        <w:rPr>
          <w:color w:val="231F20"/>
          <w:spacing w:val="-14"/>
        </w:rPr>
        <w:t xml:space="preserve"> </w:t>
      </w:r>
      <w:r w:rsidRPr="00697E23">
        <w:rPr>
          <w:color w:val="231F20"/>
        </w:rPr>
        <w:t>193</w:t>
      </w:r>
      <w:r w:rsidRPr="00697E23">
        <w:rPr>
          <w:color w:val="231F20"/>
          <w:spacing w:val="-14"/>
        </w:rPr>
        <w:t xml:space="preserve"> </w:t>
      </w:r>
      <w:r w:rsidRPr="00697E23">
        <w:rPr>
          <w:color w:val="231F20"/>
          <w:spacing w:val="-5"/>
        </w:rPr>
        <w:t>del</w:t>
      </w:r>
      <w:r>
        <w:rPr>
          <w:color w:val="231F20"/>
          <w:spacing w:val="-5"/>
        </w:rPr>
        <w:t xml:space="preserve"> </w:t>
      </w:r>
      <w:r w:rsidRPr="00697E23">
        <w:rPr>
          <w:color w:val="231F20"/>
        </w:rPr>
        <w:t>5</w:t>
      </w:r>
      <w:r w:rsidRPr="00697E23">
        <w:rPr>
          <w:color w:val="231F20"/>
          <w:spacing w:val="14"/>
        </w:rPr>
        <w:t xml:space="preserve"> </w:t>
      </w:r>
      <w:r w:rsidRPr="00697E23">
        <w:rPr>
          <w:color w:val="231F20"/>
        </w:rPr>
        <w:t>de</w:t>
      </w:r>
      <w:r w:rsidRPr="00697E23">
        <w:rPr>
          <w:color w:val="231F20"/>
          <w:spacing w:val="16"/>
        </w:rPr>
        <w:t xml:space="preserve"> </w:t>
      </w:r>
      <w:r w:rsidRPr="00697E23">
        <w:rPr>
          <w:color w:val="231F20"/>
        </w:rPr>
        <w:t>mayo</w:t>
      </w:r>
      <w:r w:rsidRPr="00697E23">
        <w:rPr>
          <w:color w:val="231F20"/>
          <w:spacing w:val="17"/>
        </w:rPr>
        <w:t xml:space="preserve"> </w:t>
      </w:r>
      <w:r w:rsidRPr="00697E23">
        <w:rPr>
          <w:color w:val="231F20"/>
        </w:rPr>
        <w:t>de</w:t>
      </w:r>
      <w:r w:rsidRPr="00697E23">
        <w:rPr>
          <w:color w:val="231F20"/>
          <w:spacing w:val="16"/>
        </w:rPr>
        <w:t xml:space="preserve"> </w:t>
      </w:r>
      <w:r w:rsidRPr="00697E23">
        <w:rPr>
          <w:color w:val="231F20"/>
        </w:rPr>
        <w:t>2016</w:t>
      </w:r>
      <w:r w:rsidRPr="00697E23">
        <w:rPr>
          <w:color w:val="231F20"/>
          <w:spacing w:val="16"/>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6"/>
        </w:rPr>
        <w:t xml:space="preserve"> </w:t>
      </w:r>
      <w:r w:rsidRPr="00697E23">
        <w:rPr>
          <w:color w:val="231F20"/>
        </w:rPr>
        <w:t>Contaduría</w:t>
      </w:r>
      <w:r w:rsidRPr="00697E23">
        <w:rPr>
          <w:color w:val="231F20"/>
          <w:spacing w:val="16"/>
        </w:rPr>
        <w:t xml:space="preserve"> </w:t>
      </w:r>
      <w:r w:rsidRPr="00697E23">
        <w:rPr>
          <w:color w:val="231F20"/>
        </w:rPr>
        <w:t>General</w:t>
      </w:r>
      <w:r w:rsidRPr="00697E23">
        <w:rPr>
          <w:color w:val="231F20"/>
          <w:spacing w:val="17"/>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Nación,</w:t>
      </w:r>
      <w:r w:rsidRPr="00697E23">
        <w:rPr>
          <w:color w:val="231F20"/>
          <w:spacing w:val="17"/>
        </w:rPr>
        <w:t xml:space="preserve"> </w:t>
      </w:r>
      <w:r w:rsidRPr="00697E23">
        <w:rPr>
          <w:color w:val="231F20"/>
          <w:spacing w:val="-2"/>
        </w:rPr>
        <w:t>numeral</w:t>
      </w:r>
      <w:r>
        <w:rPr>
          <w:color w:val="231F20"/>
          <w:spacing w:val="-2"/>
        </w:rPr>
        <w:t xml:space="preserve"> </w:t>
      </w:r>
      <w:r w:rsidRPr="00697E23">
        <w:rPr>
          <w:color w:val="231F20"/>
        </w:rPr>
        <w:t>2.2.1.2 Clasificación, lo cual generó subestimación de las cuentas</w:t>
      </w:r>
      <w:r w:rsidRPr="00697E23">
        <w:rPr>
          <w:color w:val="231F20"/>
          <w:spacing w:val="40"/>
        </w:rPr>
        <w:t xml:space="preserve"> </w:t>
      </w:r>
      <w:r w:rsidRPr="00697E23">
        <w:rPr>
          <w:color w:val="231F20"/>
        </w:rPr>
        <w:t>por cobrar de difícil recaudo, lo que afectó la adecuada clasificación</w:t>
      </w:r>
      <w:r w:rsidRPr="00697E23">
        <w:rPr>
          <w:color w:val="231F20"/>
          <w:spacing w:val="80"/>
        </w:rPr>
        <w:t xml:space="preserve"> </w:t>
      </w:r>
      <w:r w:rsidRPr="00697E23">
        <w:rPr>
          <w:color w:val="231F20"/>
        </w:rPr>
        <w:t>y revelación para el oportuno seguimiento, control administrativo y financiero para la toma de decisiones.</w:t>
      </w:r>
    </w:p>
    <w:p w14:paraId="6AE3575B" w14:textId="77777777" w:rsidR="00C07FDB" w:rsidRDefault="00C07FDB" w:rsidP="00C07FDB">
      <w:pPr>
        <w:pStyle w:val="Textoindependiente"/>
        <w:jc w:val="both"/>
        <w:rPr>
          <w:color w:val="231F20"/>
        </w:rPr>
      </w:pPr>
    </w:p>
    <w:p w14:paraId="2E9B31E6" w14:textId="77777777" w:rsidR="00C07FDB" w:rsidRDefault="00C07FDB" w:rsidP="00C07FDB">
      <w:pPr>
        <w:pStyle w:val="Textoindependiente"/>
        <w:jc w:val="both"/>
        <w:rPr>
          <w:color w:val="231F20"/>
        </w:rPr>
      </w:pPr>
      <w:r w:rsidRPr="00C07FDB">
        <w:rPr>
          <w:b/>
          <w:bCs/>
          <w:color w:val="231F20"/>
          <w:sz w:val="28"/>
          <w:szCs w:val="28"/>
        </w:rPr>
        <w:t>-</w:t>
      </w:r>
      <w:r w:rsidRPr="00C07FDB">
        <w:rPr>
          <w:b/>
          <w:bCs/>
          <w:color w:val="231F20"/>
        </w:rPr>
        <w:t>No</w:t>
      </w:r>
      <w:r w:rsidRPr="00C07FDB">
        <w:rPr>
          <w:b/>
          <w:bCs/>
          <w:color w:val="231F20"/>
          <w:spacing w:val="2"/>
        </w:rPr>
        <w:t xml:space="preserve"> </w:t>
      </w:r>
      <w:r w:rsidRPr="00C07FDB">
        <w:rPr>
          <w:b/>
          <w:bCs/>
          <w:color w:val="231F20"/>
        </w:rPr>
        <w:t>se</w:t>
      </w:r>
      <w:r w:rsidRPr="00C07FDB">
        <w:rPr>
          <w:b/>
          <w:bCs/>
          <w:color w:val="231F20"/>
          <w:spacing w:val="3"/>
        </w:rPr>
        <w:t xml:space="preserve"> </w:t>
      </w:r>
      <w:r w:rsidRPr="00C07FDB">
        <w:rPr>
          <w:b/>
          <w:bCs/>
          <w:color w:val="231F20"/>
        </w:rPr>
        <w:t>logró</w:t>
      </w:r>
      <w:r w:rsidRPr="00697E23">
        <w:rPr>
          <w:color w:val="231F20"/>
          <w:spacing w:val="3"/>
        </w:rPr>
        <w:t xml:space="preserve"> </w:t>
      </w:r>
      <w:r w:rsidRPr="00697E23">
        <w:rPr>
          <w:color w:val="231F20"/>
        </w:rPr>
        <w:t>obtener</w:t>
      </w:r>
      <w:r w:rsidRPr="00697E23">
        <w:rPr>
          <w:color w:val="231F20"/>
          <w:spacing w:val="1"/>
        </w:rPr>
        <w:t xml:space="preserve"> </w:t>
      </w:r>
      <w:r w:rsidRPr="00697E23">
        <w:rPr>
          <w:color w:val="231F20"/>
        </w:rPr>
        <w:t>la</w:t>
      </w:r>
      <w:r w:rsidRPr="00697E23">
        <w:rPr>
          <w:color w:val="231F20"/>
          <w:spacing w:val="3"/>
        </w:rPr>
        <w:t xml:space="preserve"> </w:t>
      </w:r>
      <w:r w:rsidRPr="00697E23">
        <w:rPr>
          <w:color w:val="231F20"/>
        </w:rPr>
        <w:t>suficiente</w:t>
      </w:r>
      <w:r w:rsidRPr="00697E23">
        <w:rPr>
          <w:color w:val="231F20"/>
          <w:spacing w:val="3"/>
        </w:rPr>
        <w:t xml:space="preserve"> </w:t>
      </w:r>
      <w:r w:rsidRPr="00697E23">
        <w:rPr>
          <w:color w:val="231F20"/>
        </w:rPr>
        <w:t>evidencia</w:t>
      </w:r>
      <w:r w:rsidRPr="00697E23">
        <w:rPr>
          <w:color w:val="231F20"/>
          <w:spacing w:val="3"/>
        </w:rPr>
        <w:t xml:space="preserve"> </w:t>
      </w:r>
      <w:r w:rsidRPr="00697E23">
        <w:rPr>
          <w:color w:val="231F20"/>
        </w:rPr>
        <w:t>en</w:t>
      </w:r>
      <w:r w:rsidRPr="00697E23">
        <w:rPr>
          <w:color w:val="231F20"/>
          <w:spacing w:val="2"/>
        </w:rPr>
        <w:t xml:space="preserve"> </w:t>
      </w:r>
      <w:r w:rsidRPr="00697E23">
        <w:rPr>
          <w:color w:val="231F20"/>
        </w:rPr>
        <w:t>cuentas</w:t>
      </w:r>
      <w:r w:rsidRPr="00697E23">
        <w:rPr>
          <w:color w:val="231F20"/>
          <w:spacing w:val="3"/>
        </w:rPr>
        <w:t xml:space="preserve"> </w:t>
      </w:r>
      <w:r w:rsidRPr="00697E23">
        <w:rPr>
          <w:color w:val="231F20"/>
        </w:rPr>
        <w:t>por</w:t>
      </w:r>
      <w:r w:rsidRPr="00697E23">
        <w:rPr>
          <w:color w:val="231F20"/>
          <w:spacing w:val="2"/>
        </w:rPr>
        <w:t xml:space="preserve"> </w:t>
      </w:r>
      <w:r w:rsidRPr="00697E23">
        <w:rPr>
          <w:color w:val="231F20"/>
        </w:rPr>
        <w:t>cobrar</w:t>
      </w:r>
      <w:r w:rsidRPr="00697E23">
        <w:rPr>
          <w:color w:val="231F20"/>
          <w:spacing w:val="2"/>
        </w:rPr>
        <w:t xml:space="preserve"> </w:t>
      </w:r>
      <w:r w:rsidRPr="00697E23">
        <w:rPr>
          <w:color w:val="231F20"/>
          <w:spacing w:val="-5"/>
        </w:rPr>
        <w:t>por</w:t>
      </w:r>
      <w:r>
        <w:rPr>
          <w:color w:val="231F20"/>
          <w:spacing w:val="-5"/>
        </w:rPr>
        <w:t xml:space="preserve"> </w:t>
      </w:r>
      <w:r w:rsidRPr="00697E23">
        <w:rPr>
          <w:color w:val="231F20"/>
        </w:rPr>
        <w:t>$51.777,21 millones, respecto al cumplimiento de la Resolución 211 de 2021 Periodo contable; el numeral 3, 3.4, 2.4.1. del anexo de la Resolución</w:t>
      </w:r>
      <w:r w:rsidRPr="00697E23">
        <w:rPr>
          <w:color w:val="231F20"/>
          <w:spacing w:val="-6"/>
        </w:rPr>
        <w:t xml:space="preserve"> </w:t>
      </w:r>
      <w:r w:rsidRPr="00697E23">
        <w:rPr>
          <w:color w:val="231F20"/>
        </w:rPr>
        <w:t>285</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2023,</w:t>
      </w:r>
      <w:r w:rsidRPr="00697E23">
        <w:rPr>
          <w:color w:val="231F20"/>
          <w:spacing w:val="-6"/>
        </w:rPr>
        <w:t xml:space="preserve"> </w:t>
      </w:r>
      <w:r w:rsidRPr="00697E23">
        <w:rPr>
          <w:color w:val="231F20"/>
        </w:rPr>
        <w:t>debido</w:t>
      </w:r>
      <w:r w:rsidRPr="00697E23">
        <w:rPr>
          <w:color w:val="231F20"/>
          <w:spacing w:val="-6"/>
        </w:rPr>
        <w:t xml:space="preserve"> </w:t>
      </w:r>
      <w:r w:rsidRPr="00697E23">
        <w:rPr>
          <w:color w:val="231F20"/>
        </w:rPr>
        <w:t>a</w:t>
      </w:r>
      <w:r w:rsidRPr="00697E23">
        <w:rPr>
          <w:color w:val="231F20"/>
          <w:spacing w:val="-6"/>
        </w:rPr>
        <w:t xml:space="preserve"> </w:t>
      </w:r>
      <w:r w:rsidRPr="00697E23">
        <w:rPr>
          <w:color w:val="231F20"/>
        </w:rPr>
        <w:t>que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cuenta</w:t>
      </w:r>
      <w:r w:rsidRPr="00697E23">
        <w:rPr>
          <w:color w:val="231F20"/>
          <w:spacing w:val="-6"/>
        </w:rPr>
        <w:t xml:space="preserve"> </w:t>
      </w:r>
      <w:r w:rsidRPr="00697E23">
        <w:rPr>
          <w:color w:val="231F20"/>
        </w:rPr>
        <w:t>Deterioro</w:t>
      </w:r>
      <w:r w:rsidRPr="00697E23">
        <w:rPr>
          <w:color w:val="231F20"/>
          <w:spacing w:val="-6"/>
        </w:rPr>
        <w:t xml:space="preserve"> </w:t>
      </w:r>
      <w:r w:rsidRPr="00697E23">
        <w:rPr>
          <w:color w:val="231F20"/>
        </w:rPr>
        <w:t xml:space="preserve">acumulado </w:t>
      </w:r>
      <w:r w:rsidRPr="00697E23">
        <w:rPr>
          <w:color w:val="231F20"/>
          <w:spacing w:val="-4"/>
        </w:rPr>
        <w:t>de</w:t>
      </w:r>
      <w:r w:rsidRPr="00697E23">
        <w:rPr>
          <w:color w:val="231F20"/>
          <w:spacing w:val="-11"/>
        </w:rPr>
        <w:t xml:space="preserve"> </w:t>
      </w:r>
      <w:r w:rsidRPr="00697E23">
        <w:rPr>
          <w:color w:val="231F20"/>
          <w:spacing w:val="-4"/>
        </w:rPr>
        <w:t>cuentas</w:t>
      </w:r>
      <w:r w:rsidRPr="00697E23">
        <w:rPr>
          <w:color w:val="231F20"/>
          <w:spacing w:val="-11"/>
        </w:rPr>
        <w:t xml:space="preserve"> </w:t>
      </w:r>
      <w:r w:rsidRPr="00697E23">
        <w:rPr>
          <w:color w:val="231F20"/>
          <w:spacing w:val="-4"/>
        </w:rPr>
        <w:t>por</w:t>
      </w:r>
      <w:r w:rsidRPr="00697E23">
        <w:rPr>
          <w:color w:val="231F20"/>
          <w:spacing w:val="-11"/>
        </w:rPr>
        <w:t xml:space="preserve"> </w:t>
      </w:r>
      <w:r w:rsidRPr="00697E23">
        <w:rPr>
          <w:color w:val="231F20"/>
          <w:spacing w:val="-4"/>
        </w:rPr>
        <w:t>cobrar</w:t>
      </w:r>
      <w:r w:rsidRPr="00697E23">
        <w:rPr>
          <w:color w:val="231F20"/>
          <w:spacing w:val="-11"/>
        </w:rPr>
        <w:t xml:space="preserve"> </w:t>
      </w:r>
      <w:r w:rsidRPr="00697E23">
        <w:rPr>
          <w:color w:val="231F20"/>
          <w:spacing w:val="-4"/>
        </w:rPr>
        <w:t>presentó</w:t>
      </w:r>
      <w:r w:rsidRPr="00697E23">
        <w:rPr>
          <w:color w:val="231F20"/>
          <w:spacing w:val="-11"/>
        </w:rPr>
        <w:t xml:space="preserve"> </w:t>
      </w:r>
      <w:r w:rsidRPr="00697E23">
        <w:rPr>
          <w:color w:val="231F20"/>
          <w:spacing w:val="-4"/>
        </w:rPr>
        <w:t>incertidumbre,</w:t>
      </w:r>
      <w:r w:rsidRPr="00697E23">
        <w:rPr>
          <w:color w:val="231F20"/>
          <w:spacing w:val="-11"/>
        </w:rPr>
        <w:t xml:space="preserve"> </w:t>
      </w:r>
      <w:r w:rsidRPr="00697E23">
        <w:rPr>
          <w:color w:val="231F20"/>
          <w:spacing w:val="-4"/>
        </w:rPr>
        <w:t>toda</w:t>
      </w:r>
      <w:r w:rsidRPr="00697E23">
        <w:rPr>
          <w:color w:val="231F20"/>
          <w:spacing w:val="-11"/>
        </w:rPr>
        <w:t xml:space="preserve"> </w:t>
      </w:r>
      <w:r w:rsidRPr="00697E23">
        <w:rPr>
          <w:color w:val="231F20"/>
          <w:spacing w:val="-4"/>
        </w:rPr>
        <w:t>vez</w:t>
      </w:r>
      <w:r w:rsidRPr="00697E23">
        <w:rPr>
          <w:color w:val="231F20"/>
          <w:spacing w:val="-11"/>
        </w:rPr>
        <w:t xml:space="preserve"> </w:t>
      </w:r>
      <w:r w:rsidRPr="00697E23">
        <w:rPr>
          <w:color w:val="231F20"/>
          <w:spacing w:val="-4"/>
        </w:rPr>
        <w:t>que</w:t>
      </w:r>
      <w:r w:rsidRPr="00697E23">
        <w:rPr>
          <w:color w:val="231F20"/>
          <w:spacing w:val="-11"/>
        </w:rPr>
        <w:t xml:space="preserve"> </w:t>
      </w:r>
      <w:r w:rsidRPr="00697E23">
        <w:rPr>
          <w:color w:val="231F20"/>
          <w:spacing w:val="-4"/>
        </w:rPr>
        <w:t>la</w:t>
      </w:r>
      <w:r w:rsidRPr="00697E23">
        <w:rPr>
          <w:color w:val="231F20"/>
          <w:spacing w:val="-11"/>
        </w:rPr>
        <w:t xml:space="preserve"> </w:t>
      </w:r>
      <w:r w:rsidRPr="00697E23">
        <w:rPr>
          <w:color w:val="231F20"/>
          <w:spacing w:val="-4"/>
        </w:rPr>
        <w:t xml:space="preserve">medición </w:t>
      </w:r>
      <w:r w:rsidRPr="00697E23">
        <w:rPr>
          <w:color w:val="231F20"/>
        </w:rPr>
        <w:t>realizada,</w:t>
      </w:r>
      <w:r w:rsidRPr="00697E23">
        <w:rPr>
          <w:color w:val="231F20"/>
          <w:spacing w:val="-12"/>
        </w:rPr>
        <w:t xml:space="preserve"> </w:t>
      </w:r>
      <w:r w:rsidRPr="00697E23">
        <w:rPr>
          <w:color w:val="231F20"/>
        </w:rPr>
        <w:t>con</w:t>
      </w:r>
      <w:r w:rsidRPr="00697E23">
        <w:rPr>
          <w:color w:val="231F20"/>
          <w:spacing w:val="-12"/>
        </w:rPr>
        <w:t xml:space="preserve"> </w:t>
      </w:r>
      <w:r w:rsidRPr="00697E23">
        <w:rPr>
          <w:color w:val="231F20"/>
        </w:rPr>
        <w:t>corte</w:t>
      </w:r>
      <w:r w:rsidRPr="00697E23">
        <w:rPr>
          <w:color w:val="231F20"/>
          <w:spacing w:val="-12"/>
        </w:rPr>
        <w:t xml:space="preserve"> </w:t>
      </w:r>
      <w:r w:rsidRPr="00697E23">
        <w:rPr>
          <w:color w:val="231F20"/>
        </w:rPr>
        <w:t>a</w:t>
      </w:r>
      <w:r w:rsidRPr="00697E23">
        <w:rPr>
          <w:color w:val="231F20"/>
          <w:spacing w:val="-12"/>
        </w:rPr>
        <w:t xml:space="preserve"> </w:t>
      </w:r>
      <w:r w:rsidRPr="00697E23">
        <w:rPr>
          <w:color w:val="231F20"/>
        </w:rPr>
        <w:t>30</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septiembre,</w:t>
      </w:r>
      <w:r w:rsidRPr="00697E23">
        <w:rPr>
          <w:color w:val="231F20"/>
          <w:spacing w:val="-12"/>
        </w:rPr>
        <w:t xml:space="preserve"> </w:t>
      </w:r>
      <w:r w:rsidRPr="00697E23">
        <w:rPr>
          <w:color w:val="231F20"/>
        </w:rPr>
        <w:t>se</w:t>
      </w:r>
      <w:r w:rsidRPr="00697E23">
        <w:rPr>
          <w:color w:val="231F20"/>
          <w:spacing w:val="-12"/>
        </w:rPr>
        <w:t xml:space="preserve"> </w:t>
      </w:r>
      <w:r w:rsidRPr="00697E23">
        <w:rPr>
          <w:color w:val="231F20"/>
        </w:rPr>
        <w:t>hizo</w:t>
      </w:r>
      <w:r w:rsidRPr="00697E23">
        <w:rPr>
          <w:color w:val="231F20"/>
          <w:spacing w:val="-12"/>
        </w:rPr>
        <w:t xml:space="preserve"> </w:t>
      </w:r>
      <w:r w:rsidRPr="00697E23">
        <w:rPr>
          <w:color w:val="231F20"/>
        </w:rPr>
        <w:t>sin</w:t>
      </w:r>
      <w:r w:rsidRPr="00697E23">
        <w:rPr>
          <w:color w:val="231F20"/>
          <w:spacing w:val="-12"/>
        </w:rPr>
        <w:t xml:space="preserve"> </w:t>
      </w:r>
      <w:r w:rsidRPr="00697E23">
        <w:rPr>
          <w:color w:val="231F20"/>
        </w:rPr>
        <w:t>tener</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cuenta</w:t>
      </w:r>
      <w:r w:rsidRPr="00697E23">
        <w:rPr>
          <w:color w:val="231F20"/>
          <w:spacing w:val="-12"/>
        </w:rPr>
        <w:t xml:space="preserve"> </w:t>
      </w:r>
      <w:r w:rsidRPr="00697E23">
        <w:rPr>
          <w:color w:val="231F20"/>
        </w:rPr>
        <w:t xml:space="preserve">la totalidad de los meses del periodo contable y la tasa de interés cero </w:t>
      </w:r>
      <w:r w:rsidRPr="00697E23">
        <w:rPr>
          <w:color w:val="231F20"/>
          <w:spacing w:val="-2"/>
        </w:rPr>
        <w:t>cupón</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los</w:t>
      </w:r>
      <w:r w:rsidRPr="00697E23">
        <w:rPr>
          <w:color w:val="231F20"/>
          <w:spacing w:val="-13"/>
        </w:rPr>
        <w:t xml:space="preserve"> </w:t>
      </w:r>
      <w:r w:rsidRPr="00697E23">
        <w:rPr>
          <w:color w:val="231F20"/>
          <w:spacing w:val="-2"/>
        </w:rPr>
        <w:t>TES</w:t>
      </w:r>
      <w:r w:rsidRPr="00697E23">
        <w:rPr>
          <w:color w:val="231F20"/>
          <w:spacing w:val="-13"/>
        </w:rPr>
        <w:t xml:space="preserve"> </w:t>
      </w:r>
      <w:r w:rsidRPr="00697E23">
        <w:rPr>
          <w:color w:val="231F20"/>
          <w:spacing w:val="-2"/>
        </w:rPr>
        <w:t>utilizada</w:t>
      </w:r>
      <w:r w:rsidRPr="00697E23">
        <w:rPr>
          <w:color w:val="231F20"/>
          <w:spacing w:val="-13"/>
        </w:rPr>
        <w:t xml:space="preserve"> </w:t>
      </w:r>
      <w:r w:rsidRPr="00697E23">
        <w:rPr>
          <w:color w:val="231F20"/>
          <w:spacing w:val="-2"/>
        </w:rPr>
        <w:t>del</w:t>
      </w:r>
      <w:r w:rsidRPr="00697E23">
        <w:rPr>
          <w:color w:val="231F20"/>
          <w:spacing w:val="-13"/>
        </w:rPr>
        <w:t xml:space="preserve"> </w:t>
      </w:r>
      <w:r w:rsidRPr="00697E23">
        <w:rPr>
          <w:color w:val="231F20"/>
          <w:spacing w:val="-2"/>
        </w:rPr>
        <w:t>6,31%</w:t>
      </w:r>
      <w:r w:rsidRPr="00697E23">
        <w:rPr>
          <w:color w:val="231F20"/>
          <w:spacing w:val="-13"/>
        </w:rPr>
        <w:t xml:space="preserve"> </w:t>
      </w:r>
      <w:r w:rsidRPr="00697E23">
        <w:rPr>
          <w:color w:val="231F20"/>
          <w:spacing w:val="-2"/>
        </w:rPr>
        <w:t>para</w:t>
      </w:r>
      <w:r w:rsidRPr="00697E23">
        <w:rPr>
          <w:color w:val="231F20"/>
          <w:spacing w:val="-13"/>
        </w:rPr>
        <w:t xml:space="preserve"> </w:t>
      </w:r>
      <w:r w:rsidRPr="00697E23">
        <w:rPr>
          <w:color w:val="231F20"/>
          <w:spacing w:val="-2"/>
        </w:rPr>
        <w:t>determinar</w:t>
      </w:r>
      <w:r w:rsidRPr="00697E23">
        <w:rPr>
          <w:color w:val="231F20"/>
          <w:spacing w:val="-13"/>
        </w:rPr>
        <w:t xml:space="preserve"> </w:t>
      </w:r>
      <w:r w:rsidRPr="00697E23">
        <w:rPr>
          <w:color w:val="231F20"/>
          <w:spacing w:val="-2"/>
        </w:rPr>
        <w:t>el</w:t>
      </w:r>
      <w:r w:rsidRPr="00697E23">
        <w:rPr>
          <w:color w:val="231F20"/>
          <w:spacing w:val="-13"/>
        </w:rPr>
        <w:t xml:space="preserve"> </w:t>
      </w:r>
      <w:r w:rsidRPr="00697E23">
        <w:rPr>
          <w:color w:val="231F20"/>
          <w:spacing w:val="-2"/>
        </w:rPr>
        <w:t>valor</w:t>
      </w:r>
      <w:r w:rsidRPr="00697E23">
        <w:rPr>
          <w:color w:val="231F20"/>
          <w:spacing w:val="-13"/>
        </w:rPr>
        <w:t xml:space="preserve"> </w:t>
      </w:r>
      <w:r w:rsidRPr="00697E23">
        <w:rPr>
          <w:color w:val="231F20"/>
          <w:spacing w:val="-2"/>
        </w:rPr>
        <w:t xml:space="preserve">presente </w:t>
      </w:r>
      <w:r w:rsidRPr="00697E23">
        <w:rPr>
          <w:color w:val="231F20"/>
        </w:rPr>
        <w:t>de flujos esperados, no correspondió con la establecida por el Banco de la República, que a esta fecha fue de 9,44%.</w:t>
      </w:r>
    </w:p>
    <w:p w14:paraId="12D61781" w14:textId="77777777" w:rsidR="00C07FDB" w:rsidRDefault="00C07FDB" w:rsidP="00C07FDB">
      <w:pPr>
        <w:pStyle w:val="Textoindependiente"/>
        <w:jc w:val="both"/>
        <w:rPr>
          <w:color w:val="231F20"/>
        </w:rPr>
      </w:pPr>
    </w:p>
    <w:p w14:paraId="3A506643" w14:textId="77777777" w:rsidR="00C07FDB" w:rsidRDefault="00C07FDB" w:rsidP="00C07FDB">
      <w:pPr>
        <w:pStyle w:val="Textoindependiente"/>
        <w:jc w:val="both"/>
        <w:rPr>
          <w:color w:val="231F20"/>
        </w:rPr>
      </w:pPr>
      <w:r w:rsidRPr="00697E23">
        <w:rPr>
          <w:color w:val="231F20"/>
        </w:rPr>
        <w:t>Esto afectó el criterio de antigüedad y el valor presente de los flujos esperados,</w:t>
      </w:r>
      <w:r w:rsidRPr="00697E23">
        <w:rPr>
          <w:color w:val="231F20"/>
          <w:spacing w:val="-7"/>
        </w:rPr>
        <w:t xml:space="preserve"> </w:t>
      </w:r>
      <w:r w:rsidRPr="00697E23">
        <w:rPr>
          <w:color w:val="231F20"/>
        </w:rPr>
        <w:t>con</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fin</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determinar</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indicios</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deterioro</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valor de este al cierre del periodo contable, generando incertidumbre en el saldo</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cuenta</w:t>
      </w:r>
      <w:r w:rsidRPr="00697E23">
        <w:rPr>
          <w:color w:val="231F20"/>
          <w:spacing w:val="-8"/>
        </w:rPr>
        <w:t xml:space="preserve"> </w:t>
      </w:r>
      <w:r w:rsidRPr="00697E23">
        <w:rPr>
          <w:color w:val="231F20"/>
        </w:rPr>
        <w:t>deterioro</w:t>
      </w:r>
      <w:r w:rsidRPr="00697E23">
        <w:rPr>
          <w:color w:val="231F20"/>
          <w:spacing w:val="-8"/>
        </w:rPr>
        <w:t xml:space="preserve"> </w:t>
      </w:r>
      <w:r w:rsidRPr="00697E23">
        <w:rPr>
          <w:color w:val="231F20"/>
        </w:rPr>
        <w:t>acumulado</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cobrar,</w:t>
      </w:r>
      <w:r w:rsidRPr="00697E23">
        <w:rPr>
          <w:color w:val="231F20"/>
          <w:spacing w:val="-8"/>
        </w:rPr>
        <w:t xml:space="preserve"> </w:t>
      </w:r>
      <w:r w:rsidRPr="00697E23">
        <w:rPr>
          <w:color w:val="231F20"/>
        </w:rPr>
        <w:t>lo</w:t>
      </w:r>
      <w:r w:rsidRPr="00697E23">
        <w:rPr>
          <w:color w:val="231F20"/>
          <w:spacing w:val="-8"/>
        </w:rPr>
        <w:t xml:space="preserve"> </w:t>
      </w:r>
      <w:r w:rsidRPr="00697E23">
        <w:rPr>
          <w:color w:val="231F20"/>
        </w:rPr>
        <w:t>cual afectó</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control</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seguimiento</w:t>
      </w:r>
      <w:r w:rsidRPr="00697E23">
        <w:rPr>
          <w:color w:val="231F20"/>
          <w:spacing w:val="-12"/>
        </w:rPr>
        <w:t xml:space="preserve"> </w:t>
      </w:r>
      <w:r w:rsidRPr="00697E23">
        <w:rPr>
          <w:color w:val="231F20"/>
        </w:rPr>
        <w:t>administrativo</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contable</w:t>
      </w:r>
      <w:r w:rsidRPr="00697E23">
        <w:rPr>
          <w:color w:val="231F20"/>
          <w:spacing w:val="-12"/>
        </w:rPr>
        <w:t xml:space="preserve"> </w:t>
      </w:r>
      <w:r w:rsidRPr="00697E23">
        <w:rPr>
          <w:color w:val="231F20"/>
        </w:rPr>
        <w:t>para</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toma de decisiones.</w:t>
      </w:r>
    </w:p>
    <w:p w14:paraId="396FED3C" w14:textId="77777777" w:rsidR="00C07FDB" w:rsidRDefault="00C07FDB" w:rsidP="00C07FDB">
      <w:pPr>
        <w:pStyle w:val="Textoindependiente"/>
        <w:jc w:val="both"/>
        <w:rPr>
          <w:color w:val="231F20"/>
        </w:rPr>
      </w:pPr>
    </w:p>
    <w:p w14:paraId="15ECE8EC" w14:textId="77777777" w:rsidR="00C07FDB" w:rsidRDefault="00C07FDB" w:rsidP="00C07FDB">
      <w:pPr>
        <w:pStyle w:val="Textoindependiente"/>
        <w:jc w:val="both"/>
        <w:rPr>
          <w:color w:val="231F20"/>
        </w:rPr>
      </w:pPr>
      <w:r w:rsidRPr="00C07FDB">
        <w:rPr>
          <w:b/>
          <w:bCs/>
          <w:color w:val="231F20"/>
          <w:sz w:val="28"/>
          <w:szCs w:val="28"/>
        </w:rPr>
        <w:t>-</w:t>
      </w:r>
      <w:r w:rsidRPr="00C07FDB">
        <w:rPr>
          <w:b/>
          <w:bCs/>
          <w:color w:val="231F20"/>
        </w:rPr>
        <w:t>Incorrección</w:t>
      </w:r>
      <w:r w:rsidRPr="00697E23">
        <w:rPr>
          <w:color w:val="231F20"/>
        </w:rPr>
        <w:t xml:space="preserve"> de revelación en activos contingentes, por $40.895,94 millones, debido a que los intereses generados de las cuentas por </w:t>
      </w:r>
      <w:r w:rsidRPr="00697E23">
        <w:rPr>
          <w:color w:val="231F20"/>
          <w:spacing w:val="-2"/>
        </w:rPr>
        <w:t>cobrar</w:t>
      </w:r>
      <w:r w:rsidRPr="00697E23">
        <w:rPr>
          <w:color w:val="231F20"/>
          <w:spacing w:val="-13"/>
        </w:rPr>
        <w:t xml:space="preserve"> </w:t>
      </w:r>
      <w:r w:rsidRPr="00697E23">
        <w:rPr>
          <w:color w:val="231F20"/>
          <w:spacing w:val="-2"/>
        </w:rPr>
        <w:t>se</w:t>
      </w:r>
      <w:r w:rsidRPr="00697E23">
        <w:rPr>
          <w:color w:val="231F20"/>
          <w:spacing w:val="-13"/>
        </w:rPr>
        <w:t xml:space="preserve"> </w:t>
      </w:r>
      <w:r w:rsidRPr="00697E23">
        <w:rPr>
          <w:color w:val="231F20"/>
          <w:spacing w:val="-2"/>
        </w:rPr>
        <w:t>encontraron</w:t>
      </w:r>
      <w:r w:rsidRPr="00697E23">
        <w:rPr>
          <w:color w:val="231F20"/>
          <w:spacing w:val="-13"/>
        </w:rPr>
        <w:t xml:space="preserve"> </w:t>
      </w:r>
      <w:r w:rsidRPr="00697E23">
        <w:rPr>
          <w:color w:val="231F20"/>
          <w:spacing w:val="-2"/>
        </w:rPr>
        <w:t>sin</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revelación</w:t>
      </w:r>
      <w:r w:rsidRPr="00697E23">
        <w:rPr>
          <w:color w:val="231F20"/>
          <w:spacing w:val="-13"/>
        </w:rPr>
        <w:t xml:space="preserve"> </w:t>
      </w:r>
      <w:r w:rsidRPr="00697E23">
        <w:rPr>
          <w:color w:val="231F20"/>
          <w:spacing w:val="-2"/>
        </w:rPr>
        <w:t>contable</w:t>
      </w:r>
      <w:r w:rsidRPr="00697E23">
        <w:rPr>
          <w:color w:val="231F20"/>
          <w:spacing w:val="-13"/>
        </w:rPr>
        <w:t xml:space="preserve"> </w:t>
      </w:r>
      <w:r w:rsidRPr="00697E23">
        <w:rPr>
          <w:color w:val="231F20"/>
          <w:spacing w:val="-2"/>
        </w:rPr>
        <w:t>que,</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acuerdo</w:t>
      </w:r>
      <w:r w:rsidRPr="00697E23">
        <w:rPr>
          <w:color w:val="231F20"/>
          <w:spacing w:val="-13"/>
        </w:rPr>
        <w:t xml:space="preserve"> </w:t>
      </w:r>
      <w:r w:rsidRPr="00697E23">
        <w:rPr>
          <w:color w:val="231F20"/>
          <w:spacing w:val="-2"/>
        </w:rPr>
        <w:t>con</w:t>
      </w:r>
      <w:r w:rsidRPr="00697E23">
        <w:rPr>
          <w:color w:val="231F20"/>
          <w:spacing w:val="-13"/>
        </w:rPr>
        <w:t xml:space="preserve"> </w:t>
      </w:r>
      <w:r w:rsidRPr="00697E23">
        <w:rPr>
          <w:color w:val="231F20"/>
          <w:spacing w:val="-2"/>
        </w:rPr>
        <w:t xml:space="preserve">el </w:t>
      </w:r>
      <w:r w:rsidRPr="00697E23">
        <w:rPr>
          <w:color w:val="231F20"/>
        </w:rPr>
        <w:t>reporte</w:t>
      </w:r>
      <w:r w:rsidRPr="00697E23">
        <w:rPr>
          <w:color w:val="231F20"/>
          <w:spacing w:val="-14"/>
        </w:rPr>
        <w:t xml:space="preserve"> </w:t>
      </w:r>
      <w:r w:rsidRPr="00697E23">
        <w:rPr>
          <w:color w:val="231F20"/>
        </w:rPr>
        <w:t>realizado</w:t>
      </w:r>
      <w:r w:rsidRPr="00697E23">
        <w:rPr>
          <w:color w:val="231F20"/>
          <w:spacing w:val="-13"/>
        </w:rPr>
        <w:t xml:space="preserve"> </w:t>
      </w:r>
      <w:r w:rsidRPr="00697E23">
        <w:rPr>
          <w:color w:val="231F20"/>
        </w:rPr>
        <w:t>por</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Grupo</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Jurisdicción</w:t>
      </w:r>
      <w:r w:rsidRPr="00697E23">
        <w:rPr>
          <w:color w:val="231F20"/>
          <w:spacing w:val="-14"/>
        </w:rPr>
        <w:t xml:space="preserve"> </w:t>
      </w:r>
      <w:r w:rsidRPr="00697E23">
        <w:rPr>
          <w:color w:val="231F20"/>
        </w:rPr>
        <w:t>Coactiva,</w:t>
      </w:r>
      <w:r w:rsidRPr="00697E23">
        <w:rPr>
          <w:color w:val="231F20"/>
          <w:spacing w:val="-14"/>
        </w:rPr>
        <w:t xml:space="preserve"> </w:t>
      </w:r>
      <w:r w:rsidRPr="00697E23">
        <w:rPr>
          <w:color w:val="231F20"/>
        </w:rPr>
        <w:t xml:space="preserve">correspondían a los intereses generados de cuentas por cobrar por concepto de ingresos de formularios de especies valoradas (trámites de tránsito), </w:t>
      </w:r>
      <w:r w:rsidRPr="00697E23">
        <w:rPr>
          <w:color w:val="231F20"/>
          <w:spacing w:val="-2"/>
        </w:rPr>
        <w:t>recuperaciones,</w:t>
      </w:r>
      <w:r w:rsidRPr="00697E23">
        <w:rPr>
          <w:color w:val="231F20"/>
          <w:spacing w:val="-10"/>
        </w:rPr>
        <w:t xml:space="preserve"> </w:t>
      </w:r>
      <w:r w:rsidRPr="00697E23">
        <w:rPr>
          <w:color w:val="231F20"/>
          <w:spacing w:val="-2"/>
        </w:rPr>
        <w:t>entre</w:t>
      </w:r>
      <w:r w:rsidRPr="00697E23">
        <w:rPr>
          <w:color w:val="231F20"/>
          <w:spacing w:val="-10"/>
        </w:rPr>
        <w:t xml:space="preserve"> </w:t>
      </w:r>
      <w:r w:rsidRPr="00697E23">
        <w:rPr>
          <w:color w:val="231F20"/>
          <w:spacing w:val="-2"/>
        </w:rPr>
        <w:t>otros,</w:t>
      </w:r>
      <w:r w:rsidRPr="00697E23">
        <w:rPr>
          <w:color w:val="231F20"/>
          <w:spacing w:val="-10"/>
        </w:rPr>
        <w:t xml:space="preserve"> </w:t>
      </w:r>
      <w:r w:rsidRPr="00697E23">
        <w:rPr>
          <w:color w:val="231F20"/>
          <w:spacing w:val="-2"/>
        </w:rPr>
        <w:t>las</w:t>
      </w:r>
      <w:r w:rsidRPr="00697E23">
        <w:rPr>
          <w:color w:val="231F20"/>
          <w:spacing w:val="-10"/>
        </w:rPr>
        <w:t xml:space="preserve"> </w:t>
      </w:r>
      <w:r w:rsidRPr="00697E23">
        <w:rPr>
          <w:color w:val="231F20"/>
          <w:spacing w:val="-2"/>
        </w:rPr>
        <w:t>cuales</w:t>
      </w:r>
      <w:r w:rsidRPr="00697E23">
        <w:rPr>
          <w:color w:val="231F20"/>
          <w:spacing w:val="-10"/>
        </w:rPr>
        <w:t xml:space="preserve"> </w:t>
      </w:r>
      <w:r w:rsidRPr="00697E23">
        <w:rPr>
          <w:color w:val="231F20"/>
          <w:spacing w:val="-2"/>
        </w:rPr>
        <w:t>se</w:t>
      </w:r>
      <w:r w:rsidRPr="00697E23">
        <w:rPr>
          <w:color w:val="231F20"/>
          <w:spacing w:val="-10"/>
        </w:rPr>
        <w:t xml:space="preserve"> </w:t>
      </w:r>
      <w:r w:rsidRPr="00697E23">
        <w:rPr>
          <w:color w:val="231F20"/>
          <w:spacing w:val="-2"/>
        </w:rPr>
        <w:t>encontraron</w:t>
      </w:r>
      <w:r w:rsidRPr="00697E23">
        <w:rPr>
          <w:color w:val="231F20"/>
          <w:spacing w:val="-10"/>
        </w:rPr>
        <w:t xml:space="preserve"> </w:t>
      </w:r>
      <w:r w:rsidRPr="00697E23">
        <w:rPr>
          <w:color w:val="231F20"/>
          <w:spacing w:val="-2"/>
        </w:rPr>
        <w:t>sin</w:t>
      </w:r>
      <w:r w:rsidRPr="00697E23">
        <w:rPr>
          <w:color w:val="231F20"/>
          <w:spacing w:val="-10"/>
        </w:rPr>
        <w:t xml:space="preserve"> </w:t>
      </w:r>
      <w:r w:rsidRPr="00697E23">
        <w:rPr>
          <w:color w:val="231F20"/>
          <w:spacing w:val="-2"/>
        </w:rPr>
        <w:t>la</w:t>
      </w:r>
      <w:r w:rsidRPr="00697E23">
        <w:rPr>
          <w:color w:val="231F20"/>
          <w:spacing w:val="-10"/>
        </w:rPr>
        <w:t xml:space="preserve"> </w:t>
      </w:r>
      <w:r w:rsidRPr="00697E23">
        <w:rPr>
          <w:color w:val="231F20"/>
          <w:spacing w:val="-2"/>
        </w:rPr>
        <w:t xml:space="preserve">revelación </w:t>
      </w:r>
      <w:r w:rsidRPr="00697E23">
        <w:rPr>
          <w:color w:val="231F20"/>
        </w:rPr>
        <w:t>y control en las cuentas de orden.</w:t>
      </w:r>
    </w:p>
    <w:p w14:paraId="3CB05C35" w14:textId="77777777" w:rsidR="00C07FDB" w:rsidRDefault="00C07FDB" w:rsidP="00C07FDB">
      <w:pPr>
        <w:pStyle w:val="Textoindependiente"/>
        <w:jc w:val="both"/>
        <w:rPr>
          <w:color w:val="231F20"/>
        </w:rPr>
      </w:pPr>
    </w:p>
    <w:p w14:paraId="54CE391D" w14:textId="77777777" w:rsidR="00C07FDB" w:rsidRDefault="00C07FDB" w:rsidP="00C07FDB">
      <w:pPr>
        <w:pStyle w:val="Textoindependiente"/>
        <w:jc w:val="both"/>
        <w:rPr>
          <w:color w:val="231F20"/>
        </w:rPr>
      </w:pPr>
      <w:r w:rsidRPr="00697E23">
        <w:rPr>
          <w:color w:val="231F20"/>
        </w:rPr>
        <w:t>Lo anterior, contravino lo establecido en los numerales 4, 2.6., 2.2.3 del</w:t>
      </w:r>
      <w:r w:rsidRPr="00697E23">
        <w:rPr>
          <w:color w:val="231F20"/>
          <w:spacing w:val="37"/>
        </w:rPr>
        <w:t xml:space="preserve"> </w:t>
      </w:r>
      <w:r w:rsidRPr="00697E23">
        <w:rPr>
          <w:color w:val="231F20"/>
        </w:rPr>
        <w:t>anexo</w:t>
      </w:r>
      <w:r w:rsidRPr="00697E23">
        <w:rPr>
          <w:color w:val="231F20"/>
          <w:spacing w:val="37"/>
        </w:rPr>
        <w:t xml:space="preserve"> </w:t>
      </w:r>
      <w:r w:rsidRPr="00697E23">
        <w:rPr>
          <w:color w:val="231F20"/>
        </w:rPr>
        <w:t>de</w:t>
      </w:r>
      <w:r w:rsidRPr="00697E23">
        <w:rPr>
          <w:color w:val="231F20"/>
          <w:spacing w:val="37"/>
        </w:rPr>
        <w:t xml:space="preserve"> </w:t>
      </w:r>
      <w:r w:rsidRPr="00697E23">
        <w:rPr>
          <w:color w:val="231F20"/>
        </w:rPr>
        <w:t>la</w:t>
      </w:r>
      <w:r w:rsidRPr="00697E23">
        <w:rPr>
          <w:color w:val="231F20"/>
          <w:spacing w:val="37"/>
        </w:rPr>
        <w:t xml:space="preserve"> </w:t>
      </w:r>
      <w:r w:rsidRPr="00697E23">
        <w:rPr>
          <w:color w:val="231F20"/>
        </w:rPr>
        <w:t>Resolución</w:t>
      </w:r>
      <w:r w:rsidRPr="00697E23">
        <w:rPr>
          <w:color w:val="231F20"/>
          <w:spacing w:val="37"/>
        </w:rPr>
        <w:t xml:space="preserve"> </w:t>
      </w:r>
      <w:r w:rsidRPr="00697E23">
        <w:rPr>
          <w:color w:val="231F20"/>
        </w:rPr>
        <w:t>285</w:t>
      </w:r>
      <w:r w:rsidRPr="00697E23">
        <w:rPr>
          <w:color w:val="231F20"/>
          <w:spacing w:val="37"/>
        </w:rPr>
        <w:t xml:space="preserve"> </w:t>
      </w:r>
      <w:r w:rsidRPr="00697E23">
        <w:rPr>
          <w:color w:val="231F20"/>
        </w:rPr>
        <w:t>de</w:t>
      </w:r>
      <w:r w:rsidRPr="00697E23">
        <w:rPr>
          <w:color w:val="231F20"/>
          <w:spacing w:val="37"/>
        </w:rPr>
        <w:t xml:space="preserve"> </w:t>
      </w:r>
      <w:r w:rsidRPr="00697E23">
        <w:rPr>
          <w:color w:val="231F20"/>
        </w:rPr>
        <w:t>2023</w:t>
      </w:r>
      <w:r w:rsidRPr="00697E23">
        <w:rPr>
          <w:color w:val="231F20"/>
          <w:spacing w:val="37"/>
        </w:rPr>
        <w:t xml:space="preserve"> </w:t>
      </w:r>
      <w:r w:rsidRPr="00697E23">
        <w:rPr>
          <w:color w:val="231F20"/>
        </w:rPr>
        <w:t>de</w:t>
      </w:r>
      <w:r w:rsidRPr="00697E23">
        <w:rPr>
          <w:color w:val="231F20"/>
          <w:spacing w:val="37"/>
        </w:rPr>
        <w:t xml:space="preserve"> </w:t>
      </w:r>
      <w:r w:rsidRPr="00697E23">
        <w:rPr>
          <w:color w:val="231F20"/>
        </w:rPr>
        <w:t>la</w:t>
      </w:r>
      <w:r w:rsidRPr="00697E23">
        <w:rPr>
          <w:color w:val="231F20"/>
          <w:spacing w:val="37"/>
        </w:rPr>
        <w:t xml:space="preserve"> </w:t>
      </w:r>
      <w:r w:rsidRPr="00697E23">
        <w:rPr>
          <w:color w:val="231F20"/>
        </w:rPr>
        <w:t>Contaduría</w:t>
      </w:r>
      <w:r w:rsidRPr="00697E23">
        <w:rPr>
          <w:color w:val="231F20"/>
          <w:spacing w:val="37"/>
        </w:rPr>
        <w:t xml:space="preserve"> </w:t>
      </w:r>
      <w:r w:rsidRPr="00697E23">
        <w:rPr>
          <w:color w:val="231F20"/>
        </w:rPr>
        <w:t>General de la Nación; la Resolución 193 de 2016 de la misma entidad y el numeral 3.2.14 Análisis, verificación y conciliación de información, lo cual</w:t>
      </w:r>
      <w:r w:rsidRPr="00697E23">
        <w:rPr>
          <w:color w:val="231F20"/>
          <w:spacing w:val="-9"/>
        </w:rPr>
        <w:t xml:space="preserve"> </w:t>
      </w:r>
      <w:r w:rsidRPr="00697E23">
        <w:rPr>
          <w:color w:val="231F20"/>
        </w:rPr>
        <w:t>impidió</w:t>
      </w:r>
      <w:r w:rsidRPr="00697E23">
        <w:rPr>
          <w:color w:val="231F20"/>
          <w:spacing w:val="-9"/>
        </w:rPr>
        <w:t xml:space="preserve"> </w:t>
      </w:r>
      <w:r w:rsidRPr="00697E23">
        <w:rPr>
          <w:color w:val="231F20"/>
        </w:rPr>
        <w:t>revelar</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las</w:t>
      </w:r>
      <w:r w:rsidRPr="00697E23">
        <w:rPr>
          <w:color w:val="231F20"/>
          <w:spacing w:val="-9"/>
        </w:rPr>
        <w:t xml:space="preserve"> </w:t>
      </w:r>
      <w:r w:rsidRPr="00697E23">
        <w:rPr>
          <w:color w:val="231F20"/>
        </w:rPr>
        <w:t>notas</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estados</w:t>
      </w:r>
      <w:r w:rsidRPr="00697E23">
        <w:rPr>
          <w:color w:val="231F20"/>
          <w:spacing w:val="-9"/>
        </w:rPr>
        <w:t xml:space="preserve"> </w:t>
      </w:r>
      <w:r w:rsidRPr="00697E23">
        <w:rPr>
          <w:color w:val="231F20"/>
        </w:rPr>
        <w:t>contables ni</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las</w:t>
      </w:r>
      <w:r w:rsidRPr="00697E23">
        <w:rPr>
          <w:color w:val="231F20"/>
          <w:spacing w:val="-13"/>
        </w:rPr>
        <w:t xml:space="preserve"> </w:t>
      </w:r>
      <w:r w:rsidRPr="00697E23">
        <w:rPr>
          <w:color w:val="231F20"/>
        </w:rPr>
        <w:t>cuentas</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orden</w:t>
      </w:r>
      <w:r w:rsidRPr="00697E23">
        <w:rPr>
          <w:color w:val="231F20"/>
          <w:spacing w:val="-13"/>
        </w:rPr>
        <w:t xml:space="preserve"> </w:t>
      </w:r>
      <w:r w:rsidRPr="00697E23">
        <w:rPr>
          <w:color w:val="231F20"/>
        </w:rPr>
        <w:t>contingentes,</w:t>
      </w:r>
      <w:r w:rsidRPr="00697E23">
        <w:rPr>
          <w:color w:val="231F20"/>
          <w:spacing w:val="-13"/>
        </w:rPr>
        <w:t xml:space="preserve"> </w:t>
      </w:r>
      <w:r w:rsidRPr="00697E23">
        <w:rPr>
          <w:color w:val="231F20"/>
        </w:rPr>
        <w:t>para</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seguimiento</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control de las mismas.</w:t>
      </w:r>
    </w:p>
    <w:p w14:paraId="067201E7" w14:textId="77777777" w:rsidR="00C07FDB" w:rsidRDefault="00C07FDB" w:rsidP="00C07FDB">
      <w:pPr>
        <w:pStyle w:val="Textoindependiente"/>
        <w:jc w:val="both"/>
        <w:rPr>
          <w:color w:val="231F20"/>
        </w:rPr>
      </w:pPr>
    </w:p>
    <w:p w14:paraId="5EBFB1C4" w14:textId="77777777" w:rsidR="00C07FDB" w:rsidRDefault="00C07FDB" w:rsidP="00C07FDB">
      <w:pPr>
        <w:pStyle w:val="Textoindependiente"/>
        <w:jc w:val="both"/>
        <w:rPr>
          <w:color w:val="231F20"/>
          <w:spacing w:val="-2"/>
        </w:rPr>
      </w:pPr>
      <w:r w:rsidRPr="00C07FDB">
        <w:rPr>
          <w:b/>
          <w:bCs/>
          <w:color w:val="231F20"/>
          <w:sz w:val="28"/>
          <w:szCs w:val="28"/>
        </w:rPr>
        <w:t>-</w:t>
      </w:r>
      <w:r w:rsidRPr="00C07FDB">
        <w:rPr>
          <w:b/>
          <w:bCs/>
          <w:color w:val="231F20"/>
          <w:spacing w:val="-4"/>
          <w:sz w:val="28"/>
          <w:szCs w:val="28"/>
        </w:rPr>
        <w:t>I</w:t>
      </w:r>
      <w:r w:rsidRPr="00C07FDB">
        <w:rPr>
          <w:b/>
          <w:bCs/>
          <w:color w:val="231F20"/>
          <w:spacing w:val="-4"/>
        </w:rPr>
        <w:t>ncorrección</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revelación</w:t>
      </w:r>
      <w:r w:rsidRPr="00697E23">
        <w:rPr>
          <w:color w:val="231F20"/>
          <w:spacing w:val="-10"/>
        </w:rPr>
        <w:t xml:space="preserve"> </w:t>
      </w:r>
      <w:r w:rsidRPr="00697E23">
        <w:rPr>
          <w:color w:val="231F20"/>
          <w:spacing w:val="-4"/>
        </w:rPr>
        <w:t>en</w:t>
      </w:r>
      <w:r w:rsidRPr="00697E23">
        <w:rPr>
          <w:color w:val="231F20"/>
          <w:spacing w:val="-10"/>
        </w:rPr>
        <w:t xml:space="preserve"> </w:t>
      </w:r>
      <w:r w:rsidRPr="00697E23">
        <w:rPr>
          <w:color w:val="231F20"/>
          <w:spacing w:val="-4"/>
        </w:rPr>
        <w:t>provisiones,</w:t>
      </w:r>
      <w:r w:rsidRPr="00697E23">
        <w:rPr>
          <w:color w:val="231F20"/>
          <w:spacing w:val="-10"/>
        </w:rPr>
        <w:t xml:space="preserve"> </w:t>
      </w:r>
      <w:r w:rsidRPr="00697E23">
        <w:rPr>
          <w:color w:val="231F20"/>
          <w:spacing w:val="-4"/>
        </w:rPr>
        <w:t>debido</w:t>
      </w:r>
      <w:r w:rsidRPr="00697E23">
        <w:rPr>
          <w:color w:val="231F20"/>
          <w:spacing w:val="-10"/>
        </w:rPr>
        <w:t xml:space="preserve"> </w:t>
      </w:r>
      <w:r w:rsidRPr="00697E23">
        <w:rPr>
          <w:color w:val="231F20"/>
          <w:spacing w:val="-4"/>
        </w:rPr>
        <w:t>a</w:t>
      </w:r>
      <w:r w:rsidRPr="00697E23">
        <w:rPr>
          <w:color w:val="231F20"/>
          <w:spacing w:val="-10"/>
        </w:rPr>
        <w:t xml:space="preserve"> </w:t>
      </w:r>
      <w:r w:rsidRPr="00697E23">
        <w:rPr>
          <w:color w:val="231F20"/>
          <w:spacing w:val="-4"/>
        </w:rPr>
        <w:t>que</w:t>
      </w:r>
      <w:r w:rsidRPr="00697E23">
        <w:rPr>
          <w:color w:val="231F20"/>
          <w:spacing w:val="-10"/>
        </w:rPr>
        <w:t xml:space="preserve"> </w:t>
      </w:r>
      <w:r w:rsidRPr="00697E23">
        <w:rPr>
          <w:color w:val="231F20"/>
          <w:spacing w:val="-4"/>
        </w:rPr>
        <w:t>las</w:t>
      </w:r>
      <w:r w:rsidRPr="00697E23">
        <w:rPr>
          <w:color w:val="231F20"/>
          <w:spacing w:val="-10"/>
        </w:rPr>
        <w:t xml:space="preserve"> </w:t>
      </w:r>
      <w:r w:rsidRPr="00697E23">
        <w:rPr>
          <w:color w:val="231F20"/>
          <w:spacing w:val="-4"/>
        </w:rPr>
        <w:t xml:space="preserve">revelaciones </w:t>
      </w:r>
      <w:r w:rsidRPr="00697E23">
        <w:rPr>
          <w:color w:val="231F20"/>
        </w:rPr>
        <w:t>de</w:t>
      </w:r>
      <w:r w:rsidRPr="00697E23">
        <w:rPr>
          <w:color w:val="231F20"/>
          <w:spacing w:val="-20"/>
        </w:rPr>
        <w:t xml:space="preserve"> </w:t>
      </w:r>
      <w:r w:rsidRPr="00697E23">
        <w:rPr>
          <w:color w:val="231F20"/>
        </w:rPr>
        <w:t>las</w:t>
      </w:r>
      <w:r w:rsidRPr="00697E23">
        <w:rPr>
          <w:color w:val="231F20"/>
          <w:spacing w:val="-19"/>
        </w:rPr>
        <w:t xml:space="preserve"> </w:t>
      </w:r>
      <w:r w:rsidRPr="00697E23">
        <w:rPr>
          <w:color w:val="231F20"/>
        </w:rPr>
        <w:t>provisiones</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litigios</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demandas,</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$1.914.432,61</w:t>
      </w:r>
      <w:r w:rsidRPr="00697E23">
        <w:rPr>
          <w:color w:val="231F20"/>
          <w:spacing w:val="-20"/>
        </w:rPr>
        <w:t xml:space="preserve"> </w:t>
      </w:r>
      <w:r w:rsidRPr="00697E23">
        <w:rPr>
          <w:color w:val="231F20"/>
        </w:rPr>
        <w:t>millones, presentaron deficiencias por la omisión de la descripción del reconocimiento</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los</w:t>
      </w:r>
      <w:r w:rsidRPr="00697E23">
        <w:rPr>
          <w:color w:val="231F20"/>
          <w:spacing w:val="-10"/>
        </w:rPr>
        <w:t xml:space="preserve"> </w:t>
      </w:r>
      <w:r w:rsidRPr="00697E23">
        <w:rPr>
          <w:color w:val="231F20"/>
        </w:rPr>
        <w:t>nuevos</w:t>
      </w:r>
      <w:r w:rsidRPr="00697E23">
        <w:rPr>
          <w:color w:val="231F20"/>
          <w:spacing w:val="-10"/>
        </w:rPr>
        <w:t xml:space="preserve"> </w:t>
      </w:r>
      <w:r w:rsidRPr="00697E23">
        <w:rPr>
          <w:color w:val="231F20"/>
        </w:rPr>
        <w:t>procesos,</w:t>
      </w:r>
      <w:r w:rsidRPr="00697E23">
        <w:rPr>
          <w:color w:val="231F20"/>
          <w:spacing w:val="-10"/>
        </w:rPr>
        <w:t xml:space="preserve"> </w:t>
      </w:r>
      <w:r w:rsidRPr="00697E23">
        <w:rPr>
          <w:color w:val="231F20"/>
        </w:rPr>
        <w:t>las</w:t>
      </w:r>
      <w:r w:rsidRPr="00697E23">
        <w:rPr>
          <w:color w:val="231F20"/>
          <w:spacing w:val="-10"/>
        </w:rPr>
        <w:t xml:space="preserve"> </w:t>
      </w:r>
      <w:r w:rsidRPr="00697E23">
        <w:rPr>
          <w:color w:val="231F20"/>
        </w:rPr>
        <w:t>adiciones</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 xml:space="preserve">disminuciones </w:t>
      </w:r>
      <w:r w:rsidRPr="00697E23">
        <w:rPr>
          <w:color w:val="231F20"/>
          <w:spacing w:val="-2"/>
        </w:rPr>
        <w:t>presentadas</w:t>
      </w:r>
      <w:r w:rsidRPr="00697E23">
        <w:rPr>
          <w:color w:val="231F20"/>
          <w:spacing w:val="-15"/>
        </w:rPr>
        <w:t xml:space="preserve"> </w:t>
      </w:r>
      <w:r w:rsidRPr="00697E23">
        <w:rPr>
          <w:color w:val="231F20"/>
          <w:spacing w:val="-2"/>
        </w:rPr>
        <w:t>y</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valor</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las</w:t>
      </w:r>
      <w:r w:rsidRPr="00697E23">
        <w:rPr>
          <w:color w:val="231F20"/>
          <w:spacing w:val="-13"/>
        </w:rPr>
        <w:t xml:space="preserve"> </w:t>
      </w:r>
      <w:r w:rsidRPr="00697E23">
        <w:rPr>
          <w:color w:val="231F20"/>
          <w:spacing w:val="-2"/>
        </w:rPr>
        <w:t>reversiones</w:t>
      </w:r>
      <w:r w:rsidRPr="00697E23">
        <w:rPr>
          <w:color w:val="231F20"/>
          <w:spacing w:val="-12"/>
        </w:rPr>
        <w:t xml:space="preserve"> </w:t>
      </w:r>
      <w:r w:rsidRPr="00697E23">
        <w:rPr>
          <w:color w:val="231F20"/>
          <w:spacing w:val="-2"/>
        </w:rPr>
        <w:t>realizadas</w:t>
      </w:r>
      <w:r w:rsidRPr="00697E23">
        <w:rPr>
          <w:color w:val="231F20"/>
          <w:spacing w:val="-12"/>
        </w:rPr>
        <w:t xml:space="preserve"> </w:t>
      </w:r>
      <w:r w:rsidRPr="00697E23">
        <w:rPr>
          <w:color w:val="231F20"/>
          <w:spacing w:val="-2"/>
        </w:rPr>
        <w:t>durante</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periodo.</w:t>
      </w:r>
    </w:p>
    <w:p w14:paraId="7B13848A" w14:textId="77777777" w:rsidR="00C07FDB" w:rsidRDefault="00C07FDB" w:rsidP="00C07FDB">
      <w:pPr>
        <w:pStyle w:val="Textoindependiente"/>
        <w:jc w:val="both"/>
        <w:rPr>
          <w:color w:val="231F20"/>
          <w:spacing w:val="-2"/>
        </w:rPr>
      </w:pPr>
    </w:p>
    <w:p w14:paraId="36D0A841" w14:textId="77777777" w:rsidR="00C07FDB" w:rsidRDefault="00C07FDB" w:rsidP="00C07FDB">
      <w:pPr>
        <w:pStyle w:val="Textoindependiente"/>
        <w:jc w:val="both"/>
        <w:rPr>
          <w:color w:val="231F20"/>
        </w:rPr>
      </w:pPr>
      <w:r w:rsidRPr="00697E23">
        <w:rPr>
          <w:color w:val="231F20"/>
        </w:rPr>
        <w:t>Así</w:t>
      </w:r>
      <w:r w:rsidRPr="00697E23">
        <w:rPr>
          <w:color w:val="231F20"/>
          <w:spacing w:val="-16"/>
        </w:rPr>
        <w:t xml:space="preserve"> </w:t>
      </w:r>
      <w:r w:rsidRPr="00697E23">
        <w:rPr>
          <w:color w:val="231F20"/>
        </w:rPr>
        <w:t>mismo,</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valor</w:t>
      </w:r>
      <w:r w:rsidRPr="00697E23">
        <w:rPr>
          <w:color w:val="231F20"/>
          <w:spacing w:val="-16"/>
        </w:rPr>
        <w:t xml:space="preserve"> </w:t>
      </w:r>
      <w:r w:rsidRPr="00697E23">
        <w:rPr>
          <w:color w:val="231F20"/>
        </w:rPr>
        <w:t>presente</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las</w:t>
      </w:r>
      <w:r w:rsidRPr="00697E23">
        <w:rPr>
          <w:color w:val="231F20"/>
          <w:spacing w:val="-16"/>
        </w:rPr>
        <w:t xml:space="preserve"> </w:t>
      </w:r>
      <w:r w:rsidRPr="00697E23">
        <w:rPr>
          <w:color w:val="231F20"/>
        </w:rPr>
        <w:t>provisiones</w:t>
      </w:r>
      <w:r w:rsidRPr="00697E23">
        <w:rPr>
          <w:color w:val="231F20"/>
          <w:spacing w:val="-16"/>
        </w:rPr>
        <w:t xml:space="preserve"> </w:t>
      </w:r>
      <w:r w:rsidRPr="00697E23">
        <w:rPr>
          <w:color w:val="231F20"/>
        </w:rPr>
        <w:t>no</w:t>
      </w:r>
      <w:r w:rsidRPr="00697E23">
        <w:rPr>
          <w:color w:val="231F20"/>
          <w:spacing w:val="-16"/>
        </w:rPr>
        <w:t xml:space="preserve"> </w:t>
      </w:r>
      <w:r w:rsidRPr="00697E23">
        <w:rPr>
          <w:color w:val="231F20"/>
        </w:rPr>
        <w:t>reveló</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tasa</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 xml:space="preserve">los </w:t>
      </w:r>
      <w:r w:rsidRPr="00697E23">
        <w:rPr>
          <w:color w:val="231F20"/>
          <w:spacing w:val="-2"/>
        </w:rPr>
        <w:t>TES</w:t>
      </w:r>
      <w:r w:rsidRPr="00697E23">
        <w:rPr>
          <w:color w:val="231F20"/>
          <w:spacing w:val="-17"/>
        </w:rPr>
        <w:t xml:space="preserve"> </w:t>
      </w:r>
      <w:r w:rsidRPr="00697E23">
        <w:rPr>
          <w:color w:val="231F20"/>
          <w:spacing w:val="-2"/>
        </w:rPr>
        <w:t>aplicada</w:t>
      </w:r>
      <w:r w:rsidRPr="00697E23">
        <w:rPr>
          <w:color w:val="231F20"/>
          <w:spacing w:val="-17"/>
        </w:rPr>
        <w:t xml:space="preserve"> </w:t>
      </w:r>
      <w:r w:rsidRPr="00697E23">
        <w:rPr>
          <w:color w:val="231F20"/>
          <w:spacing w:val="-2"/>
        </w:rPr>
        <w:t>en</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medición</w:t>
      </w:r>
      <w:r w:rsidRPr="00697E23">
        <w:rPr>
          <w:color w:val="231F20"/>
          <w:spacing w:val="-17"/>
        </w:rPr>
        <w:t xml:space="preserve"> </w:t>
      </w:r>
      <w:r w:rsidRPr="00697E23">
        <w:rPr>
          <w:color w:val="231F20"/>
          <w:spacing w:val="-2"/>
        </w:rPr>
        <w:t>individual</w:t>
      </w:r>
      <w:r w:rsidRPr="00697E23">
        <w:rPr>
          <w:color w:val="231F20"/>
          <w:spacing w:val="-17"/>
        </w:rPr>
        <w:t xml:space="preserve"> </w:t>
      </w:r>
      <w:r w:rsidRPr="00697E23">
        <w:rPr>
          <w:color w:val="231F20"/>
          <w:spacing w:val="-2"/>
        </w:rPr>
        <w:t>realizada,</w:t>
      </w:r>
      <w:r w:rsidRPr="00697E23">
        <w:rPr>
          <w:color w:val="231F20"/>
          <w:spacing w:val="-17"/>
        </w:rPr>
        <w:t xml:space="preserve"> </w:t>
      </w:r>
      <w:r w:rsidRPr="00697E23">
        <w:rPr>
          <w:color w:val="231F20"/>
          <w:spacing w:val="-2"/>
        </w:rPr>
        <w:t>las</w:t>
      </w:r>
      <w:r w:rsidRPr="00697E23">
        <w:rPr>
          <w:color w:val="231F20"/>
          <w:spacing w:val="-17"/>
        </w:rPr>
        <w:t xml:space="preserve"> </w:t>
      </w:r>
      <w:r w:rsidRPr="00697E23">
        <w:rPr>
          <w:color w:val="231F20"/>
          <w:spacing w:val="-2"/>
        </w:rPr>
        <w:t>variables</w:t>
      </w:r>
      <w:r w:rsidRPr="00697E23">
        <w:rPr>
          <w:color w:val="231F20"/>
          <w:spacing w:val="-17"/>
        </w:rPr>
        <w:t xml:space="preserve"> </w:t>
      </w:r>
      <w:r w:rsidRPr="00697E23">
        <w:rPr>
          <w:color w:val="231F20"/>
          <w:spacing w:val="-2"/>
        </w:rPr>
        <w:t xml:space="preserve">utilizadas </w:t>
      </w:r>
      <w:r w:rsidRPr="00697E23">
        <w:rPr>
          <w:color w:val="231F20"/>
        </w:rPr>
        <w:t>para la indexación, la inflación proyectada, la tasa de descuento reportada en el eKOGUI y no se identificaron las variables aplicadas para determinar este valor y afectó la revelación de estas.</w:t>
      </w:r>
    </w:p>
    <w:p w14:paraId="7DD3A4D8" w14:textId="77777777" w:rsidR="00C07FDB" w:rsidRDefault="00C07FDB" w:rsidP="00C07FDB">
      <w:pPr>
        <w:pStyle w:val="Textoindependiente"/>
        <w:jc w:val="both"/>
        <w:rPr>
          <w:color w:val="231F20"/>
        </w:rPr>
      </w:pPr>
    </w:p>
    <w:p w14:paraId="3B67ED80" w14:textId="77777777" w:rsidR="00C07FDB" w:rsidRDefault="00C07FDB" w:rsidP="00C07FDB">
      <w:pPr>
        <w:pStyle w:val="Textoindependiente"/>
        <w:jc w:val="both"/>
        <w:rPr>
          <w:color w:val="231F20"/>
        </w:rPr>
      </w:pPr>
      <w:r w:rsidRPr="00697E23">
        <w:rPr>
          <w:color w:val="231F20"/>
          <w:spacing w:val="-4"/>
        </w:rPr>
        <w:t>Lo</w:t>
      </w:r>
      <w:r w:rsidRPr="00697E23">
        <w:rPr>
          <w:color w:val="231F20"/>
          <w:spacing w:val="-14"/>
        </w:rPr>
        <w:t xml:space="preserve"> </w:t>
      </w:r>
      <w:r w:rsidRPr="00697E23">
        <w:rPr>
          <w:color w:val="231F20"/>
          <w:spacing w:val="-4"/>
        </w:rPr>
        <w:t>anterior,</w:t>
      </w:r>
      <w:r w:rsidRPr="00697E23">
        <w:rPr>
          <w:color w:val="231F20"/>
          <w:spacing w:val="-14"/>
        </w:rPr>
        <w:t xml:space="preserve"> </w:t>
      </w:r>
      <w:r w:rsidRPr="00697E23">
        <w:rPr>
          <w:color w:val="231F20"/>
          <w:spacing w:val="-4"/>
        </w:rPr>
        <w:t>contravino</w:t>
      </w:r>
      <w:r w:rsidRPr="00697E23">
        <w:rPr>
          <w:color w:val="231F20"/>
          <w:spacing w:val="-14"/>
        </w:rPr>
        <w:t xml:space="preserve"> </w:t>
      </w:r>
      <w:r w:rsidRPr="00697E23">
        <w:rPr>
          <w:color w:val="231F20"/>
          <w:spacing w:val="-4"/>
        </w:rPr>
        <w:t>lo</w:t>
      </w:r>
      <w:r w:rsidRPr="00697E23">
        <w:rPr>
          <w:color w:val="231F20"/>
          <w:spacing w:val="-14"/>
        </w:rPr>
        <w:t xml:space="preserve"> </w:t>
      </w:r>
      <w:r w:rsidRPr="00697E23">
        <w:rPr>
          <w:color w:val="231F20"/>
          <w:spacing w:val="-4"/>
        </w:rPr>
        <w:t>establecido</w:t>
      </w:r>
      <w:r w:rsidRPr="00697E23">
        <w:rPr>
          <w:color w:val="231F20"/>
          <w:spacing w:val="-14"/>
        </w:rPr>
        <w:t xml:space="preserve"> </w:t>
      </w:r>
      <w:r w:rsidRPr="00697E23">
        <w:rPr>
          <w:color w:val="231F20"/>
          <w:spacing w:val="-4"/>
        </w:rPr>
        <w:t>en</w:t>
      </w:r>
      <w:r w:rsidRPr="00697E23">
        <w:rPr>
          <w:color w:val="231F20"/>
          <w:spacing w:val="-14"/>
        </w:rPr>
        <w:t xml:space="preserve"> </w:t>
      </w:r>
      <w:r w:rsidRPr="00697E23">
        <w:rPr>
          <w:color w:val="231F20"/>
          <w:spacing w:val="-4"/>
        </w:rPr>
        <w:t>la</w:t>
      </w:r>
      <w:r w:rsidRPr="00697E23">
        <w:rPr>
          <w:color w:val="231F20"/>
          <w:spacing w:val="-14"/>
        </w:rPr>
        <w:t xml:space="preserve"> </w:t>
      </w:r>
      <w:r w:rsidRPr="00697E23">
        <w:rPr>
          <w:color w:val="231F20"/>
          <w:spacing w:val="-4"/>
        </w:rPr>
        <w:t>Resolución</w:t>
      </w:r>
      <w:r w:rsidRPr="00697E23">
        <w:rPr>
          <w:color w:val="231F20"/>
          <w:spacing w:val="-14"/>
        </w:rPr>
        <w:t xml:space="preserve"> </w:t>
      </w:r>
      <w:r w:rsidRPr="00697E23">
        <w:rPr>
          <w:color w:val="231F20"/>
          <w:spacing w:val="-4"/>
        </w:rPr>
        <w:t>080</w:t>
      </w:r>
      <w:r w:rsidRPr="00697E23">
        <w:rPr>
          <w:color w:val="231F20"/>
          <w:spacing w:val="-14"/>
        </w:rPr>
        <w:t xml:space="preserve"> </w:t>
      </w:r>
      <w:r w:rsidRPr="00697E23">
        <w:rPr>
          <w:color w:val="231F20"/>
          <w:spacing w:val="-4"/>
        </w:rPr>
        <w:t>del</w:t>
      </w:r>
      <w:r w:rsidRPr="00697E23">
        <w:rPr>
          <w:color w:val="231F20"/>
          <w:spacing w:val="-14"/>
        </w:rPr>
        <w:t xml:space="preserve"> </w:t>
      </w:r>
      <w:r w:rsidRPr="00697E23">
        <w:rPr>
          <w:color w:val="231F20"/>
          <w:spacing w:val="-4"/>
        </w:rPr>
        <w:t>2</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 xml:space="preserve">junio </w:t>
      </w:r>
      <w:r w:rsidRPr="00697E23">
        <w:rPr>
          <w:color w:val="231F20"/>
        </w:rPr>
        <w:t>de 2021 de la Contaduría General de la Nación, del Marco normativo para</w:t>
      </w:r>
      <w:r w:rsidRPr="00697E23">
        <w:rPr>
          <w:color w:val="231F20"/>
          <w:spacing w:val="-14"/>
        </w:rPr>
        <w:t xml:space="preserve"> </w:t>
      </w:r>
      <w:r w:rsidRPr="00697E23">
        <w:rPr>
          <w:color w:val="231F20"/>
        </w:rPr>
        <w:t>entidades</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gobierno</w:t>
      </w:r>
      <w:r w:rsidRPr="00697E23">
        <w:rPr>
          <w:color w:val="231F20"/>
          <w:spacing w:val="-14"/>
        </w:rPr>
        <w:t xml:space="preserve"> </w:t>
      </w:r>
      <w:r w:rsidRPr="00697E23">
        <w:rPr>
          <w:color w:val="231F20"/>
        </w:rPr>
        <w:t>Numeral</w:t>
      </w:r>
      <w:r w:rsidRPr="00697E23">
        <w:rPr>
          <w:color w:val="231F20"/>
          <w:spacing w:val="-14"/>
        </w:rPr>
        <w:t xml:space="preserve"> </w:t>
      </w:r>
      <w:r w:rsidRPr="00697E23">
        <w:rPr>
          <w:color w:val="231F20"/>
        </w:rPr>
        <w:t>6.4.</w:t>
      </w:r>
      <w:r w:rsidRPr="00697E23">
        <w:rPr>
          <w:color w:val="231F20"/>
          <w:spacing w:val="-14"/>
        </w:rPr>
        <w:t xml:space="preserve"> </w:t>
      </w:r>
      <w:r w:rsidRPr="00697E23">
        <w:rPr>
          <w:color w:val="231F20"/>
        </w:rPr>
        <w:t>Revelaciones,</w:t>
      </w:r>
      <w:r w:rsidRPr="00697E23">
        <w:rPr>
          <w:color w:val="231F20"/>
          <w:spacing w:val="-14"/>
        </w:rPr>
        <w:t xml:space="preserve"> </w:t>
      </w:r>
      <w:r w:rsidRPr="00697E23">
        <w:rPr>
          <w:color w:val="231F20"/>
        </w:rPr>
        <w:t>lo</w:t>
      </w:r>
      <w:r w:rsidRPr="00697E23">
        <w:rPr>
          <w:color w:val="231F20"/>
          <w:spacing w:val="-14"/>
        </w:rPr>
        <w:t xml:space="preserve"> </w:t>
      </w:r>
      <w:r w:rsidRPr="00697E23">
        <w:rPr>
          <w:color w:val="231F20"/>
        </w:rPr>
        <w:t>cual</w:t>
      </w:r>
      <w:r w:rsidRPr="00697E23">
        <w:rPr>
          <w:color w:val="231F20"/>
          <w:spacing w:val="-14"/>
        </w:rPr>
        <w:t xml:space="preserve"> </w:t>
      </w:r>
      <w:r w:rsidRPr="00697E23">
        <w:rPr>
          <w:color w:val="231F20"/>
        </w:rPr>
        <w:t>generó deficiencias en la revelación de las notas a los estados contables de la</w:t>
      </w:r>
      <w:r w:rsidRPr="00697E23">
        <w:rPr>
          <w:color w:val="231F20"/>
          <w:spacing w:val="-5"/>
        </w:rPr>
        <w:t xml:space="preserve"> </w:t>
      </w:r>
      <w:r w:rsidRPr="00697E23">
        <w:rPr>
          <w:color w:val="231F20"/>
        </w:rPr>
        <w:t>cuenta</w:t>
      </w:r>
      <w:r w:rsidRPr="00697E23">
        <w:rPr>
          <w:color w:val="231F20"/>
          <w:spacing w:val="-5"/>
        </w:rPr>
        <w:t xml:space="preserve"> </w:t>
      </w:r>
      <w:r w:rsidRPr="00697E23">
        <w:rPr>
          <w:color w:val="231F20"/>
        </w:rPr>
        <w:t>Provisiones</w:t>
      </w:r>
      <w:r w:rsidRPr="00697E23">
        <w:rPr>
          <w:color w:val="231F20"/>
          <w:spacing w:val="-5"/>
        </w:rPr>
        <w:t xml:space="preserve"> </w:t>
      </w:r>
      <w:r w:rsidRPr="00697E23">
        <w:rPr>
          <w:color w:val="231F20"/>
        </w:rPr>
        <w:t>litigios</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demandas</w:t>
      </w:r>
      <w:r w:rsidRPr="00697E23">
        <w:rPr>
          <w:color w:val="231F20"/>
          <w:spacing w:val="-5"/>
        </w:rPr>
        <w:t xml:space="preserve"> </w:t>
      </w:r>
      <w:r w:rsidRPr="00697E23">
        <w:rPr>
          <w:color w:val="231F20"/>
        </w:rPr>
        <w:t>para</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debido</w:t>
      </w:r>
      <w:r w:rsidRPr="00697E23">
        <w:rPr>
          <w:color w:val="231F20"/>
          <w:spacing w:val="-5"/>
        </w:rPr>
        <w:t xml:space="preserve"> </w:t>
      </w:r>
      <w:r w:rsidRPr="00697E23">
        <w:rPr>
          <w:color w:val="231F20"/>
        </w:rPr>
        <w:t>seguimiento, control y toma de decisiones.</w:t>
      </w:r>
    </w:p>
    <w:p w14:paraId="1D0F2B3B" w14:textId="77777777" w:rsidR="00C07FDB" w:rsidRDefault="00C07FDB" w:rsidP="00C07FDB">
      <w:pPr>
        <w:pStyle w:val="Textoindependiente"/>
        <w:jc w:val="both"/>
        <w:rPr>
          <w:color w:val="231F20"/>
        </w:rPr>
      </w:pPr>
    </w:p>
    <w:p w14:paraId="69FA4734" w14:textId="77777777" w:rsidR="00C07FDB" w:rsidRPr="00FE2B1F" w:rsidRDefault="00C07FDB" w:rsidP="00C07FDB">
      <w:pPr>
        <w:pStyle w:val="Textoindependiente"/>
        <w:jc w:val="both"/>
        <w:rPr>
          <w:b/>
          <w:color w:val="231F20"/>
          <w:spacing w:val="-2"/>
          <w:sz w:val="28"/>
          <w:szCs w:val="28"/>
        </w:rPr>
      </w:pPr>
      <w:r w:rsidRPr="00FE2B1F">
        <w:rPr>
          <w:b/>
          <w:color w:val="231F20"/>
          <w:sz w:val="28"/>
          <w:szCs w:val="28"/>
        </w:rPr>
        <w:t>CONTROL</w:t>
      </w:r>
      <w:r w:rsidRPr="00FE2B1F">
        <w:rPr>
          <w:b/>
          <w:color w:val="231F20"/>
          <w:spacing w:val="-7"/>
          <w:sz w:val="28"/>
          <w:szCs w:val="28"/>
        </w:rPr>
        <w:t xml:space="preserve"> </w:t>
      </w:r>
      <w:r w:rsidRPr="00FE2B1F">
        <w:rPr>
          <w:b/>
          <w:color w:val="231F20"/>
          <w:sz w:val="28"/>
          <w:szCs w:val="28"/>
        </w:rPr>
        <w:t>INTERNO</w:t>
      </w:r>
      <w:r w:rsidRPr="00FE2B1F">
        <w:rPr>
          <w:b/>
          <w:color w:val="231F20"/>
          <w:spacing w:val="-7"/>
          <w:sz w:val="28"/>
          <w:szCs w:val="28"/>
        </w:rPr>
        <w:t xml:space="preserve"> </w:t>
      </w:r>
      <w:r w:rsidRPr="00FE2B1F">
        <w:rPr>
          <w:b/>
          <w:color w:val="231F20"/>
          <w:sz w:val="28"/>
          <w:szCs w:val="28"/>
        </w:rPr>
        <w:t>FINANCIERO:</w:t>
      </w:r>
      <w:r w:rsidRPr="00FE2B1F">
        <w:rPr>
          <w:b/>
          <w:color w:val="231F20"/>
          <w:spacing w:val="-6"/>
          <w:sz w:val="28"/>
          <w:szCs w:val="28"/>
        </w:rPr>
        <w:t xml:space="preserve"> </w:t>
      </w:r>
      <w:r w:rsidRPr="00FE2B1F">
        <w:rPr>
          <w:b/>
          <w:color w:val="231F20"/>
          <w:sz w:val="28"/>
          <w:szCs w:val="28"/>
          <w:u w:val="single"/>
        </w:rPr>
        <w:t>CON</w:t>
      </w:r>
      <w:r w:rsidRPr="00FE2B1F">
        <w:rPr>
          <w:b/>
          <w:color w:val="231F20"/>
          <w:spacing w:val="-7"/>
          <w:sz w:val="28"/>
          <w:szCs w:val="28"/>
          <w:u w:val="single"/>
        </w:rPr>
        <w:t xml:space="preserve"> </w:t>
      </w:r>
      <w:r w:rsidRPr="00FE2B1F">
        <w:rPr>
          <w:b/>
          <w:color w:val="231F20"/>
          <w:spacing w:val="-2"/>
          <w:sz w:val="28"/>
          <w:szCs w:val="28"/>
          <w:u w:val="single"/>
        </w:rPr>
        <w:t>DEFICIENCIAS</w:t>
      </w:r>
      <w:r w:rsidRPr="00FE2B1F">
        <w:rPr>
          <w:b/>
          <w:color w:val="231F20"/>
          <w:spacing w:val="-2"/>
          <w:sz w:val="28"/>
          <w:szCs w:val="28"/>
        </w:rPr>
        <w:t>.</w:t>
      </w:r>
    </w:p>
    <w:p w14:paraId="418A8EC0" w14:textId="77777777" w:rsidR="00C07FDB" w:rsidRDefault="00C07FDB" w:rsidP="00C07FDB">
      <w:pPr>
        <w:pStyle w:val="Textoindependiente"/>
        <w:jc w:val="both"/>
        <w:rPr>
          <w:color w:val="231F20"/>
          <w:spacing w:val="-2"/>
        </w:rPr>
      </w:pPr>
    </w:p>
    <w:p w14:paraId="7B933510" w14:textId="77777777" w:rsidR="00C07FDB" w:rsidRDefault="00C07FDB" w:rsidP="00C07FDB">
      <w:pPr>
        <w:pStyle w:val="Textoindependiente"/>
        <w:jc w:val="both"/>
        <w:rPr>
          <w:color w:val="231F20"/>
        </w:rPr>
      </w:pPr>
      <w:r w:rsidRPr="00FE2B1F">
        <w:rPr>
          <w:color w:val="231F20"/>
          <w:sz w:val="28"/>
          <w:szCs w:val="28"/>
        </w:rPr>
        <w:t>-</w:t>
      </w:r>
      <w:r w:rsidRPr="00697E23">
        <w:rPr>
          <w:color w:val="231F20"/>
        </w:rPr>
        <w:t>Deficiencias en la verificación oportuna de los ingresos y recaudos durante el periodo de los ingresos del contrato de concesión del RUNT;</w:t>
      </w:r>
      <w:r w:rsidRPr="00697E23">
        <w:rPr>
          <w:color w:val="231F20"/>
          <w:spacing w:val="-7"/>
        </w:rPr>
        <w:t xml:space="preserve"> </w:t>
      </w:r>
      <w:r w:rsidRPr="00697E23">
        <w:rPr>
          <w:color w:val="231F20"/>
        </w:rPr>
        <w:t>insuficiente</w:t>
      </w:r>
      <w:r w:rsidRPr="00697E23">
        <w:rPr>
          <w:color w:val="231F20"/>
          <w:spacing w:val="-7"/>
        </w:rPr>
        <w:t xml:space="preserve"> </w:t>
      </w:r>
      <w:r w:rsidRPr="00697E23">
        <w:rPr>
          <w:color w:val="231F20"/>
        </w:rPr>
        <w:t>revelación</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información</w:t>
      </w:r>
      <w:r w:rsidRPr="00697E23">
        <w:rPr>
          <w:color w:val="231F20"/>
          <w:spacing w:val="-7"/>
        </w:rPr>
        <w:t xml:space="preserve"> </w:t>
      </w:r>
      <w:r w:rsidRPr="00697E23">
        <w:rPr>
          <w:color w:val="231F20"/>
        </w:rPr>
        <w:t>financiera</w:t>
      </w:r>
      <w:r w:rsidRPr="00697E23">
        <w:rPr>
          <w:color w:val="231F20"/>
          <w:spacing w:val="-7"/>
        </w:rPr>
        <w:t xml:space="preserve"> </w:t>
      </w:r>
      <w:r w:rsidRPr="00697E23">
        <w:rPr>
          <w:color w:val="231F20"/>
        </w:rPr>
        <w:t>presentada en</w:t>
      </w:r>
      <w:r w:rsidRPr="00697E23">
        <w:rPr>
          <w:color w:val="231F20"/>
          <w:spacing w:val="36"/>
        </w:rPr>
        <w:t xml:space="preserve"> </w:t>
      </w:r>
      <w:r w:rsidRPr="00697E23">
        <w:rPr>
          <w:color w:val="231F20"/>
        </w:rPr>
        <w:t>las</w:t>
      </w:r>
      <w:r w:rsidRPr="00697E23">
        <w:rPr>
          <w:color w:val="231F20"/>
          <w:spacing w:val="36"/>
        </w:rPr>
        <w:t xml:space="preserve"> </w:t>
      </w:r>
      <w:r w:rsidRPr="00697E23">
        <w:rPr>
          <w:color w:val="231F20"/>
        </w:rPr>
        <w:t>notas</w:t>
      </w:r>
      <w:r w:rsidRPr="00697E23">
        <w:rPr>
          <w:color w:val="231F20"/>
          <w:spacing w:val="36"/>
        </w:rPr>
        <w:t xml:space="preserve"> </w:t>
      </w:r>
      <w:r w:rsidRPr="00697E23">
        <w:rPr>
          <w:color w:val="231F20"/>
        </w:rPr>
        <w:t>a</w:t>
      </w:r>
      <w:r w:rsidRPr="00697E23">
        <w:rPr>
          <w:color w:val="231F20"/>
          <w:spacing w:val="36"/>
        </w:rPr>
        <w:t xml:space="preserve"> </w:t>
      </w:r>
      <w:r w:rsidRPr="00697E23">
        <w:rPr>
          <w:color w:val="231F20"/>
        </w:rPr>
        <w:t>los</w:t>
      </w:r>
      <w:r w:rsidRPr="00697E23">
        <w:rPr>
          <w:color w:val="231F20"/>
          <w:spacing w:val="36"/>
        </w:rPr>
        <w:t xml:space="preserve"> </w:t>
      </w:r>
      <w:r w:rsidRPr="00697E23">
        <w:rPr>
          <w:color w:val="231F20"/>
        </w:rPr>
        <w:t>estados</w:t>
      </w:r>
      <w:r w:rsidRPr="00697E23">
        <w:rPr>
          <w:color w:val="231F20"/>
          <w:spacing w:val="36"/>
        </w:rPr>
        <w:t xml:space="preserve"> </w:t>
      </w:r>
      <w:r w:rsidRPr="00697E23">
        <w:rPr>
          <w:color w:val="231F20"/>
        </w:rPr>
        <w:t>financieros</w:t>
      </w:r>
      <w:r w:rsidRPr="00697E23">
        <w:rPr>
          <w:color w:val="231F20"/>
          <w:spacing w:val="36"/>
        </w:rPr>
        <w:t xml:space="preserve"> </w:t>
      </w:r>
      <w:r w:rsidRPr="00697E23">
        <w:rPr>
          <w:color w:val="231F20"/>
        </w:rPr>
        <w:t>de</w:t>
      </w:r>
      <w:r w:rsidRPr="00697E23">
        <w:rPr>
          <w:color w:val="231F20"/>
          <w:spacing w:val="36"/>
        </w:rPr>
        <w:t xml:space="preserve"> </w:t>
      </w:r>
      <w:r w:rsidRPr="00697E23">
        <w:rPr>
          <w:color w:val="231F20"/>
        </w:rPr>
        <w:t>las</w:t>
      </w:r>
      <w:r w:rsidRPr="00697E23">
        <w:rPr>
          <w:color w:val="231F20"/>
          <w:spacing w:val="36"/>
        </w:rPr>
        <w:t xml:space="preserve"> </w:t>
      </w:r>
      <w:r w:rsidRPr="00697E23">
        <w:rPr>
          <w:color w:val="231F20"/>
        </w:rPr>
        <w:t>cuentas</w:t>
      </w:r>
      <w:r w:rsidRPr="00697E23">
        <w:rPr>
          <w:color w:val="231F20"/>
          <w:spacing w:val="36"/>
        </w:rPr>
        <w:t xml:space="preserve"> </w:t>
      </w:r>
      <w:r w:rsidRPr="00697E23">
        <w:rPr>
          <w:color w:val="231F20"/>
        </w:rPr>
        <w:t>por</w:t>
      </w:r>
      <w:r w:rsidRPr="00697E23">
        <w:rPr>
          <w:color w:val="231F20"/>
          <w:spacing w:val="36"/>
        </w:rPr>
        <w:t xml:space="preserve"> </w:t>
      </w:r>
      <w:r w:rsidRPr="00697E23">
        <w:rPr>
          <w:color w:val="231F20"/>
        </w:rPr>
        <w:t>cobrar</w:t>
      </w:r>
      <w:r w:rsidRPr="00697E23">
        <w:rPr>
          <w:color w:val="231F20"/>
          <w:spacing w:val="36"/>
        </w:rPr>
        <w:t xml:space="preserve"> </w:t>
      </w:r>
      <w:r w:rsidRPr="00697E23">
        <w:rPr>
          <w:color w:val="231F20"/>
        </w:rPr>
        <w:t>y las provisiones de litigios y demandas; deficiencias en la planeación</w:t>
      </w:r>
      <w:r w:rsidRPr="00697E23">
        <w:rPr>
          <w:color w:val="231F20"/>
          <w:spacing w:val="40"/>
        </w:rPr>
        <w:t xml:space="preserve"> </w:t>
      </w:r>
      <w:r w:rsidRPr="00697E23">
        <w:rPr>
          <w:color w:val="231F20"/>
        </w:rPr>
        <w:t>y la ejecución de recursos asignados al proyecto de Administración Gerencial del RUNT e inoportunidad en la ejecución de reservas y vigencias futuras.</w:t>
      </w:r>
    </w:p>
    <w:p w14:paraId="27F6948B" w14:textId="2453566F" w:rsidR="00C07FDB" w:rsidRDefault="00C07FDB" w:rsidP="00C07FDB">
      <w:pPr>
        <w:ind w:left="-426" w:firstLine="426"/>
        <w:jc w:val="both"/>
        <w:rPr>
          <w:b/>
          <w:sz w:val="28"/>
          <w:szCs w:val="28"/>
        </w:rPr>
      </w:pPr>
    </w:p>
    <w:p w14:paraId="09CD5E10" w14:textId="4BBDC3D4" w:rsidR="00C07FDB" w:rsidRPr="008B6B42" w:rsidRDefault="00C07FDB" w:rsidP="00C07FDB">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MINTRANSPORTE</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Pr>
          <w:sz w:val="28"/>
          <w:szCs w:val="28"/>
        </w:rPr>
        <w:t xml:space="preserve"> Y</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1003ACBC" w14:textId="77777777" w:rsidR="00586C6F" w:rsidRDefault="00586C6F" w:rsidP="000B5CEE">
      <w:pPr>
        <w:ind w:left="-426" w:firstLine="426"/>
        <w:jc w:val="both"/>
        <w:rPr>
          <w:b/>
          <w:sz w:val="28"/>
          <w:szCs w:val="28"/>
          <w:lang w:val="es-MX"/>
        </w:rPr>
      </w:pPr>
    </w:p>
    <w:p w14:paraId="0BFA64E5" w14:textId="36C71F2C" w:rsidR="000B5CEE" w:rsidRPr="00670B16" w:rsidRDefault="000B5CEE" w:rsidP="000B5CEE">
      <w:pPr>
        <w:ind w:left="-426" w:firstLine="426"/>
        <w:jc w:val="both"/>
        <w:rPr>
          <w:b/>
          <w:sz w:val="28"/>
          <w:szCs w:val="28"/>
          <w:lang w:val="es-MX"/>
        </w:rPr>
      </w:pPr>
      <w:r>
        <w:rPr>
          <w:b/>
          <w:sz w:val="28"/>
          <w:szCs w:val="28"/>
          <w:lang w:val="es-MX"/>
        </w:rPr>
        <w:t xml:space="preserve">40.- </w:t>
      </w:r>
      <w:r w:rsidRPr="00265F7D">
        <w:rPr>
          <w:b/>
          <w:sz w:val="28"/>
          <w:szCs w:val="28"/>
          <w:lang w:val="es-MX"/>
        </w:rPr>
        <w:t>MINISTERIO DE TRANSPORTE</w:t>
      </w:r>
      <w:r>
        <w:rPr>
          <w:b/>
          <w:sz w:val="28"/>
          <w:szCs w:val="28"/>
          <w:lang w:val="es-MX"/>
        </w:rPr>
        <w:t>.</w:t>
      </w:r>
    </w:p>
    <w:p w14:paraId="1FFD67F4" w14:textId="77777777" w:rsidR="000B5CEE" w:rsidRDefault="000B5CEE" w:rsidP="000B5CEE">
      <w:pPr>
        <w:rPr>
          <w:b/>
          <w:sz w:val="28"/>
          <w:szCs w:val="28"/>
        </w:rPr>
      </w:pPr>
    </w:p>
    <w:p w14:paraId="5789CF69" w14:textId="77777777" w:rsidR="000B5CEE" w:rsidRDefault="000B5CEE" w:rsidP="000B5CEE">
      <w:pPr>
        <w:spacing w:before="92"/>
        <w:rPr>
          <w:b/>
          <w:sz w:val="28"/>
          <w:szCs w:val="28"/>
        </w:rPr>
      </w:pPr>
      <w:r>
        <w:rPr>
          <w:b/>
          <w:sz w:val="28"/>
          <w:szCs w:val="28"/>
        </w:rPr>
        <w:t xml:space="preserve">A.- </w:t>
      </w:r>
      <w:r w:rsidRPr="000B1099">
        <w:rPr>
          <w:b/>
          <w:sz w:val="28"/>
          <w:szCs w:val="28"/>
        </w:rPr>
        <w:t>DE ORDEN PRESUPUESTAL</w:t>
      </w:r>
      <w:r>
        <w:rPr>
          <w:b/>
          <w:sz w:val="28"/>
          <w:szCs w:val="28"/>
        </w:rPr>
        <w:t>.</w:t>
      </w:r>
    </w:p>
    <w:p w14:paraId="5CE6CBD4" w14:textId="77777777" w:rsidR="000B5CEE" w:rsidRPr="000B1099" w:rsidRDefault="000B5CEE" w:rsidP="000B5CEE">
      <w:pPr>
        <w:rPr>
          <w:b/>
          <w:sz w:val="28"/>
          <w:szCs w:val="28"/>
        </w:rPr>
      </w:pPr>
    </w:p>
    <w:p w14:paraId="1D26784F" w14:textId="77777777" w:rsidR="000B5CEE" w:rsidRPr="00B54567" w:rsidRDefault="000B5CEE" w:rsidP="000B5CEE">
      <w:pPr>
        <w:pStyle w:val="Prrafodelista"/>
        <w:spacing w:before="92"/>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7E21E94" w14:textId="77777777" w:rsidR="000B5CEE" w:rsidRPr="00B54567" w:rsidRDefault="000B5CEE" w:rsidP="000B5CEE">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106"/>
        <w:gridCol w:w="1459"/>
        <w:gridCol w:w="1322"/>
        <w:gridCol w:w="1106"/>
        <w:gridCol w:w="1008"/>
        <w:gridCol w:w="977"/>
        <w:gridCol w:w="919"/>
      </w:tblGrid>
      <w:tr w:rsidR="000B5CEE" w:rsidRPr="00B54567" w14:paraId="4CCCEF1C" w14:textId="77777777" w:rsidTr="000B67BD">
        <w:tc>
          <w:tcPr>
            <w:tcW w:w="2098" w:type="dxa"/>
            <w:shd w:val="clear" w:color="auto" w:fill="auto"/>
          </w:tcPr>
          <w:p w14:paraId="68BBF03A"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CONCEPTO</w:t>
            </w:r>
          </w:p>
        </w:tc>
        <w:tc>
          <w:tcPr>
            <w:tcW w:w="1106" w:type="dxa"/>
            <w:shd w:val="clear" w:color="auto" w:fill="auto"/>
          </w:tcPr>
          <w:p w14:paraId="0CFBC075"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APROP. VIGENTE</w:t>
            </w:r>
          </w:p>
          <w:p w14:paraId="311304BF" w14:textId="77777777" w:rsidR="000B5CEE" w:rsidRPr="00B54567" w:rsidRDefault="000B5CEE" w:rsidP="00874B2D">
            <w:pPr>
              <w:jc w:val="center"/>
              <w:rPr>
                <w:rFonts w:eastAsia="Calibri"/>
                <w:b/>
                <w:sz w:val="16"/>
                <w:szCs w:val="16"/>
                <w:lang w:val="es-CO"/>
              </w:rPr>
            </w:pPr>
          </w:p>
          <w:p w14:paraId="41A9EEB9" w14:textId="77777777" w:rsidR="000B5CEE" w:rsidRPr="00B54567" w:rsidRDefault="000B5CEE" w:rsidP="00874B2D">
            <w:pPr>
              <w:jc w:val="center"/>
              <w:rPr>
                <w:rFonts w:eastAsia="Calibri"/>
                <w:b/>
                <w:sz w:val="16"/>
                <w:szCs w:val="16"/>
                <w:lang w:val="es-CO"/>
              </w:rPr>
            </w:pPr>
          </w:p>
          <w:p w14:paraId="2F381928" w14:textId="77777777" w:rsidR="000B5CEE" w:rsidRPr="00B54567" w:rsidRDefault="000B5CEE" w:rsidP="00874B2D">
            <w:pPr>
              <w:jc w:val="center"/>
              <w:rPr>
                <w:rFonts w:eastAsia="Calibri"/>
                <w:b/>
                <w:sz w:val="16"/>
                <w:szCs w:val="16"/>
                <w:lang w:val="es-CO"/>
              </w:rPr>
            </w:pPr>
          </w:p>
          <w:p w14:paraId="1629E73B"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(1)</w:t>
            </w:r>
          </w:p>
          <w:p w14:paraId="609871C9" w14:textId="77777777" w:rsidR="000B5CEE" w:rsidRPr="00B54567" w:rsidRDefault="000B5CEE" w:rsidP="00874B2D">
            <w:pPr>
              <w:jc w:val="center"/>
              <w:rPr>
                <w:rFonts w:eastAsia="Calibri"/>
                <w:b/>
                <w:sz w:val="16"/>
                <w:szCs w:val="16"/>
                <w:lang w:val="es-CO"/>
              </w:rPr>
            </w:pPr>
          </w:p>
        </w:tc>
        <w:tc>
          <w:tcPr>
            <w:tcW w:w="1482" w:type="dxa"/>
            <w:shd w:val="clear" w:color="auto" w:fill="auto"/>
          </w:tcPr>
          <w:p w14:paraId="5352246E"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COMPROMISO</w:t>
            </w:r>
          </w:p>
          <w:p w14:paraId="114C65D5" w14:textId="77777777" w:rsidR="000B5CEE" w:rsidRPr="00B54567" w:rsidRDefault="000B5CEE" w:rsidP="00874B2D">
            <w:pPr>
              <w:jc w:val="center"/>
              <w:rPr>
                <w:rFonts w:eastAsia="Calibri"/>
                <w:b/>
                <w:sz w:val="16"/>
                <w:szCs w:val="16"/>
                <w:lang w:val="es-CO"/>
              </w:rPr>
            </w:pPr>
          </w:p>
          <w:p w14:paraId="3AEB5600" w14:textId="77777777" w:rsidR="000B5CEE" w:rsidRPr="00B54567" w:rsidRDefault="000B5CEE" w:rsidP="00874B2D">
            <w:pPr>
              <w:jc w:val="center"/>
              <w:rPr>
                <w:rFonts w:eastAsia="Calibri"/>
                <w:b/>
                <w:sz w:val="16"/>
                <w:szCs w:val="16"/>
                <w:lang w:val="es-CO"/>
              </w:rPr>
            </w:pPr>
          </w:p>
          <w:p w14:paraId="714F0B9F" w14:textId="77777777" w:rsidR="000B5CEE" w:rsidRPr="00B54567" w:rsidRDefault="000B5CEE" w:rsidP="00874B2D">
            <w:pPr>
              <w:jc w:val="center"/>
              <w:rPr>
                <w:rFonts w:eastAsia="Calibri"/>
                <w:b/>
                <w:sz w:val="16"/>
                <w:szCs w:val="16"/>
                <w:lang w:val="es-CO"/>
              </w:rPr>
            </w:pPr>
          </w:p>
          <w:p w14:paraId="007DD9DD" w14:textId="77777777" w:rsidR="000B5CEE" w:rsidRPr="00B54567" w:rsidRDefault="000B5CEE" w:rsidP="00874B2D">
            <w:pPr>
              <w:jc w:val="center"/>
              <w:rPr>
                <w:rFonts w:eastAsia="Calibri"/>
                <w:b/>
                <w:sz w:val="16"/>
                <w:szCs w:val="16"/>
                <w:lang w:val="es-CO"/>
              </w:rPr>
            </w:pPr>
          </w:p>
          <w:p w14:paraId="771B9394"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(2)</w:t>
            </w:r>
          </w:p>
        </w:tc>
        <w:tc>
          <w:tcPr>
            <w:tcW w:w="1339" w:type="dxa"/>
            <w:shd w:val="clear" w:color="auto" w:fill="auto"/>
          </w:tcPr>
          <w:p w14:paraId="77F9799E"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OBLIGACIÓN</w:t>
            </w:r>
          </w:p>
          <w:p w14:paraId="38BB9A82" w14:textId="77777777" w:rsidR="000B5CEE" w:rsidRPr="00B54567" w:rsidRDefault="000B5CEE" w:rsidP="00874B2D">
            <w:pPr>
              <w:jc w:val="center"/>
              <w:rPr>
                <w:rFonts w:eastAsia="Calibri"/>
                <w:b/>
                <w:sz w:val="16"/>
                <w:szCs w:val="16"/>
                <w:lang w:val="es-CO"/>
              </w:rPr>
            </w:pPr>
          </w:p>
          <w:p w14:paraId="10234DAA" w14:textId="77777777" w:rsidR="000B5CEE" w:rsidRPr="00B54567" w:rsidRDefault="000B5CEE" w:rsidP="00874B2D">
            <w:pPr>
              <w:jc w:val="center"/>
              <w:rPr>
                <w:rFonts w:eastAsia="Calibri"/>
                <w:b/>
                <w:sz w:val="16"/>
                <w:szCs w:val="16"/>
                <w:lang w:val="es-CO"/>
              </w:rPr>
            </w:pPr>
          </w:p>
          <w:p w14:paraId="35671D78" w14:textId="77777777" w:rsidR="000B5CEE" w:rsidRPr="00B54567" w:rsidRDefault="000B5CEE" w:rsidP="00874B2D">
            <w:pPr>
              <w:jc w:val="center"/>
              <w:rPr>
                <w:rFonts w:eastAsia="Calibri"/>
                <w:b/>
                <w:sz w:val="16"/>
                <w:szCs w:val="16"/>
                <w:lang w:val="es-CO"/>
              </w:rPr>
            </w:pPr>
          </w:p>
          <w:p w14:paraId="4FE24C99" w14:textId="77777777" w:rsidR="000B5CEE" w:rsidRPr="00B54567" w:rsidRDefault="000B5CEE" w:rsidP="00874B2D">
            <w:pPr>
              <w:jc w:val="center"/>
              <w:rPr>
                <w:rFonts w:eastAsia="Calibri"/>
                <w:b/>
                <w:sz w:val="16"/>
                <w:szCs w:val="16"/>
                <w:lang w:val="es-CO"/>
              </w:rPr>
            </w:pPr>
          </w:p>
          <w:p w14:paraId="37A178C7"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(3)</w:t>
            </w:r>
          </w:p>
          <w:p w14:paraId="48A3330C" w14:textId="77777777" w:rsidR="000B5CEE" w:rsidRPr="00B54567" w:rsidRDefault="000B5CEE" w:rsidP="00874B2D">
            <w:pPr>
              <w:jc w:val="center"/>
              <w:rPr>
                <w:rFonts w:eastAsia="Calibri"/>
                <w:b/>
                <w:sz w:val="16"/>
                <w:szCs w:val="16"/>
                <w:lang w:val="es-CO"/>
              </w:rPr>
            </w:pPr>
          </w:p>
        </w:tc>
        <w:tc>
          <w:tcPr>
            <w:tcW w:w="1106" w:type="dxa"/>
            <w:shd w:val="clear" w:color="auto" w:fill="auto"/>
          </w:tcPr>
          <w:p w14:paraId="37EA3B83"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PAGOS</w:t>
            </w:r>
          </w:p>
          <w:p w14:paraId="2FF9D680" w14:textId="77777777" w:rsidR="000B5CEE" w:rsidRPr="00B54567" w:rsidRDefault="000B5CEE" w:rsidP="00874B2D">
            <w:pPr>
              <w:jc w:val="center"/>
              <w:rPr>
                <w:rFonts w:eastAsia="Calibri"/>
                <w:b/>
                <w:sz w:val="16"/>
                <w:szCs w:val="16"/>
                <w:lang w:val="es-CO"/>
              </w:rPr>
            </w:pPr>
          </w:p>
          <w:p w14:paraId="1EA6B209" w14:textId="77777777" w:rsidR="000B5CEE" w:rsidRPr="00B54567" w:rsidRDefault="000B5CEE" w:rsidP="00874B2D">
            <w:pPr>
              <w:jc w:val="center"/>
              <w:rPr>
                <w:rFonts w:eastAsia="Calibri"/>
                <w:b/>
                <w:sz w:val="16"/>
                <w:szCs w:val="16"/>
                <w:lang w:val="es-CO"/>
              </w:rPr>
            </w:pPr>
          </w:p>
          <w:p w14:paraId="7C08CC52" w14:textId="77777777" w:rsidR="000B5CEE" w:rsidRPr="00B54567" w:rsidRDefault="000B5CEE" w:rsidP="00874B2D">
            <w:pPr>
              <w:jc w:val="center"/>
              <w:rPr>
                <w:rFonts w:eastAsia="Calibri"/>
                <w:b/>
                <w:sz w:val="16"/>
                <w:szCs w:val="16"/>
                <w:lang w:val="es-CO"/>
              </w:rPr>
            </w:pPr>
          </w:p>
          <w:p w14:paraId="789369CF" w14:textId="77777777" w:rsidR="000B5CEE" w:rsidRPr="00B54567" w:rsidRDefault="000B5CEE" w:rsidP="00874B2D">
            <w:pPr>
              <w:jc w:val="center"/>
              <w:rPr>
                <w:rFonts w:eastAsia="Calibri"/>
                <w:b/>
                <w:sz w:val="16"/>
                <w:szCs w:val="16"/>
                <w:lang w:val="es-CO"/>
              </w:rPr>
            </w:pPr>
          </w:p>
          <w:p w14:paraId="4A4F2C80"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(4)</w:t>
            </w:r>
          </w:p>
        </w:tc>
        <w:tc>
          <w:tcPr>
            <w:tcW w:w="1026" w:type="dxa"/>
            <w:shd w:val="clear" w:color="auto" w:fill="auto"/>
          </w:tcPr>
          <w:p w14:paraId="5A6AFF8B"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 xml:space="preserve">% </w:t>
            </w:r>
          </w:p>
          <w:p w14:paraId="55DA578E"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COMP/</w:t>
            </w:r>
          </w:p>
          <w:p w14:paraId="345DB72E"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APROP. VIGENTE</w:t>
            </w:r>
          </w:p>
          <w:p w14:paraId="0A493C53" w14:textId="77777777" w:rsidR="000B5CEE" w:rsidRPr="00B54567" w:rsidRDefault="000B5CEE" w:rsidP="00874B2D">
            <w:pPr>
              <w:jc w:val="center"/>
              <w:rPr>
                <w:rFonts w:eastAsia="Calibri"/>
                <w:b/>
                <w:sz w:val="16"/>
                <w:szCs w:val="16"/>
                <w:lang w:val="es-CO"/>
              </w:rPr>
            </w:pPr>
          </w:p>
          <w:p w14:paraId="369C031C"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5 = (2 / 1)</w:t>
            </w:r>
          </w:p>
        </w:tc>
        <w:tc>
          <w:tcPr>
            <w:tcW w:w="989" w:type="dxa"/>
            <w:shd w:val="clear" w:color="auto" w:fill="auto"/>
          </w:tcPr>
          <w:p w14:paraId="1A30238A"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 xml:space="preserve">% </w:t>
            </w:r>
          </w:p>
          <w:p w14:paraId="43D01ADB"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OBLIG/ APROP. VIGENTE</w:t>
            </w:r>
          </w:p>
          <w:p w14:paraId="21A32677" w14:textId="77777777" w:rsidR="000B5CEE" w:rsidRPr="00B54567" w:rsidRDefault="000B5CEE" w:rsidP="00874B2D">
            <w:pPr>
              <w:jc w:val="center"/>
              <w:rPr>
                <w:rFonts w:eastAsia="Calibri"/>
                <w:b/>
                <w:sz w:val="16"/>
                <w:szCs w:val="16"/>
                <w:lang w:val="es-CO"/>
              </w:rPr>
            </w:pPr>
          </w:p>
          <w:p w14:paraId="0B077415"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6  = (3 / 1)</w:t>
            </w:r>
          </w:p>
        </w:tc>
        <w:tc>
          <w:tcPr>
            <w:tcW w:w="777" w:type="dxa"/>
            <w:shd w:val="clear" w:color="auto" w:fill="auto"/>
          </w:tcPr>
          <w:p w14:paraId="37FCFCBB"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lastRenderedPageBreak/>
              <w:t xml:space="preserve">% </w:t>
            </w:r>
          </w:p>
          <w:p w14:paraId="7F786720"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PAGOS/</w:t>
            </w:r>
          </w:p>
          <w:p w14:paraId="4919249F"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APROP. VIGENTE</w:t>
            </w:r>
          </w:p>
          <w:p w14:paraId="649EB41D" w14:textId="77777777" w:rsidR="000B5CEE" w:rsidRPr="00B54567" w:rsidRDefault="000B5CEE" w:rsidP="00874B2D">
            <w:pPr>
              <w:jc w:val="center"/>
              <w:rPr>
                <w:rFonts w:eastAsia="Calibri"/>
                <w:b/>
                <w:sz w:val="16"/>
                <w:szCs w:val="16"/>
                <w:lang w:val="es-CO"/>
              </w:rPr>
            </w:pPr>
          </w:p>
          <w:p w14:paraId="377099E6"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7 = (4 / 1)</w:t>
            </w:r>
          </w:p>
          <w:p w14:paraId="75CCCC77" w14:textId="77777777" w:rsidR="000B5CEE" w:rsidRPr="00B54567" w:rsidRDefault="000B5CEE" w:rsidP="00874B2D">
            <w:pPr>
              <w:jc w:val="center"/>
              <w:rPr>
                <w:rFonts w:eastAsia="Calibri"/>
                <w:b/>
                <w:sz w:val="16"/>
                <w:szCs w:val="16"/>
                <w:lang w:val="es-CO"/>
              </w:rPr>
            </w:pPr>
          </w:p>
        </w:tc>
      </w:tr>
      <w:tr w:rsidR="000B5CEE" w:rsidRPr="00B54567" w14:paraId="261ADD73" w14:textId="77777777" w:rsidTr="000B67BD">
        <w:tc>
          <w:tcPr>
            <w:tcW w:w="2098" w:type="dxa"/>
            <w:shd w:val="clear" w:color="auto" w:fill="auto"/>
          </w:tcPr>
          <w:p w14:paraId="6CFDE501" w14:textId="77777777" w:rsidR="000B5CEE" w:rsidRPr="00B54567" w:rsidRDefault="000B5CEE" w:rsidP="00874B2D">
            <w:pPr>
              <w:rPr>
                <w:rFonts w:eastAsia="Calibri"/>
                <w:b/>
                <w:sz w:val="16"/>
                <w:szCs w:val="16"/>
                <w:lang w:val="es-CO"/>
              </w:rPr>
            </w:pPr>
            <w:r w:rsidRPr="00B54567">
              <w:rPr>
                <w:rFonts w:eastAsia="Calibri"/>
                <w:b/>
                <w:sz w:val="16"/>
                <w:szCs w:val="16"/>
                <w:lang w:val="es-CO"/>
              </w:rPr>
              <w:lastRenderedPageBreak/>
              <w:t>FUNCIONAMIENTO</w:t>
            </w:r>
          </w:p>
        </w:tc>
        <w:tc>
          <w:tcPr>
            <w:tcW w:w="1106" w:type="dxa"/>
            <w:shd w:val="clear" w:color="auto" w:fill="auto"/>
          </w:tcPr>
          <w:p w14:paraId="63473D6A" w14:textId="77777777" w:rsidR="000B5CEE" w:rsidRPr="00872FEE" w:rsidRDefault="000B5CEE" w:rsidP="00874B2D">
            <w:pPr>
              <w:jc w:val="right"/>
              <w:rPr>
                <w:rFonts w:eastAsia="Calibri"/>
                <w:b/>
                <w:sz w:val="16"/>
                <w:szCs w:val="16"/>
                <w:lang w:val="es-CO"/>
              </w:rPr>
            </w:pPr>
            <w:r>
              <w:rPr>
                <w:rFonts w:eastAsia="Calibri"/>
                <w:b/>
                <w:sz w:val="16"/>
                <w:szCs w:val="16"/>
                <w:lang w:val="es-CO"/>
              </w:rPr>
              <w:t>310.798.604</w:t>
            </w:r>
          </w:p>
        </w:tc>
        <w:tc>
          <w:tcPr>
            <w:tcW w:w="1482" w:type="dxa"/>
            <w:shd w:val="clear" w:color="auto" w:fill="auto"/>
          </w:tcPr>
          <w:p w14:paraId="3F0BF4A2" w14:textId="77777777" w:rsidR="000B5CEE" w:rsidRPr="00872FEE" w:rsidRDefault="000B5CEE" w:rsidP="00874B2D">
            <w:pPr>
              <w:jc w:val="right"/>
              <w:rPr>
                <w:rFonts w:eastAsia="Calibri"/>
                <w:b/>
                <w:sz w:val="16"/>
                <w:szCs w:val="16"/>
                <w:lang w:val="es-CO"/>
              </w:rPr>
            </w:pPr>
            <w:r>
              <w:rPr>
                <w:rFonts w:eastAsia="Calibri"/>
                <w:b/>
                <w:sz w:val="16"/>
                <w:szCs w:val="16"/>
                <w:lang w:val="es-CO"/>
              </w:rPr>
              <w:t>309.647.668</w:t>
            </w:r>
          </w:p>
        </w:tc>
        <w:tc>
          <w:tcPr>
            <w:tcW w:w="1339" w:type="dxa"/>
            <w:shd w:val="clear" w:color="auto" w:fill="auto"/>
          </w:tcPr>
          <w:p w14:paraId="48B4BE9F" w14:textId="77777777" w:rsidR="000B5CEE" w:rsidRPr="00872FEE" w:rsidRDefault="000B5CEE" w:rsidP="00874B2D">
            <w:pPr>
              <w:jc w:val="right"/>
              <w:rPr>
                <w:rFonts w:eastAsia="Calibri"/>
                <w:b/>
                <w:sz w:val="16"/>
                <w:szCs w:val="16"/>
                <w:lang w:val="es-CO"/>
              </w:rPr>
            </w:pPr>
            <w:r>
              <w:rPr>
                <w:rFonts w:eastAsia="Calibri"/>
                <w:b/>
                <w:sz w:val="16"/>
                <w:szCs w:val="16"/>
                <w:lang w:val="es-CO"/>
              </w:rPr>
              <w:t>199.398.414</w:t>
            </w:r>
          </w:p>
        </w:tc>
        <w:tc>
          <w:tcPr>
            <w:tcW w:w="1106" w:type="dxa"/>
            <w:shd w:val="clear" w:color="auto" w:fill="auto"/>
          </w:tcPr>
          <w:p w14:paraId="5901B672" w14:textId="77777777" w:rsidR="000B5CEE" w:rsidRPr="00872FEE" w:rsidRDefault="000B5CEE" w:rsidP="00874B2D">
            <w:pPr>
              <w:jc w:val="right"/>
              <w:rPr>
                <w:rFonts w:eastAsia="Calibri"/>
                <w:b/>
                <w:sz w:val="16"/>
                <w:szCs w:val="16"/>
                <w:lang w:val="es-CO"/>
              </w:rPr>
            </w:pPr>
            <w:r>
              <w:rPr>
                <w:rFonts w:eastAsia="Calibri"/>
                <w:b/>
                <w:sz w:val="16"/>
                <w:szCs w:val="16"/>
                <w:lang w:val="es-CO"/>
              </w:rPr>
              <w:t>198.539.312</w:t>
            </w:r>
          </w:p>
        </w:tc>
        <w:tc>
          <w:tcPr>
            <w:tcW w:w="1026" w:type="dxa"/>
            <w:shd w:val="clear" w:color="auto" w:fill="auto"/>
          </w:tcPr>
          <w:p w14:paraId="31C127B4" w14:textId="77777777" w:rsidR="000B5CEE" w:rsidRPr="00872FEE" w:rsidRDefault="000B5CEE" w:rsidP="00874B2D">
            <w:pPr>
              <w:jc w:val="center"/>
              <w:rPr>
                <w:rFonts w:eastAsia="Calibri"/>
                <w:b/>
                <w:sz w:val="16"/>
                <w:szCs w:val="16"/>
                <w:lang w:val="es-CO"/>
              </w:rPr>
            </w:pPr>
            <w:r>
              <w:rPr>
                <w:rFonts w:eastAsia="Calibri"/>
                <w:b/>
                <w:sz w:val="16"/>
                <w:szCs w:val="16"/>
                <w:lang w:val="es-CO"/>
              </w:rPr>
              <w:t>99%</w:t>
            </w:r>
          </w:p>
        </w:tc>
        <w:tc>
          <w:tcPr>
            <w:tcW w:w="989" w:type="dxa"/>
            <w:shd w:val="clear" w:color="auto" w:fill="auto"/>
          </w:tcPr>
          <w:p w14:paraId="5A1CFAA2" w14:textId="77777777" w:rsidR="000B5CEE" w:rsidRPr="00872FEE" w:rsidRDefault="000B5CEE" w:rsidP="00874B2D">
            <w:pPr>
              <w:jc w:val="center"/>
              <w:rPr>
                <w:rFonts w:eastAsia="Calibri"/>
                <w:b/>
                <w:sz w:val="16"/>
                <w:szCs w:val="16"/>
                <w:lang w:val="es-CO"/>
              </w:rPr>
            </w:pPr>
            <w:r>
              <w:rPr>
                <w:rFonts w:eastAsia="Calibri"/>
                <w:b/>
                <w:sz w:val="16"/>
                <w:szCs w:val="16"/>
                <w:lang w:val="es-CO"/>
              </w:rPr>
              <w:t>64%</w:t>
            </w:r>
          </w:p>
        </w:tc>
        <w:tc>
          <w:tcPr>
            <w:tcW w:w="777" w:type="dxa"/>
            <w:shd w:val="clear" w:color="auto" w:fill="auto"/>
          </w:tcPr>
          <w:p w14:paraId="24C7F551" w14:textId="77777777" w:rsidR="000B5CEE" w:rsidRPr="00872FEE" w:rsidRDefault="000B5CEE" w:rsidP="00874B2D">
            <w:pPr>
              <w:jc w:val="center"/>
              <w:rPr>
                <w:rFonts w:eastAsia="Calibri"/>
                <w:b/>
                <w:sz w:val="16"/>
                <w:szCs w:val="16"/>
                <w:lang w:val="es-CO"/>
              </w:rPr>
            </w:pPr>
            <w:r>
              <w:rPr>
                <w:rFonts w:eastAsia="Calibri"/>
                <w:b/>
                <w:sz w:val="16"/>
                <w:szCs w:val="16"/>
                <w:lang w:val="es-CO"/>
              </w:rPr>
              <w:t>64%</w:t>
            </w:r>
          </w:p>
        </w:tc>
      </w:tr>
      <w:tr w:rsidR="000B5CEE" w:rsidRPr="00B54567" w14:paraId="3535C3F4" w14:textId="77777777" w:rsidTr="000B67BD">
        <w:tc>
          <w:tcPr>
            <w:tcW w:w="2098" w:type="dxa"/>
            <w:shd w:val="clear" w:color="auto" w:fill="auto"/>
          </w:tcPr>
          <w:p w14:paraId="6FAE4104" w14:textId="77777777" w:rsidR="000B5CEE" w:rsidRPr="00B54567" w:rsidRDefault="000B5CEE" w:rsidP="00874B2D">
            <w:pPr>
              <w:jc w:val="both"/>
              <w:rPr>
                <w:rFonts w:eastAsia="Calibri"/>
                <w:sz w:val="16"/>
                <w:szCs w:val="16"/>
                <w:lang w:val="es-CO"/>
              </w:rPr>
            </w:pPr>
            <w:r w:rsidRPr="00B54567">
              <w:rPr>
                <w:rFonts w:eastAsia="Calibri"/>
                <w:sz w:val="16"/>
                <w:szCs w:val="16"/>
                <w:lang w:val="es-CO"/>
              </w:rPr>
              <w:t>Gastos de personal</w:t>
            </w:r>
          </w:p>
        </w:tc>
        <w:tc>
          <w:tcPr>
            <w:tcW w:w="1106" w:type="dxa"/>
            <w:shd w:val="clear" w:color="auto" w:fill="auto"/>
          </w:tcPr>
          <w:p w14:paraId="0B013828" w14:textId="77777777" w:rsidR="000B5CEE" w:rsidRPr="00B54567" w:rsidRDefault="000B5CEE" w:rsidP="00874B2D">
            <w:pPr>
              <w:jc w:val="right"/>
              <w:rPr>
                <w:rFonts w:eastAsia="Calibri"/>
                <w:sz w:val="16"/>
                <w:szCs w:val="16"/>
                <w:lang w:val="es-CO"/>
              </w:rPr>
            </w:pPr>
            <w:r>
              <w:rPr>
                <w:rFonts w:eastAsia="Calibri"/>
                <w:sz w:val="16"/>
                <w:szCs w:val="16"/>
                <w:lang w:val="es-CO"/>
              </w:rPr>
              <w:t>50.339.903</w:t>
            </w:r>
          </w:p>
        </w:tc>
        <w:tc>
          <w:tcPr>
            <w:tcW w:w="1482" w:type="dxa"/>
            <w:shd w:val="clear" w:color="auto" w:fill="auto"/>
          </w:tcPr>
          <w:p w14:paraId="48D41A31" w14:textId="77777777" w:rsidR="000B5CEE" w:rsidRPr="00B54567" w:rsidRDefault="000B5CEE" w:rsidP="00874B2D">
            <w:pPr>
              <w:jc w:val="right"/>
              <w:rPr>
                <w:rFonts w:eastAsia="Calibri"/>
                <w:sz w:val="16"/>
                <w:szCs w:val="16"/>
                <w:lang w:val="es-CO"/>
              </w:rPr>
            </w:pPr>
            <w:r>
              <w:rPr>
                <w:rFonts w:eastAsia="Calibri"/>
                <w:sz w:val="16"/>
                <w:szCs w:val="16"/>
                <w:lang w:val="es-CO"/>
              </w:rPr>
              <w:t>49.927.760</w:t>
            </w:r>
          </w:p>
        </w:tc>
        <w:tc>
          <w:tcPr>
            <w:tcW w:w="1339" w:type="dxa"/>
            <w:shd w:val="clear" w:color="auto" w:fill="auto"/>
          </w:tcPr>
          <w:p w14:paraId="0BFDA478" w14:textId="77777777" w:rsidR="000B5CEE" w:rsidRPr="00B54567" w:rsidRDefault="000B5CEE" w:rsidP="00874B2D">
            <w:pPr>
              <w:jc w:val="right"/>
              <w:rPr>
                <w:rFonts w:eastAsia="Calibri"/>
                <w:sz w:val="16"/>
                <w:szCs w:val="16"/>
                <w:lang w:val="es-CO"/>
              </w:rPr>
            </w:pPr>
            <w:r>
              <w:rPr>
                <w:rFonts w:eastAsia="Calibri"/>
                <w:sz w:val="16"/>
                <w:szCs w:val="16"/>
                <w:lang w:val="es-CO"/>
              </w:rPr>
              <w:t>49.927.760</w:t>
            </w:r>
          </w:p>
        </w:tc>
        <w:tc>
          <w:tcPr>
            <w:tcW w:w="1106" w:type="dxa"/>
            <w:shd w:val="clear" w:color="auto" w:fill="auto"/>
          </w:tcPr>
          <w:p w14:paraId="1C9B3AD4" w14:textId="77777777" w:rsidR="000B5CEE" w:rsidRPr="00B54567" w:rsidRDefault="000B5CEE" w:rsidP="00874B2D">
            <w:pPr>
              <w:jc w:val="right"/>
              <w:rPr>
                <w:rFonts w:eastAsia="Calibri"/>
                <w:sz w:val="16"/>
                <w:szCs w:val="16"/>
                <w:lang w:val="es-CO"/>
              </w:rPr>
            </w:pPr>
            <w:r>
              <w:rPr>
                <w:rFonts w:eastAsia="Calibri"/>
                <w:sz w:val="16"/>
                <w:szCs w:val="16"/>
                <w:lang w:val="es-CO"/>
              </w:rPr>
              <w:t>49.411.596</w:t>
            </w:r>
          </w:p>
        </w:tc>
        <w:tc>
          <w:tcPr>
            <w:tcW w:w="1026" w:type="dxa"/>
            <w:shd w:val="clear" w:color="auto" w:fill="auto"/>
          </w:tcPr>
          <w:p w14:paraId="0A2CA971" w14:textId="77777777" w:rsidR="000B5CEE" w:rsidRPr="00B54567" w:rsidRDefault="000B5CEE" w:rsidP="00874B2D">
            <w:pPr>
              <w:jc w:val="center"/>
              <w:rPr>
                <w:rFonts w:eastAsia="Calibri"/>
                <w:sz w:val="16"/>
                <w:szCs w:val="16"/>
                <w:lang w:val="es-CO"/>
              </w:rPr>
            </w:pPr>
            <w:r>
              <w:rPr>
                <w:rFonts w:eastAsia="Calibri"/>
                <w:sz w:val="16"/>
                <w:szCs w:val="16"/>
                <w:lang w:val="es-CO"/>
              </w:rPr>
              <w:t>99%</w:t>
            </w:r>
          </w:p>
        </w:tc>
        <w:tc>
          <w:tcPr>
            <w:tcW w:w="989" w:type="dxa"/>
            <w:shd w:val="clear" w:color="auto" w:fill="auto"/>
          </w:tcPr>
          <w:p w14:paraId="6E6D0008" w14:textId="77777777" w:rsidR="000B5CEE" w:rsidRPr="00B54567" w:rsidRDefault="000B5CEE" w:rsidP="00874B2D">
            <w:pPr>
              <w:jc w:val="center"/>
              <w:rPr>
                <w:rFonts w:eastAsia="Calibri"/>
                <w:sz w:val="16"/>
                <w:szCs w:val="16"/>
                <w:lang w:val="es-CO"/>
              </w:rPr>
            </w:pPr>
            <w:r>
              <w:rPr>
                <w:rFonts w:eastAsia="Calibri"/>
                <w:sz w:val="16"/>
                <w:szCs w:val="16"/>
                <w:lang w:val="es-CO"/>
              </w:rPr>
              <w:t>99%</w:t>
            </w:r>
          </w:p>
        </w:tc>
        <w:tc>
          <w:tcPr>
            <w:tcW w:w="777" w:type="dxa"/>
            <w:shd w:val="clear" w:color="auto" w:fill="auto"/>
          </w:tcPr>
          <w:p w14:paraId="66A724A5" w14:textId="77777777" w:rsidR="000B5CEE" w:rsidRPr="00B54567" w:rsidRDefault="000B5CEE" w:rsidP="00874B2D">
            <w:pPr>
              <w:jc w:val="center"/>
              <w:rPr>
                <w:rFonts w:eastAsia="Calibri"/>
                <w:sz w:val="16"/>
                <w:szCs w:val="16"/>
                <w:lang w:val="es-CO"/>
              </w:rPr>
            </w:pPr>
            <w:r>
              <w:rPr>
                <w:rFonts w:eastAsia="Calibri"/>
                <w:sz w:val="16"/>
                <w:szCs w:val="16"/>
                <w:lang w:val="es-CO"/>
              </w:rPr>
              <w:t>98%</w:t>
            </w:r>
          </w:p>
        </w:tc>
      </w:tr>
      <w:tr w:rsidR="000B5CEE" w:rsidRPr="00B54567" w14:paraId="62936284" w14:textId="77777777" w:rsidTr="000B67BD">
        <w:tc>
          <w:tcPr>
            <w:tcW w:w="2098" w:type="dxa"/>
            <w:shd w:val="clear" w:color="auto" w:fill="auto"/>
          </w:tcPr>
          <w:p w14:paraId="6AAB44B3" w14:textId="77777777" w:rsidR="000B5CEE" w:rsidRPr="00B54567" w:rsidRDefault="000B5CEE" w:rsidP="00874B2D">
            <w:pPr>
              <w:jc w:val="both"/>
              <w:rPr>
                <w:rFonts w:eastAsia="Calibri"/>
                <w:sz w:val="16"/>
                <w:szCs w:val="16"/>
                <w:lang w:val="es-CO"/>
              </w:rPr>
            </w:pPr>
            <w:r w:rsidRPr="00B54567">
              <w:rPr>
                <w:rFonts w:eastAsia="Calibri"/>
                <w:sz w:val="16"/>
                <w:szCs w:val="16"/>
                <w:lang w:val="es-CO"/>
              </w:rPr>
              <w:t>Adquisición de bienes y servicios</w:t>
            </w:r>
          </w:p>
        </w:tc>
        <w:tc>
          <w:tcPr>
            <w:tcW w:w="1106" w:type="dxa"/>
            <w:shd w:val="clear" w:color="auto" w:fill="auto"/>
          </w:tcPr>
          <w:p w14:paraId="477777CB" w14:textId="77777777" w:rsidR="000B5CEE" w:rsidRPr="00B54567" w:rsidRDefault="000B5CEE" w:rsidP="00874B2D">
            <w:pPr>
              <w:jc w:val="right"/>
              <w:rPr>
                <w:rFonts w:eastAsia="Calibri"/>
                <w:sz w:val="16"/>
                <w:szCs w:val="16"/>
                <w:lang w:val="es-CO"/>
              </w:rPr>
            </w:pPr>
            <w:r>
              <w:rPr>
                <w:rFonts w:eastAsia="Calibri"/>
                <w:sz w:val="16"/>
                <w:szCs w:val="16"/>
                <w:lang w:val="es-CO"/>
              </w:rPr>
              <w:t>33.871.687</w:t>
            </w:r>
          </w:p>
        </w:tc>
        <w:tc>
          <w:tcPr>
            <w:tcW w:w="1482" w:type="dxa"/>
            <w:shd w:val="clear" w:color="auto" w:fill="auto"/>
          </w:tcPr>
          <w:p w14:paraId="4D3B8EBF" w14:textId="77777777" w:rsidR="000B5CEE" w:rsidRPr="00B54567" w:rsidRDefault="000B5CEE" w:rsidP="00874B2D">
            <w:pPr>
              <w:jc w:val="right"/>
              <w:rPr>
                <w:rFonts w:eastAsia="Calibri"/>
                <w:sz w:val="16"/>
                <w:szCs w:val="16"/>
                <w:lang w:val="es-CO"/>
              </w:rPr>
            </w:pPr>
            <w:r>
              <w:rPr>
                <w:rFonts w:eastAsia="Calibri"/>
                <w:sz w:val="16"/>
                <w:szCs w:val="16"/>
                <w:lang w:val="es-CO"/>
              </w:rPr>
              <w:t>33.360.492</w:t>
            </w:r>
          </w:p>
        </w:tc>
        <w:tc>
          <w:tcPr>
            <w:tcW w:w="1339" w:type="dxa"/>
            <w:shd w:val="clear" w:color="auto" w:fill="auto"/>
          </w:tcPr>
          <w:p w14:paraId="00E013BA" w14:textId="77777777" w:rsidR="000B5CEE" w:rsidRPr="00B54567" w:rsidRDefault="000B5CEE" w:rsidP="00874B2D">
            <w:pPr>
              <w:jc w:val="right"/>
              <w:rPr>
                <w:rFonts w:eastAsia="Calibri"/>
                <w:sz w:val="16"/>
                <w:szCs w:val="16"/>
                <w:lang w:val="es-CO"/>
              </w:rPr>
            </w:pPr>
            <w:r>
              <w:rPr>
                <w:rFonts w:eastAsia="Calibri"/>
                <w:sz w:val="16"/>
                <w:szCs w:val="16"/>
                <w:lang w:val="es-CO"/>
              </w:rPr>
              <w:t>30.656.724</w:t>
            </w:r>
          </w:p>
        </w:tc>
        <w:tc>
          <w:tcPr>
            <w:tcW w:w="1106" w:type="dxa"/>
            <w:shd w:val="clear" w:color="auto" w:fill="auto"/>
          </w:tcPr>
          <w:p w14:paraId="2F616DFC" w14:textId="77777777" w:rsidR="000B5CEE" w:rsidRPr="00B54567" w:rsidRDefault="000B5CEE" w:rsidP="00874B2D">
            <w:pPr>
              <w:jc w:val="right"/>
              <w:rPr>
                <w:rFonts w:eastAsia="Calibri"/>
                <w:sz w:val="16"/>
                <w:szCs w:val="16"/>
                <w:lang w:val="es-CO"/>
              </w:rPr>
            </w:pPr>
            <w:r>
              <w:rPr>
                <w:rFonts w:eastAsia="Calibri"/>
                <w:sz w:val="16"/>
                <w:szCs w:val="16"/>
                <w:lang w:val="es-CO"/>
              </w:rPr>
              <w:t>30.313.786</w:t>
            </w:r>
          </w:p>
        </w:tc>
        <w:tc>
          <w:tcPr>
            <w:tcW w:w="1026" w:type="dxa"/>
            <w:shd w:val="clear" w:color="auto" w:fill="auto"/>
          </w:tcPr>
          <w:p w14:paraId="47C524DB" w14:textId="77777777" w:rsidR="000B5CEE" w:rsidRPr="00B54567" w:rsidRDefault="000B5CEE" w:rsidP="00874B2D">
            <w:pPr>
              <w:jc w:val="center"/>
              <w:rPr>
                <w:rFonts w:eastAsia="Calibri"/>
                <w:sz w:val="16"/>
                <w:szCs w:val="16"/>
                <w:lang w:val="es-CO"/>
              </w:rPr>
            </w:pPr>
            <w:r>
              <w:rPr>
                <w:rFonts w:eastAsia="Calibri"/>
                <w:sz w:val="16"/>
                <w:szCs w:val="16"/>
                <w:lang w:val="es-CO"/>
              </w:rPr>
              <w:t>98%</w:t>
            </w:r>
          </w:p>
        </w:tc>
        <w:tc>
          <w:tcPr>
            <w:tcW w:w="989" w:type="dxa"/>
            <w:shd w:val="clear" w:color="auto" w:fill="auto"/>
          </w:tcPr>
          <w:p w14:paraId="7123AF66" w14:textId="77777777" w:rsidR="000B5CEE" w:rsidRPr="00B54567" w:rsidRDefault="000B5CEE" w:rsidP="00874B2D">
            <w:pPr>
              <w:jc w:val="center"/>
              <w:rPr>
                <w:rFonts w:eastAsia="Calibri"/>
                <w:sz w:val="16"/>
                <w:szCs w:val="16"/>
                <w:lang w:val="es-CO"/>
              </w:rPr>
            </w:pPr>
            <w:r>
              <w:rPr>
                <w:rFonts w:eastAsia="Calibri"/>
                <w:sz w:val="16"/>
                <w:szCs w:val="16"/>
                <w:lang w:val="es-CO"/>
              </w:rPr>
              <w:t>91%</w:t>
            </w:r>
          </w:p>
        </w:tc>
        <w:tc>
          <w:tcPr>
            <w:tcW w:w="777" w:type="dxa"/>
            <w:shd w:val="clear" w:color="auto" w:fill="auto"/>
          </w:tcPr>
          <w:p w14:paraId="010CC94E" w14:textId="77777777" w:rsidR="000B5CEE" w:rsidRPr="00B54567" w:rsidRDefault="000B5CEE" w:rsidP="00874B2D">
            <w:pPr>
              <w:jc w:val="center"/>
              <w:rPr>
                <w:rFonts w:eastAsia="Calibri"/>
                <w:sz w:val="16"/>
                <w:szCs w:val="16"/>
                <w:lang w:val="es-CO"/>
              </w:rPr>
            </w:pPr>
            <w:r>
              <w:rPr>
                <w:rFonts w:eastAsia="Calibri"/>
                <w:sz w:val="16"/>
                <w:szCs w:val="16"/>
                <w:lang w:val="es-CO"/>
              </w:rPr>
              <w:t>89%</w:t>
            </w:r>
          </w:p>
        </w:tc>
      </w:tr>
      <w:tr w:rsidR="000B5CEE" w:rsidRPr="00B54567" w14:paraId="5B83438A" w14:textId="77777777" w:rsidTr="000B67BD">
        <w:tc>
          <w:tcPr>
            <w:tcW w:w="2098" w:type="dxa"/>
            <w:shd w:val="clear" w:color="auto" w:fill="auto"/>
          </w:tcPr>
          <w:p w14:paraId="4B375019" w14:textId="77777777" w:rsidR="000B5CEE" w:rsidRPr="00B54567" w:rsidRDefault="000B5CEE" w:rsidP="00874B2D">
            <w:pPr>
              <w:jc w:val="both"/>
              <w:rPr>
                <w:rFonts w:eastAsia="Calibri"/>
                <w:sz w:val="16"/>
                <w:szCs w:val="16"/>
                <w:lang w:val="es-CO"/>
              </w:rPr>
            </w:pPr>
            <w:r w:rsidRPr="00B54567">
              <w:rPr>
                <w:rFonts w:eastAsia="Calibri"/>
                <w:sz w:val="16"/>
                <w:szCs w:val="16"/>
                <w:lang w:val="es-CO"/>
              </w:rPr>
              <w:t>Transferencias</w:t>
            </w:r>
          </w:p>
        </w:tc>
        <w:tc>
          <w:tcPr>
            <w:tcW w:w="1106" w:type="dxa"/>
            <w:shd w:val="clear" w:color="auto" w:fill="auto"/>
          </w:tcPr>
          <w:p w14:paraId="2408B4D6" w14:textId="77777777" w:rsidR="000B5CEE" w:rsidRPr="00B54567" w:rsidRDefault="000B5CEE" w:rsidP="00874B2D">
            <w:pPr>
              <w:jc w:val="right"/>
              <w:rPr>
                <w:rFonts w:eastAsia="Calibri"/>
                <w:sz w:val="16"/>
                <w:szCs w:val="16"/>
                <w:lang w:val="es-CO"/>
              </w:rPr>
            </w:pPr>
            <w:r>
              <w:rPr>
                <w:rFonts w:eastAsia="Calibri"/>
                <w:sz w:val="16"/>
                <w:szCs w:val="16"/>
                <w:lang w:val="es-CO"/>
              </w:rPr>
              <w:t>225.119.243</w:t>
            </w:r>
          </w:p>
        </w:tc>
        <w:tc>
          <w:tcPr>
            <w:tcW w:w="1482" w:type="dxa"/>
            <w:shd w:val="clear" w:color="auto" w:fill="auto"/>
          </w:tcPr>
          <w:p w14:paraId="7D0E42D7" w14:textId="77777777" w:rsidR="000B5CEE" w:rsidRPr="00B54567" w:rsidRDefault="000B5CEE" w:rsidP="00874B2D">
            <w:pPr>
              <w:jc w:val="right"/>
              <w:rPr>
                <w:rFonts w:eastAsia="Calibri"/>
                <w:sz w:val="16"/>
                <w:szCs w:val="16"/>
                <w:lang w:val="es-CO"/>
              </w:rPr>
            </w:pPr>
            <w:r>
              <w:rPr>
                <w:rFonts w:eastAsia="Calibri"/>
                <w:sz w:val="16"/>
                <w:szCs w:val="16"/>
                <w:lang w:val="es-CO"/>
              </w:rPr>
              <w:t>224.913.018</w:t>
            </w:r>
          </w:p>
        </w:tc>
        <w:tc>
          <w:tcPr>
            <w:tcW w:w="1339" w:type="dxa"/>
            <w:shd w:val="clear" w:color="auto" w:fill="auto"/>
          </w:tcPr>
          <w:p w14:paraId="27272ECA" w14:textId="77777777" w:rsidR="000B5CEE" w:rsidRPr="00B54567" w:rsidRDefault="000B5CEE" w:rsidP="00874B2D">
            <w:pPr>
              <w:jc w:val="right"/>
              <w:rPr>
                <w:rFonts w:eastAsia="Calibri"/>
                <w:sz w:val="16"/>
                <w:szCs w:val="16"/>
                <w:lang w:val="es-CO"/>
              </w:rPr>
            </w:pPr>
            <w:r>
              <w:rPr>
                <w:rFonts w:eastAsia="Calibri"/>
                <w:sz w:val="16"/>
                <w:szCs w:val="16"/>
                <w:lang w:val="es-CO"/>
              </w:rPr>
              <w:t>117.367.532</w:t>
            </w:r>
          </w:p>
        </w:tc>
        <w:tc>
          <w:tcPr>
            <w:tcW w:w="1106" w:type="dxa"/>
            <w:shd w:val="clear" w:color="auto" w:fill="auto"/>
          </w:tcPr>
          <w:p w14:paraId="253AB874" w14:textId="77777777" w:rsidR="000B5CEE" w:rsidRPr="00B54567" w:rsidRDefault="000B5CEE" w:rsidP="00874B2D">
            <w:pPr>
              <w:jc w:val="right"/>
              <w:rPr>
                <w:rFonts w:eastAsia="Calibri"/>
                <w:sz w:val="16"/>
                <w:szCs w:val="16"/>
                <w:lang w:val="es-CO"/>
              </w:rPr>
            </w:pPr>
            <w:r>
              <w:rPr>
                <w:rFonts w:eastAsia="Calibri"/>
                <w:sz w:val="16"/>
                <w:szCs w:val="16"/>
                <w:lang w:val="es-CO"/>
              </w:rPr>
              <w:t>117.367.532</w:t>
            </w:r>
          </w:p>
        </w:tc>
        <w:tc>
          <w:tcPr>
            <w:tcW w:w="1026" w:type="dxa"/>
            <w:shd w:val="clear" w:color="auto" w:fill="auto"/>
          </w:tcPr>
          <w:p w14:paraId="58C2EF0A" w14:textId="77777777" w:rsidR="000B5CEE" w:rsidRPr="00B54567" w:rsidRDefault="000B5CEE" w:rsidP="00874B2D">
            <w:pPr>
              <w:jc w:val="center"/>
              <w:rPr>
                <w:rFonts w:eastAsia="Calibri"/>
                <w:sz w:val="16"/>
                <w:szCs w:val="16"/>
                <w:lang w:val="es-CO"/>
              </w:rPr>
            </w:pPr>
            <w:r>
              <w:rPr>
                <w:rFonts w:eastAsia="Calibri"/>
                <w:sz w:val="16"/>
                <w:szCs w:val="16"/>
                <w:lang w:val="es-CO"/>
              </w:rPr>
              <w:t>100%</w:t>
            </w:r>
          </w:p>
        </w:tc>
        <w:tc>
          <w:tcPr>
            <w:tcW w:w="989" w:type="dxa"/>
            <w:shd w:val="clear" w:color="auto" w:fill="auto"/>
          </w:tcPr>
          <w:p w14:paraId="4959359D" w14:textId="77777777" w:rsidR="000B5CEE" w:rsidRPr="00B54567" w:rsidRDefault="000B5CEE" w:rsidP="00874B2D">
            <w:pPr>
              <w:jc w:val="center"/>
              <w:rPr>
                <w:rFonts w:eastAsia="Calibri"/>
                <w:sz w:val="16"/>
                <w:szCs w:val="16"/>
                <w:lang w:val="es-CO"/>
              </w:rPr>
            </w:pPr>
            <w:r>
              <w:rPr>
                <w:rFonts w:eastAsia="Calibri"/>
                <w:sz w:val="16"/>
                <w:szCs w:val="16"/>
                <w:lang w:val="es-CO"/>
              </w:rPr>
              <w:t>52%</w:t>
            </w:r>
          </w:p>
        </w:tc>
        <w:tc>
          <w:tcPr>
            <w:tcW w:w="777" w:type="dxa"/>
            <w:shd w:val="clear" w:color="auto" w:fill="auto"/>
          </w:tcPr>
          <w:p w14:paraId="7E6A9FD9" w14:textId="77777777" w:rsidR="000B5CEE" w:rsidRPr="00B54567" w:rsidRDefault="000B5CEE" w:rsidP="00874B2D">
            <w:pPr>
              <w:jc w:val="center"/>
              <w:rPr>
                <w:rFonts w:eastAsia="Calibri"/>
                <w:sz w:val="16"/>
                <w:szCs w:val="16"/>
                <w:lang w:val="es-CO"/>
              </w:rPr>
            </w:pPr>
            <w:r>
              <w:rPr>
                <w:rFonts w:eastAsia="Calibri"/>
                <w:sz w:val="16"/>
                <w:szCs w:val="16"/>
                <w:lang w:val="es-CO"/>
              </w:rPr>
              <w:t>52%</w:t>
            </w:r>
          </w:p>
        </w:tc>
      </w:tr>
      <w:tr w:rsidR="000B5CEE" w:rsidRPr="00B54567" w14:paraId="0806FBFE" w14:textId="77777777" w:rsidTr="000B67BD">
        <w:trPr>
          <w:trHeight w:val="355"/>
        </w:trPr>
        <w:tc>
          <w:tcPr>
            <w:tcW w:w="2098" w:type="dxa"/>
            <w:shd w:val="clear" w:color="auto" w:fill="auto"/>
          </w:tcPr>
          <w:p w14:paraId="55C2DAC6" w14:textId="77777777" w:rsidR="000B5CEE" w:rsidRPr="00B54567" w:rsidRDefault="000B5CEE"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106" w:type="dxa"/>
            <w:shd w:val="clear" w:color="auto" w:fill="auto"/>
          </w:tcPr>
          <w:p w14:paraId="2F4FCF5F" w14:textId="77777777" w:rsidR="000B5CEE" w:rsidRDefault="000B5CEE" w:rsidP="00874B2D">
            <w:pPr>
              <w:jc w:val="right"/>
              <w:rPr>
                <w:rFonts w:eastAsia="Calibri"/>
                <w:sz w:val="16"/>
                <w:szCs w:val="16"/>
                <w:lang w:val="es-CO"/>
              </w:rPr>
            </w:pPr>
          </w:p>
          <w:p w14:paraId="23D34981" w14:textId="77777777" w:rsidR="000B5CEE" w:rsidRPr="00B54567" w:rsidRDefault="000B5CEE" w:rsidP="00874B2D">
            <w:pPr>
              <w:jc w:val="right"/>
              <w:rPr>
                <w:rFonts w:eastAsia="Calibri"/>
                <w:sz w:val="16"/>
                <w:szCs w:val="16"/>
                <w:lang w:val="es-CO"/>
              </w:rPr>
            </w:pPr>
            <w:r>
              <w:rPr>
                <w:rFonts w:eastAsia="Calibri"/>
                <w:sz w:val="16"/>
                <w:szCs w:val="16"/>
                <w:lang w:val="es-CO"/>
              </w:rPr>
              <w:t>1.467.771</w:t>
            </w:r>
          </w:p>
        </w:tc>
        <w:tc>
          <w:tcPr>
            <w:tcW w:w="1482" w:type="dxa"/>
            <w:shd w:val="clear" w:color="auto" w:fill="auto"/>
          </w:tcPr>
          <w:p w14:paraId="7BB7931B" w14:textId="77777777" w:rsidR="000B5CEE" w:rsidRDefault="000B5CEE" w:rsidP="00874B2D">
            <w:pPr>
              <w:jc w:val="right"/>
              <w:rPr>
                <w:rFonts w:eastAsia="Calibri"/>
                <w:sz w:val="16"/>
                <w:szCs w:val="16"/>
                <w:lang w:val="es-CO"/>
              </w:rPr>
            </w:pPr>
          </w:p>
          <w:p w14:paraId="4C936A52" w14:textId="77777777" w:rsidR="000B5CEE" w:rsidRPr="00B54567" w:rsidRDefault="000B5CEE" w:rsidP="00874B2D">
            <w:pPr>
              <w:jc w:val="right"/>
              <w:rPr>
                <w:rFonts w:eastAsia="Calibri"/>
                <w:sz w:val="16"/>
                <w:szCs w:val="16"/>
                <w:lang w:val="es-CO"/>
              </w:rPr>
            </w:pPr>
            <w:r>
              <w:rPr>
                <w:rFonts w:eastAsia="Calibri"/>
                <w:sz w:val="16"/>
                <w:szCs w:val="16"/>
                <w:lang w:val="es-CO"/>
              </w:rPr>
              <w:t>1.446.398</w:t>
            </w:r>
          </w:p>
        </w:tc>
        <w:tc>
          <w:tcPr>
            <w:tcW w:w="1339" w:type="dxa"/>
            <w:shd w:val="clear" w:color="auto" w:fill="auto"/>
          </w:tcPr>
          <w:p w14:paraId="4E629AD6" w14:textId="77777777" w:rsidR="000B5CEE" w:rsidRDefault="000B5CEE" w:rsidP="00874B2D">
            <w:pPr>
              <w:jc w:val="right"/>
              <w:rPr>
                <w:rFonts w:eastAsia="Calibri"/>
                <w:sz w:val="16"/>
                <w:szCs w:val="16"/>
                <w:lang w:val="es-CO"/>
              </w:rPr>
            </w:pPr>
          </w:p>
          <w:p w14:paraId="37DAF5C9" w14:textId="77777777" w:rsidR="000B5CEE" w:rsidRPr="00B54567" w:rsidRDefault="000B5CEE" w:rsidP="00874B2D">
            <w:pPr>
              <w:jc w:val="right"/>
              <w:rPr>
                <w:rFonts w:eastAsia="Calibri"/>
                <w:sz w:val="16"/>
                <w:szCs w:val="16"/>
                <w:lang w:val="es-CO"/>
              </w:rPr>
            </w:pPr>
            <w:r>
              <w:rPr>
                <w:rFonts w:eastAsia="Calibri"/>
                <w:sz w:val="16"/>
                <w:szCs w:val="16"/>
                <w:lang w:val="es-CO"/>
              </w:rPr>
              <w:t>1.446.398</w:t>
            </w:r>
          </w:p>
        </w:tc>
        <w:tc>
          <w:tcPr>
            <w:tcW w:w="1106" w:type="dxa"/>
            <w:shd w:val="clear" w:color="auto" w:fill="auto"/>
          </w:tcPr>
          <w:p w14:paraId="6613E507" w14:textId="77777777" w:rsidR="000B5CEE" w:rsidRDefault="000B5CEE" w:rsidP="00874B2D">
            <w:pPr>
              <w:jc w:val="right"/>
              <w:rPr>
                <w:rFonts w:eastAsia="Calibri"/>
                <w:sz w:val="16"/>
                <w:szCs w:val="16"/>
                <w:lang w:val="es-CO"/>
              </w:rPr>
            </w:pPr>
          </w:p>
          <w:p w14:paraId="2446228C" w14:textId="77777777" w:rsidR="000B5CEE" w:rsidRPr="00B54567" w:rsidRDefault="000B5CEE" w:rsidP="00874B2D">
            <w:pPr>
              <w:jc w:val="right"/>
              <w:rPr>
                <w:rFonts w:eastAsia="Calibri"/>
                <w:sz w:val="16"/>
                <w:szCs w:val="16"/>
                <w:lang w:val="es-CO"/>
              </w:rPr>
            </w:pPr>
            <w:r>
              <w:rPr>
                <w:rFonts w:eastAsia="Calibri"/>
                <w:sz w:val="16"/>
                <w:szCs w:val="16"/>
                <w:lang w:val="es-CO"/>
              </w:rPr>
              <w:t>1.446.398</w:t>
            </w:r>
          </w:p>
        </w:tc>
        <w:tc>
          <w:tcPr>
            <w:tcW w:w="1026" w:type="dxa"/>
            <w:shd w:val="clear" w:color="auto" w:fill="auto"/>
          </w:tcPr>
          <w:p w14:paraId="31A82901" w14:textId="77777777" w:rsidR="000B5CEE" w:rsidRDefault="000B5CEE" w:rsidP="00874B2D">
            <w:pPr>
              <w:jc w:val="center"/>
              <w:rPr>
                <w:rFonts w:eastAsia="Calibri"/>
                <w:sz w:val="16"/>
                <w:szCs w:val="16"/>
                <w:lang w:val="es-CO"/>
              </w:rPr>
            </w:pPr>
          </w:p>
          <w:p w14:paraId="1B39E488" w14:textId="77777777" w:rsidR="000B5CEE" w:rsidRPr="00B54567" w:rsidRDefault="000B5CEE" w:rsidP="00874B2D">
            <w:pPr>
              <w:jc w:val="center"/>
              <w:rPr>
                <w:rFonts w:eastAsia="Calibri"/>
                <w:sz w:val="16"/>
                <w:szCs w:val="16"/>
                <w:lang w:val="es-CO"/>
              </w:rPr>
            </w:pPr>
            <w:r>
              <w:rPr>
                <w:rFonts w:eastAsia="Calibri"/>
                <w:sz w:val="16"/>
                <w:szCs w:val="16"/>
                <w:lang w:val="es-CO"/>
              </w:rPr>
              <w:t>99%</w:t>
            </w:r>
          </w:p>
        </w:tc>
        <w:tc>
          <w:tcPr>
            <w:tcW w:w="989" w:type="dxa"/>
            <w:shd w:val="clear" w:color="auto" w:fill="auto"/>
          </w:tcPr>
          <w:p w14:paraId="1700EEBB" w14:textId="77777777" w:rsidR="000B5CEE" w:rsidRDefault="000B5CEE" w:rsidP="00874B2D">
            <w:pPr>
              <w:jc w:val="center"/>
              <w:rPr>
                <w:rFonts w:eastAsia="Calibri"/>
                <w:sz w:val="16"/>
                <w:szCs w:val="16"/>
                <w:lang w:val="es-CO"/>
              </w:rPr>
            </w:pPr>
          </w:p>
          <w:p w14:paraId="19D32DB0" w14:textId="77777777" w:rsidR="000B5CEE" w:rsidRPr="00B54567" w:rsidRDefault="000B5CEE" w:rsidP="00874B2D">
            <w:pPr>
              <w:jc w:val="center"/>
              <w:rPr>
                <w:rFonts w:eastAsia="Calibri"/>
                <w:sz w:val="16"/>
                <w:szCs w:val="16"/>
                <w:lang w:val="es-CO"/>
              </w:rPr>
            </w:pPr>
            <w:r>
              <w:rPr>
                <w:rFonts w:eastAsia="Calibri"/>
                <w:sz w:val="16"/>
                <w:szCs w:val="16"/>
                <w:lang w:val="es-CO"/>
              </w:rPr>
              <w:t>99%</w:t>
            </w:r>
          </w:p>
        </w:tc>
        <w:tc>
          <w:tcPr>
            <w:tcW w:w="777" w:type="dxa"/>
            <w:shd w:val="clear" w:color="auto" w:fill="auto"/>
          </w:tcPr>
          <w:p w14:paraId="558C83CA" w14:textId="77777777" w:rsidR="000B5CEE" w:rsidRDefault="000B5CEE" w:rsidP="00874B2D">
            <w:pPr>
              <w:jc w:val="center"/>
              <w:rPr>
                <w:rFonts w:eastAsia="Calibri"/>
                <w:sz w:val="16"/>
                <w:szCs w:val="16"/>
                <w:lang w:val="es-CO"/>
              </w:rPr>
            </w:pPr>
          </w:p>
          <w:p w14:paraId="0AA8C7D5" w14:textId="77777777" w:rsidR="000B5CEE" w:rsidRPr="00B54567" w:rsidRDefault="000B5CEE" w:rsidP="00874B2D">
            <w:pPr>
              <w:jc w:val="center"/>
              <w:rPr>
                <w:rFonts w:eastAsia="Calibri"/>
                <w:sz w:val="16"/>
                <w:szCs w:val="16"/>
                <w:lang w:val="es-CO"/>
              </w:rPr>
            </w:pPr>
            <w:r>
              <w:rPr>
                <w:rFonts w:eastAsia="Calibri"/>
                <w:sz w:val="16"/>
                <w:szCs w:val="16"/>
                <w:lang w:val="es-CO"/>
              </w:rPr>
              <w:t>99%</w:t>
            </w:r>
          </w:p>
        </w:tc>
      </w:tr>
      <w:tr w:rsidR="000B5CEE" w:rsidRPr="00B54567" w14:paraId="4DCE9766" w14:textId="77777777" w:rsidTr="000B67BD">
        <w:tc>
          <w:tcPr>
            <w:tcW w:w="2098" w:type="dxa"/>
            <w:shd w:val="clear" w:color="auto" w:fill="auto"/>
          </w:tcPr>
          <w:p w14:paraId="0EFDE8F0" w14:textId="77777777" w:rsidR="000B5CEE" w:rsidRPr="00B54567" w:rsidRDefault="000B5CEE" w:rsidP="00874B2D">
            <w:pPr>
              <w:jc w:val="both"/>
              <w:rPr>
                <w:rFonts w:eastAsia="Calibri"/>
                <w:b/>
                <w:sz w:val="16"/>
                <w:szCs w:val="16"/>
                <w:lang w:val="es-CO"/>
              </w:rPr>
            </w:pPr>
            <w:r w:rsidRPr="00B54567">
              <w:rPr>
                <w:rFonts w:eastAsia="Calibri"/>
                <w:b/>
                <w:sz w:val="16"/>
                <w:szCs w:val="16"/>
                <w:lang w:val="es-CO"/>
              </w:rPr>
              <w:t>SERVICIO DE LA DEUDA</w:t>
            </w:r>
          </w:p>
        </w:tc>
        <w:tc>
          <w:tcPr>
            <w:tcW w:w="1106" w:type="dxa"/>
            <w:shd w:val="clear" w:color="auto" w:fill="auto"/>
          </w:tcPr>
          <w:p w14:paraId="3DDDF25D" w14:textId="77777777" w:rsidR="000B5CEE" w:rsidRPr="00872FEE" w:rsidRDefault="000B5CEE" w:rsidP="00874B2D">
            <w:pPr>
              <w:jc w:val="right"/>
              <w:rPr>
                <w:rFonts w:eastAsia="Calibri"/>
                <w:b/>
                <w:sz w:val="16"/>
                <w:szCs w:val="16"/>
                <w:lang w:val="es-CO"/>
              </w:rPr>
            </w:pPr>
            <w:r>
              <w:rPr>
                <w:rFonts w:eastAsia="Calibri"/>
                <w:b/>
                <w:sz w:val="16"/>
                <w:szCs w:val="16"/>
                <w:lang w:val="es-CO"/>
              </w:rPr>
              <w:t>5.072.034</w:t>
            </w:r>
          </w:p>
        </w:tc>
        <w:tc>
          <w:tcPr>
            <w:tcW w:w="1482" w:type="dxa"/>
            <w:shd w:val="clear" w:color="auto" w:fill="auto"/>
          </w:tcPr>
          <w:p w14:paraId="06A7B5F3" w14:textId="77777777" w:rsidR="000B5CEE" w:rsidRPr="00872FEE" w:rsidRDefault="000B5CEE" w:rsidP="00874B2D">
            <w:pPr>
              <w:jc w:val="right"/>
              <w:rPr>
                <w:rFonts w:eastAsia="Calibri"/>
                <w:b/>
                <w:sz w:val="16"/>
                <w:szCs w:val="16"/>
                <w:lang w:val="es-CO"/>
              </w:rPr>
            </w:pPr>
            <w:r>
              <w:rPr>
                <w:rFonts w:eastAsia="Calibri"/>
                <w:b/>
                <w:sz w:val="16"/>
                <w:szCs w:val="16"/>
                <w:lang w:val="es-CO"/>
              </w:rPr>
              <w:t>5.072.034</w:t>
            </w:r>
          </w:p>
        </w:tc>
        <w:tc>
          <w:tcPr>
            <w:tcW w:w="1339" w:type="dxa"/>
            <w:shd w:val="clear" w:color="auto" w:fill="auto"/>
          </w:tcPr>
          <w:p w14:paraId="6AFBEEC9" w14:textId="77777777" w:rsidR="000B5CEE" w:rsidRPr="00872FEE" w:rsidRDefault="000B5CEE" w:rsidP="00874B2D">
            <w:pPr>
              <w:jc w:val="right"/>
              <w:rPr>
                <w:rFonts w:eastAsia="Calibri"/>
                <w:b/>
                <w:sz w:val="16"/>
                <w:szCs w:val="16"/>
                <w:lang w:val="es-CO"/>
              </w:rPr>
            </w:pPr>
            <w:r>
              <w:rPr>
                <w:rFonts w:eastAsia="Calibri"/>
                <w:b/>
                <w:sz w:val="16"/>
                <w:szCs w:val="16"/>
                <w:lang w:val="es-CO"/>
              </w:rPr>
              <w:t>5.072.034</w:t>
            </w:r>
          </w:p>
        </w:tc>
        <w:tc>
          <w:tcPr>
            <w:tcW w:w="1106" w:type="dxa"/>
            <w:shd w:val="clear" w:color="auto" w:fill="auto"/>
          </w:tcPr>
          <w:p w14:paraId="5E04881C" w14:textId="77777777" w:rsidR="000B5CEE" w:rsidRPr="00872FEE" w:rsidRDefault="000B5CEE" w:rsidP="00874B2D">
            <w:pPr>
              <w:jc w:val="right"/>
              <w:rPr>
                <w:rFonts w:eastAsia="Calibri"/>
                <w:b/>
                <w:sz w:val="16"/>
                <w:szCs w:val="16"/>
                <w:lang w:val="es-CO"/>
              </w:rPr>
            </w:pPr>
            <w:r>
              <w:rPr>
                <w:rFonts w:eastAsia="Calibri"/>
                <w:b/>
                <w:sz w:val="16"/>
                <w:szCs w:val="16"/>
                <w:lang w:val="es-CO"/>
              </w:rPr>
              <w:t>5.072.034</w:t>
            </w:r>
          </w:p>
        </w:tc>
        <w:tc>
          <w:tcPr>
            <w:tcW w:w="1026" w:type="dxa"/>
            <w:shd w:val="clear" w:color="auto" w:fill="auto"/>
          </w:tcPr>
          <w:p w14:paraId="6EE67402" w14:textId="77777777" w:rsidR="000B5CEE" w:rsidRPr="00872FEE" w:rsidRDefault="000B5CEE" w:rsidP="00874B2D">
            <w:pPr>
              <w:jc w:val="center"/>
              <w:rPr>
                <w:rFonts w:eastAsia="Calibri"/>
                <w:b/>
                <w:sz w:val="16"/>
                <w:szCs w:val="16"/>
                <w:lang w:val="es-CO"/>
              </w:rPr>
            </w:pPr>
            <w:r>
              <w:rPr>
                <w:rFonts w:eastAsia="Calibri"/>
                <w:b/>
                <w:sz w:val="16"/>
                <w:szCs w:val="16"/>
                <w:lang w:val="es-CO"/>
              </w:rPr>
              <w:t>100%</w:t>
            </w:r>
          </w:p>
        </w:tc>
        <w:tc>
          <w:tcPr>
            <w:tcW w:w="989" w:type="dxa"/>
            <w:shd w:val="clear" w:color="auto" w:fill="auto"/>
          </w:tcPr>
          <w:p w14:paraId="19FD68C4" w14:textId="77777777" w:rsidR="000B5CEE" w:rsidRPr="00872FEE" w:rsidRDefault="000B5CEE" w:rsidP="00874B2D">
            <w:pPr>
              <w:jc w:val="center"/>
              <w:rPr>
                <w:rFonts w:eastAsia="Calibri"/>
                <w:b/>
                <w:sz w:val="16"/>
                <w:szCs w:val="16"/>
                <w:lang w:val="es-CO"/>
              </w:rPr>
            </w:pPr>
            <w:r>
              <w:rPr>
                <w:rFonts w:eastAsia="Calibri"/>
                <w:b/>
                <w:sz w:val="16"/>
                <w:szCs w:val="16"/>
                <w:lang w:val="es-CO"/>
              </w:rPr>
              <w:t>100%</w:t>
            </w:r>
          </w:p>
        </w:tc>
        <w:tc>
          <w:tcPr>
            <w:tcW w:w="777" w:type="dxa"/>
            <w:shd w:val="clear" w:color="auto" w:fill="auto"/>
          </w:tcPr>
          <w:p w14:paraId="29A8DA61" w14:textId="77777777" w:rsidR="000B5CEE" w:rsidRPr="00872FEE" w:rsidRDefault="000B5CEE" w:rsidP="00874B2D">
            <w:pPr>
              <w:jc w:val="center"/>
              <w:rPr>
                <w:rFonts w:eastAsia="Calibri"/>
                <w:b/>
                <w:sz w:val="16"/>
                <w:szCs w:val="16"/>
                <w:lang w:val="es-CO"/>
              </w:rPr>
            </w:pPr>
            <w:r>
              <w:rPr>
                <w:rFonts w:eastAsia="Calibri"/>
                <w:b/>
                <w:sz w:val="16"/>
                <w:szCs w:val="16"/>
                <w:lang w:val="es-CO"/>
              </w:rPr>
              <w:t>100%</w:t>
            </w:r>
          </w:p>
        </w:tc>
      </w:tr>
      <w:tr w:rsidR="000B5CEE" w:rsidRPr="00B54567" w14:paraId="643C70EA" w14:textId="77777777" w:rsidTr="000B67BD">
        <w:tc>
          <w:tcPr>
            <w:tcW w:w="2098" w:type="dxa"/>
            <w:shd w:val="clear" w:color="auto" w:fill="auto"/>
          </w:tcPr>
          <w:p w14:paraId="09930DEF" w14:textId="77777777" w:rsidR="000B5CEE" w:rsidRPr="00B54567" w:rsidRDefault="000B5CEE" w:rsidP="00874B2D">
            <w:pPr>
              <w:rPr>
                <w:rFonts w:eastAsia="Calibri"/>
                <w:b/>
                <w:sz w:val="16"/>
                <w:szCs w:val="16"/>
                <w:lang w:val="es-CO"/>
              </w:rPr>
            </w:pPr>
            <w:r w:rsidRPr="00B54567">
              <w:rPr>
                <w:rFonts w:eastAsia="Calibri"/>
                <w:b/>
                <w:sz w:val="16"/>
                <w:szCs w:val="16"/>
                <w:lang w:val="es-CO"/>
              </w:rPr>
              <w:t>INVERSIÓN</w:t>
            </w:r>
          </w:p>
        </w:tc>
        <w:tc>
          <w:tcPr>
            <w:tcW w:w="1106" w:type="dxa"/>
            <w:shd w:val="clear" w:color="auto" w:fill="auto"/>
          </w:tcPr>
          <w:p w14:paraId="698A302F" w14:textId="77777777" w:rsidR="000B5CEE" w:rsidRPr="00872FEE" w:rsidRDefault="000B5CEE" w:rsidP="00874B2D">
            <w:pPr>
              <w:jc w:val="right"/>
              <w:rPr>
                <w:rFonts w:eastAsia="Calibri"/>
                <w:b/>
                <w:sz w:val="16"/>
                <w:szCs w:val="16"/>
                <w:lang w:val="es-CO"/>
              </w:rPr>
            </w:pPr>
            <w:r>
              <w:rPr>
                <w:rFonts w:eastAsia="Calibri"/>
                <w:b/>
                <w:sz w:val="16"/>
                <w:szCs w:val="16"/>
                <w:lang w:val="es-CO"/>
              </w:rPr>
              <w:t>189.098.467</w:t>
            </w:r>
          </w:p>
        </w:tc>
        <w:tc>
          <w:tcPr>
            <w:tcW w:w="1482" w:type="dxa"/>
            <w:shd w:val="clear" w:color="auto" w:fill="auto"/>
          </w:tcPr>
          <w:p w14:paraId="75677B46" w14:textId="77777777" w:rsidR="000B5CEE" w:rsidRPr="00872FEE" w:rsidRDefault="000B5CEE" w:rsidP="00874B2D">
            <w:pPr>
              <w:jc w:val="right"/>
              <w:rPr>
                <w:rFonts w:eastAsia="Calibri"/>
                <w:b/>
                <w:sz w:val="16"/>
                <w:szCs w:val="16"/>
                <w:lang w:val="es-CO"/>
              </w:rPr>
            </w:pPr>
            <w:r>
              <w:rPr>
                <w:rFonts w:eastAsia="Calibri"/>
                <w:b/>
                <w:sz w:val="16"/>
                <w:szCs w:val="16"/>
                <w:lang w:val="es-CO"/>
              </w:rPr>
              <w:t>185.347.713</w:t>
            </w:r>
          </w:p>
        </w:tc>
        <w:tc>
          <w:tcPr>
            <w:tcW w:w="1339" w:type="dxa"/>
            <w:shd w:val="clear" w:color="auto" w:fill="auto"/>
          </w:tcPr>
          <w:p w14:paraId="1DF12478" w14:textId="77777777" w:rsidR="000B5CEE" w:rsidRPr="00872FEE" w:rsidRDefault="000B5CEE" w:rsidP="00874B2D">
            <w:pPr>
              <w:jc w:val="right"/>
              <w:rPr>
                <w:rFonts w:eastAsia="Calibri"/>
                <w:b/>
                <w:sz w:val="16"/>
                <w:szCs w:val="16"/>
                <w:lang w:val="es-CO"/>
              </w:rPr>
            </w:pPr>
            <w:r>
              <w:rPr>
                <w:rFonts w:eastAsia="Calibri"/>
                <w:b/>
                <w:sz w:val="16"/>
                <w:szCs w:val="16"/>
                <w:lang w:val="es-CO"/>
              </w:rPr>
              <w:t>152.299.769</w:t>
            </w:r>
          </w:p>
        </w:tc>
        <w:tc>
          <w:tcPr>
            <w:tcW w:w="1106" w:type="dxa"/>
            <w:shd w:val="clear" w:color="auto" w:fill="auto"/>
          </w:tcPr>
          <w:p w14:paraId="4710C2C5" w14:textId="77777777" w:rsidR="000B5CEE" w:rsidRPr="00872FEE" w:rsidRDefault="000B5CEE" w:rsidP="00874B2D">
            <w:pPr>
              <w:jc w:val="right"/>
              <w:rPr>
                <w:rFonts w:eastAsia="Calibri"/>
                <w:b/>
                <w:sz w:val="16"/>
                <w:szCs w:val="16"/>
                <w:lang w:val="es-CO"/>
              </w:rPr>
            </w:pPr>
            <w:r>
              <w:rPr>
                <w:rFonts w:eastAsia="Calibri"/>
                <w:b/>
                <w:sz w:val="16"/>
                <w:szCs w:val="16"/>
                <w:lang w:val="es-CO"/>
              </w:rPr>
              <w:t>151.186.755</w:t>
            </w:r>
          </w:p>
        </w:tc>
        <w:tc>
          <w:tcPr>
            <w:tcW w:w="1026" w:type="dxa"/>
            <w:shd w:val="clear" w:color="auto" w:fill="auto"/>
          </w:tcPr>
          <w:p w14:paraId="690CDBBA" w14:textId="77777777" w:rsidR="000B5CEE" w:rsidRPr="00872FEE" w:rsidRDefault="000B5CEE" w:rsidP="00874B2D">
            <w:pPr>
              <w:jc w:val="center"/>
              <w:rPr>
                <w:rFonts w:eastAsia="Calibri"/>
                <w:b/>
                <w:sz w:val="16"/>
                <w:szCs w:val="16"/>
                <w:lang w:val="es-CO"/>
              </w:rPr>
            </w:pPr>
            <w:r>
              <w:rPr>
                <w:rFonts w:eastAsia="Calibri"/>
                <w:b/>
                <w:sz w:val="16"/>
                <w:szCs w:val="16"/>
                <w:lang w:val="es-CO"/>
              </w:rPr>
              <w:t>98%</w:t>
            </w:r>
          </w:p>
        </w:tc>
        <w:tc>
          <w:tcPr>
            <w:tcW w:w="989" w:type="dxa"/>
            <w:shd w:val="clear" w:color="auto" w:fill="auto"/>
          </w:tcPr>
          <w:p w14:paraId="2D565872" w14:textId="77777777" w:rsidR="000B5CEE" w:rsidRPr="00872FEE" w:rsidRDefault="000B5CEE" w:rsidP="00874B2D">
            <w:pPr>
              <w:jc w:val="center"/>
              <w:rPr>
                <w:rFonts w:eastAsia="Calibri"/>
                <w:b/>
                <w:sz w:val="16"/>
                <w:szCs w:val="16"/>
                <w:lang w:val="es-CO"/>
              </w:rPr>
            </w:pPr>
            <w:r>
              <w:rPr>
                <w:rFonts w:eastAsia="Calibri"/>
                <w:b/>
                <w:sz w:val="16"/>
                <w:szCs w:val="16"/>
                <w:lang w:val="es-CO"/>
              </w:rPr>
              <w:t>81%</w:t>
            </w:r>
          </w:p>
        </w:tc>
        <w:tc>
          <w:tcPr>
            <w:tcW w:w="777" w:type="dxa"/>
            <w:shd w:val="clear" w:color="auto" w:fill="auto"/>
          </w:tcPr>
          <w:p w14:paraId="648BDA24" w14:textId="77777777" w:rsidR="000B5CEE" w:rsidRPr="00872FEE" w:rsidRDefault="000B5CEE" w:rsidP="00874B2D">
            <w:pPr>
              <w:jc w:val="center"/>
              <w:rPr>
                <w:rFonts w:eastAsia="Calibri"/>
                <w:b/>
                <w:sz w:val="16"/>
                <w:szCs w:val="16"/>
                <w:lang w:val="es-CO"/>
              </w:rPr>
            </w:pPr>
            <w:r>
              <w:rPr>
                <w:rFonts w:eastAsia="Calibri"/>
                <w:b/>
                <w:sz w:val="16"/>
                <w:szCs w:val="16"/>
                <w:lang w:val="es-CO"/>
              </w:rPr>
              <w:t>80%</w:t>
            </w:r>
          </w:p>
        </w:tc>
      </w:tr>
      <w:tr w:rsidR="000B5CEE" w:rsidRPr="00B54567" w14:paraId="2386C23A" w14:textId="77777777" w:rsidTr="000B67BD">
        <w:tc>
          <w:tcPr>
            <w:tcW w:w="2098" w:type="dxa"/>
            <w:shd w:val="clear" w:color="auto" w:fill="auto"/>
          </w:tcPr>
          <w:p w14:paraId="7DC4B90A" w14:textId="77777777" w:rsidR="000B5CEE" w:rsidRPr="00B54567" w:rsidRDefault="000B5CEE" w:rsidP="00874B2D">
            <w:pPr>
              <w:jc w:val="center"/>
              <w:rPr>
                <w:rFonts w:eastAsia="Calibri"/>
                <w:b/>
                <w:sz w:val="16"/>
                <w:szCs w:val="16"/>
                <w:lang w:val="es-CO"/>
              </w:rPr>
            </w:pPr>
            <w:r w:rsidRPr="00B54567">
              <w:rPr>
                <w:rFonts w:eastAsia="Calibri"/>
                <w:b/>
                <w:sz w:val="16"/>
                <w:szCs w:val="16"/>
                <w:lang w:val="es-CO"/>
              </w:rPr>
              <w:t>TOTAL PRESUPUESTO</w:t>
            </w:r>
          </w:p>
        </w:tc>
        <w:tc>
          <w:tcPr>
            <w:tcW w:w="1106" w:type="dxa"/>
            <w:shd w:val="clear" w:color="auto" w:fill="auto"/>
          </w:tcPr>
          <w:p w14:paraId="7EFBB462" w14:textId="77777777" w:rsidR="000B5CEE" w:rsidRPr="00872FEE" w:rsidRDefault="000B5CEE" w:rsidP="00874B2D">
            <w:pPr>
              <w:jc w:val="right"/>
              <w:rPr>
                <w:rFonts w:eastAsia="Calibri"/>
                <w:b/>
                <w:sz w:val="16"/>
                <w:szCs w:val="16"/>
                <w:lang w:val="es-CO"/>
              </w:rPr>
            </w:pPr>
            <w:r>
              <w:rPr>
                <w:rFonts w:eastAsia="Calibri"/>
                <w:b/>
                <w:sz w:val="16"/>
                <w:szCs w:val="16"/>
                <w:lang w:val="es-CO"/>
              </w:rPr>
              <w:t>504.969.105</w:t>
            </w:r>
          </w:p>
        </w:tc>
        <w:tc>
          <w:tcPr>
            <w:tcW w:w="1482" w:type="dxa"/>
            <w:shd w:val="clear" w:color="auto" w:fill="auto"/>
          </w:tcPr>
          <w:p w14:paraId="19440845" w14:textId="77777777" w:rsidR="000B5CEE" w:rsidRPr="00872FEE" w:rsidRDefault="000B5CEE" w:rsidP="00874B2D">
            <w:pPr>
              <w:jc w:val="right"/>
              <w:rPr>
                <w:rFonts w:eastAsia="Calibri"/>
                <w:b/>
                <w:sz w:val="16"/>
                <w:szCs w:val="16"/>
                <w:lang w:val="es-CO"/>
              </w:rPr>
            </w:pPr>
            <w:r>
              <w:rPr>
                <w:rFonts w:eastAsia="Calibri"/>
                <w:b/>
                <w:sz w:val="16"/>
                <w:szCs w:val="16"/>
                <w:lang w:val="es-CO"/>
              </w:rPr>
              <w:t>500.067.415</w:t>
            </w:r>
          </w:p>
        </w:tc>
        <w:tc>
          <w:tcPr>
            <w:tcW w:w="1339" w:type="dxa"/>
            <w:shd w:val="clear" w:color="auto" w:fill="auto"/>
          </w:tcPr>
          <w:p w14:paraId="61FDEB7F" w14:textId="77777777" w:rsidR="000B5CEE" w:rsidRPr="00872FEE" w:rsidRDefault="000B5CEE" w:rsidP="00874B2D">
            <w:pPr>
              <w:jc w:val="right"/>
              <w:rPr>
                <w:rFonts w:eastAsia="Calibri"/>
                <w:b/>
                <w:sz w:val="16"/>
                <w:szCs w:val="16"/>
                <w:lang w:val="es-CO"/>
              </w:rPr>
            </w:pPr>
            <w:r>
              <w:rPr>
                <w:rFonts w:eastAsia="Calibri"/>
                <w:b/>
                <w:sz w:val="16"/>
                <w:szCs w:val="16"/>
                <w:lang w:val="es-CO"/>
              </w:rPr>
              <w:t>356.770.217</w:t>
            </w:r>
          </w:p>
        </w:tc>
        <w:tc>
          <w:tcPr>
            <w:tcW w:w="1106" w:type="dxa"/>
            <w:shd w:val="clear" w:color="auto" w:fill="auto"/>
          </w:tcPr>
          <w:p w14:paraId="65405C53" w14:textId="77777777" w:rsidR="000B5CEE" w:rsidRPr="00872FEE" w:rsidRDefault="000B5CEE" w:rsidP="00874B2D">
            <w:pPr>
              <w:jc w:val="right"/>
              <w:rPr>
                <w:rFonts w:eastAsia="Calibri"/>
                <w:b/>
                <w:sz w:val="16"/>
                <w:szCs w:val="16"/>
                <w:lang w:val="es-CO"/>
              </w:rPr>
            </w:pPr>
            <w:r>
              <w:rPr>
                <w:rFonts w:eastAsia="Calibri"/>
                <w:b/>
                <w:sz w:val="16"/>
                <w:szCs w:val="16"/>
                <w:lang w:val="es-CO"/>
              </w:rPr>
              <w:t>354.798.101</w:t>
            </w:r>
          </w:p>
        </w:tc>
        <w:tc>
          <w:tcPr>
            <w:tcW w:w="1026" w:type="dxa"/>
            <w:shd w:val="clear" w:color="auto" w:fill="auto"/>
          </w:tcPr>
          <w:p w14:paraId="7122B949" w14:textId="77777777" w:rsidR="000B5CEE" w:rsidRPr="00872FEE" w:rsidRDefault="000B5CEE" w:rsidP="00874B2D">
            <w:pPr>
              <w:jc w:val="center"/>
              <w:rPr>
                <w:rFonts w:eastAsia="Calibri"/>
                <w:b/>
                <w:sz w:val="16"/>
                <w:szCs w:val="16"/>
                <w:u w:val="single"/>
                <w:lang w:val="es-CO"/>
              </w:rPr>
            </w:pPr>
            <w:r>
              <w:rPr>
                <w:rFonts w:eastAsia="Calibri"/>
                <w:b/>
                <w:sz w:val="16"/>
                <w:szCs w:val="16"/>
                <w:u w:val="single"/>
                <w:lang w:val="es-CO"/>
              </w:rPr>
              <w:t>99</w:t>
            </w:r>
            <w:r w:rsidRPr="00872FEE">
              <w:rPr>
                <w:rFonts w:eastAsia="Calibri"/>
                <w:b/>
                <w:sz w:val="16"/>
                <w:szCs w:val="16"/>
                <w:u w:val="single"/>
                <w:lang w:val="es-CO"/>
              </w:rPr>
              <w:t>%</w:t>
            </w:r>
          </w:p>
        </w:tc>
        <w:tc>
          <w:tcPr>
            <w:tcW w:w="989" w:type="dxa"/>
            <w:shd w:val="clear" w:color="auto" w:fill="auto"/>
          </w:tcPr>
          <w:p w14:paraId="5C2B1D41" w14:textId="77777777" w:rsidR="000B5CEE" w:rsidRPr="00872FEE" w:rsidRDefault="000B5CEE" w:rsidP="00874B2D">
            <w:pPr>
              <w:jc w:val="center"/>
              <w:rPr>
                <w:rFonts w:eastAsia="Calibri"/>
                <w:b/>
                <w:sz w:val="16"/>
                <w:szCs w:val="16"/>
                <w:u w:val="single"/>
                <w:lang w:val="es-CO"/>
              </w:rPr>
            </w:pPr>
            <w:r>
              <w:rPr>
                <w:rFonts w:eastAsia="Calibri"/>
                <w:b/>
                <w:sz w:val="16"/>
                <w:szCs w:val="16"/>
                <w:u w:val="single"/>
                <w:lang w:val="es-CO"/>
              </w:rPr>
              <w:t>71</w:t>
            </w:r>
            <w:r w:rsidRPr="00872FEE">
              <w:rPr>
                <w:rFonts w:eastAsia="Calibri"/>
                <w:b/>
                <w:sz w:val="16"/>
                <w:szCs w:val="16"/>
                <w:u w:val="single"/>
                <w:lang w:val="es-CO"/>
              </w:rPr>
              <w:t>%</w:t>
            </w:r>
          </w:p>
        </w:tc>
        <w:tc>
          <w:tcPr>
            <w:tcW w:w="777" w:type="dxa"/>
            <w:shd w:val="clear" w:color="auto" w:fill="auto"/>
          </w:tcPr>
          <w:p w14:paraId="7D0E2AA4" w14:textId="77777777" w:rsidR="000B5CEE" w:rsidRPr="00872FEE" w:rsidRDefault="000B5CEE" w:rsidP="00874B2D">
            <w:pPr>
              <w:jc w:val="center"/>
              <w:rPr>
                <w:rFonts w:eastAsia="Calibri"/>
                <w:b/>
                <w:sz w:val="16"/>
                <w:szCs w:val="16"/>
                <w:u w:val="single"/>
                <w:lang w:val="es-CO"/>
              </w:rPr>
            </w:pPr>
            <w:r>
              <w:rPr>
                <w:rFonts w:eastAsia="Calibri"/>
                <w:b/>
                <w:sz w:val="16"/>
                <w:szCs w:val="16"/>
                <w:u w:val="single"/>
                <w:lang w:val="es-CO"/>
              </w:rPr>
              <w:t>70</w:t>
            </w:r>
            <w:r w:rsidRPr="00872FEE">
              <w:rPr>
                <w:rFonts w:eastAsia="Calibri"/>
                <w:b/>
                <w:sz w:val="16"/>
                <w:szCs w:val="16"/>
                <w:u w:val="single"/>
                <w:lang w:val="es-CO"/>
              </w:rPr>
              <w:t>%</w:t>
            </w:r>
          </w:p>
        </w:tc>
      </w:tr>
    </w:tbl>
    <w:p w14:paraId="03D5ED3C" w14:textId="77777777" w:rsidR="000B5CEE" w:rsidRPr="00B54567" w:rsidRDefault="000B5CEE" w:rsidP="000B5CEE">
      <w:pPr>
        <w:pStyle w:val="Prrafodelista"/>
        <w:ind w:left="-142"/>
        <w:rPr>
          <w:b/>
          <w:sz w:val="24"/>
        </w:rPr>
      </w:pPr>
    </w:p>
    <w:p w14:paraId="40FAD92F" w14:textId="77777777" w:rsidR="000B5CEE" w:rsidRPr="00B54567" w:rsidRDefault="000B5CEE" w:rsidP="000B5CEE">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726AB75D" w14:textId="77777777" w:rsidR="000B5CEE" w:rsidRPr="00B54567" w:rsidRDefault="000B5CEE" w:rsidP="000B5CEE">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0B5CEE" w:rsidRPr="00B54567" w14:paraId="452DEA37" w14:textId="77777777" w:rsidTr="000B67BD">
        <w:tc>
          <w:tcPr>
            <w:tcW w:w="4111" w:type="dxa"/>
          </w:tcPr>
          <w:p w14:paraId="03095C15" w14:textId="77777777" w:rsidR="000B5CEE" w:rsidRPr="00B54567" w:rsidRDefault="000B5CEE" w:rsidP="00874B2D">
            <w:pPr>
              <w:ind w:left="1169" w:right="-1440"/>
              <w:rPr>
                <w:b/>
                <w:sz w:val="18"/>
                <w:szCs w:val="18"/>
                <w:lang w:val="es-ES_tradnl"/>
              </w:rPr>
            </w:pPr>
            <w:r w:rsidRPr="00B54567">
              <w:rPr>
                <w:b/>
                <w:sz w:val="18"/>
                <w:szCs w:val="18"/>
                <w:lang w:val="es-ES_tradnl"/>
              </w:rPr>
              <w:t>TIPO DE GASTO</w:t>
            </w:r>
          </w:p>
        </w:tc>
        <w:tc>
          <w:tcPr>
            <w:tcW w:w="1843" w:type="dxa"/>
          </w:tcPr>
          <w:p w14:paraId="191E3752" w14:textId="77777777" w:rsidR="000B5CEE" w:rsidRPr="00B54567" w:rsidRDefault="000B5CEE" w:rsidP="00874B2D">
            <w:pPr>
              <w:jc w:val="center"/>
              <w:rPr>
                <w:b/>
                <w:sz w:val="18"/>
                <w:szCs w:val="18"/>
                <w:lang w:val="es-ES_tradnl"/>
              </w:rPr>
            </w:pPr>
            <w:r w:rsidRPr="00B54567">
              <w:rPr>
                <w:b/>
                <w:sz w:val="18"/>
                <w:szCs w:val="18"/>
                <w:lang w:val="es-ES_tradnl"/>
              </w:rPr>
              <w:t>APROPIACIÓN</w:t>
            </w:r>
          </w:p>
          <w:p w14:paraId="373D0648" w14:textId="77777777" w:rsidR="000B5CEE" w:rsidRPr="00B54567" w:rsidRDefault="000B5CEE" w:rsidP="00874B2D">
            <w:pPr>
              <w:jc w:val="center"/>
              <w:rPr>
                <w:b/>
                <w:sz w:val="18"/>
                <w:szCs w:val="18"/>
                <w:lang w:val="es-ES_tradnl"/>
              </w:rPr>
            </w:pPr>
            <w:r w:rsidRPr="00B54567">
              <w:rPr>
                <w:b/>
                <w:sz w:val="18"/>
                <w:szCs w:val="18"/>
                <w:lang w:val="es-ES_tradnl"/>
              </w:rPr>
              <w:t>DEFINITIVA</w:t>
            </w:r>
          </w:p>
          <w:p w14:paraId="579B801D" w14:textId="196EF603" w:rsidR="000B5CEE" w:rsidRPr="00B54567" w:rsidRDefault="000B5CEE" w:rsidP="00C07FDB">
            <w:pPr>
              <w:jc w:val="center"/>
              <w:rPr>
                <w:b/>
                <w:sz w:val="18"/>
                <w:szCs w:val="18"/>
                <w:lang w:val="es-ES_tradnl"/>
              </w:rPr>
            </w:pPr>
            <w:r w:rsidRPr="00B54567">
              <w:rPr>
                <w:b/>
                <w:sz w:val="18"/>
                <w:szCs w:val="18"/>
                <w:lang w:val="es-ES_tradnl"/>
              </w:rPr>
              <w:t>(1)</w:t>
            </w:r>
          </w:p>
        </w:tc>
        <w:tc>
          <w:tcPr>
            <w:tcW w:w="1984" w:type="dxa"/>
          </w:tcPr>
          <w:p w14:paraId="038EC748" w14:textId="77777777" w:rsidR="000B5CEE" w:rsidRPr="00B54567" w:rsidRDefault="000B5CEE" w:rsidP="00874B2D">
            <w:pPr>
              <w:ind w:left="145" w:right="184"/>
              <w:jc w:val="center"/>
              <w:rPr>
                <w:b/>
                <w:sz w:val="18"/>
                <w:szCs w:val="18"/>
                <w:lang w:val="es-ES_tradnl"/>
              </w:rPr>
            </w:pPr>
            <w:r w:rsidRPr="00B54567">
              <w:rPr>
                <w:b/>
                <w:sz w:val="18"/>
                <w:szCs w:val="18"/>
                <w:lang w:val="es-ES_tradnl"/>
              </w:rPr>
              <w:t>EJECUCIÓN</w:t>
            </w:r>
          </w:p>
          <w:p w14:paraId="177FDA78" w14:textId="77777777" w:rsidR="000B5CEE" w:rsidRPr="00B54567" w:rsidRDefault="000B5CEE" w:rsidP="00874B2D">
            <w:pPr>
              <w:ind w:right="34"/>
              <w:jc w:val="center"/>
              <w:rPr>
                <w:b/>
                <w:sz w:val="18"/>
                <w:szCs w:val="18"/>
                <w:lang w:val="es-ES_tradnl"/>
              </w:rPr>
            </w:pPr>
            <w:r w:rsidRPr="00B54567">
              <w:rPr>
                <w:b/>
                <w:sz w:val="18"/>
                <w:szCs w:val="18"/>
                <w:lang w:val="es-ES_tradnl"/>
              </w:rPr>
              <w:t>COMPROMISOS</w:t>
            </w:r>
          </w:p>
          <w:p w14:paraId="1EECE1BF" w14:textId="77777777" w:rsidR="000B5CEE" w:rsidRPr="00B54567" w:rsidRDefault="000B5CEE" w:rsidP="00874B2D">
            <w:pPr>
              <w:ind w:right="34"/>
              <w:jc w:val="center"/>
              <w:rPr>
                <w:b/>
                <w:sz w:val="18"/>
                <w:szCs w:val="18"/>
                <w:lang w:val="es-ES_tradnl"/>
              </w:rPr>
            </w:pPr>
            <w:r w:rsidRPr="00B54567">
              <w:rPr>
                <w:b/>
                <w:sz w:val="18"/>
                <w:szCs w:val="18"/>
                <w:lang w:val="es-ES_tradnl"/>
              </w:rPr>
              <w:t>(2)</w:t>
            </w:r>
          </w:p>
        </w:tc>
        <w:tc>
          <w:tcPr>
            <w:tcW w:w="1985" w:type="dxa"/>
          </w:tcPr>
          <w:p w14:paraId="009D200D" w14:textId="77777777" w:rsidR="000B5CEE" w:rsidRPr="00B54567" w:rsidRDefault="000B5CEE" w:rsidP="00874B2D">
            <w:pPr>
              <w:ind w:left="25" w:right="34"/>
              <w:jc w:val="center"/>
              <w:rPr>
                <w:b/>
                <w:sz w:val="18"/>
                <w:szCs w:val="18"/>
                <w:lang w:val="es-ES_tradnl"/>
              </w:rPr>
            </w:pPr>
            <w:r w:rsidRPr="00B54567">
              <w:rPr>
                <w:b/>
                <w:sz w:val="18"/>
                <w:szCs w:val="18"/>
                <w:lang w:val="es-ES_tradnl"/>
              </w:rPr>
              <w:t>PÉRDIDAS DE</w:t>
            </w:r>
          </w:p>
          <w:p w14:paraId="26E34706" w14:textId="77777777" w:rsidR="000B5CEE" w:rsidRPr="00B54567" w:rsidRDefault="000B5CEE" w:rsidP="00874B2D">
            <w:pPr>
              <w:ind w:right="34"/>
              <w:jc w:val="center"/>
              <w:rPr>
                <w:b/>
                <w:sz w:val="18"/>
                <w:szCs w:val="18"/>
                <w:lang w:val="es-ES_tradnl"/>
              </w:rPr>
            </w:pPr>
            <w:r w:rsidRPr="00B54567">
              <w:rPr>
                <w:b/>
                <w:sz w:val="18"/>
                <w:szCs w:val="18"/>
                <w:lang w:val="es-ES_tradnl"/>
              </w:rPr>
              <w:t>APROPIACIÓN</w:t>
            </w:r>
          </w:p>
          <w:p w14:paraId="782882C6" w14:textId="77777777" w:rsidR="000B5CEE" w:rsidRPr="00B54567" w:rsidRDefault="000B5CEE" w:rsidP="00874B2D">
            <w:pPr>
              <w:ind w:right="34"/>
              <w:jc w:val="center"/>
              <w:rPr>
                <w:b/>
                <w:sz w:val="18"/>
                <w:szCs w:val="18"/>
                <w:lang w:val="es-ES_tradnl"/>
              </w:rPr>
            </w:pPr>
            <w:r w:rsidRPr="00B54567">
              <w:rPr>
                <w:b/>
                <w:sz w:val="18"/>
                <w:szCs w:val="18"/>
                <w:lang w:val="es-ES_tradnl"/>
              </w:rPr>
              <w:t>3 = (1-2)</w:t>
            </w:r>
          </w:p>
        </w:tc>
      </w:tr>
      <w:tr w:rsidR="000B5CEE" w:rsidRPr="00B54567" w14:paraId="180CA492" w14:textId="77777777" w:rsidTr="000B67BD">
        <w:tc>
          <w:tcPr>
            <w:tcW w:w="4111" w:type="dxa"/>
          </w:tcPr>
          <w:p w14:paraId="0D7F2104" w14:textId="77777777" w:rsidR="000B5CEE" w:rsidRPr="00B54567" w:rsidRDefault="000B5CEE" w:rsidP="00874B2D">
            <w:pPr>
              <w:ind w:right="-1440"/>
              <w:jc w:val="both"/>
              <w:rPr>
                <w:b/>
                <w:sz w:val="16"/>
                <w:szCs w:val="16"/>
                <w:lang w:val="es-ES_tradnl"/>
              </w:rPr>
            </w:pPr>
            <w:r w:rsidRPr="00B54567">
              <w:rPr>
                <w:b/>
                <w:sz w:val="16"/>
                <w:szCs w:val="16"/>
                <w:lang w:val="es-ES_tradnl"/>
              </w:rPr>
              <w:t>FUNCIONAMIENTO</w:t>
            </w:r>
          </w:p>
        </w:tc>
        <w:tc>
          <w:tcPr>
            <w:tcW w:w="1843" w:type="dxa"/>
          </w:tcPr>
          <w:p w14:paraId="6122528B" w14:textId="77777777" w:rsidR="000B5CEE" w:rsidRPr="00B54567" w:rsidRDefault="000B5CEE" w:rsidP="00874B2D">
            <w:pPr>
              <w:pStyle w:val="Prrafodelista"/>
              <w:ind w:left="0"/>
              <w:jc w:val="right"/>
              <w:rPr>
                <w:b/>
                <w:sz w:val="16"/>
                <w:szCs w:val="16"/>
              </w:rPr>
            </w:pPr>
            <w:r>
              <w:rPr>
                <w:rFonts w:eastAsia="Calibri"/>
                <w:b/>
                <w:sz w:val="16"/>
                <w:szCs w:val="16"/>
                <w:lang w:val="es-CO"/>
              </w:rPr>
              <w:t>310.798.604</w:t>
            </w:r>
          </w:p>
        </w:tc>
        <w:tc>
          <w:tcPr>
            <w:tcW w:w="1984" w:type="dxa"/>
          </w:tcPr>
          <w:p w14:paraId="7CC59242" w14:textId="77777777" w:rsidR="000B5CEE" w:rsidRPr="00B54567" w:rsidRDefault="000B5CEE" w:rsidP="00874B2D">
            <w:pPr>
              <w:pStyle w:val="Prrafodelista"/>
              <w:ind w:left="0"/>
              <w:jc w:val="right"/>
              <w:rPr>
                <w:b/>
                <w:sz w:val="16"/>
                <w:szCs w:val="16"/>
              </w:rPr>
            </w:pPr>
            <w:r>
              <w:rPr>
                <w:rFonts w:eastAsia="Calibri"/>
                <w:b/>
                <w:sz w:val="16"/>
                <w:szCs w:val="16"/>
                <w:lang w:val="es-CO"/>
              </w:rPr>
              <w:t>309.647.668</w:t>
            </w:r>
          </w:p>
        </w:tc>
        <w:tc>
          <w:tcPr>
            <w:tcW w:w="1985" w:type="dxa"/>
          </w:tcPr>
          <w:p w14:paraId="4288E02B" w14:textId="77777777" w:rsidR="000B5CEE" w:rsidRPr="00B54567" w:rsidRDefault="000B5CEE" w:rsidP="00874B2D">
            <w:pPr>
              <w:pStyle w:val="Prrafodelista"/>
              <w:ind w:left="0"/>
              <w:jc w:val="right"/>
              <w:rPr>
                <w:b/>
                <w:sz w:val="16"/>
                <w:szCs w:val="16"/>
              </w:rPr>
            </w:pPr>
            <w:r>
              <w:rPr>
                <w:b/>
                <w:sz w:val="16"/>
                <w:szCs w:val="16"/>
              </w:rPr>
              <w:t>1.150.936</w:t>
            </w:r>
          </w:p>
        </w:tc>
      </w:tr>
      <w:tr w:rsidR="000B5CEE" w:rsidRPr="00B54567" w14:paraId="6A754DDA" w14:textId="77777777" w:rsidTr="000B67BD">
        <w:tc>
          <w:tcPr>
            <w:tcW w:w="4111" w:type="dxa"/>
          </w:tcPr>
          <w:p w14:paraId="38122B70" w14:textId="77777777" w:rsidR="000B5CEE" w:rsidRPr="00B54567" w:rsidRDefault="000B5CEE" w:rsidP="00874B2D">
            <w:pPr>
              <w:ind w:right="-1440"/>
              <w:jc w:val="both"/>
              <w:rPr>
                <w:sz w:val="16"/>
                <w:szCs w:val="16"/>
                <w:lang w:val="es-ES_tradnl"/>
              </w:rPr>
            </w:pPr>
            <w:r w:rsidRPr="00B54567">
              <w:rPr>
                <w:sz w:val="16"/>
                <w:szCs w:val="16"/>
                <w:lang w:val="es-ES_tradnl"/>
              </w:rPr>
              <w:t>Gastos de personal</w:t>
            </w:r>
          </w:p>
        </w:tc>
        <w:tc>
          <w:tcPr>
            <w:tcW w:w="1843" w:type="dxa"/>
          </w:tcPr>
          <w:p w14:paraId="2C193C95" w14:textId="77777777" w:rsidR="000B5CEE" w:rsidRPr="00B54567" w:rsidRDefault="000B5CEE" w:rsidP="00874B2D">
            <w:pPr>
              <w:pStyle w:val="Prrafodelista"/>
              <w:ind w:left="0"/>
              <w:jc w:val="right"/>
              <w:rPr>
                <w:sz w:val="16"/>
                <w:szCs w:val="16"/>
              </w:rPr>
            </w:pPr>
            <w:r>
              <w:rPr>
                <w:rFonts w:eastAsia="Calibri"/>
                <w:sz w:val="16"/>
                <w:szCs w:val="16"/>
                <w:lang w:val="es-CO"/>
              </w:rPr>
              <w:t>50.339.903</w:t>
            </w:r>
          </w:p>
        </w:tc>
        <w:tc>
          <w:tcPr>
            <w:tcW w:w="1984" w:type="dxa"/>
          </w:tcPr>
          <w:p w14:paraId="5F35F240" w14:textId="77777777" w:rsidR="000B5CEE" w:rsidRPr="00B54567" w:rsidRDefault="000B5CEE" w:rsidP="00874B2D">
            <w:pPr>
              <w:pStyle w:val="Prrafodelista"/>
              <w:ind w:left="0"/>
              <w:jc w:val="right"/>
              <w:rPr>
                <w:sz w:val="16"/>
                <w:szCs w:val="16"/>
              </w:rPr>
            </w:pPr>
            <w:r>
              <w:rPr>
                <w:rFonts w:eastAsia="Calibri"/>
                <w:sz w:val="16"/>
                <w:szCs w:val="16"/>
                <w:lang w:val="es-CO"/>
              </w:rPr>
              <w:t>49.927.760</w:t>
            </w:r>
          </w:p>
        </w:tc>
        <w:tc>
          <w:tcPr>
            <w:tcW w:w="1985" w:type="dxa"/>
          </w:tcPr>
          <w:p w14:paraId="339B5E16" w14:textId="77777777" w:rsidR="000B5CEE" w:rsidRPr="00B54567" w:rsidRDefault="000B5CEE" w:rsidP="00874B2D">
            <w:pPr>
              <w:pStyle w:val="Prrafodelista"/>
              <w:ind w:left="0"/>
              <w:jc w:val="right"/>
              <w:rPr>
                <w:sz w:val="16"/>
                <w:szCs w:val="16"/>
              </w:rPr>
            </w:pPr>
            <w:r>
              <w:rPr>
                <w:sz w:val="16"/>
                <w:szCs w:val="16"/>
              </w:rPr>
              <w:t>412.143</w:t>
            </w:r>
          </w:p>
        </w:tc>
      </w:tr>
      <w:tr w:rsidR="000B5CEE" w:rsidRPr="00B54567" w14:paraId="5232A3AB" w14:textId="77777777" w:rsidTr="000B67BD">
        <w:tc>
          <w:tcPr>
            <w:tcW w:w="4111" w:type="dxa"/>
          </w:tcPr>
          <w:p w14:paraId="3138988F" w14:textId="77777777" w:rsidR="000B5CEE" w:rsidRPr="00B54567" w:rsidRDefault="000B5CEE"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63418328" w14:textId="77777777" w:rsidR="000B5CEE" w:rsidRPr="00B54567" w:rsidRDefault="000B5CEE" w:rsidP="00874B2D">
            <w:pPr>
              <w:pStyle w:val="Prrafodelista"/>
              <w:ind w:left="0"/>
              <w:jc w:val="right"/>
              <w:rPr>
                <w:sz w:val="16"/>
                <w:szCs w:val="16"/>
              </w:rPr>
            </w:pPr>
            <w:r>
              <w:rPr>
                <w:rFonts w:eastAsia="Calibri"/>
                <w:sz w:val="16"/>
                <w:szCs w:val="16"/>
                <w:lang w:val="es-CO"/>
              </w:rPr>
              <w:t>33.871.687</w:t>
            </w:r>
          </w:p>
        </w:tc>
        <w:tc>
          <w:tcPr>
            <w:tcW w:w="1984" w:type="dxa"/>
          </w:tcPr>
          <w:p w14:paraId="6351943C" w14:textId="77777777" w:rsidR="000B5CEE" w:rsidRPr="00B54567" w:rsidRDefault="000B5CEE" w:rsidP="00874B2D">
            <w:pPr>
              <w:pStyle w:val="Prrafodelista"/>
              <w:ind w:left="0"/>
              <w:jc w:val="right"/>
              <w:rPr>
                <w:sz w:val="16"/>
                <w:szCs w:val="16"/>
              </w:rPr>
            </w:pPr>
            <w:r>
              <w:rPr>
                <w:rFonts w:eastAsia="Calibri"/>
                <w:sz w:val="16"/>
                <w:szCs w:val="16"/>
                <w:lang w:val="es-CO"/>
              </w:rPr>
              <w:t>33.360.492</w:t>
            </w:r>
          </w:p>
        </w:tc>
        <w:tc>
          <w:tcPr>
            <w:tcW w:w="1985" w:type="dxa"/>
          </w:tcPr>
          <w:p w14:paraId="4BB0A18E" w14:textId="77777777" w:rsidR="000B5CEE" w:rsidRPr="00B54567" w:rsidRDefault="000B5CEE" w:rsidP="00874B2D">
            <w:pPr>
              <w:pStyle w:val="Prrafodelista"/>
              <w:ind w:left="0"/>
              <w:jc w:val="right"/>
              <w:rPr>
                <w:sz w:val="16"/>
                <w:szCs w:val="16"/>
              </w:rPr>
            </w:pPr>
            <w:r>
              <w:rPr>
                <w:sz w:val="16"/>
                <w:szCs w:val="16"/>
              </w:rPr>
              <w:t>511.195</w:t>
            </w:r>
          </w:p>
        </w:tc>
      </w:tr>
      <w:tr w:rsidR="000B5CEE" w:rsidRPr="00B54567" w14:paraId="37E36142" w14:textId="77777777" w:rsidTr="000B67BD">
        <w:tc>
          <w:tcPr>
            <w:tcW w:w="4111" w:type="dxa"/>
          </w:tcPr>
          <w:p w14:paraId="7BBDC437" w14:textId="77777777" w:rsidR="000B5CEE" w:rsidRPr="00B54567" w:rsidRDefault="000B5CEE" w:rsidP="00874B2D">
            <w:pPr>
              <w:ind w:right="-1440"/>
              <w:jc w:val="both"/>
              <w:rPr>
                <w:sz w:val="16"/>
                <w:szCs w:val="16"/>
                <w:lang w:val="es-ES_tradnl"/>
              </w:rPr>
            </w:pPr>
            <w:r w:rsidRPr="00B54567">
              <w:rPr>
                <w:sz w:val="16"/>
                <w:szCs w:val="16"/>
                <w:lang w:val="es-ES_tradnl"/>
              </w:rPr>
              <w:t>Transferencias</w:t>
            </w:r>
          </w:p>
        </w:tc>
        <w:tc>
          <w:tcPr>
            <w:tcW w:w="1843" w:type="dxa"/>
          </w:tcPr>
          <w:p w14:paraId="3A1D5DCE" w14:textId="77777777" w:rsidR="000B5CEE" w:rsidRPr="00B54567" w:rsidRDefault="000B5CEE" w:rsidP="00874B2D">
            <w:pPr>
              <w:pStyle w:val="Prrafodelista"/>
              <w:ind w:left="0"/>
              <w:jc w:val="right"/>
              <w:rPr>
                <w:sz w:val="16"/>
                <w:szCs w:val="16"/>
              </w:rPr>
            </w:pPr>
            <w:r>
              <w:rPr>
                <w:rFonts w:eastAsia="Calibri"/>
                <w:sz w:val="16"/>
                <w:szCs w:val="16"/>
                <w:lang w:val="es-CO"/>
              </w:rPr>
              <w:t>225.119.243</w:t>
            </w:r>
          </w:p>
        </w:tc>
        <w:tc>
          <w:tcPr>
            <w:tcW w:w="1984" w:type="dxa"/>
          </w:tcPr>
          <w:p w14:paraId="13A46A00" w14:textId="77777777" w:rsidR="000B5CEE" w:rsidRPr="00B54567" w:rsidRDefault="000B5CEE" w:rsidP="00874B2D">
            <w:pPr>
              <w:pStyle w:val="Prrafodelista"/>
              <w:ind w:left="0"/>
              <w:jc w:val="right"/>
              <w:rPr>
                <w:sz w:val="16"/>
                <w:szCs w:val="16"/>
              </w:rPr>
            </w:pPr>
            <w:r>
              <w:rPr>
                <w:rFonts w:eastAsia="Calibri"/>
                <w:sz w:val="16"/>
                <w:szCs w:val="16"/>
                <w:lang w:val="es-CO"/>
              </w:rPr>
              <w:t>224.913.018</w:t>
            </w:r>
          </w:p>
        </w:tc>
        <w:tc>
          <w:tcPr>
            <w:tcW w:w="1985" w:type="dxa"/>
          </w:tcPr>
          <w:p w14:paraId="25834463" w14:textId="77777777" w:rsidR="000B5CEE" w:rsidRPr="00B54567" w:rsidRDefault="000B5CEE" w:rsidP="00874B2D">
            <w:pPr>
              <w:pStyle w:val="Prrafodelista"/>
              <w:ind w:left="0"/>
              <w:jc w:val="right"/>
              <w:rPr>
                <w:sz w:val="16"/>
                <w:szCs w:val="16"/>
              </w:rPr>
            </w:pPr>
            <w:r>
              <w:rPr>
                <w:sz w:val="16"/>
                <w:szCs w:val="16"/>
              </w:rPr>
              <w:t>206.225</w:t>
            </w:r>
          </w:p>
        </w:tc>
      </w:tr>
      <w:tr w:rsidR="000B5CEE" w:rsidRPr="00B54567" w14:paraId="65CB8297" w14:textId="77777777" w:rsidTr="000B67BD">
        <w:tc>
          <w:tcPr>
            <w:tcW w:w="4111" w:type="dxa"/>
          </w:tcPr>
          <w:p w14:paraId="2916EBE8" w14:textId="77777777" w:rsidR="000B5CEE" w:rsidRPr="00B54567" w:rsidRDefault="000B5CEE" w:rsidP="00874B2D">
            <w:pPr>
              <w:jc w:val="both"/>
              <w:rPr>
                <w:sz w:val="16"/>
                <w:szCs w:val="16"/>
                <w:lang w:val="es-ES_tradnl"/>
              </w:rPr>
            </w:pPr>
            <w:r w:rsidRPr="00B54567">
              <w:rPr>
                <w:rFonts w:eastAsia="Calibri"/>
                <w:sz w:val="16"/>
                <w:szCs w:val="16"/>
              </w:rPr>
              <w:t>Gastos por tributos, multas, sanciones e intereses de mora</w:t>
            </w:r>
          </w:p>
        </w:tc>
        <w:tc>
          <w:tcPr>
            <w:tcW w:w="1843" w:type="dxa"/>
          </w:tcPr>
          <w:p w14:paraId="6F64EF55" w14:textId="77777777" w:rsidR="000B5CEE" w:rsidRDefault="000B5CEE" w:rsidP="00874B2D">
            <w:pPr>
              <w:jc w:val="right"/>
              <w:rPr>
                <w:rFonts w:eastAsia="Calibri"/>
                <w:sz w:val="16"/>
                <w:szCs w:val="16"/>
                <w:lang w:val="es-CO"/>
              </w:rPr>
            </w:pPr>
          </w:p>
          <w:p w14:paraId="0E3E77BC" w14:textId="77777777" w:rsidR="000B5CEE" w:rsidRPr="00B54567" w:rsidRDefault="000B5CEE" w:rsidP="00874B2D">
            <w:pPr>
              <w:pStyle w:val="Prrafodelista"/>
              <w:ind w:left="0"/>
              <w:jc w:val="right"/>
              <w:rPr>
                <w:sz w:val="16"/>
                <w:szCs w:val="16"/>
              </w:rPr>
            </w:pPr>
            <w:r>
              <w:rPr>
                <w:rFonts w:eastAsia="Calibri"/>
                <w:sz w:val="16"/>
                <w:szCs w:val="16"/>
                <w:lang w:val="es-CO"/>
              </w:rPr>
              <w:t>1.467.771</w:t>
            </w:r>
          </w:p>
        </w:tc>
        <w:tc>
          <w:tcPr>
            <w:tcW w:w="1984" w:type="dxa"/>
          </w:tcPr>
          <w:p w14:paraId="0D84117C" w14:textId="77777777" w:rsidR="000B5CEE" w:rsidRDefault="000B5CEE" w:rsidP="00874B2D">
            <w:pPr>
              <w:jc w:val="right"/>
              <w:rPr>
                <w:rFonts w:eastAsia="Calibri"/>
                <w:sz w:val="16"/>
                <w:szCs w:val="16"/>
                <w:lang w:val="es-CO"/>
              </w:rPr>
            </w:pPr>
          </w:p>
          <w:p w14:paraId="1E9F7FA4" w14:textId="77777777" w:rsidR="000B5CEE" w:rsidRPr="00B54567" w:rsidRDefault="000B5CEE" w:rsidP="00874B2D">
            <w:pPr>
              <w:pStyle w:val="Prrafodelista"/>
              <w:ind w:left="0"/>
              <w:jc w:val="right"/>
              <w:rPr>
                <w:sz w:val="16"/>
                <w:szCs w:val="16"/>
              </w:rPr>
            </w:pPr>
            <w:r>
              <w:rPr>
                <w:rFonts w:eastAsia="Calibri"/>
                <w:sz w:val="16"/>
                <w:szCs w:val="16"/>
                <w:lang w:val="es-CO"/>
              </w:rPr>
              <w:t>1.446.398</w:t>
            </w:r>
          </w:p>
        </w:tc>
        <w:tc>
          <w:tcPr>
            <w:tcW w:w="1985" w:type="dxa"/>
          </w:tcPr>
          <w:p w14:paraId="67F075E4" w14:textId="77777777" w:rsidR="000B5CEE" w:rsidRDefault="000B5CEE" w:rsidP="00874B2D">
            <w:pPr>
              <w:pStyle w:val="Prrafodelista"/>
              <w:ind w:left="0"/>
              <w:jc w:val="right"/>
              <w:rPr>
                <w:sz w:val="16"/>
                <w:szCs w:val="16"/>
              </w:rPr>
            </w:pPr>
          </w:p>
          <w:p w14:paraId="0EE79854" w14:textId="77777777" w:rsidR="000B5CEE" w:rsidRPr="00B54567" w:rsidRDefault="000B5CEE" w:rsidP="00874B2D">
            <w:pPr>
              <w:pStyle w:val="Prrafodelista"/>
              <w:ind w:left="0"/>
              <w:jc w:val="right"/>
              <w:rPr>
                <w:sz w:val="16"/>
                <w:szCs w:val="16"/>
              </w:rPr>
            </w:pPr>
            <w:r>
              <w:rPr>
                <w:sz w:val="16"/>
                <w:szCs w:val="16"/>
              </w:rPr>
              <w:t>21.373</w:t>
            </w:r>
          </w:p>
        </w:tc>
      </w:tr>
      <w:tr w:rsidR="000B5CEE" w:rsidRPr="00B54567" w14:paraId="2A0FEC7B" w14:textId="77777777" w:rsidTr="000B67BD">
        <w:tc>
          <w:tcPr>
            <w:tcW w:w="4111" w:type="dxa"/>
          </w:tcPr>
          <w:p w14:paraId="4B5DBDE9" w14:textId="77777777" w:rsidR="000B5CEE" w:rsidRPr="00B54567" w:rsidRDefault="000B5CEE" w:rsidP="00874B2D">
            <w:pPr>
              <w:ind w:right="-1440"/>
              <w:jc w:val="both"/>
              <w:rPr>
                <w:b/>
                <w:sz w:val="16"/>
                <w:szCs w:val="16"/>
                <w:lang w:val="es-ES_tradnl"/>
              </w:rPr>
            </w:pPr>
            <w:r w:rsidRPr="00B54567">
              <w:rPr>
                <w:b/>
                <w:sz w:val="16"/>
                <w:szCs w:val="16"/>
                <w:lang w:val="es-ES_tradnl"/>
              </w:rPr>
              <w:t>SERVICIO DE LA DEUDA</w:t>
            </w:r>
          </w:p>
        </w:tc>
        <w:tc>
          <w:tcPr>
            <w:tcW w:w="1843" w:type="dxa"/>
          </w:tcPr>
          <w:p w14:paraId="664B726D" w14:textId="77777777" w:rsidR="000B5CEE" w:rsidRPr="00B54567" w:rsidRDefault="000B5CEE" w:rsidP="00874B2D">
            <w:pPr>
              <w:pStyle w:val="Prrafodelista"/>
              <w:ind w:left="0"/>
              <w:jc w:val="right"/>
              <w:rPr>
                <w:b/>
                <w:sz w:val="16"/>
                <w:szCs w:val="16"/>
              </w:rPr>
            </w:pPr>
            <w:r>
              <w:rPr>
                <w:rFonts w:eastAsia="Calibri"/>
                <w:b/>
                <w:sz w:val="16"/>
                <w:szCs w:val="16"/>
                <w:lang w:val="es-CO"/>
              </w:rPr>
              <w:t>5.072.034</w:t>
            </w:r>
          </w:p>
        </w:tc>
        <w:tc>
          <w:tcPr>
            <w:tcW w:w="1984" w:type="dxa"/>
          </w:tcPr>
          <w:p w14:paraId="7771B72E" w14:textId="77777777" w:rsidR="000B5CEE" w:rsidRPr="00B54567" w:rsidRDefault="000B5CEE" w:rsidP="00874B2D">
            <w:pPr>
              <w:pStyle w:val="Prrafodelista"/>
              <w:ind w:left="0"/>
              <w:jc w:val="right"/>
              <w:rPr>
                <w:b/>
                <w:sz w:val="16"/>
                <w:szCs w:val="16"/>
              </w:rPr>
            </w:pPr>
            <w:r>
              <w:rPr>
                <w:rFonts w:eastAsia="Calibri"/>
                <w:b/>
                <w:sz w:val="16"/>
                <w:szCs w:val="16"/>
                <w:lang w:val="es-CO"/>
              </w:rPr>
              <w:t>5.072.034</w:t>
            </w:r>
          </w:p>
        </w:tc>
        <w:tc>
          <w:tcPr>
            <w:tcW w:w="1985" w:type="dxa"/>
          </w:tcPr>
          <w:p w14:paraId="608D5C04" w14:textId="77777777" w:rsidR="000B5CEE" w:rsidRPr="00B54567" w:rsidRDefault="000B5CEE" w:rsidP="00874B2D">
            <w:pPr>
              <w:pStyle w:val="Prrafodelista"/>
              <w:ind w:left="0"/>
              <w:jc w:val="right"/>
              <w:rPr>
                <w:b/>
                <w:sz w:val="16"/>
                <w:szCs w:val="16"/>
              </w:rPr>
            </w:pPr>
            <w:r>
              <w:rPr>
                <w:b/>
                <w:sz w:val="16"/>
                <w:szCs w:val="16"/>
              </w:rPr>
              <w:t>-</w:t>
            </w:r>
          </w:p>
        </w:tc>
      </w:tr>
      <w:tr w:rsidR="000B5CEE" w:rsidRPr="00B54567" w14:paraId="0C50C0FA" w14:textId="77777777" w:rsidTr="000B67BD">
        <w:tc>
          <w:tcPr>
            <w:tcW w:w="4111" w:type="dxa"/>
          </w:tcPr>
          <w:p w14:paraId="3FEFFB28" w14:textId="77777777" w:rsidR="000B5CEE" w:rsidRPr="00B54567" w:rsidRDefault="000B5CEE" w:rsidP="00874B2D">
            <w:pPr>
              <w:ind w:right="-1440"/>
              <w:jc w:val="both"/>
              <w:rPr>
                <w:b/>
                <w:sz w:val="16"/>
                <w:szCs w:val="16"/>
                <w:lang w:val="es-ES_tradnl"/>
              </w:rPr>
            </w:pPr>
            <w:r w:rsidRPr="00B54567">
              <w:rPr>
                <w:b/>
                <w:sz w:val="16"/>
                <w:szCs w:val="16"/>
                <w:lang w:val="es-ES_tradnl"/>
              </w:rPr>
              <w:t>INVERSIÓN</w:t>
            </w:r>
          </w:p>
        </w:tc>
        <w:tc>
          <w:tcPr>
            <w:tcW w:w="1843" w:type="dxa"/>
          </w:tcPr>
          <w:p w14:paraId="74830A84" w14:textId="77777777" w:rsidR="000B5CEE" w:rsidRPr="00B54567" w:rsidRDefault="000B5CEE" w:rsidP="00874B2D">
            <w:pPr>
              <w:pStyle w:val="Prrafodelista"/>
              <w:ind w:left="0"/>
              <w:jc w:val="right"/>
              <w:rPr>
                <w:b/>
                <w:sz w:val="16"/>
                <w:szCs w:val="16"/>
              </w:rPr>
            </w:pPr>
            <w:r>
              <w:rPr>
                <w:rFonts w:eastAsia="Calibri"/>
                <w:b/>
                <w:sz w:val="16"/>
                <w:szCs w:val="16"/>
                <w:lang w:val="es-CO"/>
              </w:rPr>
              <w:t>189.098.467</w:t>
            </w:r>
          </w:p>
        </w:tc>
        <w:tc>
          <w:tcPr>
            <w:tcW w:w="1984" w:type="dxa"/>
          </w:tcPr>
          <w:p w14:paraId="623753C0" w14:textId="77777777" w:rsidR="000B5CEE" w:rsidRPr="00B54567" w:rsidRDefault="000B5CEE" w:rsidP="00874B2D">
            <w:pPr>
              <w:pStyle w:val="Prrafodelista"/>
              <w:ind w:left="0"/>
              <w:jc w:val="right"/>
              <w:rPr>
                <w:b/>
                <w:sz w:val="16"/>
                <w:szCs w:val="16"/>
              </w:rPr>
            </w:pPr>
            <w:r>
              <w:rPr>
                <w:rFonts w:eastAsia="Calibri"/>
                <w:b/>
                <w:sz w:val="16"/>
                <w:szCs w:val="16"/>
                <w:lang w:val="es-CO"/>
              </w:rPr>
              <w:t>185.347.713</w:t>
            </w:r>
          </w:p>
        </w:tc>
        <w:tc>
          <w:tcPr>
            <w:tcW w:w="1985" w:type="dxa"/>
          </w:tcPr>
          <w:p w14:paraId="7F94D8DE" w14:textId="77777777" w:rsidR="000B5CEE" w:rsidRPr="00B54567" w:rsidRDefault="000B5CEE" w:rsidP="00874B2D">
            <w:pPr>
              <w:pStyle w:val="Prrafodelista"/>
              <w:ind w:left="0"/>
              <w:jc w:val="right"/>
              <w:rPr>
                <w:b/>
                <w:sz w:val="16"/>
                <w:szCs w:val="16"/>
              </w:rPr>
            </w:pPr>
            <w:r>
              <w:rPr>
                <w:b/>
                <w:sz w:val="16"/>
                <w:szCs w:val="16"/>
              </w:rPr>
              <w:t>3.750.754</w:t>
            </w:r>
          </w:p>
        </w:tc>
      </w:tr>
      <w:tr w:rsidR="000B5CEE" w:rsidRPr="00B54567" w14:paraId="6033D149" w14:textId="77777777" w:rsidTr="000B67BD">
        <w:tc>
          <w:tcPr>
            <w:tcW w:w="4111" w:type="dxa"/>
          </w:tcPr>
          <w:p w14:paraId="1107E1E8" w14:textId="77777777" w:rsidR="000B5CEE" w:rsidRPr="00B54567" w:rsidRDefault="000B5CEE"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767245C3" w14:textId="77777777" w:rsidR="000B5CEE" w:rsidRPr="00B54567" w:rsidRDefault="000B5CEE" w:rsidP="00874B2D">
            <w:pPr>
              <w:pStyle w:val="Prrafodelista"/>
              <w:ind w:left="0"/>
              <w:jc w:val="right"/>
              <w:rPr>
                <w:b/>
                <w:sz w:val="16"/>
                <w:szCs w:val="16"/>
              </w:rPr>
            </w:pPr>
            <w:r>
              <w:rPr>
                <w:rFonts w:eastAsia="Calibri"/>
                <w:b/>
                <w:sz w:val="16"/>
                <w:szCs w:val="16"/>
                <w:lang w:val="es-CO"/>
              </w:rPr>
              <w:t>504.969.105</w:t>
            </w:r>
          </w:p>
        </w:tc>
        <w:tc>
          <w:tcPr>
            <w:tcW w:w="1984" w:type="dxa"/>
          </w:tcPr>
          <w:p w14:paraId="18EB4ACB" w14:textId="77777777" w:rsidR="000B5CEE" w:rsidRPr="00B54567" w:rsidRDefault="000B5CEE" w:rsidP="00874B2D">
            <w:pPr>
              <w:pStyle w:val="Prrafodelista"/>
              <w:ind w:left="0"/>
              <w:jc w:val="right"/>
              <w:rPr>
                <w:b/>
                <w:sz w:val="16"/>
                <w:szCs w:val="16"/>
              </w:rPr>
            </w:pPr>
            <w:r>
              <w:rPr>
                <w:rFonts w:eastAsia="Calibri"/>
                <w:b/>
                <w:sz w:val="16"/>
                <w:szCs w:val="16"/>
                <w:lang w:val="es-CO"/>
              </w:rPr>
              <w:t>500.067.415</w:t>
            </w:r>
          </w:p>
        </w:tc>
        <w:tc>
          <w:tcPr>
            <w:tcW w:w="1985" w:type="dxa"/>
          </w:tcPr>
          <w:p w14:paraId="15A11874" w14:textId="77777777" w:rsidR="000B5CEE" w:rsidRPr="00B54567" w:rsidRDefault="000B5CEE" w:rsidP="00874B2D">
            <w:pPr>
              <w:pStyle w:val="Prrafodelista"/>
              <w:ind w:left="0"/>
              <w:jc w:val="right"/>
              <w:rPr>
                <w:b/>
                <w:sz w:val="16"/>
                <w:szCs w:val="16"/>
                <w:u w:val="single"/>
              </w:rPr>
            </w:pPr>
            <w:r>
              <w:rPr>
                <w:b/>
                <w:sz w:val="16"/>
                <w:szCs w:val="16"/>
                <w:u w:val="single"/>
              </w:rPr>
              <w:t>4.901.690</w:t>
            </w:r>
          </w:p>
        </w:tc>
      </w:tr>
    </w:tbl>
    <w:p w14:paraId="3EF0D1BC" w14:textId="77777777" w:rsidR="000B5CEE" w:rsidRDefault="000B5CEE" w:rsidP="000B5CEE">
      <w:pPr>
        <w:tabs>
          <w:tab w:val="left" w:pos="875"/>
        </w:tabs>
        <w:ind w:left="-142" w:right="157"/>
        <w:rPr>
          <w:b/>
          <w:sz w:val="24"/>
        </w:rPr>
      </w:pPr>
    </w:p>
    <w:p w14:paraId="37AAE892" w14:textId="77777777" w:rsidR="000B5CEE" w:rsidRPr="00B54567" w:rsidRDefault="000B5CEE" w:rsidP="000B5CEE">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32A9099F" w14:textId="77777777" w:rsidR="000B5CEE" w:rsidRPr="00B54567" w:rsidRDefault="000B5CEE" w:rsidP="000B5CEE">
      <w:pPr>
        <w:tabs>
          <w:tab w:val="left" w:pos="875"/>
        </w:tabs>
        <w:spacing w:before="92"/>
        <w:ind w:left="-142" w:right="157"/>
        <w:rPr>
          <w:sz w:val="24"/>
        </w:rPr>
      </w:pPr>
    </w:p>
    <w:tbl>
      <w:tblPr>
        <w:tblStyle w:val="Tablaconcuadrcula"/>
        <w:tblW w:w="9923" w:type="dxa"/>
        <w:tblInd w:w="-5" w:type="dxa"/>
        <w:tblLook w:val="04A0" w:firstRow="1" w:lastRow="0" w:firstColumn="1" w:lastColumn="0" w:noHBand="0" w:noVBand="1"/>
      </w:tblPr>
      <w:tblGrid>
        <w:gridCol w:w="8505"/>
        <w:gridCol w:w="1418"/>
      </w:tblGrid>
      <w:tr w:rsidR="000B5CEE" w:rsidRPr="00B54567" w14:paraId="7201443E" w14:textId="77777777" w:rsidTr="000B67BD">
        <w:tc>
          <w:tcPr>
            <w:tcW w:w="8505" w:type="dxa"/>
          </w:tcPr>
          <w:p w14:paraId="19E2F7C6" w14:textId="77777777" w:rsidR="000B5CEE" w:rsidRPr="00B54567" w:rsidRDefault="000B5CEE"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418" w:type="dxa"/>
          </w:tcPr>
          <w:p w14:paraId="334826B2" w14:textId="77777777" w:rsidR="000B5CEE" w:rsidRPr="00B54567" w:rsidRDefault="000B5CEE" w:rsidP="00874B2D">
            <w:pPr>
              <w:tabs>
                <w:tab w:val="left" w:pos="875"/>
              </w:tabs>
              <w:jc w:val="right"/>
              <w:rPr>
                <w:sz w:val="18"/>
                <w:szCs w:val="18"/>
              </w:rPr>
            </w:pPr>
            <w:r>
              <w:rPr>
                <w:sz w:val="18"/>
                <w:szCs w:val="18"/>
              </w:rPr>
              <w:t>143.297.198</w:t>
            </w:r>
          </w:p>
        </w:tc>
      </w:tr>
      <w:tr w:rsidR="000B5CEE" w:rsidRPr="00B54567" w14:paraId="00DE8DFF" w14:textId="77777777" w:rsidTr="000B67BD">
        <w:tc>
          <w:tcPr>
            <w:tcW w:w="8505" w:type="dxa"/>
          </w:tcPr>
          <w:p w14:paraId="35A3E69A" w14:textId="77777777" w:rsidR="000B5CEE" w:rsidRPr="00B54567" w:rsidRDefault="000B5CEE" w:rsidP="00874B2D">
            <w:pPr>
              <w:tabs>
                <w:tab w:val="left" w:pos="875"/>
              </w:tabs>
              <w:ind w:right="157"/>
              <w:rPr>
                <w:sz w:val="18"/>
                <w:szCs w:val="18"/>
              </w:rPr>
            </w:pPr>
            <w:r w:rsidRPr="00B54567">
              <w:rPr>
                <w:sz w:val="20"/>
                <w:szCs w:val="20"/>
                <w:lang w:val="es-ES_tradnl"/>
              </w:rPr>
              <w:t>Cuentas por pagar constituidas a 31 de diciembre de 2024</w:t>
            </w:r>
          </w:p>
        </w:tc>
        <w:tc>
          <w:tcPr>
            <w:tcW w:w="1418" w:type="dxa"/>
          </w:tcPr>
          <w:p w14:paraId="6BD260F5" w14:textId="77777777" w:rsidR="000B5CEE" w:rsidRPr="00B54567" w:rsidRDefault="000B5CEE" w:rsidP="00874B2D">
            <w:pPr>
              <w:tabs>
                <w:tab w:val="left" w:pos="875"/>
              </w:tabs>
              <w:jc w:val="right"/>
              <w:rPr>
                <w:sz w:val="18"/>
                <w:szCs w:val="18"/>
              </w:rPr>
            </w:pPr>
            <w:r>
              <w:rPr>
                <w:sz w:val="18"/>
                <w:szCs w:val="18"/>
              </w:rPr>
              <w:t>1.972.115</w:t>
            </w:r>
          </w:p>
        </w:tc>
      </w:tr>
      <w:tr w:rsidR="000B5CEE" w:rsidRPr="00B54567" w14:paraId="47AC1A3C" w14:textId="77777777" w:rsidTr="000B67BD">
        <w:tc>
          <w:tcPr>
            <w:tcW w:w="8505" w:type="dxa"/>
          </w:tcPr>
          <w:p w14:paraId="74FA0DD4" w14:textId="77777777" w:rsidR="000B5CEE" w:rsidRPr="00B54567" w:rsidRDefault="000B5CEE"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418" w:type="dxa"/>
          </w:tcPr>
          <w:p w14:paraId="37F185F0" w14:textId="77777777" w:rsidR="000B5CEE" w:rsidRPr="00B54567" w:rsidRDefault="000B5CEE" w:rsidP="00874B2D">
            <w:pPr>
              <w:tabs>
                <w:tab w:val="left" w:pos="875"/>
              </w:tabs>
              <w:jc w:val="right"/>
              <w:rPr>
                <w:b/>
                <w:sz w:val="18"/>
                <w:szCs w:val="18"/>
                <w:u w:val="single"/>
              </w:rPr>
            </w:pPr>
            <w:r>
              <w:rPr>
                <w:b/>
                <w:sz w:val="18"/>
                <w:szCs w:val="18"/>
                <w:u w:val="single"/>
              </w:rPr>
              <w:t>145.269.313</w:t>
            </w:r>
          </w:p>
        </w:tc>
      </w:tr>
    </w:tbl>
    <w:p w14:paraId="307745AA" w14:textId="77777777" w:rsidR="000B5CEE" w:rsidRPr="00B54567" w:rsidRDefault="000B5CEE" w:rsidP="000B5CEE">
      <w:pPr>
        <w:pStyle w:val="Textoindependiente"/>
        <w:spacing w:before="3"/>
      </w:pPr>
    </w:p>
    <w:p w14:paraId="6AB86ABD" w14:textId="2F03162D" w:rsidR="000B5CEE" w:rsidRPr="009E43DA" w:rsidRDefault="000B5CEE" w:rsidP="000B67BD">
      <w:pPr>
        <w:pStyle w:val="Prrafodelista"/>
        <w:tabs>
          <w:tab w:val="left" w:pos="875"/>
        </w:tabs>
        <w:ind w:left="0" w:right="49"/>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iguientes limitaciones en el Sistema Integrado de Información Financiera SIIF II Nación.</w:t>
      </w:r>
    </w:p>
    <w:p w14:paraId="3FE3C8A6" w14:textId="77777777" w:rsidR="000B5CEE" w:rsidRPr="009E43DA" w:rsidRDefault="000B5CEE" w:rsidP="000B5CEE">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0B5CEE" w:rsidRPr="00B54567" w14:paraId="05B3B7DB" w14:textId="77777777" w:rsidTr="000B67BD">
        <w:tc>
          <w:tcPr>
            <w:tcW w:w="709" w:type="dxa"/>
          </w:tcPr>
          <w:p w14:paraId="2095690A" w14:textId="77777777" w:rsidR="000B5CEE" w:rsidRPr="00B54567" w:rsidRDefault="000B5CEE" w:rsidP="00874B2D">
            <w:pPr>
              <w:tabs>
                <w:tab w:val="left" w:pos="875"/>
              </w:tabs>
              <w:ind w:right="-50"/>
              <w:jc w:val="center"/>
              <w:rPr>
                <w:b/>
                <w:sz w:val="20"/>
                <w:szCs w:val="20"/>
              </w:rPr>
            </w:pPr>
            <w:r w:rsidRPr="00B54567">
              <w:rPr>
                <w:b/>
                <w:sz w:val="20"/>
                <w:szCs w:val="20"/>
              </w:rPr>
              <w:t>N°</w:t>
            </w:r>
          </w:p>
        </w:tc>
        <w:tc>
          <w:tcPr>
            <w:tcW w:w="4394" w:type="dxa"/>
          </w:tcPr>
          <w:p w14:paraId="1EEB6B38" w14:textId="77777777" w:rsidR="000B5CEE" w:rsidRPr="00B54567" w:rsidRDefault="000B5CEE" w:rsidP="00874B2D">
            <w:pPr>
              <w:tabs>
                <w:tab w:val="left" w:pos="875"/>
              </w:tabs>
              <w:ind w:right="-50"/>
              <w:jc w:val="center"/>
              <w:rPr>
                <w:b/>
                <w:sz w:val="20"/>
                <w:szCs w:val="20"/>
              </w:rPr>
            </w:pPr>
            <w:r w:rsidRPr="00B54567">
              <w:rPr>
                <w:b/>
                <w:sz w:val="20"/>
                <w:szCs w:val="20"/>
              </w:rPr>
              <w:t>Limitaciones del Sistema SIIF II Nación a 31/12/2024</w:t>
            </w:r>
          </w:p>
          <w:p w14:paraId="487CFADE" w14:textId="77777777" w:rsidR="000B5CEE" w:rsidRPr="00B54567" w:rsidRDefault="000B5CEE" w:rsidP="00874B2D">
            <w:pPr>
              <w:tabs>
                <w:tab w:val="left" w:pos="875"/>
              </w:tabs>
              <w:ind w:right="-50"/>
              <w:jc w:val="center"/>
              <w:rPr>
                <w:b/>
                <w:sz w:val="20"/>
                <w:szCs w:val="20"/>
              </w:rPr>
            </w:pPr>
          </w:p>
        </w:tc>
        <w:tc>
          <w:tcPr>
            <w:tcW w:w="4820" w:type="dxa"/>
          </w:tcPr>
          <w:p w14:paraId="7DB0E0F9" w14:textId="77777777" w:rsidR="000B5CEE" w:rsidRPr="00B54567" w:rsidRDefault="000B5CEE" w:rsidP="00874B2D">
            <w:pPr>
              <w:tabs>
                <w:tab w:val="left" w:pos="875"/>
              </w:tabs>
              <w:ind w:right="-50"/>
              <w:jc w:val="center"/>
              <w:rPr>
                <w:b/>
                <w:sz w:val="20"/>
                <w:szCs w:val="20"/>
              </w:rPr>
            </w:pPr>
            <w:r w:rsidRPr="00B54567">
              <w:rPr>
                <w:b/>
                <w:sz w:val="20"/>
                <w:szCs w:val="20"/>
              </w:rPr>
              <w:t>Descripción de la limitación</w:t>
            </w:r>
          </w:p>
        </w:tc>
      </w:tr>
      <w:tr w:rsidR="000B5CEE" w:rsidRPr="00B54567" w14:paraId="55589B5F" w14:textId="77777777" w:rsidTr="000B67BD">
        <w:tc>
          <w:tcPr>
            <w:tcW w:w="709" w:type="dxa"/>
          </w:tcPr>
          <w:p w14:paraId="5AA108BA" w14:textId="77777777" w:rsidR="000B5CEE" w:rsidRPr="00B54567" w:rsidRDefault="000B5CEE" w:rsidP="00874B2D">
            <w:pPr>
              <w:tabs>
                <w:tab w:val="left" w:pos="875"/>
              </w:tabs>
              <w:ind w:right="-50"/>
              <w:jc w:val="center"/>
              <w:rPr>
                <w:b/>
                <w:sz w:val="20"/>
                <w:szCs w:val="20"/>
              </w:rPr>
            </w:pPr>
            <w:r>
              <w:rPr>
                <w:b/>
                <w:sz w:val="20"/>
                <w:szCs w:val="20"/>
              </w:rPr>
              <w:t>1</w:t>
            </w:r>
          </w:p>
        </w:tc>
        <w:tc>
          <w:tcPr>
            <w:tcW w:w="4394" w:type="dxa"/>
          </w:tcPr>
          <w:p w14:paraId="6ED89BF0" w14:textId="77777777" w:rsidR="000B5CEE" w:rsidRPr="00B54567" w:rsidRDefault="000B5CEE" w:rsidP="00874B2D">
            <w:pPr>
              <w:tabs>
                <w:tab w:val="left" w:pos="875"/>
              </w:tabs>
              <w:ind w:right="-50"/>
              <w:jc w:val="both"/>
              <w:rPr>
                <w:b/>
                <w:sz w:val="20"/>
                <w:szCs w:val="20"/>
              </w:rPr>
            </w:pPr>
            <w:r w:rsidRPr="00B54567">
              <w:rPr>
                <w:b/>
                <w:sz w:val="20"/>
                <w:szCs w:val="20"/>
              </w:rPr>
              <w:t>Técnicas:</w:t>
            </w:r>
          </w:p>
        </w:tc>
        <w:tc>
          <w:tcPr>
            <w:tcW w:w="4820" w:type="dxa"/>
          </w:tcPr>
          <w:p w14:paraId="06E33443" w14:textId="52056074" w:rsidR="000B5CEE" w:rsidRPr="009C7A09" w:rsidRDefault="000B5CEE" w:rsidP="00874B2D">
            <w:pPr>
              <w:tabs>
                <w:tab w:val="left" w:pos="875"/>
              </w:tabs>
              <w:ind w:right="-50"/>
              <w:jc w:val="both"/>
              <w:rPr>
                <w:sz w:val="20"/>
                <w:szCs w:val="20"/>
              </w:rPr>
            </w:pPr>
            <w:r>
              <w:rPr>
                <w:sz w:val="20"/>
                <w:szCs w:val="20"/>
              </w:rPr>
              <w:t>El S</w:t>
            </w:r>
            <w:r w:rsidRPr="009C7A09">
              <w:rPr>
                <w:sz w:val="20"/>
                <w:szCs w:val="20"/>
              </w:rPr>
              <w:t xml:space="preserve">istema SIIF No soporta tráfico alto en fechas de cierre de mes y cierre de vigencia, generando demoras altas en el proceso contable por caídas y cambios de horario en el sistema, por </w:t>
            </w:r>
            <w:r w:rsidR="00C07FDB" w:rsidRPr="009C7A09">
              <w:rPr>
                <w:sz w:val="20"/>
                <w:szCs w:val="20"/>
              </w:rPr>
              <w:t>ende,</w:t>
            </w:r>
            <w:r w:rsidRPr="009C7A09">
              <w:rPr>
                <w:sz w:val="20"/>
                <w:szCs w:val="20"/>
              </w:rPr>
              <w:t xml:space="preserve"> el impacto en las fechas de cierre, especialmente en el cierre de </w:t>
            </w:r>
            <w:r w:rsidR="00C07FDB" w:rsidRPr="009C7A09">
              <w:rPr>
                <w:sz w:val="20"/>
                <w:szCs w:val="20"/>
              </w:rPr>
              <w:t>vigencia</w:t>
            </w:r>
            <w:r w:rsidR="00C07FDB">
              <w:rPr>
                <w:sz w:val="20"/>
                <w:szCs w:val="20"/>
              </w:rPr>
              <w:t>.</w:t>
            </w:r>
          </w:p>
        </w:tc>
      </w:tr>
      <w:tr w:rsidR="000B5CEE" w:rsidRPr="00B54567" w14:paraId="77632797" w14:textId="77777777" w:rsidTr="000B67BD">
        <w:tc>
          <w:tcPr>
            <w:tcW w:w="709" w:type="dxa"/>
          </w:tcPr>
          <w:p w14:paraId="434D6BB8" w14:textId="77777777" w:rsidR="000B5CEE" w:rsidRPr="00B54567" w:rsidRDefault="000B5CEE" w:rsidP="00874B2D">
            <w:pPr>
              <w:tabs>
                <w:tab w:val="left" w:pos="875"/>
              </w:tabs>
              <w:ind w:right="-50"/>
              <w:jc w:val="center"/>
              <w:rPr>
                <w:b/>
                <w:sz w:val="20"/>
                <w:szCs w:val="20"/>
              </w:rPr>
            </w:pPr>
            <w:r>
              <w:rPr>
                <w:b/>
                <w:sz w:val="20"/>
                <w:szCs w:val="20"/>
              </w:rPr>
              <w:t>2</w:t>
            </w:r>
          </w:p>
        </w:tc>
        <w:tc>
          <w:tcPr>
            <w:tcW w:w="4394" w:type="dxa"/>
          </w:tcPr>
          <w:p w14:paraId="0C2A5461" w14:textId="77777777" w:rsidR="000B5CEE" w:rsidRPr="00B54567" w:rsidRDefault="000B5CEE" w:rsidP="00874B2D">
            <w:pPr>
              <w:tabs>
                <w:tab w:val="left" w:pos="875"/>
              </w:tabs>
              <w:ind w:right="-50"/>
              <w:jc w:val="both"/>
              <w:rPr>
                <w:b/>
                <w:sz w:val="20"/>
                <w:szCs w:val="20"/>
              </w:rPr>
            </w:pPr>
            <w:r w:rsidRPr="00B54567">
              <w:rPr>
                <w:b/>
                <w:sz w:val="20"/>
                <w:szCs w:val="20"/>
              </w:rPr>
              <w:t>Operativas:</w:t>
            </w:r>
          </w:p>
        </w:tc>
        <w:tc>
          <w:tcPr>
            <w:tcW w:w="4820" w:type="dxa"/>
          </w:tcPr>
          <w:p w14:paraId="4EF3BB3E" w14:textId="77777777" w:rsidR="000B5CEE" w:rsidRPr="009C7A09" w:rsidRDefault="000B5CEE" w:rsidP="00874B2D">
            <w:pPr>
              <w:tabs>
                <w:tab w:val="left" w:pos="875"/>
              </w:tabs>
              <w:ind w:right="-50"/>
              <w:jc w:val="both"/>
              <w:rPr>
                <w:sz w:val="20"/>
                <w:szCs w:val="20"/>
              </w:rPr>
            </w:pPr>
            <w:r>
              <w:rPr>
                <w:sz w:val="20"/>
                <w:szCs w:val="20"/>
              </w:rPr>
              <w:t>El S</w:t>
            </w:r>
            <w:r w:rsidRPr="009C7A09">
              <w:rPr>
                <w:sz w:val="20"/>
                <w:szCs w:val="20"/>
              </w:rPr>
              <w:t>istema SIIF programa mantenimientos de la plataforma en fechas próximas al cierre contable mes, lo que impacta en la disponibilidad del sistema para realizar las acciones necesarias en el cierre contable.</w:t>
            </w:r>
          </w:p>
        </w:tc>
      </w:tr>
      <w:tr w:rsidR="000B5CEE" w:rsidRPr="00B54567" w14:paraId="44C4AE41" w14:textId="77777777" w:rsidTr="000B67BD">
        <w:tc>
          <w:tcPr>
            <w:tcW w:w="709" w:type="dxa"/>
          </w:tcPr>
          <w:p w14:paraId="31F2C58A" w14:textId="77777777" w:rsidR="000B5CEE" w:rsidRDefault="000B5CEE" w:rsidP="00874B2D">
            <w:pPr>
              <w:tabs>
                <w:tab w:val="left" w:pos="875"/>
              </w:tabs>
              <w:ind w:right="-50"/>
              <w:jc w:val="center"/>
              <w:rPr>
                <w:b/>
                <w:sz w:val="20"/>
                <w:szCs w:val="20"/>
              </w:rPr>
            </w:pPr>
            <w:r>
              <w:rPr>
                <w:b/>
                <w:sz w:val="20"/>
                <w:szCs w:val="20"/>
              </w:rPr>
              <w:t>3</w:t>
            </w:r>
          </w:p>
        </w:tc>
        <w:tc>
          <w:tcPr>
            <w:tcW w:w="4394" w:type="dxa"/>
          </w:tcPr>
          <w:p w14:paraId="4991185F" w14:textId="77777777" w:rsidR="000B5CEE" w:rsidRPr="00B54567" w:rsidRDefault="000B5CEE" w:rsidP="00874B2D">
            <w:pPr>
              <w:tabs>
                <w:tab w:val="left" w:pos="875"/>
              </w:tabs>
              <w:ind w:right="-50"/>
              <w:jc w:val="both"/>
              <w:rPr>
                <w:b/>
                <w:sz w:val="20"/>
                <w:szCs w:val="20"/>
              </w:rPr>
            </w:pPr>
            <w:r>
              <w:rPr>
                <w:b/>
                <w:sz w:val="20"/>
                <w:szCs w:val="20"/>
              </w:rPr>
              <w:t>Otras:</w:t>
            </w:r>
          </w:p>
        </w:tc>
        <w:tc>
          <w:tcPr>
            <w:tcW w:w="4820" w:type="dxa"/>
          </w:tcPr>
          <w:p w14:paraId="5E60DB29" w14:textId="77777777" w:rsidR="000B5CEE" w:rsidRPr="00B13DBD" w:rsidRDefault="000B5CEE" w:rsidP="00874B2D">
            <w:pPr>
              <w:tabs>
                <w:tab w:val="left" w:pos="875"/>
              </w:tabs>
              <w:ind w:right="-50"/>
              <w:jc w:val="both"/>
              <w:rPr>
                <w:sz w:val="20"/>
                <w:szCs w:val="20"/>
              </w:rPr>
            </w:pPr>
            <w:r w:rsidRPr="00B13DBD">
              <w:rPr>
                <w:sz w:val="20"/>
                <w:szCs w:val="20"/>
              </w:rPr>
              <w:t xml:space="preserve">SIIF aún no cuenta con módulos de manejo para bienes (Ppyequipo con depreciación y deterioro) y de nómina; situación que obliga a manejar sistemas alternos de gestión de bienes y de administración de </w:t>
            </w:r>
            <w:r w:rsidRPr="00B13DBD">
              <w:rPr>
                <w:sz w:val="20"/>
                <w:szCs w:val="20"/>
              </w:rPr>
              <w:lastRenderedPageBreak/>
              <w:t>nómina, que no cuentan con las funcionalidades para integrarse al sistema SIIF y por ello se deben elaborar asientos manuales.</w:t>
            </w:r>
          </w:p>
        </w:tc>
      </w:tr>
    </w:tbl>
    <w:p w14:paraId="485DBED7" w14:textId="77777777" w:rsidR="000B5CEE" w:rsidRPr="00B54567" w:rsidRDefault="000B5CEE" w:rsidP="000B5CEE">
      <w:pPr>
        <w:tabs>
          <w:tab w:val="left" w:pos="875"/>
        </w:tabs>
        <w:ind w:left="-142" w:right="-50"/>
        <w:jc w:val="both"/>
        <w:rPr>
          <w:rFonts w:ascii="Times New Roman" w:hAnsi="Times New Roman"/>
          <w:sz w:val="24"/>
        </w:rPr>
      </w:pPr>
    </w:p>
    <w:p w14:paraId="4F6F2608" w14:textId="77777777" w:rsidR="000B5CEE" w:rsidRDefault="000B5CEE" w:rsidP="000B5CEE">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7612D845" w14:textId="77777777" w:rsidR="000B5CEE" w:rsidRDefault="000B5CEE" w:rsidP="000B5CEE">
      <w:pPr>
        <w:pStyle w:val="Textoindependiente"/>
        <w:ind w:right="-50"/>
        <w:jc w:val="both"/>
        <w:rPr>
          <w:b/>
          <w:sz w:val="28"/>
          <w:szCs w:val="28"/>
        </w:rPr>
      </w:pPr>
    </w:p>
    <w:p w14:paraId="4BFFC753" w14:textId="77777777" w:rsidR="000B5CEE" w:rsidRDefault="000B5CEE" w:rsidP="000B67BD">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2E8EA986" w14:textId="77777777" w:rsidR="000B5CEE" w:rsidRDefault="000B5CEE" w:rsidP="000B5CEE">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0B5CEE" w:rsidRPr="00FF673A" w14:paraId="2F63DD40" w14:textId="77777777" w:rsidTr="00874B2D">
        <w:tc>
          <w:tcPr>
            <w:tcW w:w="1134" w:type="dxa"/>
          </w:tcPr>
          <w:p w14:paraId="320A4283" w14:textId="77777777" w:rsidR="000B5CEE" w:rsidRPr="00FF673A" w:rsidRDefault="000B5CEE" w:rsidP="00874B2D">
            <w:pPr>
              <w:jc w:val="center"/>
              <w:rPr>
                <w:b/>
                <w:sz w:val="20"/>
                <w:szCs w:val="20"/>
                <w:lang w:val="es-ES_tradnl"/>
              </w:rPr>
            </w:pPr>
            <w:r w:rsidRPr="00FF673A">
              <w:rPr>
                <w:b/>
                <w:sz w:val="20"/>
                <w:szCs w:val="20"/>
                <w:lang w:val="es-ES_tradnl"/>
              </w:rPr>
              <w:t>CÓDIGO</w:t>
            </w:r>
          </w:p>
        </w:tc>
        <w:tc>
          <w:tcPr>
            <w:tcW w:w="6379" w:type="dxa"/>
          </w:tcPr>
          <w:p w14:paraId="4EA66458" w14:textId="77777777" w:rsidR="000B5CEE" w:rsidRPr="00FF673A" w:rsidRDefault="000B5CEE" w:rsidP="00874B2D">
            <w:pPr>
              <w:jc w:val="center"/>
              <w:rPr>
                <w:b/>
                <w:sz w:val="20"/>
                <w:szCs w:val="20"/>
                <w:lang w:val="es-ES_tradnl"/>
              </w:rPr>
            </w:pPr>
            <w:r w:rsidRPr="00FF673A">
              <w:rPr>
                <w:b/>
                <w:sz w:val="20"/>
                <w:szCs w:val="20"/>
                <w:lang w:val="es-ES_tradnl"/>
              </w:rPr>
              <w:t>NOMBRE CUENTA</w:t>
            </w:r>
          </w:p>
        </w:tc>
        <w:tc>
          <w:tcPr>
            <w:tcW w:w="2410" w:type="dxa"/>
          </w:tcPr>
          <w:p w14:paraId="60646C1E" w14:textId="77777777" w:rsidR="000B5CEE" w:rsidRPr="00FF673A" w:rsidRDefault="000B5CEE" w:rsidP="00874B2D">
            <w:pPr>
              <w:jc w:val="center"/>
              <w:rPr>
                <w:b/>
                <w:sz w:val="20"/>
                <w:szCs w:val="20"/>
                <w:lang w:val="es-ES_tradnl"/>
              </w:rPr>
            </w:pPr>
            <w:r w:rsidRPr="00FF673A">
              <w:rPr>
                <w:b/>
                <w:sz w:val="20"/>
                <w:szCs w:val="20"/>
                <w:lang w:val="es-ES_tradnl"/>
              </w:rPr>
              <w:t xml:space="preserve">SALDO A </w:t>
            </w:r>
          </w:p>
          <w:p w14:paraId="0794A72C" w14:textId="77777777" w:rsidR="000B5CEE" w:rsidRPr="00FF673A" w:rsidRDefault="000B5CEE"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CDE0884" w14:textId="77777777" w:rsidR="000B5CEE" w:rsidRDefault="000B5CEE" w:rsidP="00874B2D">
            <w:pPr>
              <w:jc w:val="center"/>
              <w:rPr>
                <w:b/>
                <w:sz w:val="20"/>
                <w:szCs w:val="20"/>
                <w:lang w:val="es-ES_tradnl"/>
              </w:rPr>
            </w:pPr>
            <w:r>
              <w:rPr>
                <w:b/>
                <w:sz w:val="20"/>
                <w:szCs w:val="20"/>
                <w:lang w:val="es-ES_tradnl"/>
              </w:rPr>
              <w:t>(Pesos)</w:t>
            </w:r>
          </w:p>
          <w:p w14:paraId="1CF99F60" w14:textId="77777777" w:rsidR="000B5CEE" w:rsidRPr="00FF673A" w:rsidRDefault="000B5CEE" w:rsidP="00874B2D">
            <w:pPr>
              <w:jc w:val="center"/>
              <w:rPr>
                <w:b/>
                <w:sz w:val="20"/>
                <w:szCs w:val="20"/>
                <w:lang w:val="es-ES_tradnl"/>
              </w:rPr>
            </w:pPr>
          </w:p>
        </w:tc>
      </w:tr>
      <w:tr w:rsidR="000B5CEE" w:rsidRPr="00FF673A" w14:paraId="1E37B65D" w14:textId="77777777" w:rsidTr="00874B2D">
        <w:tc>
          <w:tcPr>
            <w:tcW w:w="1134" w:type="dxa"/>
          </w:tcPr>
          <w:p w14:paraId="252B9CA5" w14:textId="77777777" w:rsidR="000B5CEE" w:rsidRPr="00FF673A" w:rsidRDefault="000B5CEE" w:rsidP="00874B2D">
            <w:pPr>
              <w:jc w:val="center"/>
              <w:rPr>
                <w:b/>
                <w:sz w:val="20"/>
                <w:szCs w:val="20"/>
                <w:lang w:val="es-ES_tradnl"/>
              </w:rPr>
            </w:pPr>
            <w:r>
              <w:rPr>
                <w:b/>
                <w:sz w:val="20"/>
                <w:szCs w:val="20"/>
                <w:lang w:val="es-ES_tradnl"/>
              </w:rPr>
              <w:t>310000</w:t>
            </w:r>
          </w:p>
        </w:tc>
        <w:tc>
          <w:tcPr>
            <w:tcW w:w="6379" w:type="dxa"/>
          </w:tcPr>
          <w:p w14:paraId="152528DB" w14:textId="77777777" w:rsidR="000B5CEE" w:rsidRPr="005214F3" w:rsidRDefault="000B5CEE" w:rsidP="00874B2D">
            <w:pPr>
              <w:rPr>
                <w:color w:val="000000" w:themeColor="text1"/>
                <w:sz w:val="20"/>
                <w:szCs w:val="20"/>
                <w:lang w:val="es-ES_tradnl"/>
              </w:rPr>
            </w:pPr>
            <w:r w:rsidRPr="003135FB">
              <w:rPr>
                <w:color w:val="000000" w:themeColor="text1"/>
                <w:sz w:val="20"/>
                <w:szCs w:val="20"/>
                <w:lang w:val="es-ES_tradnl"/>
              </w:rPr>
              <w:t>Patrimonio negativo</w:t>
            </w:r>
          </w:p>
        </w:tc>
        <w:tc>
          <w:tcPr>
            <w:tcW w:w="2410" w:type="dxa"/>
          </w:tcPr>
          <w:p w14:paraId="4D9D14E7" w14:textId="77777777" w:rsidR="000B5CEE" w:rsidRPr="00FF673A" w:rsidRDefault="000B5CEE" w:rsidP="00874B2D">
            <w:pPr>
              <w:jc w:val="right"/>
              <w:rPr>
                <w:b/>
                <w:sz w:val="20"/>
                <w:szCs w:val="20"/>
                <w:lang w:val="es-ES_tradnl"/>
              </w:rPr>
            </w:pPr>
            <w:r>
              <w:rPr>
                <w:b/>
                <w:sz w:val="20"/>
                <w:szCs w:val="20"/>
                <w:lang w:val="es-ES_tradnl"/>
              </w:rPr>
              <w:t>(1.432.439.673.592,89)</w:t>
            </w:r>
          </w:p>
        </w:tc>
      </w:tr>
      <w:tr w:rsidR="000B5CEE" w:rsidRPr="00FF673A" w14:paraId="64631383" w14:textId="77777777" w:rsidTr="00874B2D">
        <w:tc>
          <w:tcPr>
            <w:tcW w:w="1134" w:type="dxa"/>
          </w:tcPr>
          <w:p w14:paraId="5A5BDC75" w14:textId="77777777" w:rsidR="000B5CEE" w:rsidRDefault="000B5CEE" w:rsidP="00874B2D">
            <w:pPr>
              <w:jc w:val="center"/>
              <w:rPr>
                <w:b/>
                <w:sz w:val="20"/>
                <w:szCs w:val="20"/>
                <w:lang w:val="es-ES_tradnl"/>
              </w:rPr>
            </w:pPr>
            <w:r>
              <w:rPr>
                <w:b/>
                <w:sz w:val="20"/>
                <w:szCs w:val="20"/>
                <w:lang w:val="es-ES_tradnl"/>
              </w:rPr>
              <w:t>310901</w:t>
            </w:r>
          </w:p>
        </w:tc>
        <w:tc>
          <w:tcPr>
            <w:tcW w:w="6379" w:type="dxa"/>
          </w:tcPr>
          <w:p w14:paraId="11256A12" w14:textId="77777777" w:rsidR="000B5CEE" w:rsidRPr="005214F3" w:rsidRDefault="000B5CEE" w:rsidP="00874B2D">
            <w:pPr>
              <w:rPr>
                <w:color w:val="000000" w:themeColor="text1"/>
                <w:sz w:val="20"/>
                <w:szCs w:val="20"/>
                <w:lang w:val="es-ES_tradnl"/>
              </w:rPr>
            </w:pPr>
            <w:r>
              <w:rPr>
                <w:color w:val="000000" w:themeColor="text1"/>
                <w:sz w:val="20"/>
                <w:szCs w:val="20"/>
                <w:lang w:val="es-ES_tradnl"/>
              </w:rPr>
              <w:t>Resultados de ejercicios anteriores</w:t>
            </w:r>
          </w:p>
        </w:tc>
        <w:tc>
          <w:tcPr>
            <w:tcW w:w="2410" w:type="dxa"/>
          </w:tcPr>
          <w:p w14:paraId="6362E7CA" w14:textId="77777777" w:rsidR="000B5CEE" w:rsidRDefault="000B5CEE" w:rsidP="00874B2D">
            <w:pPr>
              <w:jc w:val="right"/>
              <w:rPr>
                <w:b/>
                <w:sz w:val="20"/>
                <w:szCs w:val="20"/>
                <w:lang w:val="es-ES_tradnl"/>
              </w:rPr>
            </w:pPr>
            <w:r>
              <w:rPr>
                <w:b/>
                <w:sz w:val="20"/>
                <w:szCs w:val="20"/>
                <w:lang w:val="es-ES_tradnl"/>
              </w:rPr>
              <w:t>(2.988.750.266.102,13)</w:t>
            </w:r>
          </w:p>
        </w:tc>
      </w:tr>
      <w:tr w:rsidR="000B5CEE" w:rsidRPr="00FF673A" w14:paraId="5FD4E7FD" w14:textId="77777777" w:rsidTr="00874B2D">
        <w:tc>
          <w:tcPr>
            <w:tcW w:w="1134" w:type="dxa"/>
          </w:tcPr>
          <w:p w14:paraId="47F06E58" w14:textId="77777777" w:rsidR="000B5CEE" w:rsidRPr="00FF673A" w:rsidRDefault="000B5CEE" w:rsidP="00874B2D">
            <w:pPr>
              <w:jc w:val="center"/>
              <w:rPr>
                <w:b/>
                <w:sz w:val="20"/>
                <w:szCs w:val="20"/>
                <w:lang w:val="es-ES_tradnl"/>
              </w:rPr>
            </w:pPr>
            <w:r>
              <w:rPr>
                <w:b/>
                <w:sz w:val="20"/>
                <w:szCs w:val="20"/>
                <w:lang w:val="es-ES_tradnl"/>
              </w:rPr>
              <w:t>310902</w:t>
            </w:r>
          </w:p>
        </w:tc>
        <w:tc>
          <w:tcPr>
            <w:tcW w:w="6379" w:type="dxa"/>
          </w:tcPr>
          <w:p w14:paraId="6DC5F311" w14:textId="77777777" w:rsidR="000B5CEE" w:rsidRPr="005214F3" w:rsidRDefault="000B5CEE"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5E0ACFDB" w14:textId="77777777" w:rsidR="000B5CEE" w:rsidRPr="00FF673A" w:rsidRDefault="000B5CEE" w:rsidP="00874B2D">
            <w:pPr>
              <w:jc w:val="right"/>
              <w:rPr>
                <w:b/>
                <w:sz w:val="20"/>
                <w:szCs w:val="20"/>
                <w:lang w:val="es-ES_tradnl"/>
              </w:rPr>
            </w:pPr>
            <w:r>
              <w:rPr>
                <w:b/>
                <w:sz w:val="20"/>
                <w:szCs w:val="20"/>
                <w:lang w:val="es-ES_tradnl"/>
              </w:rPr>
              <w:t>(3.131.247.727.948,81)</w:t>
            </w:r>
          </w:p>
        </w:tc>
      </w:tr>
      <w:tr w:rsidR="000B5CEE" w:rsidRPr="00FF673A" w14:paraId="62C49933" w14:textId="77777777" w:rsidTr="00874B2D">
        <w:tc>
          <w:tcPr>
            <w:tcW w:w="1134" w:type="dxa"/>
          </w:tcPr>
          <w:p w14:paraId="05D4B02D" w14:textId="77777777" w:rsidR="000B5CEE" w:rsidRPr="00FF673A" w:rsidRDefault="000B5CEE" w:rsidP="00874B2D">
            <w:pPr>
              <w:jc w:val="center"/>
              <w:rPr>
                <w:b/>
                <w:sz w:val="20"/>
                <w:szCs w:val="20"/>
                <w:lang w:val="es-ES_tradnl"/>
              </w:rPr>
            </w:pPr>
            <w:r>
              <w:rPr>
                <w:b/>
                <w:sz w:val="20"/>
                <w:szCs w:val="20"/>
                <w:lang w:val="es-ES_tradnl"/>
              </w:rPr>
              <w:t>310500</w:t>
            </w:r>
          </w:p>
        </w:tc>
        <w:tc>
          <w:tcPr>
            <w:tcW w:w="6379" w:type="dxa"/>
          </w:tcPr>
          <w:p w14:paraId="4B776AF7" w14:textId="77777777" w:rsidR="000B5CEE" w:rsidRPr="005214F3" w:rsidRDefault="000B5CEE" w:rsidP="00874B2D">
            <w:pPr>
              <w:rPr>
                <w:color w:val="000000" w:themeColor="text1"/>
                <w:sz w:val="20"/>
                <w:szCs w:val="20"/>
                <w:lang w:val="es-ES_tradnl"/>
              </w:rPr>
            </w:pPr>
            <w:r w:rsidRPr="005214F3">
              <w:rPr>
                <w:color w:val="000000" w:themeColor="text1"/>
                <w:sz w:val="20"/>
                <w:szCs w:val="20"/>
                <w:lang w:val="es-ES_tradnl"/>
              </w:rPr>
              <w:t>Capital fiscal negativo</w:t>
            </w:r>
          </w:p>
        </w:tc>
        <w:tc>
          <w:tcPr>
            <w:tcW w:w="2410" w:type="dxa"/>
          </w:tcPr>
          <w:p w14:paraId="3F4F5D8C" w14:textId="77777777" w:rsidR="000B5CEE" w:rsidRPr="00FF673A" w:rsidRDefault="000B5CEE" w:rsidP="00874B2D">
            <w:pPr>
              <w:jc w:val="right"/>
              <w:rPr>
                <w:b/>
                <w:sz w:val="20"/>
                <w:szCs w:val="20"/>
                <w:lang w:val="es-ES_tradnl"/>
              </w:rPr>
            </w:pPr>
            <w:r>
              <w:rPr>
                <w:b/>
                <w:sz w:val="20"/>
                <w:szCs w:val="20"/>
                <w:lang w:val="es-ES_tradnl"/>
              </w:rPr>
              <w:t>(443.521.743.920,94)</w:t>
            </w:r>
          </w:p>
        </w:tc>
      </w:tr>
      <w:tr w:rsidR="000B5CEE" w:rsidRPr="00FF673A" w14:paraId="287998B2" w14:textId="77777777" w:rsidTr="00874B2D">
        <w:tc>
          <w:tcPr>
            <w:tcW w:w="1134" w:type="dxa"/>
          </w:tcPr>
          <w:p w14:paraId="2B363576" w14:textId="77777777" w:rsidR="000B5CEE" w:rsidRDefault="000B5CEE" w:rsidP="00874B2D">
            <w:pPr>
              <w:jc w:val="center"/>
              <w:rPr>
                <w:b/>
                <w:sz w:val="20"/>
                <w:szCs w:val="20"/>
                <w:lang w:val="es-ES_tradnl"/>
              </w:rPr>
            </w:pPr>
            <w:r>
              <w:rPr>
                <w:b/>
                <w:sz w:val="20"/>
                <w:szCs w:val="20"/>
                <w:lang w:val="es-ES_tradnl"/>
              </w:rPr>
              <w:t>315100</w:t>
            </w:r>
          </w:p>
        </w:tc>
        <w:tc>
          <w:tcPr>
            <w:tcW w:w="6379" w:type="dxa"/>
          </w:tcPr>
          <w:p w14:paraId="59ADB3FA" w14:textId="77777777" w:rsidR="000B5CEE" w:rsidRPr="005214F3" w:rsidRDefault="000B5CEE" w:rsidP="00874B2D">
            <w:pPr>
              <w:rPr>
                <w:color w:val="000000" w:themeColor="text1"/>
                <w:sz w:val="20"/>
                <w:szCs w:val="20"/>
                <w:lang w:val="es-ES_tradnl"/>
              </w:rPr>
            </w:pPr>
            <w:r>
              <w:rPr>
                <w:color w:val="000000" w:themeColor="text1"/>
                <w:sz w:val="20"/>
                <w:szCs w:val="20"/>
                <w:lang w:val="es-ES_tradnl"/>
              </w:rPr>
              <w:t>Ganancias o pérdidas por beneficios posempleo</w:t>
            </w:r>
          </w:p>
        </w:tc>
        <w:tc>
          <w:tcPr>
            <w:tcW w:w="2410" w:type="dxa"/>
          </w:tcPr>
          <w:p w14:paraId="77DE5BED" w14:textId="77777777" w:rsidR="000B5CEE" w:rsidRDefault="000B5CEE" w:rsidP="00874B2D">
            <w:pPr>
              <w:jc w:val="right"/>
              <w:rPr>
                <w:b/>
                <w:sz w:val="20"/>
                <w:szCs w:val="20"/>
                <w:lang w:val="es-ES_tradnl"/>
              </w:rPr>
            </w:pPr>
            <w:r>
              <w:rPr>
                <w:b/>
                <w:sz w:val="20"/>
                <w:szCs w:val="20"/>
                <w:lang w:val="es-ES_tradnl"/>
              </w:rPr>
              <w:t>(114.699.314.814,25)</w:t>
            </w:r>
          </w:p>
        </w:tc>
      </w:tr>
      <w:tr w:rsidR="000B5CEE" w:rsidRPr="00FF673A" w14:paraId="3E826E55" w14:textId="77777777" w:rsidTr="00874B2D">
        <w:tc>
          <w:tcPr>
            <w:tcW w:w="1134" w:type="dxa"/>
          </w:tcPr>
          <w:p w14:paraId="5BE3B968" w14:textId="77777777" w:rsidR="000B5CEE" w:rsidRPr="00542342" w:rsidRDefault="000B5CEE" w:rsidP="00874B2D">
            <w:pPr>
              <w:jc w:val="center"/>
              <w:rPr>
                <w:b/>
                <w:sz w:val="20"/>
                <w:szCs w:val="20"/>
                <w:lang w:val="es-ES_tradnl"/>
              </w:rPr>
            </w:pPr>
            <w:r>
              <w:rPr>
                <w:b/>
                <w:sz w:val="20"/>
                <w:szCs w:val="20"/>
                <w:lang w:val="es-ES_tradnl"/>
              </w:rPr>
              <w:t>138600</w:t>
            </w:r>
          </w:p>
        </w:tc>
        <w:tc>
          <w:tcPr>
            <w:tcW w:w="6379" w:type="dxa"/>
          </w:tcPr>
          <w:p w14:paraId="4A4CB554" w14:textId="77777777" w:rsidR="000B5CEE" w:rsidRPr="005214F3" w:rsidRDefault="000B5CEE"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7BD53C97" w14:textId="77777777" w:rsidR="000B5CEE" w:rsidRPr="00FF673A" w:rsidRDefault="000B5CEE" w:rsidP="00874B2D">
            <w:pPr>
              <w:jc w:val="right"/>
              <w:rPr>
                <w:b/>
                <w:sz w:val="20"/>
                <w:szCs w:val="20"/>
                <w:lang w:val="es-ES_tradnl"/>
              </w:rPr>
            </w:pPr>
            <w:r>
              <w:rPr>
                <w:b/>
                <w:sz w:val="20"/>
                <w:szCs w:val="20"/>
                <w:lang w:val="es-ES_tradnl"/>
              </w:rPr>
              <w:t>(51.777.212.252,01)</w:t>
            </w:r>
          </w:p>
        </w:tc>
      </w:tr>
      <w:tr w:rsidR="000B5CEE" w:rsidRPr="00FF673A" w14:paraId="24BEAE38" w14:textId="77777777" w:rsidTr="00874B2D">
        <w:tc>
          <w:tcPr>
            <w:tcW w:w="1134" w:type="dxa"/>
          </w:tcPr>
          <w:p w14:paraId="2CCF87ED" w14:textId="77777777" w:rsidR="000B5CEE" w:rsidRPr="00542342" w:rsidRDefault="000B5CEE" w:rsidP="00874B2D">
            <w:pPr>
              <w:jc w:val="center"/>
              <w:rPr>
                <w:b/>
                <w:sz w:val="20"/>
                <w:szCs w:val="20"/>
                <w:lang w:val="es-ES_tradnl"/>
              </w:rPr>
            </w:pPr>
            <w:r>
              <w:rPr>
                <w:b/>
                <w:sz w:val="20"/>
                <w:szCs w:val="20"/>
                <w:lang w:val="es-ES_tradnl"/>
              </w:rPr>
              <w:t>240720</w:t>
            </w:r>
          </w:p>
        </w:tc>
        <w:tc>
          <w:tcPr>
            <w:tcW w:w="6379" w:type="dxa"/>
          </w:tcPr>
          <w:p w14:paraId="309E48CB" w14:textId="77777777" w:rsidR="000B5CEE" w:rsidRPr="005214F3" w:rsidRDefault="000B5CEE"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435B6857" w14:textId="77777777" w:rsidR="000B5CEE" w:rsidRPr="00FF673A" w:rsidRDefault="000B5CEE" w:rsidP="00874B2D">
            <w:pPr>
              <w:jc w:val="right"/>
              <w:rPr>
                <w:b/>
                <w:sz w:val="20"/>
                <w:szCs w:val="20"/>
                <w:lang w:val="es-ES_tradnl"/>
              </w:rPr>
            </w:pPr>
            <w:r>
              <w:rPr>
                <w:b/>
                <w:sz w:val="20"/>
                <w:szCs w:val="20"/>
                <w:lang w:val="es-ES_tradnl"/>
              </w:rPr>
              <w:t>16.793.786.377,77</w:t>
            </w:r>
          </w:p>
        </w:tc>
      </w:tr>
      <w:tr w:rsidR="000B5CEE" w:rsidRPr="00FF673A" w14:paraId="2378456C" w14:textId="77777777" w:rsidTr="00874B2D">
        <w:tc>
          <w:tcPr>
            <w:tcW w:w="1134" w:type="dxa"/>
          </w:tcPr>
          <w:p w14:paraId="422E614D" w14:textId="77777777" w:rsidR="000B5CEE" w:rsidRPr="00542342" w:rsidRDefault="000B5CEE" w:rsidP="00874B2D">
            <w:pPr>
              <w:jc w:val="center"/>
              <w:rPr>
                <w:b/>
                <w:sz w:val="20"/>
                <w:szCs w:val="20"/>
                <w:lang w:val="es-ES_tradnl"/>
              </w:rPr>
            </w:pPr>
            <w:r>
              <w:rPr>
                <w:b/>
                <w:sz w:val="20"/>
                <w:szCs w:val="20"/>
                <w:lang w:val="es-ES_tradnl"/>
              </w:rPr>
              <w:t>242411</w:t>
            </w:r>
          </w:p>
        </w:tc>
        <w:tc>
          <w:tcPr>
            <w:tcW w:w="6379" w:type="dxa"/>
          </w:tcPr>
          <w:p w14:paraId="0857A157" w14:textId="77777777" w:rsidR="000B5CEE" w:rsidRPr="005214F3" w:rsidRDefault="000B5CEE"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24D53C55" w14:textId="77777777" w:rsidR="000B5CEE" w:rsidRPr="00FF673A" w:rsidRDefault="000B5CEE" w:rsidP="00874B2D">
            <w:pPr>
              <w:jc w:val="right"/>
              <w:rPr>
                <w:b/>
                <w:sz w:val="20"/>
                <w:szCs w:val="20"/>
                <w:lang w:val="es-ES_tradnl"/>
              </w:rPr>
            </w:pPr>
            <w:r>
              <w:rPr>
                <w:b/>
                <w:sz w:val="20"/>
                <w:szCs w:val="20"/>
                <w:lang w:val="es-ES_tradnl"/>
              </w:rPr>
              <w:t>10.284.632,00</w:t>
            </w:r>
          </w:p>
        </w:tc>
      </w:tr>
      <w:tr w:rsidR="000B5CEE" w:rsidRPr="00FF673A" w14:paraId="58ABFDA3" w14:textId="77777777" w:rsidTr="00874B2D">
        <w:tc>
          <w:tcPr>
            <w:tcW w:w="1134" w:type="dxa"/>
          </w:tcPr>
          <w:p w14:paraId="580C1115" w14:textId="77777777" w:rsidR="000B5CEE" w:rsidRDefault="000B5CEE" w:rsidP="00874B2D">
            <w:pPr>
              <w:jc w:val="center"/>
              <w:rPr>
                <w:b/>
                <w:sz w:val="20"/>
                <w:szCs w:val="20"/>
                <w:lang w:val="es-ES_tradnl"/>
              </w:rPr>
            </w:pPr>
            <w:r>
              <w:rPr>
                <w:b/>
                <w:sz w:val="20"/>
                <w:szCs w:val="20"/>
                <w:lang w:val="es-ES_tradnl"/>
              </w:rPr>
              <w:t>836100</w:t>
            </w:r>
          </w:p>
        </w:tc>
        <w:tc>
          <w:tcPr>
            <w:tcW w:w="6379" w:type="dxa"/>
          </w:tcPr>
          <w:p w14:paraId="61F82C17" w14:textId="77777777" w:rsidR="000B5CEE" w:rsidRPr="005214F3" w:rsidRDefault="000B5CEE"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08C069EA" w14:textId="77777777" w:rsidR="000B5CEE" w:rsidRPr="00FF673A" w:rsidRDefault="000B5CEE" w:rsidP="00874B2D">
            <w:pPr>
              <w:jc w:val="right"/>
              <w:rPr>
                <w:b/>
                <w:sz w:val="20"/>
                <w:szCs w:val="20"/>
                <w:lang w:val="es-ES_tradnl"/>
              </w:rPr>
            </w:pPr>
            <w:r>
              <w:rPr>
                <w:b/>
                <w:sz w:val="20"/>
                <w:szCs w:val="20"/>
                <w:lang w:val="es-ES_tradnl"/>
              </w:rPr>
              <w:t>33.580.629,95</w:t>
            </w:r>
          </w:p>
        </w:tc>
      </w:tr>
      <w:tr w:rsidR="000B5CEE" w:rsidRPr="00FF673A" w14:paraId="34211F31" w14:textId="77777777" w:rsidTr="00874B2D">
        <w:tc>
          <w:tcPr>
            <w:tcW w:w="1134" w:type="dxa"/>
          </w:tcPr>
          <w:p w14:paraId="592E48EE" w14:textId="77777777" w:rsidR="000B5CEE" w:rsidRPr="00542342" w:rsidRDefault="000B5CEE" w:rsidP="00874B2D">
            <w:pPr>
              <w:jc w:val="center"/>
              <w:rPr>
                <w:b/>
                <w:sz w:val="20"/>
                <w:szCs w:val="20"/>
                <w:lang w:val="es-ES_tradnl"/>
              </w:rPr>
            </w:pPr>
            <w:r>
              <w:rPr>
                <w:b/>
                <w:sz w:val="20"/>
                <w:szCs w:val="20"/>
                <w:lang w:val="es-ES_tradnl"/>
              </w:rPr>
              <w:t>912000</w:t>
            </w:r>
          </w:p>
        </w:tc>
        <w:tc>
          <w:tcPr>
            <w:tcW w:w="6379" w:type="dxa"/>
          </w:tcPr>
          <w:p w14:paraId="5FB0AFD2" w14:textId="77777777" w:rsidR="000B5CEE" w:rsidRPr="005214F3" w:rsidRDefault="000B5CEE"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855F192" w14:textId="77777777" w:rsidR="000B5CEE" w:rsidRPr="00FF673A" w:rsidRDefault="000B5CEE" w:rsidP="00874B2D">
            <w:pPr>
              <w:jc w:val="right"/>
              <w:rPr>
                <w:b/>
                <w:sz w:val="20"/>
                <w:szCs w:val="20"/>
                <w:lang w:val="es-ES_tradnl"/>
              </w:rPr>
            </w:pPr>
            <w:r>
              <w:rPr>
                <w:b/>
                <w:sz w:val="20"/>
                <w:szCs w:val="20"/>
                <w:lang w:val="es-ES_tradnl"/>
              </w:rPr>
              <w:t>6.279.393.001.838,00</w:t>
            </w:r>
          </w:p>
        </w:tc>
      </w:tr>
    </w:tbl>
    <w:p w14:paraId="75B67AA2" w14:textId="77777777" w:rsidR="000B5CEE" w:rsidRDefault="000B5CEE" w:rsidP="000B5CEE">
      <w:pPr>
        <w:pStyle w:val="Textoindependiente"/>
        <w:ind w:right="-50"/>
        <w:jc w:val="both"/>
        <w:rPr>
          <w:b/>
          <w:sz w:val="28"/>
          <w:szCs w:val="28"/>
        </w:rPr>
      </w:pPr>
    </w:p>
    <w:p w14:paraId="748B7EE7" w14:textId="77777777" w:rsidR="000B5CEE" w:rsidRDefault="000B5CEE" w:rsidP="000B5CEE">
      <w:pPr>
        <w:jc w:val="both"/>
        <w:rPr>
          <w:b/>
          <w:sz w:val="28"/>
          <w:szCs w:val="28"/>
          <w:lang w:val="es-MX"/>
        </w:rPr>
      </w:pPr>
      <w:r>
        <w:rPr>
          <w:b/>
          <w:sz w:val="28"/>
          <w:szCs w:val="28"/>
          <w:lang w:val="es-MX"/>
        </w:rPr>
        <w:t>- Saldos a 31 de diciembre de 2024 de la SUBCUENTA OTROS 000090:</w:t>
      </w:r>
    </w:p>
    <w:p w14:paraId="26904D0B" w14:textId="77777777" w:rsidR="000B5CEE" w:rsidRDefault="000B5CEE" w:rsidP="000B5CEE">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0B5CEE" w:rsidRPr="00FF673A" w14:paraId="4566A8F0" w14:textId="77777777" w:rsidTr="00874B2D">
        <w:tc>
          <w:tcPr>
            <w:tcW w:w="1134" w:type="dxa"/>
          </w:tcPr>
          <w:p w14:paraId="08E872D8" w14:textId="77777777" w:rsidR="000B5CEE" w:rsidRPr="00FF673A" w:rsidRDefault="000B5CEE" w:rsidP="00874B2D">
            <w:pPr>
              <w:jc w:val="center"/>
              <w:rPr>
                <w:b/>
                <w:sz w:val="20"/>
                <w:szCs w:val="20"/>
                <w:lang w:val="es-ES_tradnl"/>
              </w:rPr>
            </w:pPr>
            <w:r w:rsidRPr="00FF673A">
              <w:rPr>
                <w:b/>
                <w:sz w:val="20"/>
                <w:szCs w:val="20"/>
                <w:lang w:val="es-ES_tradnl"/>
              </w:rPr>
              <w:t>CÓDIGO</w:t>
            </w:r>
          </w:p>
        </w:tc>
        <w:tc>
          <w:tcPr>
            <w:tcW w:w="6379" w:type="dxa"/>
          </w:tcPr>
          <w:p w14:paraId="588A85C2" w14:textId="77777777" w:rsidR="000B5CEE" w:rsidRPr="00FF673A" w:rsidRDefault="000B5CEE" w:rsidP="00874B2D">
            <w:pPr>
              <w:jc w:val="center"/>
              <w:rPr>
                <w:b/>
                <w:sz w:val="20"/>
                <w:szCs w:val="20"/>
                <w:lang w:val="es-ES_tradnl"/>
              </w:rPr>
            </w:pPr>
            <w:r w:rsidRPr="00FF673A">
              <w:rPr>
                <w:b/>
                <w:sz w:val="20"/>
                <w:szCs w:val="20"/>
                <w:lang w:val="es-ES_tradnl"/>
              </w:rPr>
              <w:t>NOMBRE CUENTA</w:t>
            </w:r>
          </w:p>
        </w:tc>
        <w:tc>
          <w:tcPr>
            <w:tcW w:w="2410" w:type="dxa"/>
          </w:tcPr>
          <w:p w14:paraId="553A53A5" w14:textId="77777777" w:rsidR="000B5CEE" w:rsidRPr="00FF673A" w:rsidRDefault="000B5CEE" w:rsidP="00874B2D">
            <w:pPr>
              <w:jc w:val="center"/>
              <w:rPr>
                <w:b/>
                <w:sz w:val="20"/>
                <w:szCs w:val="20"/>
                <w:lang w:val="es-ES_tradnl"/>
              </w:rPr>
            </w:pPr>
            <w:r w:rsidRPr="00FF673A">
              <w:rPr>
                <w:b/>
                <w:sz w:val="20"/>
                <w:szCs w:val="20"/>
                <w:lang w:val="es-ES_tradnl"/>
              </w:rPr>
              <w:t xml:space="preserve">SALDO A </w:t>
            </w:r>
          </w:p>
          <w:p w14:paraId="39A7B78F" w14:textId="77777777" w:rsidR="000B5CEE" w:rsidRPr="00FF673A" w:rsidRDefault="000B5CEE"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239C1E3" w14:textId="77777777" w:rsidR="000B5CEE" w:rsidRDefault="000B5CEE" w:rsidP="00874B2D">
            <w:pPr>
              <w:jc w:val="center"/>
              <w:rPr>
                <w:b/>
                <w:sz w:val="20"/>
                <w:szCs w:val="20"/>
                <w:lang w:val="es-ES_tradnl"/>
              </w:rPr>
            </w:pPr>
            <w:r>
              <w:rPr>
                <w:b/>
                <w:sz w:val="20"/>
                <w:szCs w:val="20"/>
                <w:lang w:val="es-ES_tradnl"/>
              </w:rPr>
              <w:t>(Pesos)</w:t>
            </w:r>
          </w:p>
          <w:p w14:paraId="2CD0129C" w14:textId="77777777" w:rsidR="000B5CEE" w:rsidRPr="00FF673A" w:rsidRDefault="000B5CEE" w:rsidP="00874B2D">
            <w:pPr>
              <w:jc w:val="center"/>
              <w:rPr>
                <w:b/>
                <w:sz w:val="20"/>
                <w:szCs w:val="20"/>
                <w:lang w:val="es-ES_tradnl"/>
              </w:rPr>
            </w:pPr>
          </w:p>
        </w:tc>
      </w:tr>
      <w:tr w:rsidR="000B5CEE" w:rsidRPr="00FF673A" w14:paraId="34F5DADC" w14:textId="77777777" w:rsidTr="00874B2D">
        <w:tc>
          <w:tcPr>
            <w:tcW w:w="1134" w:type="dxa"/>
          </w:tcPr>
          <w:p w14:paraId="0E6BD6DB" w14:textId="77777777" w:rsidR="000B5CEE" w:rsidRPr="00FF673A" w:rsidRDefault="000B5CEE" w:rsidP="00874B2D">
            <w:pPr>
              <w:jc w:val="center"/>
              <w:rPr>
                <w:b/>
                <w:sz w:val="20"/>
                <w:szCs w:val="20"/>
                <w:lang w:val="es-ES_tradnl"/>
              </w:rPr>
            </w:pPr>
            <w:r>
              <w:rPr>
                <w:b/>
                <w:sz w:val="20"/>
                <w:szCs w:val="20"/>
                <w:lang w:val="es-ES_tradnl"/>
              </w:rPr>
              <w:t>131190</w:t>
            </w:r>
          </w:p>
        </w:tc>
        <w:tc>
          <w:tcPr>
            <w:tcW w:w="6379" w:type="dxa"/>
          </w:tcPr>
          <w:p w14:paraId="5A1E56F7" w14:textId="77777777" w:rsidR="000B5CEE" w:rsidRPr="00FF673A" w:rsidRDefault="000B5CEE" w:rsidP="00874B2D">
            <w:pPr>
              <w:rPr>
                <w:b/>
                <w:sz w:val="20"/>
                <w:szCs w:val="20"/>
                <w:lang w:val="es-ES_tradnl"/>
              </w:rPr>
            </w:pPr>
            <w:r>
              <w:rPr>
                <w:b/>
                <w:sz w:val="20"/>
                <w:szCs w:val="20"/>
                <w:lang w:val="es-ES_tradnl"/>
              </w:rPr>
              <w:t>Otras contribuciones, tasas e ingresos no tributarios</w:t>
            </w:r>
          </w:p>
        </w:tc>
        <w:tc>
          <w:tcPr>
            <w:tcW w:w="2410" w:type="dxa"/>
          </w:tcPr>
          <w:p w14:paraId="58FB1F8A" w14:textId="77777777" w:rsidR="000B5CEE" w:rsidRPr="00FF673A" w:rsidRDefault="000B5CEE" w:rsidP="00874B2D">
            <w:pPr>
              <w:jc w:val="right"/>
              <w:rPr>
                <w:b/>
                <w:sz w:val="20"/>
                <w:szCs w:val="20"/>
                <w:lang w:val="es-ES_tradnl"/>
              </w:rPr>
            </w:pPr>
            <w:r>
              <w:rPr>
                <w:b/>
                <w:sz w:val="20"/>
                <w:szCs w:val="20"/>
                <w:lang w:val="es-ES_tradnl"/>
              </w:rPr>
              <w:t>335.930,00</w:t>
            </w:r>
          </w:p>
        </w:tc>
      </w:tr>
      <w:tr w:rsidR="000B5CEE" w:rsidRPr="00FF673A" w14:paraId="727B8D35" w14:textId="77777777" w:rsidTr="00874B2D">
        <w:tc>
          <w:tcPr>
            <w:tcW w:w="1134" w:type="dxa"/>
          </w:tcPr>
          <w:p w14:paraId="56D9E8B6" w14:textId="77777777" w:rsidR="000B5CEE" w:rsidRPr="00FF673A" w:rsidRDefault="000B5CEE" w:rsidP="00874B2D">
            <w:pPr>
              <w:jc w:val="center"/>
              <w:rPr>
                <w:b/>
                <w:sz w:val="20"/>
                <w:szCs w:val="20"/>
                <w:lang w:val="es-ES_tradnl"/>
              </w:rPr>
            </w:pPr>
            <w:r>
              <w:rPr>
                <w:b/>
                <w:sz w:val="20"/>
                <w:szCs w:val="20"/>
                <w:lang w:val="es-ES_tradnl"/>
              </w:rPr>
              <w:t>138490</w:t>
            </w:r>
          </w:p>
        </w:tc>
        <w:tc>
          <w:tcPr>
            <w:tcW w:w="6379" w:type="dxa"/>
          </w:tcPr>
          <w:p w14:paraId="00C17034" w14:textId="77777777" w:rsidR="000B5CEE" w:rsidRPr="00FF673A" w:rsidRDefault="000B5CEE" w:rsidP="00874B2D">
            <w:pPr>
              <w:rPr>
                <w:b/>
                <w:sz w:val="20"/>
                <w:szCs w:val="20"/>
                <w:lang w:val="es-ES_tradnl"/>
              </w:rPr>
            </w:pPr>
            <w:r>
              <w:rPr>
                <w:b/>
                <w:sz w:val="20"/>
                <w:szCs w:val="20"/>
                <w:lang w:val="es-ES_tradnl"/>
              </w:rPr>
              <w:t>Otras cuentas por cobrar</w:t>
            </w:r>
          </w:p>
        </w:tc>
        <w:tc>
          <w:tcPr>
            <w:tcW w:w="2410" w:type="dxa"/>
          </w:tcPr>
          <w:p w14:paraId="17FA2574" w14:textId="77777777" w:rsidR="000B5CEE" w:rsidRPr="00FF673A" w:rsidRDefault="000B5CEE" w:rsidP="00874B2D">
            <w:pPr>
              <w:jc w:val="right"/>
              <w:rPr>
                <w:b/>
                <w:sz w:val="20"/>
                <w:szCs w:val="20"/>
                <w:lang w:val="es-ES_tradnl"/>
              </w:rPr>
            </w:pPr>
            <w:r>
              <w:rPr>
                <w:b/>
                <w:sz w:val="20"/>
                <w:szCs w:val="20"/>
                <w:lang w:val="es-ES_tradnl"/>
              </w:rPr>
              <w:t>4.759.587.855,47</w:t>
            </w:r>
          </w:p>
        </w:tc>
      </w:tr>
      <w:tr w:rsidR="000B5CEE" w:rsidRPr="00FF673A" w14:paraId="75C61C3B" w14:textId="77777777" w:rsidTr="00874B2D">
        <w:tc>
          <w:tcPr>
            <w:tcW w:w="1134" w:type="dxa"/>
          </w:tcPr>
          <w:p w14:paraId="08E52D32" w14:textId="77777777" w:rsidR="000B5CEE" w:rsidRPr="00FF673A" w:rsidRDefault="000B5CEE" w:rsidP="00874B2D">
            <w:pPr>
              <w:jc w:val="center"/>
              <w:rPr>
                <w:b/>
                <w:sz w:val="20"/>
                <w:szCs w:val="20"/>
                <w:lang w:val="es-ES_tradnl"/>
              </w:rPr>
            </w:pPr>
            <w:r>
              <w:rPr>
                <w:b/>
                <w:sz w:val="20"/>
                <w:szCs w:val="20"/>
                <w:lang w:val="es-ES_tradnl"/>
              </w:rPr>
              <w:t>138690</w:t>
            </w:r>
          </w:p>
        </w:tc>
        <w:tc>
          <w:tcPr>
            <w:tcW w:w="6379" w:type="dxa"/>
          </w:tcPr>
          <w:p w14:paraId="5B03877E" w14:textId="77777777" w:rsidR="000B5CEE" w:rsidRPr="00FF673A" w:rsidRDefault="000B5CEE" w:rsidP="00874B2D">
            <w:pPr>
              <w:rPr>
                <w:b/>
                <w:sz w:val="20"/>
                <w:szCs w:val="20"/>
                <w:lang w:val="es-ES_tradnl"/>
              </w:rPr>
            </w:pPr>
            <w:r>
              <w:rPr>
                <w:b/>
                <w:sz w:val="20"/>
                <w:szCs w:val="20"/>
                <w:lang w:val="es-ES_tradnl"/>
              </w:rPr>
              <w:t>Otras cuentas por cobrar</w:t>
            </w:r>
          </w:p>
        </w:tc>
        <w:tc>
          <w:tcPr>
            <w:tcW w:w="2410" w:type="dxa"/>
          </w:tcPr>
          <w:p w14:paraId="3171CCAF" w14:textId="77777777" w:rsidR="000B5CEE" w:rsidRPr="00FF673A" w:rsidRDefault="000B5CEE" w:rsidP="00874B2D">
            <w:pPr>
              <w:jc w:val="right"/>
              <w:rPr>
                <w:b/>
                <w:sz w:val="20"/>
                <w:szCs w:val="20"/>
                <w:lang w:val="es-ES_tradnl"/>
              </w:rPr>
            </w:pPr>
            <w:r>
              <w:rPr>
                <w:b/>
                <w:sz w:val="20"/>
                <w:szCs w:val="20"/>
                <w:lang w:val="es-ES_tradnl"/>
              </w:rPr>
              <w:t>(2.771.369.448,81)</w:t>
            </w:r>
          </w:p>
        </w:tc>
      </w:tr>
      <w:tr w:rsidR="000B5CEE" w:rsidRPr="00FF673A" w14:paraId="522A1F8E" w14:textId="77777777" w:rsidTr="00874B2D">
        <w:tc>
          <w:tcPr>
            <w:tcW w:w="1134" w:type="dxa"/>
          </w:tcPr>
          <w:p w14:paraId="4C35E849" w14:textId="77777777" w:rsidR="000B5CEE" w:rsidRPr="00FF673A" w:rsidRDefault="000B5CEE" w:rsidP="00874B2D">
            <w:pPr>
              <w:jc w:val="center"/>
              <w:rPr>
                <w:b/>
                <w:sz w:val="20"/>
                <w:szCs w:val="20"/>
                <w:lang w:val="es-ES_tradnl"/>
              </w:rPr>
            </w:pPr>
            <w:r>
              <w:rPr>
                <w:b/>
                <w:sz w:val="20"/>
                <w:szCs w:val="20"/>
                <w:lang w:val="es-ES_tradnl"/>
              </w:rPr>
              <w:t>162090</w:t>
            </w:r>
          </w:p>
        </w:tc>
        <w:tc>
          <w:tcPr>
            <w:tcW w:w="6379" w:type="dxa"/>
          </w:tcPr>
          <w:p w14:paraId="4B1D253D" w14:textId="77777777" w:rsidR="000B5CEE" w:rsidRPr="00FF673A" w:rsidRDefault="000B5CEE" w:rsidP="00874B2D">
            <w:pPr>
              <w:rPr>
                <w:b/>
                <w:sz w:val="20"/>
                <w:szCs w:val="20"/>
                <w:lang w:val="es-ES_tradnl"/>
              </w:rPr>
            </w:pPr>
            <w:r>
              <w:rPr>
                <w:b/>
                <w:sz w:val="20"/>
                <w:szCs w:val="20"/>
                <w:lang w:val="es-ES_tradnl"/>
              </w:rPr>
              <w:t>Otras maquinarias, planta y equipo en montaje</w:t>
            </w:r>
          </w:p>
        </w:tc>
        <w:tc>
          <w:tcPr>
            <w:tcW w:w="2410" w:type="dxa"/>
          </w:tcPr>
          <w:p w14:paraId="382A8481" w14:textId="77777777" w:rsidR="000B5CEE" w:rsidRPr="00FF673A" w:rsidRDefault="000B5CEE" w:rsidP="00874B2D">
            <w:pPr>
              <w:jc w:val="right"/>
              <w:rPr>
                <w:b/>
                <w:sz w:val="20"/>
                <w:szCs w:val="20"/>
                <w:lang w:val="es-ES_tradnl"/>
              </w:rPr>
            </w:pPr>
            <w:r>
              <w:rPr>
                <w:b/>
                <w:sz w:val="20"/>
                <w:szCs w:val="20"/>
                <w:lang w:val="es-ES_tradnl"/>
              </w:rPr>
              <w:t>5.168.480.859,00</w:t>
            </w:r>
          </w:p>
        </w:tc>
      </w:tr>
      <w:tr w:rsidR="000B5CEE" w:rsidRPr="00FF673A" w14:paraId="22CDBA28" w14:textId="77777777" w:rsidTr="00874B2D">
        <w:tc>
          <w:tcPr>
            <w:tcW w:w="1134" w:type="dxa"/>
          </w:tcPr>
          <w:p w14:paraId="35096A7F" w14:textId="77777777" w:rsidR="000B5CEE" w:rsidRPr="00FF673A" w:rsidRDefault="000B5CEE" w:rsidP="00874B2D">
            <w:pPr>
              <w:jc w:val="center"/>
              <w:rPr>
                <w:b/>
                <w:sz w:val="20"/>
                <w:szCs w:val="20"/>
                <w:lang w:val="es-ES_tradnl"/>
              </w:rPr>
            </w:pPr>
            <w:r>
              <w:rPr>
                <w:b/>
                <w:sz w:val="20"/>
                <w:szCs w:val="20"/>
                <w:lang w:val="es-ES_tradnl"/>
              </w:rPr>
              <w:t>243690</w:t>
            </w:r>
          </w:p>
        </w:tc>
        <w:tc>
          <w:tcPr>
            <w:tcW w:w="6379" w:type="dxa"/>
          </w:tcPr>
          <w:p w14:paraId="454750CB" w14:textId="77777777" w:rsidR="000B5CEE" w:rsidRPr="00FF673A" w:rsidRDefault="000B5CEE" w:rsidP="00874B2D">
            <w:pPr>
              <w:rPr>
                <w:b/>
                <w:sz w:val="20"/>
                <w:szCs w:val="20"/>
                <w:lang w:val="es-ES_tradnl"/>
              </w:rPr>
            </w:pPr>
            <w:r>
              <w:rPr>
                <w:b/>
                <w:sz w:val="20"/>
                <w:szCs w:val="20"/>
                <w:lang w:val="es-ES_tradnl"/>
              </w:rPr>
              <w:t>Otras retenciones</w:t>
            </w:r>
          </w:p>
        </w:tc>
        <w:tc>
          <w:tcPr>
            <w:tcW w:w="2410" w:type="dxa"/>
          </w:tcPr>
          <w:p w14:paraId="5BF36099" w14:textId="77777777" w:rsidR="000B5CEE" w:rsidRPr="00FF673A" w:rsidRDefault="000B5CEE" w:rsidP="00874B2D">
            <w:pPr>
              <w:jc w:val="right"/>
              <w:rPr>
                <w:b/>
                <w:sz w:val="20"/>
                <w:szCs w:val="20"/>
                <w:lang w:val="es-ES_tradnl"/>
              </w:rPr>
            </w:pPr>
            <w:r>
              <w:rPr>
                <w:b/>
                <w:sz w:val="20"/>
                <w:szCs w:val="20"/>
                <w:lang w:val="es-ES_tradnl"/>
              </w:rPr>
              <w:t>9.532,00</w:t>
            </w:r>
          </w:p>
        </w:tc>
      </w:tr>
      <w:tr w:rsidR="000B5CEE" w:rsidRPr="00FF673A" w14:paraId="0528C41F" w14:textId="77777777" w:rsidTr="00874B2D">
        <w:tc>
          <w:tcPr>
            <w:tcW w:w="1134" w:type="dxa"/>
          </w:tcPr>
          <w:p w14:paraId="496B4B93" w14:textId="77777777" w:rsidR="000B5CEE" w:rsidRPr="00FF673A" w:rsidRDefault="000B5CEE" w:rsidP="00874B2D">
            <w:pPr>
              <w:jc w:val="center"/>
              <w:rPr>
                <w:b/>
                <w:sz w:val="20"/>
                <w:szCs w:val="20"/>
                <w:lang w:val="es-ES_tradnl"/>
              </w:rPr>
            </w:pPr>
            <w:r>
              <w:rPr>
                <w:b/>
                <w:sz w:val="20"/>
                <w:szCs w:val="20"/>
                <w:lang w:val="es-ES_tradnl"/>
              </w:rPr>
              <w:t>442890</w:t>
            </w:r>
          </w:p>
        </w:tc>
        <w:tc>
          <w:tcPr>
            <w:tcW w:w="6379" w:type="dxa"/>
          </w:tcPr>
          <w:p w14:paraId="343F2556" w14:textId="77777777" w:rsidR="000B5CEE" w:rsidRPr="00FF673A" w:rsidRDefault="000B5CEE" w:rsidP="00874B2D">
            <w:pPr>
              <w:rPr>
                <w:b/>
                <w:sz w:val="20"/>
                <w:szCs w:val="20"/>
                <w:lang w:val="es-ES_tradnl"/>
              </w:rPr>
            </w:pPr>
            <w:r>
              <w:rPr>
                <w:b/>
                <w:sz w:val="20"/>
                <w:szCs w:val="20"/>
                <w:lang w:val="es-ES_tradnl"/>
              </w:rPr>
              <w:t>Otras transferencias</w:t>
            </w:r>
          </w:p>
        </w:tc>
        <w:tc>
          <w:tcPr>
            <w:tcW w:w="2410" w:type="dxa"/>
          </w:tcPr>
          <w:p w14:paraId="75883366" w14:textId="77777777" w:rsidR="000B5CEE" w:rsidRPr="00FF673A" w:rsidRDefault="000B5CEE" w:rsidP="00874B2D">
            <w:pPr>
              <w:jc w:val="right"/>
              <w:rPr>
                <w:b/>
                <w:sz w:val="20"/>
                <w:szCs w:val="20"/>
                <w:lang w:val="es-ES_tradnl"/>
              </w:rPr>
            </w:pPr>
            <w:r>
              <w:rPr>
                <w:b/>
                <w:sz w:val="20"/>
                <w:szCs w:val="20"/>
                <w:lang w:val="es-ES_tradnl"/>
              </w:rPr>
              <w:t>32.766.567.854,13</w:t>
            </w:r>
          </w:p>
        </w:tc>
      </w:tr>
      <w:tr w:rsidR="000B5CEE" w:rsidRPr="00FF673A" w14:paraId="6D34E901" w14:textId="77777777" w:rsidTr="00874B2D">
        <w:tc>
          <w:tcPr>
            <w:tcW w:w="1134" w:type="dxa"/>
          </w:tcPr>
          <w:p w14:paraId="07F89AAE" w14:textId="77777777" w:rsidR="000B5CEE" w:rsidRPr="00FF673A" w:rsidRDefault="000B5CEE" w:rsidP="00874B2D">
            <w:pPr>
              <w:jc w:val="center"/>
              <w:rPr>
                <w:b/>
                <w:sz w:val="20"/>
                <w:szCs w:val="20"/>
                <w:lang w:val="es-ES_tradnl"/>
              </w:rPr>
            </w:pPr>
            <w:r>
              <w:rPr>
                <w:b/>
                <w:sz w:val="20"/>
                <w:szCs w:val="20"/>
                <w:lang w:val="es-ES_tradnl"/>
              </w:rPr>
              <w:t>472290</w:t>
            </w:r>
          </w:p>
        </w:tc>
        <w:tc>
          <w:tcPr>
            <w:tcW w:w="6379" w:type="dxa"/>
          </w:tcPr>
          <w:p w14:paraId="6752A846" w14:textId="77777777" w:rsidR="000B5CEE" w:rsidRPr="00FF673A" w:rsidRDefault="000B5CEE" w:rsidP="00874B2D">
            <w:pPr>
              <w:rPr>
                <w:b/>
                <w:sz w:val="20"/>
                <w:szCs w:val="20"/>
                <w:lang w:val="es-ES_tradnl"/>
              </w:rPr>
            </w:pPr>
            <w:r>
              <w:rPr>
                <w:b/>
                <w:sz w:val="20"/>
                <w:szCs w:val="20"/>
                <w:lang w:val="es-ES_tradnl"/>
              </w:rPr>
              <w:t>Otras operaciones sin flujo de efectivo</w:t>
            </w:r>
          </w:p>
        </w:tc>
        <w:tc>
          <w:tcPr>
            <w:tcW w:w="2410" w:type="dxa"/>
          </w:tcPr>
          <w:p w14:paraId="690E85EE" w14:textId="77777777" w:rsidR="000B5CEE" w:rsidRPr="00FF673A" w:rsidRDefault="000B5CEE" w:rsidP="00874B2D">
            <w:pPr>
              <w:jc w:val="right"/>
              <w:rPr>
                <w:b/>
                <w:sz w:val="20"/>
                <w:szCs w:val="20"/>
                <w:lang w:val="es-ES_tradnl"/>
              </w:rPr>
            </w:pPr>
            <w:r>
              <w:rPr>
                <w:b/>
                <w:sz w:val="20"/>
                <w:szCs w:val="20"/>
                <w:lang w:val="es-ES_tradnl"/>
              </w:rPr>
              <w:t>26.177.349.754,42</w:t>
            </w:r>
          </w:p>
        </w:tc>
      </w:tr>
      <w:tr w:rsidR="000B5CEE" w:rsidRPr="00FF673A" w14:paraId="4FEC197F" w14:textId="77777777" w:rsidTr="00874B2D">
        <w:tc>
          <w:tcPr>
            <w:tcW w:w="1134" w:type="dxa"/>
          </w:tcPr>
          <w:p w14:paraId="21DBBAA2" w14:textId="77777777" w:rsidR="000B5CEE" w:rsidRPr="00FF673A" w:rsidRDefault="000B5CEE" w:rsidP="00874B2D">
            <w:pPr>
              <w:jc w:val="center"/>
              <w:rPr>
                <w:b/>
                <w:sz w:val="20"/>
                <w:szCs w:val="20"/>
                <w:lang w:val="es-ES_tradnl"/>
              </w:rPr>
            </w:pPr>
            <w:r>
              <w:rPr>
                <w:b/>
                <w:sz w:val="20"/>
                <w:szCs w:val="20"/>
                <w:lang w:val="es-ES_tradnl"/>
              </w:rPr>
              <w:t>480890</w:t>
            </w:r>
          </w:p>
        </w:tc>
        <w:tc>
          <w:tcPr>
            <w:tcW w:w="6379" w:type="dxa"/>
          </w:tcPr>
          <w:p w14:paraId="0593A8A7" w14:textId="77777777" w:rsidR="000B5CEE" w:rsidRPr="00FF673A" w:rsidRDefault="000B5CEE" w:rsidP="00874B2D">
            <w:pPr>
              <w:rPr>
                <w:b/>
                <w:sz w:val="20"/>
                <w:szCs w:val="20"/>
                <w:lang w:val="es-ES_tradnl"/>
              </w:rPr>
            </w:pPr>
            <w:r>
              <w:rPr>
                <w:b/>
                <w:sz w:val="20"/>
                <w:szCs w:val="20"/>
                <w:lang w:val="es-ES_tradnl"/>
              </w:rPr>
              <w:t>Otros ingresos diversos</w:t>
            </w:r>
          </w:p>
        </w:tc>
        <w:tc>
          <w:tcPr>
            <w:tcW w:w="2410" w:type="dxa"/>
          </w:tcPr>
          <w:p w14:paraId="0CB9D34E" w14:textId="77777777" w:rsidR="000B5CEE" w:rsidRPr="00FF673A" w:rsidRDefault="000B5CEE" w:rsidP="00874B2D">
            <w:pPr>
              <w:jc w:val="right"/>
              <w:rPr>
                <w:b/>
                <w:sz w:val="20"/>
                <w:szCs w:val="20"/>
                <w:lang w:val="es-ES_tradnl"/>
              </w:rPr>
            </w:pPr>
            <w:r>
              <w:rPr>
                <w:b/>
                <w:sz w:val="20"/>
                <w:szCs w:val="20"/>
                <w:lang w:val="es-ES_tradnl"/>
              </w:rPr>
              <w:t>4.104.857.283,64</w:t>
            </w:r>
          </w:p>
        </w:tc>
      </w:tr>
      <w:tr w:rsidR="000B5CEE" w:rsidRPr="00FF673A" w14:paraId="2D87B6D6" w14:textId="77777777" w:rsidTr="00874B2D">
        <w:tc>
          <w:tcPr>
            <w:tcW w:w="1134" w:type="dxa"/>
          </w:tcPr>
          <w:p w14:paraId="2F9B05E3" w14:textId="77777777" w:rsidR="000B5CEE" w:rsidRPr="00FF673A" w:rsidRDefault="000B5CEE" w:rsidP="00874B2D">
            <w:pPr>
              <w:jc w:val="center"/>
              <w:rPr>
                <w:b/>
                <w:sz w:val="20"/>
                <w:szCs w:val="20"/>
                <w:lang w:val="es-ES_tradnl"/>
              </w:rPr>
            </w:pPr>
            <w:r>
              <w:rPr>
                <w:b/>
                <w:sz w:val="20"/>
                <w:szCs w:val="20"/>
                <w:lang w:val="es-ES_tradnl"/>
              </w:rPr>
              <w:t>510790</w:t>
            </w:r>
          </w:p>
        </w:tc>
        <w:tc>
          <w:tcPr>
            <w:tcW w:w="6379" w:type="dxa"/>
          </w:tcPr>
          <w:p w14:paraId="693DACC1" w14:textId="77777777" w:rsidR="000B5CEE" w:rsidRPr="00FF673A" w:rsidRDefault="000B5CEE" w:rsidP="00874B2D">
            <w:pPr>
              <w:rPr>
                <w:b/>
                <w:sz w:val="20"/>
                <w:szCs w:val="20"/>
                <w:lang w:val="es-ES_tradnl"/>
              </w:rPr>
            </w:pPr>
            <w:r>
              <w:rPr>
                <w:b/>
                <w:sz w:val="20"/>
                <w:szCs w:val="20"/>
                <w:lang w:val="es-ES_tradnl"/>
              </w:rPr>
              <w:t>Otras primas</w:t>
            </w:r>
          </w:p>
        </w:tc>
        <w:tc>
          <w:tcPr>
            <w:tcW w:w="2410" w:type="dxa"/>
          </w:tcPr>
          <w:p w14:paraId="7E195967" w14:textId="77777777" w:rsidR="000B5CEE" w:rsidRPr="00FF673A" w:rsidRDefault="000B5CEE" w:rsidP="00874B2D">
            <w:pPr>
              <w:jc w:val="right"/>
              <w:rPr>
                <w:b/>
                <w:sz w:val="20"/>
                <w:szCs w:val="20"/>
                <w:lang w:val="es-ES_tradnl"/>
              </w:rPr>
            </w:pPr>
            <w:r>
              <w:rPr>
                <w:b/>
                <w:sz w:val="20"/>
                <w:szCs w:val="20"/>
                <w:lang w:val="es-ES_tradnl"/>
              </w:rPr>
              <w:t>333.035.046,00</w:t>
            </w:r>
          </w:p>
        </w:tc>
      </w:tr>
      <w:tr w:rsidR="000B5CEE" w:rsidRPr="00FF673A" w14:paraId="775951D0" w14:textId="77777777" w:rsidTr="00874B2D">
        <w:tc>
          <w:tcPr>
            <w:tcW w:w="1134" w:type="dxa"/>
          </w:tcPr>
          <w:p w14:paraId="4A7DF14E" w14:textId="77777777" w:rsidR="000B5CEE" w:rsidRPr="00FF673A" w:rsidRDefault="000B5CEE" w:rsidP="00874B2D">
            <w:pPr>
              <w:jc w:val="center"/>
              <w:rPr>
                <w:b/>
                <w:sz w:val="20"/>
                <w:szCs w:val="20"/>
                <w:lang w:val="es-ES_tradnl"/>
              </w:rPr>
            </w:pPr>
            <w:r>
              <w:rPr>
                <w:b/>
                <w:sz w:val="20"/>
                <w:szCs w:val="20"/>
                <w:lang w:val="es-ES_tradnl"/>
              </w:rPr>
              <w:t>511190</w:t>
            </w:r>
          </w:p>
        </w:tc>
        <w:tc>
          <w:tcPr>
            <w:tcW w:w="6379" w:type="dxa"/>
          </w:tcPr>
          <w:p w14:paraId="5C9F14B3" w14:textId="77777777" w:rsidR="000B5CEE" w:rsidRPr="00FF673A" w:rsidRDefault="000B5CEE" w:rsidP="00874B2D">
            <w:pPr>
              <w:rPr>
                <w:b/>
                <w:sz w:val="20"/>
                <w:szCs w:val="20"/>
                <w:lang w:val="es-ES_tradnl"/>
              </w:rPr>
            </w:pPr>
            <w:r>
              <w:rPr>
                <w:b/>
                <w:sz w:val="20"/>
                <w:szCs w:val="20"/>
                <w:lang w:val="es-ES_tradnl"/>
              </w:rPr>
              <w:t>Otros gastos generales</w:t>
            </w:r>
          </w:p>
        </w:tc>
        <w:tc>
          <w:tcPr>
            <w:tcW w:w="2410" w:type="dxa"/>
          </w:tcPr>
          <w:p w14:paraId="5DEA0F49" w14:textId="77777777" w:rsidR="000B5CEE" w:rsidRPr="00FF673A" w:rsidRDefault="000B5CEE" w:rsidP="00874B2D">
            <w:pPr>
              <w:jc w:val="right"/>
              <w:rPr>
                <w:b/>
                <w:sz w:val="20"/>
                <w:szCs w:val="20"/>
                <w:lang w:val="es-ES_tradnl"/>
              </w:rPr>
            </w:pPr>
            <w:r>
              <w:rPr>
                <w:b/>
                <w:sz w:val="20"/>
                <w:szCs w:val="20"/>
                <w:lang w:val="es-ES_tradnl"/>
              </w:rPr>
              <w:t>71.905.298,00</w:t>
            </w:r>
          </w:p>
        </w:tc>
      </w:tr>
      <w:tr w:rsidR="000B5CEE" w:rsidRPr="00FF673A" w14:paraId="712B806E" w14:textId="77777777" w:rsidTr="00874B2D">
        <w:tc>
          <w:tcPr>
            <w:tcW w:w="1134" w:type="dxa"/>
          </w:tcPr>
          <w:p w14:paraId="38A480CA" w14:textId="77777777" w:rsidR="000B5CEE" w:rsidRPr="00FF673A" w:rsidRDefault="000B5CEE" w:rsidP="00874B2D">
            <w:pPr>
              <w:jc w:val="center"/>
              <w:rPr>
                <w:b/>
                <w:sz w:val="20"/>
                <w:szCs w:val="20"/>
                <w:lang w:val="es-ES_tradnl"/>
              </w:rPr>
            </w:pPr>
            <w:r>
              <w:rPr>
                <w:b/>
                <w:sz w:val="20"/>
                <w:szCs w:val="20"/>
                <w:lang w:val="es-ES_tradnl"/>
              </w:rPr>
              <w:t>534790</w:t>
            </w:r>
          </w:p>
        </w:tc>
        <w:tc>
          <w:tcPr>
            <w:tcW w:w="6379" w:type="dxa"/>
          </w:tcPr>
          <w:p w14:paraId="19ED9256" w14:textId="77777777" w:rsidR="000B5CEE" w:rsidRPr="00FF673A" w:rsidRDefault="000B5CEE" w:rsidP="00874B2D">
            <w:pPr>
              <w:rPr>
                <w:b/>
                <w:sz w:val="20"/>
                <w:szCs w:val="20"/>
                <w:lang w:val="es-ES_tradnl"/>
              </w:rPr>
            </w:pPr>
            <w:r>
              <w:rPr>
                <w:b/>
                <w:sz w:val="20"/>
                <w:szCs w:val="20"/>
                <w:lang w:val="es-ES_tradnl"/>
              </w:rPr>
              <w:t>Otras cuentas por cobrar</w:t>
            </w:r>
          </w:p>
        </w:tc>
        <w:tc>
          <w:tcPr>
            <w:tcW w:w="2410" w:type="dxa"/>
          </w:tcPr>
          <w:p w14:paraId="4A13B59F" w14:textId="77777777" w:rsidR="000B5CEE" w:rsidRPr="00FF673A" w:rsidRDefault="000B5CEE" w:rsidP="00874B2D">
            <w:pPr>
              <w:jc w:val="right"/>
              <w:rPr>
                <w:b/>
                <w:sz w:val="20"/>
                <w:szCs w:val="20"/>
                <w:lang w:val="es-ES_tradnl"/>
              </w:rPr>
            </w:pPr>
            <w:r>
              <w:rPr>
                <w:b/>
                <w:sz w:val="20"/>
                <w:szCs w:val="20"/>
                <w:lang w:val="es-ES_tradnl"/>
              </w:rPr>
              <w:t>232.399.218,00</w:t>
            </w:r>
          </w:p>
        </w:tc>
      </w:tr>
      <w:tr w:rsidR="000B5CEE" w:rsidRPr="00FF673A" w14:paraId="3811CA3F" w14:textId="77777777" w:rsidTr="00874B2D">
        <w:tc>
          <w:tcPr>
            <w:tcW w:w="1134" w:type="dxa"/>
          </w:tcPr>
          <w:p w14:paraId="2CEAFCD7" w14:textId="77777777" w:rsidR="000B5CEE" w:rsidRPr="00FF673A" w:rsidRDefault="000B5CEE" w:rsidP="00874B2D">
            <w:pPr>
              <w:jc w:val="center"/>
              <w:rPr>
                <w:b/>
                <w:sz w:val="20"/>
                <w:szCs w:val="20"/>
                <w:lang w:val="es-ES_tradnl"/>
              </w:rPr>
            </w:pPr>
            <w:r>
              <w:rPr>
                <w:b/>
                <w:sz w:val="20"/>
                <w:szCs w:val="20"/>
                <w:lang w:val="es-ES_tradnl"/>
              </w:rPr>
              <w:t>542390</w:t>
            </w:r>
          </w:p>
        </w:tc>
        <w:tc>
          <w:tcPr>
            <w:tcW w:w="6379" w:type="dxa"/>
          </w:tcPr>
          <w:p w14:paraId="4DF287C4" w14:textId="77777777" w:rsidR="000B5CEE" w:rsidRPr="00FF673A" w:rsidRDefault="000B5CEE" w:rsidP="00874B2D">
            <w:pPr>
              <w:rPr>
                <w:b/>
                <w:sz w:val="20"/>
                <w:szCs w:val="20"/>
                <w:lang w:val="es-ES_tradnl"/>
              </w:rPr>
            </w:pPr>
            <w:r>
              <w:rPr>
                <w:b/>
                <w:sz w:val="20"/>
                <w:szCs w:val="20"/>
                <w:lang w:val="es-ES_tradnl"/>
              </w:rPr>
              <w:t>Otras transferencias</w:t>
            </w:r>
          </w:p>
        </w:tc>
        <w:tc>
          <w:tcPr>
            <w:tcW w:w="2410" w:type="dxa"/>
          </w:tcPr>
          <w:p w14:paraId="6C4F44DD" w14:textId="77777777" w:rsidR="000B5CEE" w:rsidRPr="00FF673A" w:rsidRDefault="000B5CEE" w:rsidP="00874B2D">
            <w:pPr>
              <w:jc w:val="right"/>
              <w:rPr>
                <w:b/>
                <w:sz w:val="20"/>
                <w:szCs w:val="20"/>
                <w:lang w:val="es-ES_tradnl"/>
              </w:rPr>
            </w:pPr>
            <w:r>
              <w:rPr>
                <w:b/>
                <w:sz w:val="20"/>
                <w:szCs w:val="20"/>
                <w:lang w:val="es-ES_tradnl"/>
              </w:rPr>
              <w:t>36.365.000.000,00</w:t>
            </w:r>
          </w:p>
        </w:tc>
      </w:tr>
      <w:tr w:rsidR="000B5CEE" w:rsidRPr="00FF673A" w14:paraId="02E1375E" w14:textId="77777777" w:rsidTr="00874B2D">
        <w:tc>
          <w:tcPr>
            <w:tcW w:w="1134" w:type="dxa"/>
          </w:tcPr>
          <w:p w14:paraId="1D88A563" w14:textId="77777777" w:rsidR="000B5CEE" w:rsidRPr="00FF673A" w:rsidRDefault="000B5CEE" w:rsidP="00874B2D">
            <w:pPr>
              <w:jc w:val="center"/>
              <w:rPr>
                <w:b/>
                <w:sz w:val="20"/>
                <w:szCs w:val="20"/>
                <w:lang w:val="es-ES_tradnl"/>
              </w:rPr>
            </w:pPr>
            <w:r>
              <w:rPr>
                <w:b/>
                <w:sz w:val="20"/>
                <w:szCs w:val="20"/>
                <w:lang w:val="es-ES_tradnl"/>
              </w:rPr>
              <w:t>819090</w:t>
            </w:r>
          </w:p>
        </w:tc>
        <w:tc>
          <w:tcPr>
            <w:tcW w:w="6379" w:type="dxa"/>
          </w:tcPr>
          <w:p w14:paraId="1E3D79EB" w14:textId="77777777" w:rsidR="000B5CEE" w:rsidRPr="00FF673A" w:rsidRDefault="000B5CEE" w:rsidP="00874B2D">
            <w:pPr>
              <w:rPr>
                <w:b/>
                <w:sz w:val="20"/>
                <w:szCs w:val="20"/>
                <w:lang w:val="es-ES_tradnl"/>
              </w:rPr>
            </w:pPr>
            <w:r>
              <w:rPr>
                <w:b/>
                <w:sz w:val="20"/>
                <w:szCs w:val="20"/>
                <w:lang w:val="es-ES_tradnl"/>
              </w:rPr>
              <w:t>Otros activos contingentes</w:t>
            </w:r>
          </w:p>
        </w:tc>
        <w:tc>
          <w:tcPr>
            <w:tcW w:w="2410" w:type="dxa"/>
          </w:tcPr>
          <w:p w14:paraId="377AF3A1" w14:textId="77777777" w:rsidR="000B5CEE" w:rsidRPr="00FF673A" w:rsidRDefault="000B5CEE" w:rsidP="00874B2D">
            <w:pPr>
              <w:jc w:val="right"/>
              <w:rPr>
                <w:b/>
                <w:sz w:val="20"/>
                <w:szCs w:val="20"/>
                <w:lang w:val="es-ES_tradnl"/>
              </w:rPr>
            </w:pPr>
            <w:r>
              <w:rPr>
                <w:b/>
                <w:sz w:val="20"/>
                <w:szCs w:val="20"/>
                <w:lang w:val="es-ES_tradnl"/>
              </w:rPr>
              <w:t>315.288.425,55</w:t>
            </w:r>
          </w:p>
        </w:tc>
      </w:tr>
      <w:tr w:rsidR="000B5CEE" w:rsidRPr="00FF673A" w14:paraId="61E604A5" w14:textId="77777777" w:rsidTr="00874B2D">
        <w:tc>
          <w:tcPr>
            <w:tcW w:w="1134" w:type="dxa"/>
          </w:tcPr>
          <w:p w14:paraId="1515B664" w14:textId="77777777" w:rsidR="000B5CEE" w:rsidRPr="00FF673A" w:rsidRDefault="000B5CEE" w:rsidP="00874B2D">
            <w:pPr>
              <w:jc w:val="center"/>
              <w:rPr>
                <w:b/>
                <w:sz w:val="20"/>
                <w:szCs w:val="20"/>
                <w:lang w:val="es-ES_tradnl"/>
              </w:rPr>
            </w:pPr>
            <w:r>
              <w:rPr>
                <w:b/>
                <w:sz w:val="20"/>
                <w:szCs w:val="20"/>
                <w:lang w:val="es-ES_tradnl"/>
              </w:rPr>
              <w:t>837490</w:t>
            </w:r>
          </w:p>
        </w:tc>
        <w:tc>
          <w:tcPr>
            <w:tcW w:w="6379" w:type="dxa"/>
          </w:tcPr>
          <w:p w14:paraId="7D02D85E" w14:textId="77777777" w:rsidR="000B5CEE" w:rsidRPr="00FF673A" w:rsidRDefault="000B5CEE" w:rsidP="00874B2D">
            <w:pPr>
              <w:rPr>
                <w:b/>
                <w:sz w:val="20"/>
                <w:szCs w:val="20"/>
                <w:lang w:val="es-ES_tradnl"/>
              </w:rPr>
            </w:pPr>
            <w:r>
              <w:rPr>
                <w:b/>
                <w:sz w:val="20"/>
                <w:szCs w:val="20"/>
                <w:lang w:val="es-ES_tradnl"/>
              </w:rPr>
              <w:t>Otros bienes almacenados para consumo</w:t>
            </w:r>
          </w:p>
        </w:tc>
        <w:tc>
          <w:tcPr>
            <w:tcW w:w="2410" w:type="dxa"/>
          </w:tcPr>
          <w:p w14:paraId="71338E46" w14:textId="77777777" w:rsidR="000B5CEE" w:rsidRPr="00FF673A" w:rsidRDefault="000B5CEE" w:rsidP="00874B2D">
            <w:pPr>
              <w:jc w:val="right"/>
              <w:rPr>
                <w:b/>
                <w:sz w:val="20"/>
                <w:szCs w:val="20"/>
                <w:lang w:val="es-ES_tradnl"/>
              </w:rPr>
            </w:pPr>
            <w:r>
              <w:rPr>
                <w:b/>
                <w:sz w:val="20"/>
                <w:szCs w:val="20"/>
                <w:lang w:val="es-ES_tradnl"/>
              </w:rPr>
              <w:t>858.891.403,70</w:t>
            </w:r>
          </w:p>
        </w:tc>
      </w:tr>
      <w:tr w:rsidR="000B5CEE" w:rsidRPr="00FF673A" w14:paraId="69F4925B" w14:textId="77777777" w:rsidTr="00874B2D">
        <w:tc>
          <w:tcPr>
            <w:tcW w:w="1134" w:type="dxa"/>
          </w:tcPr>
          <w:p w14:paraId="504D1976" w14:textId="77777777" w:rsidR="000B5CEE" w:rsidRPr="00FF673A" w:rsidRDefault="000B5CEE" w:rsidP="00874B2D">
            <w:pPr>
              <w:jc w:val="center"/>
              <w:rPr>
                <w:b/>
                <w:sz w:val="20"/>
                <w:szCs w:val="20"/>
                <w:lang w:val="es-ES_tradnl"/>
              </w:rPr>
            </w:pPr>
            <w:r>
              <w:rPr>
                <w:b/>
                <w:sz w:val="20"/>
                <w:szCs w:val="20"/>
                <w:lang w:val="es-ES_tradnl"/>
              </w:rPr>
              <w:t>839090</w:t>
            </w:r>
          </w:p>
        </w:tc>
        <w:tc>
          <w:tcPr>
            <w:tcW w:w="6379" w:type="dxa"/>
          </w:tcPr>
          <w:p w14:paraId="38D6B6CF" w14:textId="77777777" w:rsidR="000B5CEE" w:rsidRPr="00FF673A" w:rsidRDefault="000B5CEE" w:rsidP="00874B2D">
            <w:pPr>
              <w:rPr>
                <w:b/>
                <w:sz w:val="20"/>
                <w:szCs w:val="20"/>
                <w:lang w:val="es-ES_tradnl"/>
              </w:rPr>
            </w:pPr>
            <w:r>
              <w:rPr>
                <w:b/>
                <w:sz w:val="20"/>
                <w:szCs w:val="20"/>
                <w:lang w:val="es-ES_tradnl"/>
              </w:rPr>
              <w:t>Otras cuentas deudoras de control</w:t>
            </w:r>
          </w:p>
        </w:tc>
        <w:tc>
          <w:tcPr>
            <w:tcW w:w="2410" w:type="dxa"/>
          </w:tcPr>
          <w:p w14:paraId="202FEF1B" w14:textId="77777777" w:rsidR="000B5CEE" w:rsidRPr="00FF673A" w:rsidRDefault="000B5CEE" w:rsidP="00874B2D">
            <w:pPr>
              <w:jc w:val="right"/>
              <w:rPr>
                <w:b/>
                <w:sz w:val="20"/>
                <w:szCs w:val="20"/>
                <w:lang w:val="es-ES_tradnl"/>
              </w:rPr>
            </w:pPr>
            <w:r>
              <w:rPr>
                <w:b/>
                <w:sz w:val="20"/>
                <w:szCs w:val="20"/>
                <w:lang w:val="es-ES_tradnl"/>
              </w:rPr>
              <w:t>7.888.576.016,13</w:t>
            </w:r>
          </w:p>
        </w:tc>
      </w:tr>
      <w:tr w:rsidR="000B5CEE" w:rsidRPr="00FF673A" w14:paraId="541BF2AA" w14:textId="77777777" w:rsidTr="00874B2D">
        <w:tc>
          <w:tcPr>
            <w:tcW w:w="1134" w:type="dxa"/>
          </w:tcPr>
          <w:p w14:paraId="669FAC0F" w14:textId="77777777" w:rsidR="000B5CEE" w:rsidRDefault="000B5CEE" w:rsidP="00874B2D">
            <w:pPr>
              <w:jc w:val="center"/>
              <w:rPr>
                <w:b/>
                <w:sz w:val="20"/>
                <w:szCs w:val="20"/>
                <w:lang w:val="es-ES_tradnl"/>
              </w:rPr>
            </w:pPr>
            <w:r>
              <w:rPr>
                <w:b/>
                <w:sz w:val="20"/>
                <w:szCs w:val="20"/>
                <w:lang w:val="es-ES_tradnl"/>
              </w:rPr>
              <w:t>890590</w:t>
            </w:r>
          </w:p>
        </w:tc>
        <w:tc>
          <w:tcPr>
            <w:tcW w:w="6379" w:type="dxa"/>
          </w:tcPr>
          <w:p w14:paraId="1698B715" w14:textId="77777777" w:rsidR="000B5CEE" w:rsidRDefault="000B5CEE" w:rsidP="00874B2D">
            <w:pPr>
              <w:rPr>
                <w:b/>
                <w:sz w:val="20"/>
                <w:szCs w:val="20"/>
                <w:lang w:val="es-ES_tradnl"/>
              </w:rPr>
            </w:pPr>
            <w:r>
              <w:rPr>
                <w:b/>
                <w:sz w:val="20"/>
                <w:szCs w:val="20"/>
                <w:lang w:val="es-ES_tradnl"/>
              </w:rPr>
              <w:t xml:space="preserve">Otros activos contingentes por el contrario </w:t>
            </w:r>
          </w:p>
        </w:tc>
        <w:tc>
          <w:tcPr>
            <w:tcW w:w="2410" w:type="dxa"/>
          </w:tcPr>
          <w:p w14:paraId="7BB46F3A" w14:textId="77777777" w:rsidR="000B5CEE" w:rsidRDefault="000B5CEE" w:rsidP="00874B2D">
            <w:pPr>
              <w:jc w:val="right"/>
              <w:rPr>
                <w:b/>
                <w:sz w:val="20"/>
                <w:szCs w:val="20"/>
                <w:lang w:val="es-ES_tradnl"/>
              </w:rPr>
            </w:pPr>
            <w:r>
              <w:rPr>
                <w:b/>
                <w:sz w:val="20"/>
                <w:szCs w:val="20"/>
                <w:lang w:val="es-ES_tradnl"/>
              </w:rPr>
              <w:t>(2.803.410.450,51)</w:t>
            </w:r>
          </w:p>
        </w:tc>
      </w:tr>
      <w:tr w:rsidR="000B5CEE" w:rsidRPr="00FF673A" w14:paraId="37064222" w14:textId="77777777" w:rsidTr="00874B2D">
        <w:tc>
          <w:tcPr>
            <w:tcW w:w="1134" w:type="dxa"/>
          </w:tcPr>
          <w:p w14:paraId="4F39417E" w14:textId="77777777" w:rsidR="000B5CEE" w:rsidRDefault="000B5CEE" w:rsidP="00874B2D">
            <w:pPr>
              <w:jc w:val="center"/>
              <w:rPr>
                <w:b/>
                <w:sz w:val="20"/>
                <w:szCs w:val="20"/>
                <w:lang w:val="es-ES_tradnl"/>
              </w:rPr>
            </w:pPr>
            <w:r>
              <w:rPr>
                <w:b/>
                <w:sz w:val="20"/>
                <w:szCs w:val="20"/>
                <w:lang w:val="es-ES_tradnl"/>
              </w:rPr>
              <w:t>891590</w:t>
            </w:r>
          </w:p>
        </w:tc>
        <w:tc>
          <w:tcPr>
            <w:tcW w:w="6379" w:type="dxa"/>
          </w:tcPr>
          <w:p w14:paraId="62926187" w14:textId="77777777" w:rsidR="000B5CEE" w:rsidRDefault="000B5CEE" w:rsidP="00874B2D">
            <w:pPr>
              <w:rPr>
                <w:b/>
                <w:sz w:val="20"/>
                <w:szCs w:val="20"/>
                <w:lang w:val="es-ES_tradnl"/>
              </w:rPr>
            </w:pPr>
            <w:r>
              <w:rPr>
                <w:b/>
                <w:sz w:val="20"/>
                <w:szCs w:val="20"/>
                <w:lang w:val="es-ES_tradnl"/>
              </w:rPr>
              <w:t>Otras cuentas deudoras de control por contra</w:t>
            </w:r>
          </w:p>
        </w:tc>
        <w:tc>
          <w:tcPr>
            <w:tcW w:w="2410" w:type="dxa"/>
          </w:tcPr>
          <w:p w14:paraId="24B46152" w14:textId="77777777" w:rsidR="000B5CEE" w:rsidRDefault="000B5CEE" w:rsidP="00874B2D">
            <w:pPr>
              <w:jc w:val="right"/>
              <w:rPr>
                <w:b/>
                <w:sz w:val="20"/>
                <w:szCs w:val="20"/>
                <w:lang w:val="es-ES_tradnl"/>
              </w:rPr>
            </w:pPr>
            <w:r>
              <w:rPr>
                <w:b/>
                <w:sz w:val="20"/>
                <w:szCs w:val="20"/>
                <w:lang w:val="es-ES_tradnl"/>
              </w:rPr>
              <w:t>(5.791.440.964,45)</w:t>
            </w:r>
          </w:p>
        </w:tc>
      </w:tr>
      <w:tr w:rsidR="000B5CEE" w:rsidRPr="00FF673A" w14:paraId="105391F6" w14:textId="77777777" w:rsidTr="00874B2D">
        <w:tc>
          <w:tcPr>
            <w:tcW w:w="1134" w:type="dxa"/>
          </w:tcPr>
          <w:p w14:paraId="0623E6CD" w14:textId="77777777" w:rsidR="000B5CEE" w:rsidRDefault="000B5CEE" w:rsidP="00874B2D">
            <w:pPr>
              <w:jc w:val="center"/>
              <w:rPr>
                <w:b/>
                <w:sz w:val="20"/>
                <w:szCs w:val="20"/>
                <w:lang w:val="es-ES_tradnl"/>
              </w:rPr>
            </w:pPr>
            <w:r>
              <w:rPr>
                <w:b/>
                <w:sz w:val="20"/>
                <w:szCs w:val="20"/>
                <w:lang w:val="es-ES_tradnl"/>
              </w:rPr>
              <w:t>939090</w:t>
            </w:r>
          </w:p>
        </w:tc>
        <w:tc>
          <w:tcPr>
            <w:tcW w:w="6379" w:type="dxa"/>
          </w:tcPr>
          <w:p w14:paraId="2A59EEC9" w14:textId="77777777" w:rsidR="000B5CEE" w:rsidRDefault="000B5CEE" w:rsidP="00874B2D">
            <w:pPr>
              <w:rPr>
                <w:b/>
                <w:sz w:val="20"/>
                <w:szCs w:val="20"/>
                <w:lang w:val="es-ES_tradnl"/>
              </w:rPr>
            </w:pPr>
            <w:r>
              <w:rPr>
                <w:b/>
                <w:sz w:val="20"/>
                <w:szCs w:val="20"/>
                <w:lang w:val="es-ES_tradnl"/>
              </w:rPr>
              <w:t>Otras cuentas acreedoras de control</w:t>
            </w:r>
          </w:p>
        </w:tc>
        <w:tc>
          <w:tcPr>
            <w:tcW w:w="2410" w:type="dxa"/>
          </w:tcPr>
          <w:p w14:paraId="572A6438" w14:textId="77777777" w:rsidR="000B5CEE" w:rsidRDefault="000B5CEE" w:rsidP="00874B2D">
            <w:pPr>
              <w:jc w:val="right"/>
              <w:rPr>
                <w:b/>
                <w:sz w:val="20"/>
                <w:szCs w:val="20"/>
                <w:lang w:val="es-ES_tradnl"/>
              </w:rPr>
            </w:pPr>
            <w:r>
              <w:rPr>
                <w:b/>
                <w:sz w:val="20"/>
                <w:szCs w:val="20"/>
                <w:lang w:val="es-ES_tradnl"/>
              </w:rPr>
              <w:t>28.265.851,64</w:t>
            </w:r>
          </w:p>
        </w:tc>
      </w:tr>
      <w:tr w:rsidR="000B5CEE" w:rsidRPr="00FF673A" w14:paraId="45E2C9B4" w14:textId="77777777" w:rsidTr="00874B2D">
        <w:tc>
          <w:tcPr>
            <w:tcW w:w="1134" w:type="dxa"/>
          </w:tcPr>
          <w:p w14:paraId="71134722" w14:textId="77777777" w:rsidR="000B5CEE" w:rsidRDefault="000B5CEE" w:rsidP="00874B2D">
            <w:pPr>
              <w:jc w:val="center"/>
              <w:rPr>
                <w:b/>
                <w:sz w:val="20"/>
                <w:szCs w:val="20"/>
                <w:lang w:val="es-ES_tradnl"/>
              </w:rPr>
            </w:pPr>
            <w:r>
              <w:rPr>
                <w:b/>
                <w:sz w:val="20"/>
                <w:szCs w:val="20"/>
                <w:lang w:val="es-ES_tradnl"/>
              </w:rPr>
              <w:t>991590</w:t>
            </w:r>
          </w:p>
        </w:tc>
        <w:tc>
          <w:tcPr>
            <w:tcW w:w="6379" w:type="dxa"/>
          </w:tcPr>
          <w:p w14:paraId="0B9CC91C" w14:textId="77777777" w:rsidR="000B5CEE" w:rsidRDefault="000B5CEE" w:rsidP="00874B2D">
            <w:pPr>
              <w:rPr>
                <w:b/>
                <w:sz w:val="20"/>
                <w:szCs w:val="20"/>
                <w:lang w:val="es-ES_tradnl"/>
              </w:rPr>
            </w:pPr>
            <w:r>
              <w:rPr>
                <w:b/>
                <w:sz w:val="20"/>
                <w:szCs w:val="20"/>
                <w:lang w:val="es-ES_tradnl"/>
              </w:rPr>
              <w:t>Otras cuentas acreedoras de control por contra</w:t>
            </w:r>
          </w:p>
        </w:tc>
        <w:tc>
          <w:tcPr>
            <w:tcW w:w="2410" w:type="dxa"/>
          </w:tcPr>
          <w:p w14:paraId="18DBDE10" w14:textId="77777777" w:rsidR="000B5CEE" w:rsidRDefault="000B5CEE" w:rsidP="00874B2D">
            <w:pPr>
              <w:jc w:val="right"/>
              <w:rPr>
                <w:b/>
                <w:sz w:val="20"/>
                <w:szCs w:val="20"/>
                <w:lang w:val="es-ES_tradnl"/>
              </w:rPr>
            </w:pPr>
            <w:r>
              <w:rPr>
                <w:b/>
                <w:sz w:val="20"/>
                <w:szCs w:val="20"/>
                <w:lang w:val="es-ES_tradnl"/>
              </w:rPr>
              <w:t>_(28.265.851,64)</w:t>
            </w:r>
          </w:p>
        </w:tc>
      </w:tr>
    </w:tbl>
    <w:p w14:paraId="2860D995" w14:textId="77777777" w:rsidR="000B5CEE" w:rsidRPr="001D3F61" w:rsidRDefault="000B5CEE" w:rsidP="000B5CEE">
      <w:pPr>
        <w:pStyle w:val="Textoindependiente"/>
        <w:ind w:right="-50"/>
        <w:jc w:val="both"/>
      </w:pPr>
    </w:p>
    <w:p w14:paraId="2687DEC8" w14:textId="77777777" w:rsidR="000B5CEE" w:rsidRDefault="000B5CEE" w:rsidP="000B5CEE">
      <w:pPr>
        <w:pStyle w:val="Textoindependiente"/>
        <w:ind w:right="-50"/>
        <w:jc w:val="both"/>
        <w:rPr>
          <w:b/>
        </w:rPr>
      </w:pPr>
      <w:r>
        <w:rPr>
          <w:b/>
        </w:rPr>
        <w:t xml:space="preserve">NOTA 7. CUENTAS POR COBRAR: </w:t>
      </w:r>
    </w:p>
    <w:p w14:paraId="457A543B" w14:textId="77777777" w:rsidR="000B5CEE" w:rsidRDefault="000B5CEE" w:rsidP="000B5CEE">
      <w:pPr>
        <w:pStyle w:val="Textoindependiente"/>
        <w:ind w:right="-50"/>
        <w:jc w:val="both"/>
      </w:pPr>
    </w:p>
    <w:p w14:paraId="00FE3068" w14:textId="77777777" w:rsidR="000B5CEE" w:rsidRDefault="000B5CEE" w:rsidP="00C07FDB">
      <w:pPr>
        <w:pStyle w:val="Textoindependiente"/>
        <w:ind w:right="-50"/>
        <w:jc w:val="center"/>
      </w:pPr>
      <w:r w:rsidRPr="00E412C7">
        <w:rPr>
          <w:noProof/>
          <w:lang w:val="es-CO" w:eastAsia="es-CO"/>
        </w:rPr>
        <w:drawing>
          <wp:inline distT="0" distB="0" distL="0" distR="0" wp14:anchorId="14D24ACE" wp14:editId="628C7523">
            <wp:extent cx="6030167" cy="1943371"/>
            <wp:effectExtent l="0" t="0" r="889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0167" cy="1943371"/>
                    </a:xfrm>
                    <a:prstGeom prst="rect">
                      <a:avLst/>
                    </a:prstGeom>
                  </pic:spPr>
                </pic:pic>
              </a:graphicData>
            </a:graphic>
          </wp:inline>
        </w:drawing>
      </w:r>
    </w:p>
    <w:p w14:paraId="3293B882" w14:textId="77777777" w:rsidR="000B5CEE" w:rsidRDefault="000B5CEE" w:rsidP="000B5CEE">
      <w:pPr>
        <w:pStyle w:val="Textoindependiente"/>
        <w:ind w:right="-50"/>
        <w:jc w:val="both"/>
      </w:pPr>
      <w:r w:rsidRPr="00E412C7">
        <w:rPr>
          <w:noProof/>
          <w:lang w:val="es-CO" w:eastAsia="es-CO"/>
        </w:rPr>
        <w:drawing>
          <wp:inline distT="0" distB="0" distL="0" distR="0" wp14:anchorId="4176A851" wp14:editId="0023F4C9">
            <wp:extent cx="6020640" cy="466790"/>
            <wp:effectExtent l="0" t="0" r="0" b="952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0640" cy="466790"/>
                    </a:xfrm>
                    <a:prstGeom prst="rect">
                      <a:avLst/>
                    </a:prstGeom>
                  </pic:spPr>
                </pic:pic>
              </a:graphicData>
            </a:graphic>
          </wp:inline>
        </w:drawing>
      </w:r>
    </w:p>
    <w:p w14:paraId="681A2BF1" w14:textId="77777777" w:rsidR="000B5CEE" w:rsidRDefault="000B5CEE" w:rsidP="000B5CEE">
      <w:pPr>
        <w:pStyle w:val="Textoindependiente"/>
        <w:ind w:right="-50"/>
        <w:jc w:val="both"/>
      </w:pPr>
    </w:p>
    <w:p w14:paraId="4F14A44A" w14:textId="77777777" w:rsidR="000B5CEE" w:rsidRDefault="000B5CEE" w:rsidP="000B5CEE">
      <w:pPr>
        <w:pStyle w:val="Textoindependiente"/>
        <w:ind w:right="-50"/>
        <w:jc w:val="both"/>
      </w:pPr>
      <w:r>
        <w:rPr>
          <w:b/>
        </w:rPr>
        <w:t xml:space="preserve">7.3. Otras Cuentas por Cobrar: </w:t>
      </w:r>
    </w:p>
    <w:p w14:paraId="65EF840C" w14:textId="77777777" w:rsidR="000B5CEE" w:rsidRDefault="000B5CEE" w:rsidP="000B5CEE">
      <w:pPr>
        <w:pStyle w:val="Textoindependiente"/>
        <w:ind w:right="-50"/>
        <w:jc w:val="both"/>
      </w:pPr>
    </w:p>
    <w:p w14:paraId="30A9A00B" w14:textId="77777777" w:rsidR="000B5CEE" w:rsidRDefault="000B5CEE" w:rsidP="00C07FDB">
      <w:pPr>
        <w:pStyle w:val="Textoindependiente"/>
        <w:ind w:right="-50"/>
        <w:jc w:val="center"/>
      </w:pPr>
      <w:r w:rsidRPr="00A551A1">
        <w:rPr>
          <w:noProof/>
          <w:lang w:val="es-CO" w:eastAsia="es-CO"/>
        </w:rPr>
        <w:drawing>
          <wp:inline distT="0" distB="0" distL="0" distR="0" wp14:anchorId="7E726FD3" wp14:editId="0738E353">
            <wp:extent cx="6011114" cy="1924319"/>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1114" cy="1924319"/>
                    </a:xfrm>
                    <a:prstGeom prst="rect">
                      <a:avLst/>
                    </a:prstGeom>
                  </pic:spPr>
                </pic:pic>
              </a:graphicData>
            </a:graphic>
          </wp:inline>
        </w:drawing>
      </w:r>
    </w:p>
    <w:p w14:paraId="766D9E1C" w14:textId="77777777" w:rsidR="000B5CEE" w:rsidRDefault="000B5CEE" w:rsidP="000B5CEE">
      <w:pPr>
        <w:pStyle w:val="Textoindependiente"/>
        <w:ind w:right="-50"/>
        <w:jc w:val="both"/>
      </w:pPr>
    </w:p>
    <w:p w14:paraId="66578963" w14:textId="77777777" w:rsidR="000B5CEE" w:rsidRDefault="000B5CEE" w:rsidP="000B67BD">
      <w:pPr>
        <w:pStyle w:val="Textoindependiente"/>
        <w:ind w:right="49"/>
        <w:jc w:val="both"/>
      </w:pPr>
      <w:r>
        <w:rPr>
          <w:b/>
        </w:rPr>
        <w:t xml:space="preserve">7.3.1. Cuotas Partes Pensionales: </w:t>
      </w:r>
      <w:r w:rsidRPr="00E049EB">
        <w:rPr>
          <w:b/>
          <w:u w:val="single"/>
        </w:rPr>
        <w:t>En el comparativo con el periodo anterior de la vigencia 2023, se presenta un aumento por operaciones de causación y recaudo cuotas partes pensionales por cobrar con las Entidades Territoriales en las que concurre por este concepto con el Ministerio de Transporte</w:t>
      </w:r>
      <w:r>
        <w:t>.</w:t>
      </w:r>
    </w:p>
    <w:p w14:paraId="473E867D" w14:textId="77777777" w:rsidR="000B5CEE" w:rsidRDefault="000B5CEE" w:rsidP="000B67BD">
      <w:pPr>
        <w:pStyle w:val="Textoindependiente"/>
        <w:ind w:right="49"/>
        <w:jc w:val="both"/>
      </w:pPr>
    </w:p>
    <w:p w14:paraId="44BA35FD" w14:textId="77777777" w:rsidR="000B5CEE" w:rsidRDefault="000B5CEE" w:rsidP="000B67BD">
      <w:pPr>
        <w:pStyle w:val="Textoindependiente"/>
        <w:ind w:right="49"/>
        <w:jc w:val="both"/>
      </w:pPr>
      <w:r>
        <w:rPr>
          <w:b/>
        </w:rPr>
        <w:t xml:space="preserve">7.3.4. Pago por Cuenta de Terceros: </w:t>
      </w:r>
      <w:r>
        <w:t xml:space="preserve">El manejo de esta subcuenta lo conforman principalmente movimientos por: Conceptos de nómina relacionados </w:t>
      </w:r>
      <w:r w:rsidRPr="00E049EB">
        <w:rPr>
          <w:b/>
          <w:u w:val="single"/>
        </w:rPr>
        <w:t>con las incapacidades por enfermedad general y licencias de maternidad, o de paternidad generados en el proceso de nómina mensual</w:t>
      </w:r>
      <w:r>
        <w:t xml:space="preserve">, el cual la Subdirección de Talento Humano lleva a cabo todas las gestiones tendientes a lograr su pago y también por el concepto de retroactivos pensionales. </w:t>
      </w:r>
    </w:p>
    <w:p w14:paraId="36B5F6D0" w14:textId="77777777" w:rsidR="000B5CEE" w:rsidRDefault="000B5CEE" w:rsidP="000B67BD">
      <w:pPr>
        <w:pStyle w:val="Textoindependiente"/>
        <w:ind w:right="49"/>
        <w:jc w:val="both"/>
      </w:pPr>
    </w:p>
    <w:p w14:paraId="7DCA6379" w14:textId="77777777" w:rsidR="000B5CEE" w:rsidRDefault="000B5CEE" w:rsidP="000B67BD">
      <w:pPr>
        <w:pStyle w:val="Textoindependiente"/>
        <w:ind w:right="49"/>
        <w:jc w:val="both"/>
      </w:pPr>
      <w:r>
        <w:t>En el comparativo con el periodo anterior se presenta aumento por las operaciones de causación y recaudo por concepto de incapacidades médicas que son reintegrados a la Dirección General de Crédito Público y del Tesoro Nacional y por la causación al Municipio de Lorica por concepto de reintegro por haber sido condenada dicha Alcaldía en solidaridad con el Ministerio de Transporte, según Resolución No.20243040057665 del 26 de noviembre de 2024.</w:t>
      </w:r>
    </w:p>
    <w:p w14:paraId="585717F6" w14:textId="77777777" w:rsidR="000B5CEE" w:rsidRDefault="000B5CEE" w:rsidP="000B5CEE">
      <w:pPr>
        <w:pStyle w:val="Textoindependiente"/>
        <w:ind w:right="-50"/>
        <w:jc w:val="both"/>
      </w:pPr>
    </w:p>
    <w:p w14:paraId="203F0DB6" w14:textId="77777777" w:rsidR="000B5CEE" w:rsidRDefault="000B5CEE" w:rsidP="000B5CEE">
      <w:pPr>
        <w:pStyle w:val="Textoindependiente"/>
        <w:ind w:right="-50"/>
        <w:jc w:val="both"/>
        <w:rPr>
          <w:b/>
        </w:rPr>
      </w:pPr>
      <w:r>
        <w:rPr>
          <w:b/>
        </w:rPr>
        <w:lastRenderedPageBreak/>
        <w:t>7.4. Deterioro:</w:t>
      </w:r>
    </w:p>
    <w:p w14:paraId="2DFDD4B0" w14:textId="77777777" w:rsidR="000B5CEE" w:rsidRDefault="000B5CEE" w:rsidP="000B5CEE">
      <w:pPr>
        <w:pStyle w:val="Textoindependiente"/>
        <w:ind w:right="-50"/>
        <w:jc w:val="both"/>
        <w:rPr>
          <w:b/>
        </w:rPr>
      </w:pPr>
    </w:p>
    <w:p w14:paraId="7DD5280B" w14:textId="77777777" w:rsidR="000B5CEE" w:rsidRDefault="000B5CEE" w:rsidP="00C07FDB">
      <w:pPr>
        <w:pStyle w:val="Textoindependiente"/>
        <w:ind w:right="-50"/>
        <w:jc w:val="center"/>
        <w:rPr>
          <w:b/>
        </w:rPr>
      </w:pPr>
      <w:r w:rsidRPr="00A10577">
        <w:rPr>
          <w:b/>
          <w:noProof/>
          <w:lang w:val="es-CO" w:eastAsia="es-CO"/>
        </w:rPr>
        <w:drawing>
          <wp:inline distT="0" distB="0" distL="0" distR="0" wp14:anchorId="2C7597C8" wp14:editId="364CA913">
            <wp:extent cx="6030167" cy="1276528"/>
            <wp:effectExtent l="0" t="0" r="889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0167" cy="1276528"/>
                    </a:xfrm>
                    <a:prstGeom prst="rect">
                      <a:avLst/>
                    </a:prstGeom>
                  </pic:spPr>
                </pic:pic>
              </a:graphicData>
            </a:graphic>
          </wp:inline>
        </w:drawing>
      </w:r>
    </w:p>
    <w:p w14:paraId="756E3277" w14:textId="77777777" w:rsidR="000B5CEE" w:rsidRDefault="000B5CEE" w:rsidP="000B5CEE">
      <w:pPr>
        <w:pStyle w:val="Textoindependiente"/>
        <w:ind w:right="-50"/>
        <w:jc w:val="both"/>
        <w:rPr>
          <w:b/>
        </w:rPr>
      </w:pPr>
    </w:p>
    <w:p w14:paraId="1F9304D4" w14:textId="77777777" w:rsidR="000B5CEE" w:rsidRDefault="000B5CEE" w:rsidP="000B67BD">
      <w:pPr>
        <w:pStyle w:val="Textoindependiente"/>
        <w:ind w:right="49"/>
        <w:jc w:val="both"/>
      </w:pPr>
      <w:r>
        <w:t xml:space="preserve">Teniendo en cuenta que las cuentas por cobrar con posterioridad a su reconocimiento inicial se miden por el valor de la transacción menos el deterioro de valor, el Ministerio realizó una medición individual del deterioro por el valor de las pérdidas crediticias esperadas, las cuales corresponden al promedio ponderado de las pérdidas crediticias utilizando como ponderador los riesgos respectivos de que ocurra un incumplimiento de los pagos. A su vez, la pérdida crediticia corresponde al exceso del valor en libros sin considerar el deterioro de la cuenta por cobrar sobre el valor presente de todos los flujos de efectivo que la entidad espera recibir descontados a la tasa de interés extraída de la curva cero cupón de los TES en pesos, emitidos por el Gobierno Nacional. </w:t>
      </w:r>
    </w:p>
    <w:p w14:paraId="662D0DC2" w14:textId="77777777" w:rsidR="000B5CEE" w:rsidRDefault="000B5CEE" w:rsidP="000B67BD">
      <w:pPr>
        <w:pStyle w:val="Textoindependiente"/>
        <w:ind w:right="49"/>
        <w:jc w:val="both"/>
      </w:pPr>
    </w:p>
    <w:p w14:paraId="6975B606" w14:textId="77777777" w:rsidR="000B5CEE" w:rsidRPr="00A10577" w:rsidRDefault="000B5CEE" w:rsidP="000B67BD">
      <w:pPr>
        <w:pStyle w:val="Textoindependiente"/>
        <w:ind w:right="49"/>
        <w:jc w:val="both"/>
        <w:rPr>
          <w:b/>
        </w:rPr>
      </w:pPr>
      <w:r>
        <w:t>Para la identificación e indicios de deterioro de los derechos a favor del Ministerio de Transporte por los distintos conceptos de ingresos que recibe, se tuvieron en cuenta como criterios básicos relacionados con la antigüedad de la cartera, el desmejoramiento de las condiciones del deudor, la búsqueda de bienes, la suscripción de acuerdos de pago y el estado del proceso.</w:t>
      </w:r>
    </w:p>
    <w:p w14:paraId="63D4E942" w14:textId="77777777" w:rsidR="000B5CEE" w:rsidRDefault="000B5CEE" w:rsidP="000B5CEE">
      <w:pPr>
        <w:pStyle w:val="Textoindependiente"/>
        <w:jc w:val="both"/>
        <w:rPr>
          <w:b/>
          <w:bCs/>
        </w:rPr>
      </w:pPr>
    </w:p>
    <w:p w14:paraId="7A056416" w14:textId="77777777" w:rsidR="000B5CEE" w:rsidRDefault="000B5CEE" w:rsidP="000B5CEE">
      <w:pPr>
        <w:pStyle w:val="Textoindependiente"/>
        <w:jc w:val="both"/>
        <w:rPr>
          <w:b/>
          <w:bCs/>
        </w:rPr>
      </w:pPr>
      <w:r>
        <w:rPr>
          <w:b/>
          <w:bCs/>
        </w:rPr>
        <w:t>NOTA 10. PROPIEDAD, PLANTA Y EQUIPO – 10.2.2. Inmuebles No Explotados:</w:t>
      </w:r>
    </w:p>
    <w:p w14:paraId="3BDD9B66" w14:textId="77777777" w:rsidR="000B5CEE" w:rsidRDefault="000B5CEE" w:rsidP="000B5CEE">
      <w:pPr>
        <w:pStyle w:val="Textoindependiente"/>
        <w:ind w:right="-50"/>
        <w:jc w:val="both"/>
        <w:rPr>
          <w:b/>
        </w:rPr>
      </w:pPr>
    </w:p>
    <w:p w14:paraId="3F9F7830" w14:textId="77777777" w:rsidR="000B5CEE" w:rsidRDefault="000B5CEE" w:rsidP="00C07FDB">
      <w:pPr>
        <w:pStyle w:val="Textoindependiente"/>
        <w:ind w:right="-50"/>
        <w:jc w:val="center"/>
        <w:rPr>
          <w:b/>
        </w:rPr>
      </w:pPr>
      <w:r w:rsidRPr="00E14C51">
        <w:rPr>
          <w:b/>
          <w:noProof/>
          <w:lang w:val="es-CO" w:eastAsia="es-CO"/>
        </w:rPr>
        <w:drawing>
          <wp:inline distT="0" distB="0" distL="0" distR="0" wp14:anchorId="35FF1A71" wp14:editId="16A6210B">
            <wp:extent cx="6011114" cy="1581371"/>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1114" cy="1581371"/>
                    </a:xfrm>
                    <a:prstGeom prst="rect">
                      <a:avLst/>
                    </a:prstGeom>
                  </pic:spPr>
                </pic:pic>
              </a:graphicData>
            </a:graphic>
          </wp:inline>
        </w:drawing>
      </w:r>
    </w:p>
    <w:p w14:paraId="63D2A4FF" w14:textId="77777777" w:rsidR="000B5CEE" w:rsidRDefault="000B5CEE" w:rsidP="000B5CEE">
      <w:pPr>
        <w:pStyle w:val="Textoindependiente"/>
        <w:ind w:right="-50"/>
        <w:jc w:val="both"/>
        <w:rPr>
          <w:b/>
        </w:rPr>
      </w:pPr>
    </w:p>
    <w:p w14:paraId="2310C97E" w14:textId="77777777" w:rsidR="000B5CEE" w:rsidRDefault="000B5CEE" w:rsidP="000B5CEE">
      <w:pPr>
        <w:pStyle w:val="Textoindependiente"/>
        <w:ind w:right="-50"/>
        <w:jc w:val="both"/>
      </w:pPr>
      <w:r>
        <w:t xml:space="preserve">Dentro de estos bienes inmuebles no explotados, se encuentran unas construcciones recibidas de la liquidación de: </w:t>
      </w:r>
    </w:p>
    <w:p w14:paraId="560EAE1B" w14:textId="77777777" w:rsidR="000B5CEE" w:rsidRDefault="000B5CEE" w:rsidP="000B5CEE">
      <w:pPr>
        <w:pStyle w:val="Textoindependiente"/>
        <w:ind w:right="-50"/>
        <w:jc w:val="both"/>
      </w:pPr>
    </w:p>
    <w:p w14:paraId="0C3A18A7" w14:textId="77777777" w:rsidR="000B5CEE" w:rsidRDefault="000B5CEE" w:rsidP="000B5CEE">
      <w:pPr>
        <w:pStyle w:val="Textoindependiente"/>
        <w:numPr>
          <w:ilvl w:val="0"/>
          <w:numId w:val="27"/>
        </w:numPr>
        <w:ind w:right="-50"/>
        <w:jc w:val="both"/>
      </w:pPr>
      <w:r>
        <w:t xml:space="preserve">Fondo Pasivo Social de la empresa Puertos de Colombia: </w:t>
      </w:r>
    </w:p>
    <w:p w14:paraId="2BD08627" w14:textId="77777777" w:rsidR="000B5CEE" w:rsidRDefault="000B5CEE" w:rsidP="000B5CEE">
      <w:pPr>
        <w:pStyle w:val="Textoindependiente"/>
        <w:ind w:left="720" w:right="-50"/>
        <w:jc w:val="both"/>
      </w:pPr>
    </w:p>
    <w:p w14:paraId="79B74494" w14:textId="77777777" w:rsidR="000B5CEE" w:rsidRDefault="000B5CEE" w:rsidP="000B5CEE">
      <w:pPr>
        <w:pStyle w:val="Textoindependiente"/>
        <w:ind w:left="720" w:right="-50"/>
        <w:jc w:val="both"/>
      </w:pPr>
      <w:r>
        <w:rPr>
          <w:rFonts w:ascii="Segoe UI Symbol" w:hAnsi="Segoe UI Symbol" w:cs="Segoe UI Symbol"/>
        </w:rPr>
        <w:t>➢</w:t>
      </w:r>
      <w:r>
        <w:t xml:space="preserve"> Una (1) instalación deportiva y un (1) Lote de terreno. </w:t>
      </w:r>
    </w:p>
    <w:p w14:paraId="06CEEDBC" w14:textId="77777777" w:rsidR="000B5CEE" w:rsidRDefault="000B5CEE" w:rsidP="000B5CEE">
      <w:pPr>
        <w:pStyle w:val="Textoindependiente"/>
        <w:ind w:left="720" w:right="-50"/>
        <w:jc w:val="both"/>
      </w:pPr>
      <w:r>
        <w:rPr>
          <w:rFonts w:ascii="Segoe UI Symbol" w:hAnsi="Segoe UI Symbol" w:cs="Segoe UI Symbol"/>
        </w:rPr>
        <w:t>➢</w:t>
      </w:r>
      <w:r>
        <w:t xml:space="preserve"> Barranquilla (1) Lote frente al terminal. Este inmueble se encuentra en proceso de restitución mediante acciones policivas por parte de la Oficina Jurídica del Ministerio. </w:t>
      </w:r>
    </w:p>
    <w:p w14:paraId="4B830476" w14:textId="77777777" w:rsidR="000B5CEE" w:rsidRDefault="000B5CEE" w:rsidP="000B5CEE">
      <w:pPr>
        <w:pStyle w:val="Textoindependiente"/>
        <w:ind w:left="720" w:right="-50"/>
        <w:jc w:val="both"/>
      </w:pPr>
    </w:p>
    <w:p w14:paraId="7C4F016C" w14:textId="77777777" w:rsidR="000B5CEE" w:rsidRDefault="000B5CEE" w:rsidP="000B5CEE">
      <w:pPr>
        <w:pStyle w:val="Textoindependiente"/>
        <w:ind w:right="-50"/>
        <w:jc w:val="both"/>
      </w:pPr>
      <w:r>
        <w:t xml:space="preserve">b) Del reestructurado del antiguo MOPT, donde funciono instalaciones e inspecciones fluviales, </w:t>
      </w:r>
      <w:r>
        <w:lastRenderedPageBreak/>
        <w:t xml:space="preserve">las cuales están: </w:t>
      </w:r>
    </w:p>
    <w:p w14:paraId="7DF69546" w14:textId="77777777" w:rsidR="000B5CEE" w:rsidRDefault="000B5CEE" w:rsidP="000B5CEE">
      <w:pPr>
        <w:pStyle w:val="Textoindependiente"/>
        <w:ind w:right="-50"/>
        <w:jc w:val="both"/>
      </w:pPr>
    </w:p>
    <w:p w14:paraId="77C9A72C" w14:textId="77777777" w:rsidR="000B5CEE" w:rsidRDefault="000B5CEE" w:rsidP="000B5CEE">
      <w:pPr>
        <w:pStyle w:val="Textoindependiente"/>
        <w:numPr>
          <w:ilvl w:val="0"/>
          <w:numId w:val="28"/>
        </w:numPr>
        <w:ind w:right="-50"/>
        <w:jc w:val="both"/>
      </w:pPr>
      <w:r>
        <w:t xml:space="preserve">Otros: </w:t>
      </w:r>
    </w:p>
    <w:p w14:paraId="0E1F2FDC" w14:textId="77777777" w:rsidR="000B5CEE" w:rsidRDefault="000B5CEE" w:rsidP="000B5CEE">
      <w:pPr>
        <w:pStyle w:val="Textoindependiente"/>
        <w:ind w:left="360" w:right="-50"/>
        <w:jc w:val="both"/>
      </w:pPr>
    </w:p>
    <w:p w14:paraId="5D7BBB8D" w14:textId="77777777" w:rsidR="000B5CEE" w:rsidRDefault="000B5CEE" w:rsidP="000B5CEE">
      <w:pPr>
        <w:pStyle w:val="Textoindependiente"/>
        <w:ind w:left="360" w:right="-50"/>
        <w:jc w:val="both"/>
      </w:pPr>
      <w:r>
        <w:rPr>
          <w:rFonts w:ascii="Segoe UI Symbol" w:hAnsi="Segoe UI Symbol" w:cs="Segoe UI Symbol"/>
        </w:rPr>
        <w:t>➢</w:t>
      </w:r>
      <w:r>
        <w:t xml:space="preserve"> Pasto (1) Casa (1) Lote San Fernando. Se encuentra en proceso de legalización. </w:t>
      </w:r>
    </w:p>
    <w:p w14:paraId="6ED6E5A3" w14:textId="77777777" w:rsidR="000B5CEE" w:rsidRDefault="000B5CEE" w:rsidP="000B5CEE">
      <w:pPr>
        <w:pStyle w:val="Textoindependiente"/>
        <w:ind w:left="360" w:right="-50"/>
        <w:jc w:val="both"/>
        <w:rPr>
          <w:b/>
        </w:rPr>
      </w:pPr>
      <w:r>
        <w:rPr>
          <w:rFonts w:ascii="Segoe UI Symbol" w:hAnsi="Segoe UI Symbol" w:cs="Segoe UI Symbol"/>
        </w:rPr>
        <w:t>➢</w:t>
      </w:r>
      <w:r>
        <w:t xml:space="preserve"> Barrancabermeja (1) Lote Vereda Peroles. Se encuentra en proceso de legalización.</w:t>
      </w:r>
    </w:p>
    <w:p w14:paraId="4534A11D" w14:textId="77777777" w:rsidR="000B5CEE" w:rsidRDefault="000B5CEE" w:rsidP="000B5CEE">
      <w:pPr>
        <w:pStyle w:val="Textoindependiente"/>
        <w:ind w:right="-50"/>
        <w:jc w:val="both"/>
        <w:rPr>
          <w:b/>
        </w:rPr>
      </w:pPr>
    </w:p>
    <w:p w14:paraId="0F15BBF7" w14:textId="77777777" w:rsidR="000B5CEE" w:rsidRPr="001D3F61" w:rsidRDefault="000B5CEE" w:rsidP="000B5CEE">
      <w:pPr>
        <w:pStyle w:val="Textoindependiente"/>
        <w:ind w:right="-50"/>
        <w:jc w:val="both"/>
      </w:pPr>
      <w:r w:rsidRPr="00024980">
        <w:rPr>
          <w:b/>
        </w:rPr>
        <w:t>10.2.2.1 Revelaciones Adicionales de Bienes Inmuebles No Explotados.</w:t>
      </w:r>
      <w:r>
        <w:t xml:space="preserve"> Dentro de este Grupo existe un predio determinado como “lote frente al terminal de Barranquilla” con un costo histórico de $3.360.250.000,00, este debe ser trasladado al Instituto Nacional de Vías - INVIAS por tener vocación de expansión portuaria, el cual no ha sido posible por encontrarse invadido.</w:t>
      </w:r>
    </w:p>
    <w:p w14:paraId="4FD8B1D2" w14:textId="77777777" w:rsidR="000B5CEE" w:rsidRPr="001D3F61" w:rsidRDefault="000B5CEE" w:rsidP="000B5CEE">
      <w:pPr>
        <w:pStyle w:val="Textoindependiente"/>
        <w:ind w:right="-50"/>
        <w:jc w:val="both"/>
      </w:pPr>
    </w:p>
    <w:p w14:paraId="472A9CE1" w14:textId="77777777" w:rsidR="000B5CEE" w:rsidRDefault="000B5CEE" w:rsidP="000B5CEE">
      <w:pPr>
        <w:pStyle w:val="Textoindependiente"/>
        <w:ind w:right="-50"/>
        <w:jc w:val="both"/>
      </w:pPr>
      <w:r>
        <w:t>Este inmueble fue objeto de hallazgo por parte de la Auditoria Especial para los Bienes Inmuebles del Ministerio de Transporte que adelantó la Dirección de Vigilancia Fiscal de la delegada del Sector de Infraestructura de la Contraloría General de la República - CGR vigencia 2022, mediante oficio No. 2022EE0228542 DEL 16-12-2022.</w:t>
      </w:r>
    </w:p>
    <w:p w14:paraId="48D14A8A" w14:textId="77777777" w:rsidR="000B5CEE" w:rsidRDefault="000B5CEE" w:rsidP="000B5CEE">
      <w:pPr>
        <w:pStyle w:val="Textoindependiente"/>
        <w:ind w:right="-50"/>
        <w:jc w:val="both"/>
      </w:pPr>
    </w:p>
    <w:p w14:paraId="20257211" w14:textId="77777777" w:rsidR="000B5CEE" w:rsidRDefault="000B5CEE" w:rsidP="000B5CEE">
      <w:pPr>
        <w:pStyle w:val="Textoindependiente"/>
        <w:ind w:right="-50"/>
        <w:jc w:val="both"/>
      </w:pPr>
      <w:r w:rsidRPr="00E8112B">
        <w:rPr>
          <w:b/>
        </w:rPr>
        <w:t xml:space="preserve">Bienes inmuebles recibidos en custodia, que figuran a nombre de entidades extintas. </w:t>
      </w:r>
      <w:r>
        <w:t>Con relación a los bienes inmuebles recibidos en custodia se están adelantando las siguientes gestiones:</w:t>
      </w:r>
    </w:p>
    <w:p w14:paraId="5795B929" w14:textId="77777777" w:rsidR="000B5CEE" w:rsidRDefault="000B5CEE" w:rsidP="000B5CEE">
      <w:pPr>
        <w:pStyle w:val="Textoindependiente"/>
        <w:ind w:right="-50"/>
        <w:jc w:val="both"/>
      </w:pPr>
    </w:p>
    <w:p w14:paraId="25ED4292" w14:textId="77777777" w:rsidR="000B5CEE" w:rsidRDefault="000B5CEE" w:rsidP="000B5CEE">
      <w:pPr>
        <w:pStyle w:val="Textoindependiente"/>
        <w:ind w:right="-50"/>
        <w:jc w:val="both"/>
      </w:pPr>
      <w:r>
        <w:t>En la contabilidad del Ministerio de Transporte, figuran registrado 55 bienes inmuebles pendientes de legalizar, registrado en la conciliación contable propiedad, planta y equipo – Bienes Inmuebles recibidos e custodia cuenta 9.3.06.17.001 – con corte a 31 de diciembre de 2022, por la suma de $ 752.854.203,00, los cuales se encuentran pendientes de legalizar y figuran a nombre de entidades extintas que fueron en su momento adscritas o vinculadas al Ministerio de Obras Públicas y Transporte (Hoy Ministerio de Transporte), con la salvedad de que los mismos no fueron transferidos a este Ministerio mediante actos administrativos sujetos de registros; sin embargo esta entidad ha realizado las siguientes actividades para su legalización, así:</w:t>
      </w:r>
    </w:p>
    <w:p w14:paraId="1A1FAB5D" w14:textId="77777777" w:rsidR="000B5CEE" w:rsidRDefault="000B5CEE" w:rsidP="000B5CEE">
      <w:pPr>
        <w:pStyle w:val="Textoindependiente"/>
        <w:ind w:right="-50"/>
        <w:jc w:val="both"/>
      </w:pPr>
    </w:p>
    <w:p w14:paraId="4BFDDDD6" w14:textId="77777777" w:rsidR="000B5CEE" w:rsidRDefault="000B5CEE" w:rsidP="000B5CEE">
      <w:pPr>
        <w:pStyle w:val="Textoindependiente"/>
        <w:ind w:right="-50"/>
        <w:jc w:val="both"/>
      </w:pPr>
      <w:r>
        <w:t xml:space="preserve">1) Continuar con el proceso de búsqueda de información ante las oficinas: IGAC, Oficinas de Registros Instrumentos Públicos, Oficinas de Planeación Municipal, Notarias, Catastro Municipal entre otras. </w:t>
      </w:r>
    </w:p>
    <w:p w14:paraId="6534266B" w14:textId="77777777" w:rsidR="000B5CEE" w:rsidRDefault="000B5CEE" w:rsidP="000B5CEE">
      <w:pPr>
        <w:pStyle w:val="Textoindependiente"/>
        <w:ind w:right="-50"/>
        <w:jc w:val="both"/>
      </w:pPr>
    </w:p>
    <w:p w14:paraId="1CB2C23F" w14:textId="77777777" w:rsidR="000B5CEE" w:rsidRDefault="000B5CEE" w:rsidP="000B5CEE">
      <w:pPr>
        <w:pStyle w:val="Textoindependiente"/>
        <w:ind w:right="-50"/>
        <w:jc w:val="both"/>
      </w:pPr>
      <w:r>
        <w:t xml:space="preserve">2) Continuar con el proceso de estudio de los documentos encontrados para verificar sin son bienes de uso público o bienes fiscales. </w:t>
      </w:r>
    </w:p>
    <w:p w14:paraId="10D2A988" w14:textId="77777777" w:rsidR="000B5CEE" w:rsidRDefault="000B5CEE" w:rsidP="000B5CEE">
      <w:pPr>
        <w:pStyle w:val="Textoindependiente"/>
        <w:ind w:right="-50"/>
        <w:jc w:val="both"/>
      </w:pPr>
    </w:p>
    <w:p w14:paraId="7CBE742F" w14:textId="77777777" w:rsidR="000B5CEE" w:rsidRDefault="000B5CEE" w:rsidP="000B5CEE">
      <w:pPr>
        <w:pStyle w:val="Textoindependiente"/>
        <w:ind w:right="-50"/>
        <w:jc w:val="both"/>
      </w:pPr>
      <w:r>
        <w:t xml:space="preserve">3) Ubicación física de los 55 predios por departamento, municipio para identificar la situación real del inmueble en sitio (Si el mismo hace parte de una vía pública o se encuentra invadido o tiene mejoras construidas). </w:t>
      </w:r>
    </w:p>
    <w:p w14:paraId="317C2E9A" w14:textId="77777777" w:rsidR="000B5CEE" w:rsidRDefault="000B5CEE" w:rsidP="000B5CEE">
      <w:pPr>
        <w:pStyle w:val="Textoindependiente"/>
        <w:ind w:right="-50"/>
        <w:jc w:val="both"/>
      </w:pPr>
    </w:p>
    <w:p w14:paraId="0414A9C8" w14:textId="77777777" w:rsidR="000B5CEE" w:rsidRDefault="000B5CEE" w:rsidP="000B5CEE">
      <w:pPr>
        <w:pStyle w:val="Textoindependiente"/>
        <w:ind w:right="-50"/>
        <w:jc w:val="both"/>
      </w:pPr>
      <w:r>
        <w:t xml:space="preserve">4) Reiterar los oficios a las Secretarías de Hacienda Municipales, donde se encuentran ubicados los inmuebles para saber el valor catastral del predio para su actualización contable. </w:t>
      </w:r>
    </w:p>
    <w:p w14:paraId="27C21D59" w14:textId="77777777" w:rsidR="000B5CEE" w:rsidRDefault="000B5CEE" w:rsidP="000B5CEE">
      <w:pPr>
        <w:pStyle w:val="Textoindependiente"/>
        <w:ind w:right="-50"/>
        <w:jc w:val="both"/>
      </w:pPr>
    </w:p>
    <w:p w14:paraId="5CECA1F1" w14:textId="77777777" w:rsidR="000B5CEE" w:rsidRDefault="000B5CEE" w:rsidP="000B5CEE">
      <w:pPr>
        <w:pStyle w:val="Textoindependiente"/>
        <w:ind w:right="-50"/>
        <w:jc w:val="both"/>
      </w:pPr>
      <w:r>
        <w:t xml:space="preserve">5) Reiterar los oficios de solicitud de transferencia ante el Ministerio de Hacienda y Crédito Público, en cumplimento del art.40 Ley 1955 de 2019. </w:t>
      </w:r>
    </w:p>
    <w:p w14:paraId="7D0D86BE" w14:textId="77777777" w:rsidR="000B5CEE" w:rsidRDefault="000B5CEE" w:rsidP="000B5CEE">
      <w:pPr>
        <w:pStyle w:val="Textoindependiente"/>
        <w:ind w:right="-50"/>
        <w:jc w:val="both"/>
      </w:pPr>
    </w:p>
    <w:p w14:paraId="0AF73252" w14:textId="77777777" w:rsidR="000B5CEE" w:rsidRPr="001D3F61" w:rsidRDefault="000B5CEE" w:rsidP="000B5CEE">
      <w:pPr>
        <w:pStyle w:val="Textoindependiente"/>
        <w:ind w:right="-50"/>
        <w:jc w:val="both"/>
      </w:pPr>
      <w:r>
        <w:lastRenderedPageBreak/>
        <w:t>6) Adelantar levantamiento topográfico y avalúo si se requiere.</w:t>
      </w:r>
    </w:p>
    <w:p w14:paraId="48521AAD" w14:textId="77777777" w:rsidR="000B5CEE" w:rsidRDefault="000B5CEE" w:rsidP="000B5CEE">
      <w:pPr>
        <w:pStyle w:val="Textoindependiente"/>
        <w:ind w:right="-50"/>
        <w:jc w:val="both"/>
      </w:pPr>
    </w:p>
    <w:p w14:paraId="10D6431B" w14:textId="77777777" w:rsidR="000B5CEE" w:rsidRDefault="000B5CEE" w:rsidP="000B5CEE">
      <w:pPr>
        <w:pStyle w:val="Textoindependiente"/>
        <w:ind w:right="-50"/>
        <w:jc w:val="both"/>
      </w:pPr>
      <w:r>
        <w:t xml:space="preserve">7) Preparar los proyectos de Resolución de Registros de los inmuebles a nombre del MT, previa autorización de Minhacienda. </w:t>
      </w:r>
    </w:p>
    <w:p w14:paraId="06D917A3" w14:textId="77777777" w:rsidR="000B5CEE" w:rsidRDefault="000B5CEE" w:rsidP="000B5CEE">
      <w:pPr>
        <w:pStyle w:val="Textoindependiente"/>
        <w:ind w:right="-50"/>
        <w:jc w:val="both"/>
      </w:pPr>
    </w:p>
    <w:p w14:paraId="516C7DDD" w14:textId="77777777" w:rsidR="000B5CEE" w:rsidRDefault="000B5CEE" w:rsidP="000B5CEE">
      <w:pPr>
        <w:pStyle w:val="Textoindependiente"/>
        <w:ind w:right="-50"/>
        <w:jc w:val="both"/>
      </w:pPr>
      <w:r>
        <w:t xml:space="preserve">8) Realizar entrega física de los inmuebles al INVIAS u otra entidad. </w:t>
      </w:r>
    </w:p>
    <w:p w14:paraId="4A256339" w14:textId="77777777" w:rsidR="000B5CEE" w:rsidRDefault="000B5CEE" w:rsidP="000B5CEE">
      <w:pPr>
        <w:pStyle w:val="Textoindependiente"/>
        <w:ind w:right="-50"/>
        <w:jc w:val="both"/>
      </w:pPr>
    </w:p>
    <w:p w14:paraId="175C56AE" w14:textId="77777777" w:rsidR="000B5CEE" w:rsidRDefault="000B5CEE" w:rsidP="000B5CEE">
      <w:pPr>
        <w:pStyle w:val="Textoindependiente"/>
        <w:ind w:right="-50"/>
        <w:jc w:val="both"/>
      </w:pPr>
      <w:r>
        <w:t xml:space="preserve">9) Enviar a contabilidad la información para excluir de los registros contables. </w:t>
      </w:r>
    </w:p>
    <w:p w14:paraId="4C7603F0" w14:textId="77777777" w:rsidR="000B5CEE" w:rsidRDefault="000B5CEE" w:rsidP="000B5CEE">
      <w:pPr>
        <w:pStyle w:val="Textoindependiente"/>
        <w:ind w:right="-50"/>
        <w:jc w:val="both"/>
      </w:pPr>
    </w:p>
    <w:p w14:paraId="6681E6E7" w14:textId="77777777" w:rsidR="000B5CEE" w:rsidRPr="001D3F61" w:rsidRDefault="000B5CEE" w:rsidP="000B5CEE">
      <w:pPr>
        <w:pStyle w:val="Textoindependiente"/>
        <w:ind w:right="-50"/>
        <w:jc w:val="both"/>
      </w:pPr>
      <w:r>
        <w:t>Mediante diferentes comunicaciones enviadas desde los años 2020,2021, 2022,2023,2024 hemos venido solicitando autorización al mencionado Ministerio, para la asignación de esto bienes inmuebles a fin ser registrados a nombre del Ministerio de Transporte, solicitud que se encuentra en evaluación de esa Cartera.</w:t>
      </w:r>
    </w:p>
    <w:p w14:paraId="20840828" w14:textId="77777777" w:rsidR="000B5CEE" w:rsidRDefault="000B5CEE" w:rsidP="000B5CEE">
      <w:pPr>
        <w:pStyle w:val="Textoindependiente"/>
        <w:ind w:right="-50"/>
        <w:jc w:val="both"/>
      </w:pPr>
    </w:p>
    <w:p w14:paraId="0439B104" w14:textId="77777777" w:rsidR="000B5CEE" w:rsidRDefault="000B5CEE" w:rsidP="000B5CEE">
      <w:pPr>
        <w:pStyle w:val="Textoindependiente"/>
        <w:ind w:right="-50"/>
        <w:jc w:val="both"/>
      </w:pPr>
      <w:r>
        <w:t>(…)</w:t>
      </w:r>
    </w:p>
    <w:p w14:paraId="344888B2" w14:textId="77777777" w:rsidR="000B5CEE" w:rsidRDefault="000B5CEE" w:rsidP="000B5CEE">
      <w:pPr>
        <w:pStyle w:val="Textoindependiente"/>
        <w:ind w:right="-50"/>
        <w:jc w:val="both"/>
      </w:pPr>
    </w:p>
    <w:p w14:paraId="5DB0EEE0" w14:textId="77777777" w:rsidR="000B5CEE" w:rsidRDefault="000B5CEE" w:rsidP="000B5CEE">
      <w:pPr>
        <w:pStyle w:val="Textoindependiente"/>
        <w:ind w:right="-50"/>
        <w:jc w:val="both"/>
      </w:pPr>
      <w:r>
        <w:t xml:space="preserve">Una vez registrado el acto administrativo expedido por Minhacienda ante las diferentes oficinas de Registro, el Ministerio de Transporte procederá a elaborar el acto administrativo de transferencia a nombre del Instituto Nacional de Vías- INVIAS y/ o entidad que lo requiera para su funcionamiento. </w:t>
      </w:r>
    </w:p>
    <w:p w14:paraId="67C8FBE3" w14:textId="77777777" w:rsidR="000B5CEE" w:rsidRDefault="000B5CEE" w:rsidP="000B5CEE">
      <w:pPr>
        <w:pStyle w:val="Textoindependiente"/>
        <w:ind w:right="-50"/>
        <w:jc w:val="both"/>
      </w:pPr>
    </w:p>
    <w:p w14:paraId="24741E9D" w14:textId="77777777" w:rsidR="000B5CEE" w:rsidRDefault="000B5CEE" w:rsidP="000B5CEE">
      <w:pPr>
        <w:pStyle w:val="Textoindependiente"/>
        <w:ind w:right="-50"/>
        <w:jc w:val="both"/>
      </w:pPr>
      <w:r>
        <w:t xml:space="preserve">Así mismo y como quiera que estos traspasos se deben realizar con valores que se aproximen al valor real de los inmuebles, de acuerdo con las políticas Internacionales de la Contabilidad Pública y al Manual de Política Contable de la entidad; este Ministerio le solicito al INVIAS con oficio No. 20223201108671 del 23/09/2022, apoyo y colaboración para adelantar los procesos de transferencia de los bienes inmuebles, para lo cual se requiere que los mismos cuenten con valores contables reales, debidamente soportados, bien sea con avalúos catástrales, avalúos comerciales o estimativos del valor del metro cuadrado del sector, teniendo en cuenta que la información contable deberá atender las características cualitativas de razonabilidad, esto es, que dicha información presente los hechos ajustados que incluya la realidad de los hechos financieros debidamente reconocidos y medidos en términos cuantitativos y cualitativos. </w:t>
      </w:r>
    </w:p>
    <w:p w14:paraId="15C73D23" w14:textId="77777777" w:rsidR="000B5CEE" w:rsidRDefault="000B5CEE" w:rsidP="000B5CEE">
      <w:pPr>
        <w:pStyle w:val="Textoindependiente"/>
        <w:ind w:right="-50"/>
        <w:jc w:val="both"/>
      </w:pPr>
    </w:p>
    <w:p w14:paraId="178121DD" w14:textId="77777777" w:rsidR="000B5CEE" w:rsidRDefault="000B5CEE" w:rsidP="000B5CEE">
      <w:pPr>
        <w:pStyle w:val="Textoindependiente"/>
        <w:ind w:right="-50"/>
        <w:jc w:val="both"/>
      </w:pPr>
      <w:r>
        <w:t xml:space="preserve">Aunado a lo antes mencionado este Ministerio no cuenta con el personal técnico especializado para desarrollar esta actividad y además, que estos bienes inmuebles en su gran mayoría son y/o serán requeridos por el Instituto Nacional de Vías – INVIAS, para ser entregados a la Agencia Nacional de Infraestructura – ANI para continuar con los procesos de infraestructura del país. </w:t>
      </w:r>
    </w:p>
    <w:p w14:paraId="4FFCCCF6" w14:textId="77777777" w:rsidR="000B5CEE" w:rsidRDefault="000B5CEE" w:rsidP="000B5CEE">
      <w:pPr>
        <w:pStyle w:val="Textoindependiente"/>
        <w:ind w:right="-50"/>
        <w:jc w:val="both"/>
      </w:pPr>
    </w:p>
    <w:p w14:paraId="304FE39E" w14:textId="77777777" w:rsidR="000B5CEE" w:rsidRDefault="000B5CEE" w:rsidP="000B5CEE">
      <w:pPr>
        <w:pStyle w:val="Textoindependiente"/>
        <w:ind w:right="-50"/>
        <w:jc w:val="both"/>
      </w:pPr>
      <w:r>
        <w:t xml:space="preserve">Estos bienes inmuebles fueron objeto hallazgo por parte de la Auditoria Especial para los Bienes Inmuebles del Ministerio de Transporte, que adelantó la Dirección de Vigilancia Fiscal de la delegada del Sector de Infraestructura de la Contraloría General de la República - CGR vigencia 2022, mediante oficio No. 2022EE0228542 DEL 16-12-2022, donde la mencionada entidad dejo la siguiente observación: </w:t>
      </w:r>
    </w:p>
    <w:p w14:paraId="03DBED9B" w14:textId="77777777" w:rsidR="000B5CEE" w:rsidRDefault="000B5CEE" w:rsidP="000B5CEE">
      <w:pPr>
        <w:pStyle w:val="Textoindependiente"/>
        <w:ind w:right="-50"/>
        <w:jc w:val="both"/>
      </w:pPr>
    </w:p>
    <w:p w14:paraId="2737188B" w14:textId="77777777" w:rsidR="000B5CEE" w:rsidRDefault="000B5CEE" w:rsidP="000B5CEE">
      <w:pPr>
        <w:pStyle w:val="Textoindependiente"/>
        <w:ind w:right="-50"/>
        <w:jc w:val="both"/>
      </w:pPr>
      <w:r>
        <w:t xml:space="preserve">Hallazgo 1. Gestión implementada por el Ministerio de Transporte orientada a la actualización del dominio de 55 bienes inmuebles provenientes de entidades extintas o inexistentes del orden nacional. (A – Otra Incidencia). </w:t>
      </w:r>
    </w:p>
    <w:p w14:paraId="07B5600B" w14:textId="77777777" w:rsidR="000B5CEE" w:rsidRDefault="000B5CEE" w:rsidP="000B5CEE">
      <w:pPr>
        <w:pStyle w:val="Textoindependiente"/>
        <w:ind w:right="-50"/>
        <w:jc w:val="both"/>
      </w:pPr>
    </w:p>
    <w:p w14:paraId="54324DC7" w14:textId="77777777" w:rsidR="000B5CEE" w:rsidRDefault="000B5CEE" w:rsidP="000B5CEE">
      <w:pPr>
        <w:pStyle w:val="Textoindependiente"/>
        <w:ind w:right="-50"/>
        <w:jc w:val="both"/>
      </w:pPr>
      <w:r>
        <w:lastRenderedPageBreak/>
        <w:t xml:space="preserve">Debilidades en la gestión desplegada por parte del Ministerio de Transporte, durante las vigencias 2021 y 2022, orientada a la obtención de los respectivos actos administrativos por parte del Ministerio de Hacienda y Crédito Público, con el fin de dar cumplimiento al artículo 40 de la Ley 1955 de 2019, para los 55 predios que tiene en custodia, provenientes de los Ferrocarriles Nacionales y el Restructurado Ministerio de Obras Públicas y Transporte, lo que ha impactado en la implementación de las acciones de saneamiento y subsecuentemente en el traspaso a las Entidades que los requieren para el desarrollo de su misionalidad. </w:t>
      </w:r>
    </w:p>
    <w:p w14:paraId="28DEA595" w14:textId="77777777" w:rsidR="000B5CEE" w:rsidRDefault="000B5CEE" w:rsidP="000B5CEE">
      <w:pPr>
        <w:pStyle w:val="Textoindependiente"/>
        <w:ind w:right="-50"/>
        <w:jc w:val="both"/>
      </w:pPr>
    </w:p>
    <w:p w14:paraId="00831A40" w14:textId="77777777" w:rsidR="000B5CEE" w:rsidRDefault="000B5CEE" w:rsidP="000B5CEE">
      <w:pPr>
        <w:pStyle w:val="Textoindependiente"/>
        <w:ind w:right="-50"/>
        <w:jc w:val="both"/>
      </w:pPr>
      <w:r>
        <w:t xml:space="preserve">Que no se haya efectuado el traspaso de los 55 predios provenientes de los Ferrocarriles Nacionales y el Restructurado Ministerio de Obras Públicas y Transporte, los cuales fueron recibidos en custodia, y dado lo anterior dichos bienes inmuebles no se encuentran bajo el control de las entidades que los requieren para el desarrollo de su misionalidad, lo cual afecta la eficiencia y oportunidad de los proyectos de infraestructura vial. Para citar un caso los bienes inmuebles identificados con matrículas inmobiliarias 260-140679, 260-141134, 260-145492, 260- 143222, localizados en municipios de Cúcuta, Villa del Rosario, y los Patios, departamento de Norte de Santander, donde la Agencia Nacional de Infraestructura - ANI ha indicado “(…) la transferencia de estos bienes con el fin de continuar con el proyecto vial “Autopista al Mar 2 …”. </w:t>
      </w:r>
    </w:p>
    <w:p w14:paraId="4092C9EA" w14:textId="77777777" w:rsidR="000B5CEE" w:rsidRDefault="000B5CEE" w:rsidP="000B5CEE">
      <w:pPr>
        <w:pStyle w:val="Textoindependiente"/>
        <w:ind w:right="-50"/>
        <w:jc w:val="both"/>
      </w:pPr>
    </w:p>
    <w:p w14:paraId="5A58E67B" w14:textId="77777777" w:rsidR="000B5CEE" w:rsidRDefault="000B5CEE" w:rsidP="000B5CEE">
      <w:pPr>
        <w:pStyle w:val="Textoindependiente"/>
        <w:ind w:right="-50"/>
        <w:jc w:val="both"/>
      </w:pPr>
      <w:r>
        <w:t xml:space="preserve">Este hallazgo fue objeto de un plan de mejoramiento presentado a la CGR, mediante el aplicativo SIRECI el 11 de enero del 2023. Auditoria Especial para los Bienes Inmuebles del Ministerio de Transporte. </w:t>
      </w:r>
    </w:p>
    <w:p w14:paraId="1F8EE523" w14:textId="77777777" w:rsidR="000B5CEE" w:rsidRDefault="000B5CEE" w:rsidP="000B5CEE">
      <w:pPr>
        <w:pStyle w:val="Textoindependiente"/>
        <w:ind w:right="-50"/>
        <w:jc w:val="both"/>
      </w:pPr>
    </w:p>
    <w:p w14:paraId="47F92B22" w14:textId="77777777" w:rsidR="000B5CEE" w:rsidRDefault="000B5CEE" w:rsidP="000B5CEE">
      <w:pPr>
        <w:pStyle w:val="Textoindependiente"/>
        <w:ind w:right="-50"/>
        <w:jc w:val="both"/>
      </w:pPr>
      <w:r>
        <w:t xml:space="preserve">"Durante el segundo trimestre del 2023, se enviaron los siguientes oficios al Ministerio de Hacienda y Crédito Público, reiterando los oficios donde este Ministerio solicitó autorización para registrar los inmuebles a nombre de esta entidad en virtud de lo establecido en el artículo 40 de la ley 1955 de 2019, así: 20233200981871 del 09/09/2023; 20233201078721 del 28/09/2023, 20233201007181 del 12/09/2023,20233201007181 del 12/09/2023; 20233201007181 del 12/09/2023; 20233201007181 del 12/09/2023; 20233201080821 del 29/09/2023, 20233201007221 del 19/09/2023. El día 27/09/2023, se realizó una reunión virtual con funcionarios de la Dirección General de Participación Estatal, de la Oficina Jurídica del Ministerio de Hacienda y Crédito Público, donde se comprometieron a retomar el tema. En el mes de octubre 2023 se enviaron los siguientes oficios a Minhacienda, así: 20233201116111, 20233201133821, 20233201145761,20233201190931. </w:t>
      </w:r>
    </w:p>
    <w:p w14:paraId="3CF892C4" w14:textId="77777777" w:rsidR="000B5CEE" w:rsidRDefault="000B5CEE" w:rsidP="000B5CEE">
      <w:pPr>
        <w:pStyle w:val="Textoindependiente"/>
        <w:ind w:right="-50"/>
        <w:jc w:val="both"/>
      </w:pPr>
    </w:p>
    <w:p w14:paraId="272333C2" w14:textId="77777777" w:rsidR="000B5CEE" w:rsidRDefault="000B5CEE" w:rsidP="000B5CEE">
      <w:pPr>
        <w:pStyle w:val="Textoindependiente"/>
        <w:ind w:right="-50"/>
        <w:jc w:val="both"/>
      </w:pPr>
      <w:r>
        <w:t xml:space="preserve">Para el mes de diciembre del 2023, el Ministerio de Hacienda y Crédito Público, notifica los siguientes actos administrativos donde asigna los siguientes inmuebles al Ministerio de Transporte, así: 1) Con Resol No. 3119 del 30/12/2023 asigna inmuebles en Saldaña – Tolima. 2) Con Resol. No. 3120 del 30/12/2023, asigna un bien inmueble en el Municipio de Tenjo – Cundinamarca. 3) Con Resol. No. 3121 del 30/12/2023, asigna inmueble en la ciudad de Bogotá, D.C., 4) Con Resol. No. 3445 del 28/12/2023, asigna inmueble en el Municipio de Guayabetal – Cundinamarca., 5) Con Resol No. 3443 del 28/12/2023, asigna inmueble en el municipio de Pereira - Risaralda. </w:t>
      </w:r>
    </w:p>
    <w:p w14:paraId="0C85690E" w14:textId="77777777" w:rsidR="000B5CEE" w:rsidRDefault="000B5CEE" w:rsidP="000B5CEE">
      <w:pPr>
        <w:pStyle w:val="Textoindependiente"/>
        <w:ind w:right="-50"/>
        <w:jc w:val="both"/>
      </w:pPr>
    </w:p>
    <w:p w14:paraId="751BEDD0" w14:textId="77777777" w:rsidR="000B5CEE" w:rsidRDefault="000B5CEE" w:rsidP="000B5CEE">
      <w:pPr>
        <w:pStyle w:val="Textoindependiente"/>
        <w:ind w:right="-50"/>
        <w:jc w:val="both"/>
      </w:pPr>
      <w:r>
        <w:t>Actualmente, el Ministerio de Hacienda y Crédito Público adelanta el proceso de registro de los actos administrativos en cada una de las Oficina de Registro de Instrumentos Públicos donde se encuentran ubicados los bienes inmuebles.</w:t>
      </w:r>
    </w:p>
    <w:p w14:paraId="4B7F3973" w14:textId="77777777" w:rsidR="000B5CEE" w:rsidRDefault="000B5CEE" w:rsidP="000B5CEE">
      <w:pPr>
        <w:pStyle w:val="Textoindependiente"/>
        <w:ind w:right="-50"/>
        <w:jc w:val="both"/>
      </w:pPr>
    </w:p>
    <w:p w14:paraId="6ACBD867" w14:textId="77777777" w:rsidR="000B5CEE" w:rsidRPr="009358B8" w:rsidRDefault="000B5CEE" w:rsidP="000B5CEE">
      <w:pPr>
        <w:pStyle w:val="Textoindependiente"/>
        <w:ind w:right="-50"/>
        <w:jc w:val="both"/>
        <w:rPr>
          <w:b/>
        </w:rPr>
      </w:pPr>
      <w:r w:rsidRPr="009358B8">
        <w:rPr>
          <w:b/>
        </w:rPr>
        <w:lastRenderedPageBreak/>
        <w:t>10.2.3 Inmuebles pendientes de legalizar (En poder de CISA – para la venta; Cód. Contable 1.6.05.04 y 1.6.40.27.01</w:t>
      </w:r>
      <w:r>
        <w:rPr>
          <w:b/>
        </w:rPr>
        <w:t>).</w:t>
      </w:r>
    </w:p>
    <w:p w14:paraId="2939C947" w14:textId="77777777" w:rsidR="000B5CEE" w:rsidRDefault="000B5CEE" w:rsidP="000B5CEE">
      <w:pPr>
        <w:pStyle w:val="Textoindependiente"/>
        <w:ind w:right="-50"/>
        <w:jc w:val="both"/>
        <w:rPr>
          <w:b/>
        </w:rPr>
      </w:pPr>
    </w:p>
    <w:p w14:paraId="28EB64F6" w14:textId="77777777" w:rsidR="000B5CEE" w:rsidRDefault="000B5CEE" w:rsidP="000B5CEE">
      <w:pPr>
        <w:pStyle w:val="Textoindependiente"/>
        <w:ind w:right="-50"/>
        <w:jc w:val="both"/>
        <w:rPr>
          <w:b/>
        </w:rPr>
      </w:pPr>
      <w:r>
        <w:t>En el inventario de Bienes Inmuebles del Ministerio de Transporte, existen cinco (5) bienes inmuebles que no los requiere la entidad para el cumplimento de sus funciones, para lo cual y en virtud de los establecido en el artículo 238 de la Ley 1450 de 2011, se procedió a entregarlos a Central de Inversiones CISA, para su comercialización.</w:t>
      </w:r>
    </w:p>
    <w:p w14:paraId="698D05BC" w14:textId="77777777" w:rsidR="000B5CEE" w:rsidRDefault="000B5CEE" w:rsidP="000B5CEE">
      <w:pPr>
        <w:pStyle w:val="Textoindependiente"/>
        <w:ind w:right="-50"/>
        <w:jc w:val="both"/>
        <w:rPr>
          <w:b/>
        </w:rPr>
      </w:pPr>
    </w:p>
    <w:p w14:paraId="6221EB5D" w14:textId="77777777" w:rsidR="000B5CEE" w:rsidRDefault="000B5CEE" w:rsidP="000B5CEE">
      <w:pPr>
        <w:pStyle w:val="Textoindependiente"/>
        <w:ind w:right="-50"/>
        <w:jc w:val="both"/>
      </w:pPr>
      <w:r>
        <w:t xml:space="preserve">De los cinco (5) bienes inmuebles transferidos a CISA, se dio de baja mediante asiento contable de los estados financieros del Ministerio de Transporte en la vigencia 2022, el inmueble conocido como LOTE ISLA DEL ROSARIO, en el corregimiento de Barú – Municipio de Cartagena – Departamento de Bolívar, teniendo en cuenta lo siguiente: </w:t>
      </w:r>
    </w:p>
    <w:p w14:paraId="4A4F4878" w14:textId="77777777" w:rsidR="000B5CEE" w:rsidRDefault="000B5CEE" w:rsidP="000B5CEE">
      <w:pPr>
        <w:pStyle w:val="Textoindependiente"/>
        <w:ind w:right="-50"/>
        <w:jc w:val="both"/>
      </w:pPr>
    </w:p>
    <w:p w14:paraId="5E9BFCD5" w14:textId="77777777" w:rsidR="000B5CEE" w:rsidRDefault="000B5CEE" w:rsidP="000B5CEE">
      <w:pPr>
        <w:pStyle w:val="Textoindependiente"/>
        <w:ind w:right="-50"/>
        <w:jc w:val="both"/>
      </w:pPr>
      <w:r>
        <w:t xml:space="preserve">El Ministerio de Transporte, realizó la transferencia a CISA mediante Resolución de Transferencia No. 5791 del 15-dic-2011, de un lote de terreno en las Islas del Rosario – Barú en la jurisdicción del Municipio de Cartagena – Bolívar, identificado con el FMI- 060- 060-65928. </w:t>
      </w:r>
    </w:p>
    <w:p w14:paraId="213F5E08" w14:textId="77777777" w:rsidR="000B5CEE" w:rsidRDefault="000B5CEE" w:rsidP="000B5CEE">
      <w:pPr>
        <w:pStyle w:val="Textoindependiente"/>
        <w:ind w:right="-50"/>
        <w:jc w:val="both"/>
      </w:pPr>
    </w:p>
    <w:p w14:paraId="17072CE7" w14:textId="77777777" w:rsidR="000B5CEE" w:rsidRDefault="000B5CEE" w:rsidP="000B5CEE">
      <w:pPr>
        <w:pStyle w:val="Textoindependiente"/>
        <w:ind w:right="-50"/>
        <w:jc w:val="both"/>
      </w:pPr>
      <w:r>
        <w:t xml:space="preserve">Mediante Resolución No. 273 del 28/10/2022, “Por la cual se decide una actuación administrativa contra el FMI- 060-65928”, la Oficina de Registros de Instrumentos Públicos de Cartagena, procede a cancelar dos anotaciones en el mencionado folio de matrícula, la anotación No. 4 a nombre del Ministerio de Transporte y la anotación No. 6 a nombre de Central de Inversiones – CISA, por ser un bien inmueble considerado como Baldío. Teniendo en cuenta lo anteriormente expuesto, se recomienda excluir este lote de terreno de la contabilidad del Ministerio de Transporte. </w:t>
      </w:r>
    </w:p>
    <w:p w14:paraId="09526526" w14:textId="77777777" w:rsidR="000B5CEE" w:rsidRDefault="000B5CEE" w:rsidP="000B5CEE">
      <w:pPr>
        <w:pStyle w:val="Textoindependiente"/>
        <w:ind w:right="-50"/>
        <w:jc w:val="both"/>
      </w:pPr>
    </w:p>
    <w:p w14:paraId="38FF245E" w14:textId="77777777" w:rsidR="000B5CEE" w:rsidRDefault="000B5CEE" w:rsidP="000B5CEE">
      <w:pPr>
        <w:pStyle w:val="Textoindependiente"/>
        <w:ind w:right="-50"/>
        <w:jc w:val="both"/>
      </w:pPr>
      <w:r>
        <w:t>Así mismo, mediante oficio No. 20223200933351 el Ministerio de Transporte le solicitó información a CISA, sobre estos bienes inmuebles respondiendo mediante oficio radicado en este Ministerio con el No. 20223031711902 que los bienes inmuebles se encuentran en proceso de saneamiento y además, la mayoría de los bienes presenta altos riesgo por encontrarse en área de amenaza y riesgo hídrico no mitigable.</w:t>
      </w:r>
    </w:p>
    <w:p w14:paraId="2F230184" w14:textId="77777777" w:rsidR="000B5CEE" w:rsidRDefault="000B5CEE" w:rsidP="000B5CEE">
      <w:pPr>
        <w:pStyle w:val="Textoindependiente"/>
        <w:ind w:right="-50"/>
        <w:jc w:val="both"/>
      </w:pPr>
    </w:p>
    <w:p w14:paraId="6CFDF6D9" w14:textId="77777777" w:rsidR="000B5CEE" w:rsidRDefault="000B5CEE" w:rsidP="000B5CEE">
      <w:pPr>
        <w:pStyle w:val="Textoindependiente"/>
        <w:ind w:right="-50"/>
        <w:jc w:val="both"/>
      </w:pPr>
      <w:r w:rsidRPr="00C329BB">
        <w:rPr>
          <w:b/>
        </w:rPr>
        <w:t>10.2.5.1 Revelaciones Adicionales de Bienes Inmuebles</w:t>
      </w:r>
      <w:r>
        <w:rPr>
          <w:b/>
        </w:rPr>
        <w:t xml:space="preserve">: </w:t>
      </w:r>
      <w:r>
        <w:t>En el proceso de la legalización de los bienes inmuebles provenientes de las liquidadas entidades adscritas al Ministerio, se normalizaron cuatro (4) lotes en el municipio de Calarcá- Quindío, adquiridos por el MOPT en el año 1967 y sus valores corresponden a los que figuran en las escrituras públicas de la época (más de 50 años) por un total de $11.621,00. En razón que no se tiene una medida fiable ni un valor razonable, ni se alcanzó a realizar los avalúos técnicos de los mismos, en una mesa de trabajo realizada en la Contaduría General de la Nación el 17 de diciembre de 2018, recomendó dar aplicación al marco normativo en activos y revelar en notas explicativas la situación de estos Terrenos.</w:t>
      </w:r>
    </w:p>
    <w:p w14:paraId="65F3D120" w14:textId="77777777" w:rsidR="000B5CEE" w:rsidRDefault="000B5CEE" w:rsidP="000B5CEE">
      <w:pPr>
        <w:pStyle w:val="Textoindependiente"/>
        <w:ind w:right="-50"/>
        <w:jc w:val="both"/>
      </w:pPr>
    </w:p>
    <w:p w14:paraId="55AAA0D9" w14:textId="77777777" w:rsidR="000B5CEE" w:rsidRDefault="000B5CEE" w:rsidP="000B5CEE">
      <w:pPr>
        <w:pStyle w:val="Textoindependiente"/>
        <w:ind w:right="-50"/>
        <w:jc w:val="both"/>
      </w:pPr>
      <w:r>
        <w:t>Así mismo, no ha sido posible incorpóralos a la contabilidad del Ministerio, porque solo contamos con el número de folio de matrícula inmobiliaria de los mismos, se desconoce la referencia catastral de estos, además los valores que figuran en los folios de matrícula tienen más de 50 años de antigüedad, según el certificado de tradición corresponden a las escrituras públicas que datan del año 1967, los cuales se relacionan a continuación:</w:t>
      </w:r>
    </w:p>
    <w:p w14:paraId="0DE99813" w14:textId="77777777" w:rsidR="000B5CEE" w:rsidRDefault="000B5CEE" w:rsidP="000B5CEE">
      <w:pPr>
        <w:pStyle w:val="Textoindependiente"/>
        <w:ind w:right="-50"/>
        <w:jc w:val="both"/>
      </w:pPr>
    </w:p>
    <w:p w14:paraId="557BD250" w14:textId="77777777" w:rsidR="000B5CEE" w:rsidRDefault="000B5CEE" w:rsidP="00C07FDB">
      <w:pPr>
        <w:pStyle w:val="Textoindependiente"/>
        <w:ind w:right="-50"/>
        <w:jc w:val="center"/>
        <w:rPr>
          <w:b/>
        </w:rPr>
      </w:pPr>
      <w:r w:rsidRPr="00DF22C2">
        <w:rPr>
          <w:b/>
          <w:noProof/>
          <w:lang w:val="es-CO" w:eastAsia="es-CO"/>
        </w:rPr>
        <w:lastRenderedPageBreak/>
        <w:drawing>
          <wp:inline distT="0" distB="0" distL="0" distR="0" wp14:anchorId="7E4E5B1D" wp14:editId="1F0A699D">
            <wp:extent cx="6011114" cy="2086266"/>
            <wp:effectExtent l="0" t="0" r="8890" b="9525"/>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1114" cy="2086266"/>
                    </a:xfrm>
                    <a:prstGeom prst="rect">
                      <a:avLst/>
                    </a:prstGeom>
                  </pic:spPr>
                </pic:pic>
              </a:graphicData>
            </a:graphic>
          </wp:inline>
        </w:drawing>
      </w:r>
    </w:p>
    <w:p w14:paraId="0A4036DC" w14:textId="77777777" w:rsidR="000B5CEE" w:rsidRDefault="000B5CEE" w:rsidP="000B5CEE">
      <w:pPr>
        <w:pStyle w:val="Textoindependiente"/>
        <w:ind w:right="-50"/>
        <w:jc w:val="both"/>
        <w:rPr>
          <w:b/>
        </w:rPr>
      </w:pPr>
    </w:p>
    <w:p w14:paraId="5C8549B2" w14:textId="77777777" w:rsidR="000B5CEE" w:rsidRDefault="000B5CEE" w:rsidP="000B5CEE">
      <w:pPr>
        <w:pStyle w:val="Textoindependiente"/>
        <w:ind w:right="-50"/>
        <w:jc w:val="both"/>
      </w:pPr>
      <w:r>
        <w:t xml:space="preserve">Para efectos de identificar las referencias catastrales de los inmuebles se han realizado las siguientes actividades: </w:t>
      </w:r>
    </w:p>
    <w:p w14:paraId="00691F37" w14:textId="77777777" w:rsidR="000B5CEE" w:rsidRDefault="000B5CEE" w:rsidP="000B5CEE">
      <w:pPr>
        <w:pStyle w:val="Textoindependiente"/>
        <w:ind w:right="-50"/>
        <w:jc w:val="both"/>
      </w:pPr>
    </w:p>
    <w:p w14:paraId="5BDF2385" w14:textId="723E8460" w:rsidR="000B5CEE" w:rsidRDefault="000B5CEE" w:rsidP="000B5CEE">
      <w:pPr>
        <w:pStyle w:val="Textoindependiente"/>
        <w:ind w:right="-50"/>
        <w:jc w:val="both"/>
      </w:pPr>
      <w:r>
        <w:t xml:space="preserve">1) Mediante oficio No. 20213200515351 del 25/05/2021, dirigido al </w:t>
      </w:r>
      <w:r w:rsidR="00C07FDB">
        <w:t>secretario</w:t>
      </w:r>
      <w:r>
        <w:t xml:space="preserve"> de Planeación del Municipio de Calarcá, se le solicita a esa oficina para que nos suministre los números de referencia catastral asociado a cada perdió y su valor catastral vigente. </w:t>
      </w:r>
    </w:p>
    <w:p w14:paraId="1A629B68" w14:textId="77777777" w:rsidR="000B5CEE" w:rsidRDefault="000B5CEE" w:rsidP="000B5CEE">
      <w:pPr>
        <w:pStyle w:val="Textoindependiente"/>
        <w:ind w:right="-50"/>
        <w:jc w:val="both"/>
      </w:pPr>
    </w:p>
    <w:p w14:paraId="53F0B0D5" w14:textId="5A3E9799" w:rsidR="000B5CEE" w:rsidRDefault="000B5CEE" w:rsidP="000B5CEE">
      <w:pPr>
        <w:pStyle w:val="Textoindependiente"/>
        <w:ind w:right="-50"/>
        <w:jc w:val="both"/>
      </w:pPr>
      <w:r>
        <w:t xml:space="preserve">2) Al respecto, mediante oficio radicado en este Ministerio con el No. 20213200515351 del 04/06/2021, el </w:t>
      </w:r>
      <w:r w:rsidR="00C07FDB">
        <w:t>jefe</w:t>
      </w:r>
      <w:r>
        <w:t xml:space="preserve"> de Inventario y Archivo Municipal de Calarcá, envía las escrituras que se describen en el oficio, pero en cuento a las referencias catastrales de los cinco (5) inmuebles, manifiesta que las fichas catastrales de los predios que se mencionan no presentan registros dentro de las bases de datos de ese Municipio. </w:t>
      </w:r>
    </w:p>
    <w:p w14:paraId="53BCC33B" w14:textId="77777777" w:rsidR="000B5CEE" w:rsidRDefault="000B5CEE" w:rsidP="000B5CEE">
      <w:pPr>
        <w:pStyle w:val="Textoindependiente"/>
        <w:ind w:right="-50"/>
        <w:jc w:val="both"/>
      </w:pPr>
    </w:p>
    <w:p w14:paraId="0B9A7ED6" w14:textId="7FC480B9" w:rsidR="000B5CEE" w:rsidRDefault="000B5CEE" w:rsidP="000B5CEE">
      <w:pPr>
        <w:pStyle w:val="Textoindependiente"/>
        <w:ind w:right="-50"/>
        <w:jc w:val="both"/>
      </w:pPr>
      <w:r>
        <w:t xml:space="preserve">3) Con memorando No. 20213200153513 del 22-12-2021, se solicitó a la </w:t>
      </w:r>
      <w:r w:rsidR="00C07FDB">
        <w:t>directora territorial</w:t>
      </w:r>
      <w:r>
        <w:t xml:space="preserve"> Quindío, el apoyo de la abogada de esa Dirección Territorial, para identificar estos bienes inmuebles, quien estuvo en la oficina del Instituto Geográfico Agustín Codazzi – IGAC de Armenia, no siendo posible obtener ninguna información relacionada con estos predios y le solicitaron copia de las escrituras de los predios. Igualmente, en la mencionada oficina le recomendaron que se dirigiera a la Secretaría de Planeación y la Secretaría de Hacienda del Municipio de Calarcá, con el fin de buscar alguna información al respecto. </w:t>
      </w:r>
    </w:p>
    <w:p w14:paraId="0C970FCB" w14:textId="77777777" w:rsidR="00586C6F" w:rsidRDefault="00586C6F" w:rsidP="000B5CEE">
      <w:pPr>
        <w:pStyle w:val="Textoindependiente"/>
        <w:ind w:right="-50"/>
        <w:jc w:val="both"/>
      </w:pPr>
    </w:p>
    <w:p w14:paraId="41008766" w14:textId="77777777" w:rsidR="000B5CEE" w:rsidRDefault="000B5CEE" w:rsidP="000B5CEE">
      <w:pPr>
        <w:pStyle w:val="Textoindependiente"/>
        <w:ind w:right="-50"/>
        <w:jc w:val="both"/>
      </w:pPr>
      <w:r>
        <w:t xml:space="preserve">4) Mediante correo electrónico suscrito por la abogada de la Dirección Territorial Quindío, el día 18 enero de 2022, dirigido a la oficina de Planeación de Calarcá, donde solicita Información - Fichas Catastrales asociadas a Folios de Matrícula Inmobiliaria Nos. 28214210, 28214211, 28214212, 282142213, que NO ha sido posible ubicarlos catastralmente y se deben incorporar a los Estados Contables. (pendiente respuesta). </w:t>
      </w:r>
    </w:p>
    <w:p w14:paraId="4C571B9C" w14:textId="77777777" w:rsidR="000B5CEE" w:rsidRDefault="000B5CEE" w:rsidP="000B5CEE">
      <w:pPr>
        <w:pStyle w:val="Textoindependiente"/>
        <w:ind w:right="-50"/>
        <w:jc w:val="both"/>
      </w:pPr>
    </w:p>
    <w:p w14:paraId="44CB1B6B" w14:textId="6720AE95" w:rsidR="000B5CEE" w:rsidRPr="00C329BB" w:rsidRDefault="000B5CEE" w:rsidP="000B5CEE">
      <w:pPr>
        <w:pStyle w:val="Textoindependiente"/>
        <w:ind w:right="-50"/>
        <w:jc w:val="both"/>
        <w:rPr>
          <w:b/>
        </w:rPr>
      </w:pPr>
      <w:r>
        <w:t xml:space="preserve">5) Con oficio No. 20223630079671 del 2/01/2022, suscrito por la </w:t>
      </w:r>
      <w:r w:rsidR="00C07FDB">
        <w:t>directora territorial</w:t>
      </w:r>
      <w:r>
        <w:t xml:space="preserve"> Quindío, dirigido al IGAC de Armenia, se solicita lo siguiente:</w:t>
      </w:r>
    </w:p>
    <w:p w14:paraId="3EE7B95A" w14:textId="77777777" w:rsidR="000B5CEE" w:rsidRDefault="000B5CEE" w:rsidP="000B5CEE">
      <w:pPr>
        <w:pStyle w:val="Textoindependiente"/>
        <w:ind w:right="-50"/>
        <w:jc w:val="both"/>
        <w:rPr>
          <w:b/>
          <w:lang w:val="es-CO"/>
        </w:rPr>
      </w:pPr>
    </w:p>
    <w:p w14:paraId="5ABE9799" w14:textId="77777777" w:rsidR="000B5CEE" w:rsidRDefault="000B5CEE" w:rsidP="000B5CEE">
      <w:pPr>
        <w:pStyle w:val="Textoindependiente"/>
        <w:ind w:right="-50"/>
        <w:jc w:val="both"/>
      </w:pPr>
      <w:r>
        <w:t xml:space="preserve">“De manera atenta me permito SOLICITAR de su valiosa colaboración, en el sentido de iniciar Actuación Administrativa que permita asignar Ficha Catastral a los Folios de Matrículas Inmobiliarias Nos. 282-14209, 282-14210, 282-14211, 282-14212 y 282-14213, cuyas APERTURAS se realizaron en 1967. Una vez sea asignadas dichas fichas catastrales SOLICITO nos sea suministrada gratuitamente copia del Certificado de Plano Predial y </w:t>
      </w:r>
      <w:r>
        <w:lastRenderedPageBreak/>
        <w:t xml:space="preserve">Certificado de Área y Linderos de dichos predios”. </w:t>
      </w:r>
    </w:p>
    <w:p w14:paraId="5CCAA39E" w14:textId="77777777" w:rsidR="000B5CEE" w:rsidRDefault="000B5CEE" w:rsidP="000B5CEE">
      <w:pPr>
        <w:pStyle w:val="Textoindependiente"/>
        <w:ind w:right="-50"/>
        <w:jc w:val="both"/>
      </w:pPr>
    </w:p>
    <w:p w14:paraId="64F3D8D6" w14:textId="77777777" w:rsidR="000B5CEE" w:rsidRDefault="000B5CEE" w:rsidP="000B5CEE">
      <w:pPr>
        <w:pStyle w:val="Textoindependiente"/>
        <w:ind w:right="-50"/>
        <w:jc w:val="both"/>
      </w:pPr>
      <w:r>
        <w:t xml:space="preserve">Teniendo en cuenta que este Ministerio no cuenta con el personal técnico, ni con equipos para realizar avalúos e identificación física de los cinco (5) lotes de terreno, se procede a solicitar apoyo al INVIAS y a la ANI, en virtud del principio de colaboración armónica que debe existir entre las entidades públicas en virtud del artículo 113 de la Constitución Política de Colombia. </w:t>
      </w:r>
    </w:p>
    <w:p w14:paraId="79D26DEB" w14:textId="77777777" w:rsidR="000B5CEE" w:rsidRDefault="000B5CEE" w:rsidP="000B5CEE">
      <w:pPr>
        <w:pStyle w:val="Textoindependiente"/>
        <w:ind w:right="-50"/>
        <w:jc w:val="both"/>
      </w:pPr>
    </w:p>
    <w:p w14:paraId="18CFCAF5" w14:textId="77777777" w:rsidR="000B5CEE" w:rsidRDefault="000B5CEE" w:rsidP="000B5CEE">
      <w:pPr>
        <w:pStyle w:val="Textoindependiente"/>
        <w:ind w:right="-50"/>
        <w:jc w:val="both"/>
      </w:pPr>
      <w:r>
        <w:t xml:space="preserve">Es así como mediante oficios No. MT No. 20234090894332, 20234090906232 del 10 y 14 de agosto 2023 respectivamente, se solicitó a la ANI colaboración para realizar los levantamientos topográficos y avalúos aproximados de estos lotes de terreno. La ANI mediante oficio radicado en el Ministerio de Transporte, da respuesta en los siguientes términos: “ la Agencia no está facultada legalmente ni tiene funciones relacionadas con la práctica o elaboración de avalúos catastrales ni comerciales, se recomienda que, una vez se cuente con la plena localización e identificación física vs jurídica de los predios, así como la inscripción de estos en la respectiva base catastral, el Ministerio de igual forma solicite al IGAC, a la autoridad o al gestor catastral a cargo del municipio, la determinación de los respectivos avalúos catastrales de dichos predios. En su defecto contemplar la necesidad de solicitar la elaboración de dichos avalúos comerciales por parte evaluadores, gremios o lonjas de propiedad raíz, tal como lo establece el marco normativo aplicable y vigente”. </w:t>
      </w:r>
    </w:p>
    <w:p w14:paraId="76A9D2C5" w14:textId="77777777" w:rsidR="000B5CEE" w:rsidRDefault="000B5CEE" w:rsidP="000B5CEE">
      <w:pPr>
        <w:pStyle w:val="Textoindependiente"/>
        <w:ind w:right="-50"/>
        <w:jc w:val="both"/>
      </w:pPr>
    </w:p>
    <w:p w14:paraId="6C07D17D" w14:textId="77777777" w:rsidR="000B5CEE" w:rsidRDefault="000B5CEE" w:rsidP="000B5CEE">
      <w:pPr>
        <w:pStyle w:val="Textoindependiente"/>
        <w:ind w:right="-50"/>
        <w:jc w:val="both"/>
      </w:pPr>
      <w:r>
        <w:t xml:space="preserve">Igualmente se solicitó apoyo al INVIAS con oficio No.20233200841911, respondiendo esa entidad con el radicado No. 2023S-VBOG-000191 del 2023-08-22, en los siguientes términos: " El INVIAS no cuenta actualmente con equipos GPS para realizar levantamientos con personal técnico propio y para la vía en mención el Instituto tampoco tiene operadores viales que puedan realizar los levantamientos. </w:t>
      </w:r>
    </w:p>
    <w:p w14:paraId="02FCA76B" w14:textId="77777777" w:rsidR="000B5CEE" w:rsidRDefault="000B5CEE" w:rsidP="000B5CEE">
      <w:pPr>
        <w:pStyle w:val="Textoindependiente"/>
        <w:ind w:right="-50"/>
        <w:jc w:val="both"/>
      </w:pPr>
    </w:p>
    <w:p w14:paraId="31AF62DA" w14:textId="77777777" w:rsidR="000B5CEE" w:rsidRDefault="000B5CEE" w:rsidP="000B5CEE">
      <w:pPr>
        <w:pStyle w:val="Textoindependiente"/>
        <w:ind w:right="-50"/>
        <w:jc w:val="both"/>
      </w:pPr>
      <w:r>
        <w:t>Teniendo en cuenta lo anteriormente manifestado por las dos entidades, la Subdirección Administrativa y Financiera, solicitó a diferentes empresas que realizar esta actividad una cotización para realizar los avalúos e identificación física de los lotes ubicados en el Municipio de Calarcá – Quindío, para la vigencia 2024.</w:t>
      </w:r>
    </w:p>
    <w:p w14:paraId="30701AC4" w14:textId="77777777" w:rsidR="000B5CEE" w:rsidRDefault="000B5CEE" w:rsidP="000B5CEE">
      <w:pPr>
        <w:pStyle w:val="Textoindependiente"/>
        <w:ind w:right="-50"/>
        <w:jc w:val="both"/>
      </w:pPr>
    </w:p>
    <w:p w14:paraId="57BFAC51" w14:textId="77777777" w:rsidR="000B5CEE" w:rsidRDefault="000B5CEE" w:rsidP="000B5CEE">
      <w:pPr>
        <w:pStyle w:val="Textoindependiente"/>
        <w:ind w:right="-50"/>
        <w:jc w:val="both"/>
      </w:pPr>
      <w:r>
        <w:t>Tal como se puede evidenciar con las actuaciones antes relacionadas, no ha sido posible suministrar los valores reales de los cinco (5) bienes inmuebles al Grupo de Contabilidad, por cuanto no figuran los bienes inmuebles con referencias catastrales en la oficina de Planeación del Municipio de Calarcá, ni en el Instituto Geográfico Agustín Codazzi IGAC de Armenia, gestión que viene realizando la Subdirección Administrativa y Financiera, con el apoyo de la Dirección Territorial de Armenia – Quindío. Estamos a la espera de respuesta por parte de las dos entidades mencionadas.</w:t>
      </w:r>
    </w:p>
    <w:p w14:paraId="6F427478" w14:textId="77777777" w:rsidR="000B5CEE" w:rsidRDefault="000B5CEE" w:rsidP="000B5CEE">
      <w:pPr>
        <w:pStyle w:val="Textoindependiente"/>
        <w:ind w:right="-50"/>
        <w:jc w:val="both"/>
      </w:pPr>
    </w:p>
    <w:p w14:paraId="637AFFA6" w14:textId="77777777" w:rsidR="000B5CEE" w:rsidRDefault="000B5CEE" w:rsidP="000B5CEE">
      <w:pPr>
        <w:pStyle w:val="Textoindependiente"/>
        <w:ind w:right="-50"/>
        <w:jc w:val="both"/>
      </w:pPr>
      <w:r>
        <w:rPr>
          <w:b/>
        </w:rPr>
        <w:t xml:space="preserve">NOTA 21. CUENTAS POR PAGAR: </w:t>
      </w:r>
    </w:p>
    <w:p w14:paraId="00AE7E6B" w14:textId="77777777" w:rsidR="000B5CEE" w:rsidRDefault="000B5CEE" w:rsidP="000B5CEE">
      <w:pPr>
        <w:pStyle w:val="Textoindependiente"/>
        <w:ind w:right="-50"/>
        <w:jc w:val="both"/>
      </w:pPr>
    </w:p>
    <w:p w14:paraId="41346CB1" w14:textId="77777777" w:rsidR="000B5CEE" w:rsidRDefault="000B5CEE" w:rsidP="000B5CEE">
      <w:pPr>
        <w:pStyle w:val="Textoindependiente"/>
        <w:ind w:right="-50"/>
        <w:jc w:val="both"/>
      </w:pPr>
      <w:r>
        <w:rPr>
          <w:b/>
        </w:rPr>
        <w:t xml:space="preserve">21.7. Créditos Judiciales: </w:t>
      </w:r>
      <w:r>
        <w:t xml:space="preserve">Registra el valor de las obligaciones por concepto de fallos en contra de la entidad, debidamente ejecutoriados, así como los mandamientos ejecutivos, y otras órdenes judiciales falladas a favor de terceros y originadas en litigios de carácter civil, laboral o administrativo. </w:t>
      </w:r>
    </w:p>
    <w:p w14:paraId="133AA762" w14:textId="77777777" w:rsidR="000B5CEE" w:rsidRDefault="000B5CEE" w:rsidP="000B5CEE">
      <w:pPr>
        <w:pStyle w:val="Textoindependiente"/>
        <w:ind w:right="-50"/>
        <w:jc w:val="both"/>
      </w:pPr>
    </w:p>
    <w:p w14:paraId="4C341AD1" w14:textId="77777777" w:rsidR="000B5CEE" w:rsidRDefault="000B5CEE" w:rsidP="000B5CEE">
      <w:pPr>
        <w:pStyle w:val="Textoindependiente"/>
        <w:ind w:right="-50"/>
        <w:jc w:val="both"/>
      </w:pPr>
      <w:r>
        <w:t>El saldo está compuesto así:</w:t>
      </w:r>
    </w:p>
    <w:p w14:paraId="05F590F5" w14:textId="77777777" w:rsidR="000B5CEE" w:rsidRDefault="000B5CEE" w:rsidP="000B5CEE">
      <w:pPr>
        <w:pStyle w:val="Textoindependiente"/>
        <w:ind w:right="-50"/>
        <w:jc w:val="both"/>
      </w:pPr>
    </w:p>
    <w:p w14:paraId="38C6AFFE" w14:textId="77777777" w:rsidR="000B5CEE" w:rsidRDefault="000B5CEE" w:rsidP="000B5CEE">
      <w:pPr>
        <w:pStyle w:val="Textoindependiente"/>
        <w:ind w:right="-50"/>
        <w:jc w:val="center"/>
        <w:rPr>
          <w:b/>
          <w:lang w:val="es-CO"/>
        </w:rPr>
      </w:pPr>
      <w:r w:rsidRPr="00580C55">
        <w:rPr>
          <w:b/>
          <w:noProof/>
          <w:lang w:val="es-CO" w:eastAsia="es-CO"/>
        </w:rPr>
        <w:lastRenderedPageBreak/>
        <w:drawing>
          <wp:inline distT="0" distB="0" distL="0" distR="0" wp14:anchorId="6D826C19" wp14:editId="3F79E089">
            <wp:extent cx="5915851" cy="1428949"/>
            <wp:effectExtent l="0" t="0" r="889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5851" cy="1428949"/>
                    </a:xfrm>
                    <a:prstGeom prst="rect">
                      <a:avLst/>
                    </a:prstGeom>
                  </pic:spPr>
                </pic:pic>
              </a:graphicData>
            </a:graphic>
          </wp:inline>
        </w:drawing>
      </w:r>
    </w:p>
    <w:p w14:paraId="395A6476" w14:textId="77777777" w:rsidR="000B5CEE" w:rsidRDefault="000B5CEE" w:rsidP="000B5CEE">
      <w:pPr>
        <w:pStyle w:val="Textoindependiente"/>
        <w:ind w:right="-50"/>
        <w:jc w:val="both"/>
        <w:rPr>
          <w:b/>
          <w:lang w:val="es-CO"/>
        </w:rPr>
      </w:pPr>
    </w:p>
    <w:p w14:paraId="5BCCDDC1" w14:textId="77777777" w:rsidR="000B5CEE" w:rsidRDefault="000B5CEE" w:rsidP="000B5CEE">
      <w:pPr>
        <w:pStyle w:val="Textoindependiente"/>
        <w:ind w:right="-50"/>
        <w:jc w:val="both"/>
        <w:rPr>
          <w:lang w:val="es-CO"/>
        </w:rPr>
      </w:pPr>
      <w:r>
        <w:rPr>
          <w:b/>
          <w:lang w:val="es-CO"/>
        </w:rPr>
        <w:t xml:space="preserve">NOTA 23. PROVISIONES: </w:t>
      </w:r>
    </w:p>
    <w:p w14:paraId="5D641B9D" w14:textId="77777777" w:rsidR="000B5CEE" w:rsidRDefault="000B5CEE" w:rsidP="000B5CEE">
      <w:pPr>
        <w:pStyle w:val="Textoindependiente"/>
        <w:ind w:right="-50"/>
        <w:jc w:val="both"/>
        <w:rPr>
          <w:lang w:val="es-CO"/>
        </w:rPr>
      </w:pPr>
    </w:p>
    <w:p w14:paraId="64844274" w14:textId="77777777" w:rsidR="000B5CEE" w:rsidRDefault="000B5CEE" w:rsidP="000B5CEE">
      <w:pPr>
        <w:pStyle w:val="Textoindependiente"/>
        <w:ind w:right="-50"/>
        <w:jc w:val="center"/>
        <w:rPr>
          <w:lang w:val="es-CO"/>
        </w:rPr>
      </w:pPr>
      <w:r w:rsidRPr="00720639">
        <w:rPr>
          <w:noProof/>
          <w:lang w:val="es-CO" w:eastAsia="es-CO"/>
        </w:rPr>
        <w:drawing>
          <wp:inline distT="0" distB="0" distL="0" distR="0" wp14:anchorId="41A7BF83" wp14:editId="5B6AD2F7">
            <wp:extent cx="6020640" cy="1000265"/>
            <wp:effectExtent l="0" t="0" r="0" b="9525"/>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20640" cy="1000265"/>
                    </a:xfrm>
                    <a:prstGeom prst="rect">
                      <a:avLst/>
                    </a:prstGeom>
                  </pic:spPr>
                </pic:pic>
              </a:graphicData>
            </a:graphic>
          </wp:inline>
        </w:drawing>
      </w:r>
    </w:p>
    <w:p w14:paraId="40F655F9" w14:textId="77777777" w:rsidR="000B5CEE" w:rsidRDefault="000B5CEE" w:rsidP="000B5CEE">
      <w:pPr>
        <w:pStyle w:val="Textoindependiente"/>
        <w:ind w:right="-50"/>
        <w:jc w:val="both"/>
        <w:rPr>
          <w:lang w:val="es-CO"/>
        </w:rPr>
      </w:pPr>
    </w:p>
    <w:p w14:paraId="454D18A2" w14:textId="77777777" w:rsidR="000B5CEE" w:rsidRDefault="000B5CEE" w:rsidP="000B5CEE">
      <w:pPr>
        <w:pStyle w:val="Textoindependiente"/>
        <w:ind w:right="-50"/>
        <w:jc w:val="both"/>
      </w:pPr>
      <w:r>
        <w:t xml:space="preserve">En la cuenta provisiones se registra el valor estimado de las obligaciones originadas por litigios y demandas en contra de la entidad, de origen Administrativo y laboral. La causación y actualización se realiza de acuerdo a los informes generados y entregados por la Oficina Asesora Jurídica, Grupo de Defensa Judicial del Ministerio del Transporte, con base en el ekogui. </w:t>
      </w:r>
    </w:p>
    <w:p w14:paraId="39B6DD43" w14:textId="77777777" w:rsidR="000B5CEE" w:rsidRDefault="000B5CEE" w:rsidP="000B5CEE">
      <w:pPr>
        <w:pStyle w:val="Textoindependiente"/>
        <w:ind w:right="-50"/>
        <w:jc w:val="both"/>
      </w:pPr>
    </w:p>
    <w:p w14:paraId="37532816" w14:textId="77777777" w:rsidR="000B5CEE" w:rsidRDefault="000B5CEE" w:rsidP="000B5CEE">
      <w:pPr>
        <w:pStyle w:val="Textoindependiente"/>
        <w:ind w:right="-50"/>
        <w:jc w:val="both"/>
      </w:pPr>
      <w:r>
        <w:t>Contiene los procesos en curso en contra de la entidad, con probabilidad de pérdida alta, de acuerdo con los lineamientos del nuevo marco normativo contable para entidades de gobierno, los cuales están registrados en el Sistema Único de Gestión e Información Litigiosa – ekogui, y que alimentan los abogados de Defensa judicial del Ministerio conforme a los artículos 2.2.3.4.1.10 y 2.2.3.4.1.13 del Decreto 1069 de 2015, que establecen las funciones de los apoderados y de los usuarios en general respecto al Sistema EKOGUI. Se registran con los valores de provisión contable y las cifras están actualizadas al corte contable de acuerdo a la información certificada por el grupo jurídico.</w:t>
      </w:r>
    </w:p>
    <w:p w14:paraId="0C35982E" w14:textId="77777777" w:rsidR="000B5CEE" w:rsidRDefault="000B5CEE" w:rsidP="000B5CEE">
      <w:pPr>
        <w:pStyle w:val="Textoindependiente"/>
        <w:ind w:right="-50"/>
        <w:jc w:val="both"/>
      </w:pPr>
    </w:p>
    <w:p w14:paraId="7F1BDB6C" w14:textId="77777777" w:rsidR="000B5CEE" w:rsidRDefault="000B5CEE" w:rsidP="000B5CEE">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6ABDBFB5" w14:textId="77777777" w:rsidR="000B5CEE" w:rsidRDefault="000B5CEE" w:rsidP="000B5CEE">
      <w:pPr>
        <w:pStyle w:val="Textoindependiente"/>
        <w:ind w:right="-50"/>
        <w:jc w:val="both"/>
        <w:rPr>
          <w:b/>
          <w:sz w:val="28"/>
          <w:szCs w:val="28"/>
        </w:rPr>
      </w:pPr>
    </w:p>
    <w:p w14:paraId="0C707E2A" w14:textId="77777777" w:rsidR="000B5CEE" w:rsidRPr="009B2CA9" w:rsidRDefault="000B5CEE" w:rsidP="000B5CEE">
      <w:pPr>
        <w:pStyle w:val="Textoindependiente"/>
        <w:ind w:left="-142" w:right="162"/>
        <w:jc w:val="center"/>
        <w:rPr>
          <w:b/>
        </w:rPr>
      </w:pPr>
      <w:r w:rsidRPr="009B2CA9">
        <w:rPr>
          <w:b/>
        </w:rPr>
        <w:t>Deudores Morosos del Estado del Nivel Nacional</w:t>
      </w:r>
    </w:p>
    <w:p w14:paraId="52A4CAF4" w14:textId="77777777" w:rsidR="000B5CEE" w:rsidRPr="009B2CA9" w:rsidRDefault="000B5CEE" w:rsidP="000B5CEE">
      <w:pPr>
        <w:pStyle w:val="Textoindependiente"/>
        <w:ind w:left="-142" w:right="162"/>
        <w:jc w:val="center"/>
        <w:rPr>
          <w:b/>
        </w:rPr>
      </w:pPr>
      <w:r w:rsidRPr="009B2CA9">
        <w:rPr>
          <w:b/>
        </w:rPr>
        <w:t>Noviembre 30 de 202</w:t>
      </w:r>
      <w:r>
        <w:rPr>
          <w:b/>
        </w:rPr>
        <w:t>4</w:t>
      </w:r>
    </w:p>
    <w:p w14:paraId="170AC73D" w14:textId="77777777" w:rsidR="000B5CEE" w:rsidRDefault="000B5CEE" w:rsidP="000B5CEE">
      <w:pPr>
        <w:pStyle w:val="Textoindependiente"/>
        <w:ind w:left="-142" w:right="162"/>
        <w:jc w:val="center"/>
        <w:rPr>
          <w:b/>
        </w:rPr>
      </w:pPr>
      <w:r w:rsidRPr="009B2CA9">
        <w:rPr>
          <w:b/>
        </w:rPr>
        <w:t>Cifras en miles de millones de pesos</w:t>
      </w:r>
    </w:p>
    <w:p w14:paraId="138A2569" w14:textId="77777777" w:rsidR="000B5CEE" w:rsidRDefault="000B5CEE" w:rsidP="000B5CEE">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0B5CEE" w:rsidRPr="00F93D7B" w14:paraId="2E2A73BA" w14:textId="77777777" w:rsidTr="00874B2D">
        <w:tc>
          <w:tcPr>
            <w:tcW w:w="3908" w:type="dxa"/>
            <w:vAlign w:val="center"/>
          </w:tcPr>
          <w:p w14:paraId="35C9F41A" w14:textId="77777777" w:rsidR="000B5CEE" w:rsidRPr="00F93D7B" w:rsidRDefault="000B5CEE" w:rsidP="00874B2D">
            <w:pPr>
              <w:pStyle w:val="Textoindependiente"/>
              <w:ind w:right="162"/>
              <w:jc w:val="center"/>
              <w:rPr>
                <w:b/>
                <w:sz w:val="18"/>
                <w:szCs w:val="18"/>
              </w:rPr>
            </w:pPr>
            <w:r w:rsidRPr="00F93D7B">
              <w:rPr>
                <w:b/>
                <w:sz w:val="18"/>
                <w:szCs w:val="18"/>
              </w:rPr>
              <w:t>DEUDORES MOROSOS DEL ESTADO POR TIPO DE PERSONA</w:t>
            </w:r>
          </w:p>
          <w:p w14:paraId="1FA663D0" w14:textId="77777777" w:rsidR="000B5CEE" w:rsidRPr="00F93D7B" w:rsidRDefault="000B5CEE" w:rsidP="00874B2D">
            <w:pPr>
              <w:pStyle w:val="Textoindependiente"/>
              <w:ind w:right="162"/>
              <w:jc w:val="center"/>
              <w:rPr>
                <w:b/>
                <w:sz w:val="18"/>
                <w:szCs w:val="18"/>
              </w:rPr>
            </w:pPr>
            <w:r w:rsidRPr="00F93D7B">
              <w:rPr>
                <w:b/>
                <w:sz w:val="18"/>
                <w:szCs w:val="18"/>
              </w:rPr>
              <w:t>NIVEL NACIONAL</w:t>
            </w:r>
          </w:p>
          <w:p w14:paraId="4D4FD849" w14:textId="77777777" w:rsidR="000B5CEE" w:rsidRPr="00F93D7B" w:rsidRDefault="000B5CEE" w:rsidP="00874B2D">
            <w:pPr>
              <w:pStyle w:val="Textoindependiente"/>
              <w:ind w:right="162"/>
              <w:jc w:val="center"/>
              <w:rPr>
                <w:b/>
                <w:sz w:val="18"/>
                <w:szCs w:val="18"/>
              </w:rPr>
            </w:pPr>
          </w:p>
        </w:tc>
        <w:tc>
          <w:tcPr>
            <w:tcW w:w="3120" w:type="dxa"/>
            <w:vAlign w:val="center"/>
          </w:tcPr>
          <w:p w14:paraId="0B294B6E" w14:textId="77777777" w:rsidR="000B5CEE" w:rsidRPr="00F93D7B" w:rsidRDefault="000B5CEE" w:rsidP="00874B2D">
            <w:pPr>
              <w:pStyle w:val="Textoindependiente"/>
              <w:ind w:right="162"/>
              <w:jc w:val="center"/>
              <w:rPr>
                <w:b/>
                <w:sz w:val="18"/>
                <w:szCs w:val="18"/>
              </w:rPr>
            </w:pPr>
            <w:r w:rsidRPr="00F93D7B">
              <w:rPr>
                <w:b/>
                <w:sz w:val="18"/>
                <w:szCs w:val="18"/>
              </w:rPr>
              <w:t>N° DE PERSONAS</w:t>
            </w:r>
          </w:p>
        </w:tc>
        <w:tc>
          <w:tcPr>
            <w:tcW w:w="2939" w:type="dxa"/>
          </w:tcPr>
          <w:p w14:paraId="4A3F6572" w14:textId="77777777" w:rsidR="000B5CEE" w:rsidRPr="00F93D7B" w:rsidRDefault="000B5CEE" w:rsidP="00874B2D">
            <w:pPr>
              <w:pStyle w:val="Textoindependiente"/>
              <w:ind w:right="162"/>
              <w:jc w:val="center"/>
              <w:rPr>
                <w:b/>
                <w:sz w:val="18"/>
                <w:szCs w:val="18"/>
              </w:rPr>
            </w:pPr>
            <w:r w:rsidRPr="00F93D7B">
              <w:rPr>
                <w:b/>
                <w:sz w:val="18"/>
                <w:szCs w:val="18"/>
              </w:rPr>
              <w:t xml:space="preserve">VALOR TOTAL POR TIPO DE PERSONA </w:t>
            </w:r>
          </w:p>
          <w:p w14:paraId="7D239FE0" w14:textId="77777777" w:rsidR="000B5CEE" w:rsidRPr="00F93D7B" w:rsidRDefault="000B5CEE" w:rsidP="00874B2D">
            <w:pPr>
              <w:pStyle w:val="Textoindependiente"/>
              <w:ind w:right="162"/>
              <w:jc w:val="center"/>
              <w:rPr>
                <w:b/>
                <w:sz w:val="18"/>
                <w:szCs w:val="18"/>
              </w:rPr>
            </w:pPr>
            <w:r w:rsidRPr="00F93D7B">
              <w:rPr>
                <w:b/>
                <w:sz w:val="18"/>
                <w:szCs w:val="18"/>
              </w:rPr>
              <w:t xml:space="preserve">DEUDORES MOROSOS DEL ESTADO </w:t>
            </w:r>
          </w:p>
          <w:p w14:paraId="5AB94FEE" w14:textId="77777777" w:rsidR="000B5CEE" w:rsidRPr="00F93D7B" w:rsidRDefault="000B5CEE" w:rsidP="00874B2D">
            <w:pPr>
              <w:pStyle w:val="Textoindependiente"/>
              <w:ind w:right="162"/>
              <w:jc w:val="center"/>
              <w:rPr>
                <w:b/>
                <w:sz w:val="18"/>
                <w:szCs w:val="18"/>
              </w:rPr>
            </w:pPr>
            <w:r w:rsidRPr="00F93D7B">
              <w:rPr>
                <w:b/>
                <w:sz w:val="18"/>
                <w:szCs w:val="18"/>
              </w:rPr>
              <w:t>NIVEL NACIONAL</w:t>
            </w:r>
          </w:p>
          <w:p w14:paraId="123C4B89" w14:textId="77777777" w:rsidR="000B5CEE" w:rsidRPr="00F93D7B" w:rsidRDefault="000B5CEE" w:rsidP="00874B2D">
            <w:pPr>
              <w:pStyle w:val="Textoindependiente"/>
              <w:ind w:right="162"/>
              <w:jc w:val="center"/>
              <w:rPr>
                <w:b/>
                <w:sz w:val="18"/>
                <w:szCs w:val="18"/>
              </w:rPr>
            </w:pPr>
          </w:p>
        </w:tc>
      </w:tr>
      <w:tr w:rsidR="000B5CEE" w:rsidRPr="00F93D7B" w14:paraId="4786A878" w14:textId="77777777" w:rsidTr="00874B2D">
        <w:tc>
          <w:tcPr>
            <w:tcW w:w="3908" w:type="dxa"/>
          </w:tcPr>
          <w:p w14:paraId="2DA67FD0" w14:textId="77777777" w:rsidR="000B5CEE" w:rsidRPr="00F93D7B" w:rsidRDefault="000B5CEE" w:rsidP="00874B2D">
            <w:pPr>
              <w:pStyle w:val="Textoindependiente"/>
              <w:ind w:right="162"/>
              <w:jc w:val="center"/>
              <w:rPr>
                <w:b/>
                <w:sz w:val="18"/>
                <w:szCs w:val="18"/>
              </w:rPr>
            </w:pPr>
            <w:r w:rsidRPr="00F93D7B">
              <w:rPr>
                <w:b/>
                <w:sz w:val="18"/>
                <w:szCs w:val="18"/>
              </w:rPr>
              <w:t>NATURALES</w:t>
            </w:r>
          </w:p>
          <w:p w14:paraId="67820ED9" w14:textId="77777777" w:rsidR="000B5CEE" w:rsidRPr="00F93D7B" w:rsidRDefault="000B5CEE" w:rsidP="00874B2D">
            <w:pPr>
              <w:pStyle w:val="Textoindependiente"/>
              <w:ind w:right="162"/>
              <w:jc w:val="center"/>
              <w:rPr>
                <w:b/>
                <w:sz w:val="18"/>
                <w:szCs w:val="18"/>
              </w:rPr>
            </w:pPr>
          </w:p>
        </w:tc>
        <w:tc>
          <w:tcPr>
            <w:tcW w:w="3120" w:type="dxa"/>
          </w:tcPr>
          <w:p w14:paraId="03809532" w14:textId="77777777" w:rsidR="000B5CEE" w:rsidRPr="00F93D7B" w:rsidRDefault="000B5CEE" w:rsidP="00874B2D">
            <w:pPr>
              <w:pStyle w:val="Textoindependiente"/>
              <w:ind w:right="162"/>
              <w:jc w:val="center"/>
              <w:rPr>
                <w:sz w:val="18"/>
                <w:szCs w:val="18"/>
              </w:rPr>
            </w:pPr>
            <w:r>
              <w:rPr>
                <w:sz w:val="18"/>
                <w:szCs w:val="18"/>
              </w:rPr>
              <w:t>9</w:t>
            </w:r>
          </w:p>
        </w:tc>
        <w:tc>
          <w:tcPr>
            <w:tcW w:w="2939" w:type="dxa"/>
          </w:tcPr>
          <w:p w14:paraId="76E84407" w14:textId="77777777" w:rsidR="000B5CEE" w:rsidRPr="00F93D7B" w:rsidRDefault="000B5CEE" w:rsidP="00874B2D">
            <w:pPr>
              <w:pStyle w:val="Textoindependiente"/>
              <w:ind w:right="162"/>
              <w:jc w:val="right"/>
              <w:rPr>
                <w:sz w:val="18"/>
                <w:szCs w:val="18"/>
              </w:rPr>
            </w:pPr>
            <w:r w:rsidRPr="00F93D7B">
              <w:rPr>
                <w:sz w:val="18"/>
                <w:szCs w:val="18"/>
              </w:rPr>
              <w:t>$</w:t>
            </w:r>
            <w:r>
              <w:rPr>
                <w:sz w:val="18"/>
                <w:szCs w:val="18"/>
              </w:rPr>
              <w:t>0,3597</w:t>
            </w:r>
          </w:p>
        </w:tc>
      </w:tr>
      <w:tr w:rsidR="000B5CEE" w:rsidRPr="00F93D7B" w14:paraId="3C00405B" w14:textId="77777777" w:rsidTr="00874B2D">
        <w:tc>
          <w:tcPr>
            <w:tcW w:w="3908" w:type="dxa"/>
          </w:tcPr>
          <w:p w14:paraId="13F9DB0A" w14:textId="77777777" w:rsidR="000B5CEE" w:rsidRPr="00F93D7B" w:rsidRDefault="000B5CEE" w:rsidP="00874B2D">
            <w:pPr>
              <w:pStyle w:val="Textoindependiente"/>
              <w:ind w:right="162"/>
              <w:jc w:val="center"/>
              <w:rPr>
                <w:b/>
                <w:sz w:val="18"/>
                <w:szCs w:val="18"/>
              </w:rPr>
            </w:pPr>
            <w:r w:rsidRPr="00F93D7B">
              <w:rPr>
                <w:b/>
                <w:sz w:val="18"/>
                <w:szCs w:val="18"/>
              </w:rPr>
              <w:t>JURIDICAS</w:t>
            </w:r>
          </w:p>
        </w:tc>
        <w:tc>
          <w:tcPr>
            <w:tcW w:w="3120" w:type="dxa"/>
          </w:tcPr>
          <w:p w14:paraId="7354C122" w14:textId="77777777" w:rsidR="000B5CEE" w:rsidRPr="00F93D7B" w:rsidRDefault="000B5CEE" w:rsidP="00874B2D">
            <w:pPr>
              <w:pStyle w:val="Textoindependiente"/>
              <w:ind w:right="162"/>
              <w:jc w:val="center"/>
              <w:rPr>
                <w:sz w:val="18"/>
                <w:szCs w:val="18"/>
              </w:rPr>
            </w:pPr>
            <w:r>
              <w:rPr>
                <w:sz w:val="18"/>
                <w:szCs w:val="18"/>
              </w:rPr>
              <w:t>181</w:t>
            </w:r>
          </w:p>
        </w:tc>
        <w:tc>
          <w:tcPr>
            <w:tcW w:w="2939" w:type="dxa"/>
          </w:tcPr>
          <w:p w14:paraId="15821F87" w14:textId="77777777" w:rsidR="000B5CEE" w:rsidRPr="00F93D7B" w:rsidRDefault="000B5CEE" w:rsidP="00874B2D">
            <w:pPr>
              <w:pStyle w:val="Textoindependiente"/>
              <w:ind w:right="162"/>
              <w:jc w:val="right"/>
              <w:rPr>
                <w:sz w:val="18"/>
                <w:szCs w:val="18"/>
              </w:rPr>
            </w:pPr>
            <w:r w:rsidRPr="00F93D7B">
              <w:rPr>
                <w:sz w:val="18"/>
                <w:szCs w:val="18"/>
              </w:rPr>
              <w:t>$</w:t>
            </w:r>
            <w:r>
              <w:rPr>
                <w:sz w:val="18"/>
                <w:szCs w:val="18"/>
              </w:rPr>
              <w:t>96,775</w:t>
            </w:r>
          </w:p>
        </w:tc>
      </w:tr>
      <w:tr w:rsidR="000B5CEE" w:rsidRPr="00F93D7B" w14:paraId="3BF2B24A" w14:textId="77777777" w:rsidTr="00874B2D">
        <w:tc>
          <w:tcPr>
            <w:tcW w:w="3908" w:type="dxa"/>
          </w:tcPr>
          <w:p w14:paraId="70B1B361" w14:textId="77777777" w:rsidR="000B5CEE" w:rsidRPr="00F93D7B" w:rsidRDefault="000B5CEE" w:rsidP="00874B2D">
            <w:pPr>
              <w:pStyle w:val="Textoindependiente"/>
              <w:ind w:right="162"/>
              <w:jc w:val="center"/>
              <w:rPr>
                <w:b/>
                <w:sz w:val="18"/>
                <w:szCs w:val="18"/>
              </w:rPr>
            </w:pPr>
            <w:r w:rsidRPr="00F93D7B">
              <w:rPr>
                <w:b/>
                <w:sz w:val="18"/>
                <w:szCs w:val="18"/>
              </w:rPr>
              <w:lastRenderedPageBreak/>
              <w:t>GRAN TOTAL BDME PERSONAS NATURALES MÁS JURÍDICAS A</w:t>
            </w:r>
            <w:r>
              <w:rPr>
                <w:b/>
                <w:sz w:val="18"/>
                <w:szCs w:val="18"/>
              </w:rPr>
              <w:t xml:space="preserve"> </w:t>
            </w:r>
            <w:r>
              <w:rPr>
                <w:rFonts w:eastAsia="Arial MT"/>
                <w:b/>
                <w:sz w:val="18"/>
                <w:szCs w:val="18"/>
              </w:rPr>
              <w:t>30 DE NOVIEMBRE DE 2024</w:t>
            </w:r>
          </w:p>
        </w:tc>
        <w:tc>
          <w:tcPr>
            <w:tcW w:w="3120" w:type="dxa"/>
          </w:tcPr>
          <w:p w14:paraId="6C3B85A6" w14:textId="77777777" w:rsidR="000B5CEE" w:rsidRPr="00F93D7B" w:rsidRDefault="000B5CEE" w:rsidP="00874B2D">
            <w:pPr>
              <w:pStyle w:val="Textoindependiente"/>
              <w:ind w:right="162"/>
              <w:jc w:val="center"/>
              <w:rPr>
                <w:b/>
                <w:sz w:val="18"/>
                <w:szCs w:val="18"/>
                <w:u w:val="single"/>
              </w:rPr>
            </w:pPr>
            <w:r>
              <w:rPr>
                <w:b/>
                <w:sz w:val="18"/>
                <w:szCs w:val="18"/>
                <w:u w:val="single"/>
              </w:rPr>
              <w:t>190</w:t>
            </w:r>
          </w:p>
        </w:tc>
        <w:tc>
          <w:tcPr>
            <w:tcW w:w="2939" w:type="dxa"/>
          </w:tcPr>
          <w:p w14:paraId="4283236C" w14:textId="77777777" w:rsidR="000B5CEE" w:rsidRPr="00F93D7B" w:rsidRDefault="000B5CEE" w:rsidP="00874B2D">
            <w:pPr>
              <w:pStyle w:val="Textoindependiente"/>
              <w:ind w:right="162"/>
              <w:jc w:val="right"/>
              <w:rPr>
                <w:b/>
                <w:sz w:val="18"/>
                <w:szCs w:val="18"/>
                <w:u w:val="single"/>
              </w:rPr>
            </w:pPr>
            <w:r>
              <w:rPr>
                <w:b/>
                <w:sz w:val="18"/>
                <w:szCs w:val="18"/>
                <w:u w:val="single"/>
              </w:rPr>
              <w:t>$ 97,135</w:t>
            </w:r>
          </w:p>
        </w:tc>
      </w:tr>
    </w:tbl>
    <w:p w14:paraId="68AE825E" w14:textId="77777777" w:rsidR="000B5CEE" w:rsidRPr="009B2CA9" w:rsidRDefault="000B5CEE" w:rsidP="000B5CEE">
      <w:pPr>
        <w:pStyle w:val="Textoindependiente"/>
        <w:ind w:left="-142" w:right="162"/>
        <w:jc w:val="center"/>
        <w:rPr>
          <w:b/>
        </w:rPr>
      </w:pPr>
    </w:p>
    <w:p w14:paraId="09CC46EA" w14:textId="77777777" w:rsidR="000B5CEE" w:rsidRPr="00FD2C26" w:rsidRDefault="000B5CEE" w:rsidP="000B5CEE">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7CC92EA9" w14:textId="77777777" w:rsidR="000B5CEE" w:rsidRPr="00B54567" w:rsidRDefault="000B5CEE" w:rsidP="000B5CEE">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709"/>
        <w:gridCol w:w="4394"/>
        <w:gridCol w:w="4678"/>
      </w:tblGrid>
      <w:tr w:rsidR="000B5CEE" w:rsidRPr="00B54567" w14:paraId="21E505D0" w14:textId="77777777" w:rsidTr="000B67BD">
        <w:tc>
          <w:tcPr>
            <w:tcW w:w="709" w:type="dxa"/>
          </w:tcPr>
          <w:p w14:paraId="4D0FF750" w14:textId="77777777" w:rsidR="000B5CEE" w:rsidRPr="00B54567" w:rsidRDefault="000B5CEE" w:rsidP="00874B2D">
            <w:pPr>
              <w:tabs>
                <w:tab w:val="left" w:pos="875"/>
              </w:tabs>
              <w:ind w:right="-50"/>
              <w:jc w:val="center"/>
              <w:rPr>
                <w:b/>
                <w:sz w:val="20"/>
                <w:szCs w:val="20"/>
              </w:rPr>
            </w:pPr>
            <w:r w:rsidRPr="00B54567">
              <w:rPr>
                <w:b/>
                <w:sz w:val="20"/>
                <w:szCs w:val="20"/>
              </w:rPr>
              <w:t>N°</w:t>
            </w:r>
          </w:p>
        </w:tc>
        <w:tc>
          <w:tcPr>
            <w:tcW w:w="4394" w:type="dxa"/>
          </w:tcPr>
          <w:p w14:paraId="788FA3E2" w14:textId="77777777" w:rsidR="000B5CEE" w:rsidRPr="00B54567" w:rsidRDefault="000B5CEE" w:rsidP="00874B2D">
            <w:pPr>
              <w:tabs>
                <w:tab w:val="left" w:pos="875"/>
              </w:tabs>
              <w:ind w:right="-50"/>
              <w:jc w:val="center"/>
              <w:rPr>
                <w:b/>
                <w:sz w:val="20"/>
                <w:szCs w:val="20"/>
              </w:rPr>
            </w:pPr>
            <w:r w:rsidRPr="00B54567">
              <w:rPr>
                <w:b/>
                <w:sz w:val="20"/>
                <w:szCs w:val="20"/>
              </w:rPr>
              <w:t>Limitaciones detectadas por su entidad en</w:t>
            </w:r>
          </w:p>
          <w:p w14:paraId="398EFD8D" w14:textId="77777777" w:rsidR="000B5CEE" w:rsidRPr="00B54567" w:rsidRDefault="000B5CEE" w:rsidP="00874B2D">
            <w:pPr>
              <w:tabs>
                <w:tab w:val="left" w:pos="875"/>
              </w:tabs>
              <w:ind w:right="-50"/>
              <w:jc w:val="center"/>
              <w:rPr>
                <w:b/>
                <w:sz w:val="20"/>
                <w:szCs w:val="20"/>
              </w:rPr>
            </w:pPr>
            <w:r w:rsidRPr="00B54567">
              <w:rPr>
                <w:b/>
                <w:sz w:val="20"/>
                <w:szCs w:val="20"/>
              </w:rPr>
              <w:t xml:space="preserve"> la aplicación del Marco Normativo - NICSP </w:t>
            </w:r>
          </w:p>
          <w:p w14:paraId="3DA1EC28" w14:textId="77777777" w:rsidR="000B5CEE" w:rsidRDefault="000B5CEE" w:rsidP="00874B2D">
            <w:pPr>
              <w:tabs>
                <w:tab w:val="left" w:pos="875"/>
              </w:tabs>
              <w:ind w:right="-50"/>
              <w:jc w:val="center"/>
              <w:rPr>
                <w:b/>
                <w:sz w:val="20"/>
                <w:szCs w:val="20"/>
              </w:rPr>
            </w:pPr>
            <w:r w:rsidRPr="00B54567">
              <w:rPr>
                <w:b/>
                <w:sz w:val="20"/>
                <w:szCs w:val="20"/>
              </w:rPr>
              <w:t>a 31/12/2024</w:t>
            </w:r>
          </w:p>
          <w:p w14:paraId="07ED7D85" w14:textId="77777777" w:rsidR="000B5CEE" w:rsidRPr="00B54567" w:rsidRDefault="000B5CEE" w:rsidP="00874B2D">
            <w:pPr>
              <w:tabs>
                <w:tab w:val="left" w:pos="875"/>
              </w:tabs>
              <w:ind w:right="-50"/>
              <w:jc w:val="center"/>
              <w:rPr>
                <w:b/>
                <w:sz w:val="20"/>
                <w:szCs w:val="20"/>
              </w:rPr>
            </w:pPr>
          </w:p>
        </w:tc>
        <w:tc>
          <w:tcPr>
            <w:tcW w:w="4678" w:type="dxa"/>
          </w:tcPr>
          <w:p w14:paraId="3CF519A1" w14:textId="77777777" w:rsidR="000B5CEE" w:rsidRPr="00B54567" w:rsidRDefault="000B5CEE" w:rsidP="00874B2D">
            <w:pPr>
              <w:tabs>
                <w:tab w:val="left" w:pos="875"/>
              </w:tabs>
              <w:ind w:right="-50"/>
              <w:jc w:val="center"/>
              <w:rPr>
                <w:b/>
                <w:sz w:val="20"/>
                <w:szCs w:val="20"/>
              </w:rPr>
            </w:pPr>
            <w:r w:rsidRPr="00B54567">
              <w:rPr>
                <w:b/>
                <w:sz w:val="20"/>
                <w:szCs w:val="20"/>
              </w:rPr>
              <w:t>Descripción de la limitación</w:t>
            </w:r>
          </w:p>
        </w:tc>
      </w:tr>
      <w:tr w:rsidR="000B5CEE" w:rsidRPr="00B54567" w14:paraId="2035C67E" w14:textId="77777777" w:rsidTr="000B67BD">
        <w:tc>
          <w:tcPr>
            <w:tcW w:w="709" w:type="dxa"/>
          </w:tcPr>
          <w:p w14:paraId="6A1CCB9C" w14:textId="77777777" w:rsidR="000B5CEE" w:rsidRPr="00B54567" w:rsidRDefault="000B5CEE" w:rsidP="00874B2D">
            <w:pPr>
              <w:tabs>
                <w:tab w:val="left" w:pos="875"/>
              </w:tabs>
              <w:ind w:right="-50"/>
              <w:jc w:val="center"/>
              <w:rPr>
                <w:b/>
                <w:sz w:val="20"/>
                <w:szCs w:val="20"/>
              </w:rPr>
            </w:pPr>
            <w:r>
              <w:rPr>
                <w:b/>
                <w:sz w:val="20"/>
                <w:szCs w:val="20"/>
              </w:rPr>
              <w:t>1</w:t>
            </w:r>
          </w:p>
        </w:tc>
        <w:tc>
          <w:tcPr>
            <w:tcW w:w="4394" w:type="dxa"/>
          </w:tcPr>
          <w:p w14:paraId="6DBC11B6" w14:textId="77777777" w:rsidR="000B5CEE" w:rsidRPr="00B54567" w:rsidRDefault="000B5CEE" w:rsidP="00874B2D">
            <w:pPr>
              <w:tabs>
                <w:tab w:val="left" w:pos="875"/>
              </w:tabs>
              <w:ind w:right="-50"/>
              <w:jc w:val="both"/>
              <w:rPr>
                <w:b/>
                <w:sz w:val="20"/>
                <w:szCs w:val="20"/>
              </w:rPr>
            </w:pPr>
            <w:r w:rsidRPr="00B54567">
              <w:rPr>
                <w:b/>
                <w:sz w:val="20"/>
                <w:szCs w:val="20"/>
              </w:rPr>
              <w:t>Técnicas:</w:t>
            </w:r>
          </w:p>
        </w:tc>
        <w:tc>
          <w:tcPr>
            <w:tcW w:w="4678" w:type="dxa"/>
          </w:tcPr>
          <w:p w14:paraId="63005E7D" w14:textId="77777777" w:rsidR="000B5CEE" w:rsidRPr="00B81DC7" w:rsidRDefault="000B5CEE" w:rsidP="00874B2D">
            <w:pPr>
              <w:tabs>
                <w:tab w:val="left" w:pos="875"/>
              </w:tabs>
              <w:ind w:right="-50"/>
              <w:jc w:val="both"/>
              <w:rPr>
                <w:sz w:val="20"/>
                <w:szCs w:val="20"/>
              </w:rPr>
            </w:pPr>
            <w:r w:rsidRPr="00B81DC7">
              <w:rPr>
                <w:sz w:val="20"/>
                <w:szCs w:val="20"/>
              </w:rPr>
              <w:t>La doctrina contable se publica en la página web de la CGN meses después de su generación o expedición, lo que impide conocer de manera oportuna esta doctrina. Que en algunos casos las respuestas dadas a las consultas o conceptos por la CGN se vuelven generales y requiere de nuevo alcance sobre ella dado que no resuelve a fondo lo consultado por la entidad.</w:t>
            </w:r>
          </w:p>
        </w:tc>
      </w:tr>
      <w:tr w:rsidR="000B5CEE" w:rsidRPr="00B54567" w14:paraId="74C71F4B" w14:textId="77777777" w:rsidTr="000B67BD">
        <w:tc>
          <w:tcPr>
            <w:tcW w:w="709" w:type="dxa"/>
          </w:tcPr>
          <w:p w14:paraId="4A0C8486" w14:textId="77777777" w:rsidR="000B5CEE" w:rsidRPr="00B54567" w:rsidRDefault="000B5CEE" w:rsidP="00874B2D">
            <w:pPr>
              <w:tabs>
                <w:tab w:val="left" w:pos="875"/>
              </w:tabs>
              <w:ind w:right="-50"/>
              <w:jc w:val="center"/>
              <w:rPr>
                <w:b/>
                <w:sz w:val="20"/>
                <w:szCs w:val="20"/>
              </w:rPr>
            </w:pPr>
            <w:r>
              <w:rPr>
                <w:b/>
                <w:sz w:val="20"/>
                <w:szCs w:val="20"/>
              </w:rPr>
              <w:t>2</w:t>
            </w:r>
          </w:p>
        </w:tc>
        <w:tc>
          <w:tcPr>
            <w:tcW w:w="4394" w:type="dxa"/>
          </w:tcPr>
          <w:p w14:paraId="5D44DDB9" w14:textId="77777777" w:rsidR="000B5CEE" w:rsidRPr="00B54567" w:rsidRDefault="000B5CEE" w:rsidP="00874B2D">
            <w:pPr>
              <w:tabs>
                <w:tab w:val="left" w:pos="875"/>
              </w:tabs>
              <w:ind w:right="-50"/>
              <w:jc w:val="both"/>
              <w:rPr>
                <w:b/>
                <w:sz w:val="20"/>
                <w:szCs w:val="20"/>
              </w:rPr>
            </w:pPr>
            <w:r w:rsidRPr="00B54567">
              <w:rPr>
                <w:b/>
                <w:sz w:val="20"/>
                <w:szCs w:val="20"/>
              </w:rPr>
              <w:t>Operativas:</w:t>
            </w:r>
          </w:p>
        </w:tc>
        <w:tc>
          <w:tcPr>
            <w:tcW w:w="4678" w:type="dxa"/>
          </w:tcPr>
          <w:p w14:paraId="35FAE244" w14:textId="77777777" w:rsidR="000B5CEE" w:rsidRPr="00B81DC7" w:rsidRDefault="000B5CEE" w:rsidP="00874B2D">
            <w:pPr>
              <w:tabs>
                <w:tab w:val="left" w:pos="875"/>
              </w:tabs>
              <w:ind w:right="-50"/>
              <w:jc w:val="both"/>
              <w:rPr>
                <w:sz w:val="20"/>
                <w:szCs w:val="20"/>
              </w:rPr>
            </w:pPr>
            <w:r w:rsidRPr="00B81DC7">
              <w:rPr>
                <w:sz w:val="20"/>
                <w:szCs w:val="20"/>
              </w:rPr>
              <w:t>En el caso de las respuestas a las consultas o conceptos la CGN, se toma los tiempos máximos permitidos</w:t>
            </w:r>
          </w:p>
        </w:tc>
      </w:tr>
    </w:tbl>
    <w:p w14:paraId="16088339" w14:textId="77777777" w:rsidR="000B5CEE" w:rsidRPr="00B54567" w:rsidRDefault="000B5CEE" w:rsidP="000B5CEE">
      <w:pPr>
        <w:pStyle w:val="Textoindependiente"/>
        <w:spacing w:before="92"/>
        <w:ind w:left="257" w:right="176"/>
        <w:jc w:val="both"/>
        <w:rPr>
          <w:b/>
        </w:rPr>
      </w:pPr>
    </w:p>
    <w:p w14:paraId="5F9EE8AA" w14:textId="77777777" w:rsidR="000B5CEE" w:rsidRDefault="000B5CEE" w:rsidP="000B5CEE">
      <w:pPr>
        <w:pStyle w:val="Textoindependiente"/>
        <w:ind w:right="-50"/>
        <w:jc w:val="both"/>
        <w:rPr>
          <w:b/>
        </w:rPr>
      </w:pPr>
      <w:r w:rsidRPr="00B54567">
        <w:rPr>
          <w:b/>
        </w:rPr>
        <w:t xml:space="preserve">- CORRECCIÓN DE ERRORES DEL PERIODO CONTABLE ANTERIOR. </w:t>
      </w:r>
    </w:p>
    <w:p w14:paraId="6E509C1E" w14:textId="77777777" w:rsidR="000B5CEE" w:rsidRDefault="000B5CEE" w:rsidP="000B5CEE">
      <w:pPr>
        <w:pStyle w:val="Textoindependiente"/>
        <w:ind w:right="-50"/>
        <w:jc w:val="both"/>
        <w:rPr>
          <w:b/>
        </w:rPr>
      </w:pPr>
    </w:p>
    <w:p w14:paraId="25822D5A" w14:textId="77777777" w:rsidR="000B5CEE" w:rsidRPr="001D402D" w:rsidRDefault="000B5CEE" w:rsidP="000B5CEE">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0E129251" w14:textId="77777777" w:rsidR="000B5CEE" w:rsidRDefault="000B5CEE" w:rsidP="000B5CEE">
      <w:pPr>
        <w:pStyle w:val="Textoindependiente"/>
        <w:ind w:left="-142" w:right="-50"/>
        <w:jc w:val="both"/>
        <w:rPr>
          <w:b/>
        </w:rPr>
      </w:pPr>
    </w:p>
    <w:p w14:paraId="7983DEE0" w14:textId="77777777" w:rsidR="000B5CEE" w:rsidRDefault="000B5CEE" w:rsidP="000B5CEE">
      <w:pPr>
        <w:pStyle w:val="Textoindependiente"/>
        <w:ind w:right="-50"/>
        <w:jc w:val="both"/>
      </w:pPr>
      <w:r>
        <w:t xml:space="preserve">Durante la vigencia 2024 se realizaron ajustes contables asociados a hechos financieros realizados en vigencias anteriores, dentro de las cuales se mencionan los siguientes: </w:t>
      </w:r>
    </w:p>
    <w:p w14:paraId="530A3315" w14:textId="77777777" w:rsidR="000B5CEE" w:rsidRDefault="000B5CEE" w:rsidP="000B5CEE">
      <w:pPr>
        <w:pStyle w:val="Textoindependiente"/>
        <w:ind w:right="-50"/>
        <w:jc w:val="both"/>
      </w:pPr>
    </w:p>
    <w:p w14:paraId="49568246" w14:textId="77777777" w:rsidR="000B5CEE" w:rsidRDefault="000B5CEE" w:rsidP="000B5CEE">
      <w:pPr>
        <w:pStyle w:val="Textoindependiente"/>
        <w:ind w:right="-50"/>
        <w:jc w:val="both"/>
      </w:pPr>
      <w:r>
        <w:t xml:space="preserve">• Ajustes contables realizados por ¡a entidad producto de la creación del Fondo para la Promoción de Ascenso Tecnológico-FOPAT, por los valores (ingresos) que fueron consignados en vigencias anteriores al Ministerio de Hacienda y Crédito Público-MFICP, que se encontraban asociados al Fondo Nacional de Modernización del Parque Automotor de Carga-FOMPACARGA. (Ley 2294 de 2023, se expidió el Plan Nacional de Desarrollo 2022-2026 "Colombia Potencia Mundial de la Vida". </w:t>
      </w:r>
    </w:p>
    <w:p w14:paraId="16D08283" w14:textId="77777777" w:rsidR="000B5CEE" w:rsidRDefault="000B5CEE" w:rsidP="000B5CEE">
      <w:pPr>
        <w:pStyle w:val="Textoindependiente"/>
        <w:ind w:right="-50"/>
        <w:jc w:val="both"/>
      </w:pPr>
    </w:p>
    <w:p w14:paraId="582B8F37" w14:textId="77777777" w:rsidR="000B5CEE" w:rsidRDefault="000B5CEE" w:rsidP="000B5CEE">
      <w:pPr>
        <w:pStyle w:val="Textoindependiente"/>
        <w:ind w:right="-50"/>
        <w:jc w:val="both"/>
      </w:pPr>
      <w:r>
        <w:t xml:space="preserve">• Anulaciones de Ingresos registrados en vigencias anteriores por Derechos de tránsito reconocidos en vigencias anteriores según solicitudes realizadas por el Grupo de Ingresos y Cartera, (con la DTN) </w:t>
      </w:r>
    </w:p>
    <w:p w14:paraId="1A221097" w14:textId="77777777" w:rsidR="000B5CEE" w:rsidRDefault="000B5CEE" w:rsidP="000B5CEE">
      <w:pPr>
        <w:pStyle w:val="Textoindependiente"/>
        <w:ind w:right="-50"/>
        <w:jc w:val="both"/>
      </w:pPr>
    </w:p>
    <w:p w14:paraId="27E34201" w14:textId="77777777" w:rsidR="000B5CEE" w:rsidRDefault="000B5CEE" w:rsidP="000B5CEE">
      <w:pPr>
        <w:pStyle w:val="Textoindependiente"/>
        <w:ind w:right="-50"/>
        <w:jc w:val="both"/>
      </w:pPr>
      <w:r>
        <w:t xml:space="preserve">• Reducción de ingresos reconocidos en períodos anteriores por derechos de tránsito al identificar que los mismos no se encontraban ejecutoriados al haberse interpuesto sobre los mismos los recursos de ley a que tienen derecho los distintos deudores. Producto de ello, dio lugar a reliquidaciones sobre los actos administrativos por cobros a organismos de tránsito del 35% relacionado con especies venales, en las cuales se establece un nuevo valor de la obligación. </w:t>
      </w:r>
    </w:p>
    <w:p w14:paraId="5467EF56" w14:textId="77777777" w:rsidR="000B5CEE" w:rsidRDefault="000B5CEE" w:rsidP="000B5CEE">
      <w:pPr>
        <w:pStyle w:val="Textoindependiente"/>
        <w:ind w:right="-50"/>
        <w:jc w:val="both"/>
      </w:pPr>
    </w:p>
    <w:p w14:paraId="3255A151" w14:textId="77777777" w:rsidR="000B5CEE" w:rsidRDefault="000B5CEE" w:rsidP="000B5CEE">
      <w:pPr>
        <w:pStyle w:val="Textoindependiente"/>
        <w:ind w:right="-50"/>
        <w:jc w:val="both"/>
      </w:pPr>
      <w:r>
        <w:t xml:space="preserve">• Aplicación de recaudos por clasificar de vigencias anteriores por concepto de sobretasa a la gasolina y especies venales. </w:t>
      </w:r>
    </w:p>
    <w:p w14:paraId="1A1A698F" w14:textId="77777777" w:rsidR="000B5CEE" w:rsidRDefault="000B5CEE" w:rsidP="000B5CEE">
      <w:pPr>
        <w:pStyle w:val="Textoindependiente"/>
        <w:ind w:right="-50"/>
        <w:jc w:val="both"/>
      </w:pPr>
    </w:p>
    <w:p w14:paraId="02505138" w14:textId="77777777" w:rsidR="000B5CEE" w:rsidRDefault="000B5CEE" w:rsidP="000B5CEE">
      <w:pPr>
        <w:pStyle w:val="Textoindependiente"/>
        <w:ind w:right="-50"/>
        <w:jc w:val="both"/>
        <w:rPr>
          <w:b/>
        </w:rPr>
      </w:pPr>
      <w:r>
        <w:t>• Ajustes por menores valores pagados por concepto de incapacidades laborales por parte de las distintas empresas prestadoras de salud-EPS.</w:t>
      </w:r>
    </w:p>
    <w:p w14:paraId="5E4882A5" w14:textId="77777777" w:rsidR="000B5CEE" w:rsidRDefault="000B5CEE" w:rsidP="000B5CEE">
      <w:pPr>
        <w:pStyle w:val="Textoindependiente"/>
        <w:ind w:left="-142" w:right="-50"/>
        <w:jc w:val="both"/>
        <w:rPr>
          <w:b/>
        </w:rPr>
      </w:pPr>
    </w:p>
    <w:p w14:paraId="1EC8E1B7" w14:textId="77777777" w:rsidR="000B5CEE" w:rsidRDefault="000B5CEE" w:rsidP="000B5CEE">
      <w:pPr>
        <w:pStyle w:val="Textoindependiente"/>
        <w:ind w:right="-50"/>
        <w:jc w:val="both"/>
        <w:rPr>
          <w:b/>
        </w:rPr>
      </w:pPr>
      <w:r w:rsidRPr="00B54567">
        <w:rPr>
          <w:b/>
        </w:rPr>
        <w:t xml:space="preserve">- DEPURACIÓN DE OPERACIONES RECÍPROCAS. </w:t>
      </w:r>
    </w:p>
    <w:p w14:paraId="1B87F7EF" w14:textId="77777777" w:rsidR="000B5CEE" w:rsidRDefault="000B5CEE" w:rsidP="000B5CEE">
      <w:pPr>
        <w:pStyle w:val="Textoindependiente"/>
        <w:ind w:right="-50"/>
        <w:jc w:val="both"/>
        <w:rPr>
          <w:b/>
        </w:rPr>
      </w:pPr>
    </w:p>
    <w:p w14:paraId="4A3F461E" w14:textId="77777777" w:rsidR="000B5CEE" w:rsidRPr="006A33D3" w:rsidRDefault="000B5CEE" w:rsidP="000B5CEE">
      <w:pPr>
        <w:pStyle w:val="Textoindependiente"/>
        <w:ind w:right="-50"/>
        <w:jc w:val="both"/>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7871D2DF" w14:textId="77777777" w:rsidR="000B5CEE" w:rsidRPr="006A33D3" w:rsidRDefault="000B5CEE" w:rsidP="000B5CEE">
      <w:pPr>
        <w:pStyle w:val="Textoindependiente"/>
        <w:ind w:right="-50"/>
        <w:jc w:val="both"/>
      </w:pPr>
      <w:r w:rsidRPr="006A33D3">
        <w:t>.</w:t>
      </w:r>
    </w:p>
    <w:p w14:paraId="41B3BD62" w14:textId="77777777" w:rsidR="000B5CEE" w:rsidRPr="006A33D3" w:rsidRDefault="000B5CEE" w:rsidP="000B5CEE">
      <w:pPr>
        <w:pStyle w:val="Textoindependiente"/>
        <w:ind w:right="-50"/>
        <w:jc w:val="both"/>
        <w:rPr>
          <w:b/>
          <w:bCs/>
        </w:rPr>
      </w:pPr>
      <w:r w:rsidRPr="006A33D3">
        <w:t>En el Informe de partidas conciliatoria que consolida la Contaduría General de la Nación con corte a 31 de diciembre de 2024, de las 170 entidades que reportó el Ministerio de Transporte en el informe de Operaciones Reciprocas, solamente quince (15) están generando diferencia por inconsistencia en registro según el proceso de consolidación realizado por la Contaduría General de la Nación mediante el aplicativo CHIP; de las partidas conciliatorias, encontramos que once (11) corresponden a Departamentos, por el tema del Fondo de Subsidio Sobretasa a la Gasolina, en razón a que estos Departamentos no están aplicando el principio de causación y devengo para el registro de la obligación y no causan el periodo de diciembre al cierre de la vigencia, para este caso diciembre 2024, aun cuando el Ministerio de Transporte ha realizado circularización a los treinta y dos (32) Departamentos solicitando dejar el periodo de diciembre causado, a lo que se considera como saldo por conciliar "Por el momento del devengo y causación") y en el caso del Departamento de la Guajira, viene sin reportar durante varias vigencias.</w:t>
      </w:r>
    </w:p>
    <w:p w14:paraId="2775228F" w14:textId="77777777" w:rsidR="000B5CEE" w:rsidRPr="006A33D3" w:rsidRDefault="000B5CEE" w:rsidP="000B5CEE">
      <w:pPr>
        <w:pStyle w:val="Textoindependiente"/>
        <w:ind w:right="-50"/>
        <w:jc w:val="both"/>
        <w:rPr>
          <w:b/>
          <w:bCs/>
        </w:rPr>
      </w:pPr>
    </w:p>
    <w:p w14:paraId="53BB8624" w14:textId="77777777" w:rsidR="000B5CEE" w:rsidRPr="006A33D3" w:rsidRDefault="000B5CEE" w:rsidP="000B5CEE">
      <w:pPr>
        <w:pStyle w:val="Textoindependiente"/>
        <w:ind w:right="-50"/>
        <w:jc w:val="both"/>
        <w:rPr>
          <w:b/>
          <w:bCs/>
        </w:rPr>
      </w:pPr>
      <w:r w:rsidRPr="006A33D3">
        <w:t>Las cuatro (4) entidades restantes, para el caso de CISA, se debe al criterio utilizado para el registro en cada entidad, CISA registró en la cuenta de transferencias dos inmuebles y el avión, mientras el Ministerio de Transporte tenía estos registros en cuentas de orden, por lo tanto generó partida conciliatoria; para la segunda Universidad Francisco José de Caldas, registró la cuenta por cobrar 138490 que en las reglas de eliminación se refiere a "Derechos y obligaciones por rendimientos - OTRAS CUENTAS POR COBRAR" y Mintransporte registró la cuenta por pagar en la 240102 Proyectos de inversión, por corresponder a dos números de reglas diferentes, no se eliminaron en la consolidación; para la tercera y cuarta. Municipio de la Paz y San Benito, durante la vigencia 2024 el Ministerio de Transporte no efectuó transacciones con estos municipios, se solicitó el envío de los soportes para verificar la correlación.</w:t>
      </w:r>
    </w:p>
    <w:p w14:paraId="5C15E3C6" w14:textId="77777777" w:rsidR="000B5CEE" w:rsidRPr="006A33D3" w:rsidRDefault="000B5CEE" w:rsidP="000B5CEE">
      <w:pPr>
        <w:pStyle w:val="Textoindependiente"/>
        <w:ind w:right="-50"/>
        <w:jc w:val="both"/>
        <w:rPr>
          <w:b/>
          <w:bCs/>
        </w:rPr>
      </w:pPr>
    </w:p>
    <w:p w14:paraId="4ED014D2" w14:textId="77777777" w:rsidR="000B5CEE" w:rsidRPr="006A33D3" w:rsidRDefault="000B5CEE" w:rsidP="000B5CEE">
      <w:pPr>
        <w:pStyle w:val="Textoindependiente"/>
        <w:ind w:right="-50"/>
        <w:jc w:val="both"/>
      </w:pPr>
      <w:r w:rsidRPr="006A33D3">
        <w:t>Por lo anterior mencionado, las partidas conciliatorias se deben a que las otras entidades contables públicas reportan erróneamente o clasifican concepto y valor que no son correlativos con los registros del Ministerio de Transporte y aún más, no informan ni envían soportes de los registros, ni responden a nuestras solicitudes de conciliación, lo que conlleva a factores externos e inherentes a nuestro control y que son responsabilidad de las otras entidades.</w:t>
      </w:r>
    </w:p>
    <w:p w14:paraId="1FBB99BA" w14:textId="77777777" w:rsidR="000B5CEE" w:rsidRPr="006A33D3" w:rsidRDefault="000B5CEE" w:rsidP="000B5CEE">
      <w:pPr>
        <w:pStyle w:val="Textoindependiente"/>
        <w:ind w:right="-50"/>
        <w:jc w:val="both"/>
      </w:pPr>
    </w:p>
    <w:p w14:paraId="7B053B73" w14:textId="77777777" w:rsidR="000B5CEE" w:rsidRPr="001D402D" w:rsidRDefault="000B5CEE" w:rsidP="000B5CEE">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12C6A48A" w14:textId="77777777" w:rsidR="000B5CEE" w:rsidRDefault="000B5CEE" w:rsidP="000B5CE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0B5CEE" w:rsidRPr="00E648AF" w14:paraId="6D2722F4" w14:textId="77777777" w:rsidTr="00874B2D">
        <w:tc>
          <w:tcPr>
            <w:tcW w:w="4981" w:type="dxa"/>
          </w:tcPr>
          <w:p w14:paraId="69A2FC0D" w14:textId="77777777" w:rsidR="000B5CEE" w:rsidRPr="00E648AF" w:rsidRDefault="000B5CEE" w:rsidP="00874B2D">
            <w:pPr>
              <w:jc w:val="center"/>
              <w:rPr>
                <w:b/>
                <w:sz w:val="24"/>
                <w:szCs w:val="24"/>
                <w:lang w:val="es-MX"/>
              </w:rPr>
            </w:pPr>
            <w:r w:rsidRPr="00E648AF">
              <w:rPr>
                <w:b/>
                <w:sz w:val="24"/>
                <w:szCs w:val="24"/>
                <w:lang w:val="es-MX"/>
              </w:rPr>
              <w:t>AUTOCALIFICACIÓN</w:t>
            </w:r>
          </w:p>
        </w:tc>
        <w:tc>
          <w:tcPr>
            <w:tcW w:w="4981" w:type="dxa"/>
          </w:tcPr>
          <w:p w14:paraId="2CAC6839" w14:textId="77777777" w:rsidR="000B5CEE" w:rsidRPr="00E648AF" w:rsidRDefault="000B5CEE"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88</w:t>
            </w:r>
          </w:p>
        </w:tc>
      </w:tr>
    </w:tbl>
    <w:p w14:paraId="1174D917" w14:textId="77777777" w:rsidR="000B5CEE" w:rsidRDefault="000B5CEE" w:rsidP="000B5CEE">
      <w:pPr>
        <w:pStyle w:val="Textoindependiente"/>
        <w:ind w:right="-50"/>
        <w:jc w:val="both"/>
        <w:rPr>
          <w:b/>
          <w:bCs/>
          <w:sz w:val="28"/>
          <w:szCs w:val="28"/>
        </w:rPr>
      </w:pPr>
    </w:p>
    <w:p w14:paraId="4AB8F0F1" w14:textId="77777777" w:rsidR="000B5CEE" w:rsidRDefault="000B5CEE" w:rsidP="000B5CEE">
      <w:pPr>
        <w:pStyle w:val="Textoindependiente"/>
        <w:ind w:right="-50"/>
        <w:jc w:val="both"/>
        <w:rPr>
          <w:b/>
          <w:bCs/>
          <w:sz w:val="28"/>
          <w:szCs w:val="28"/>
        </w:rPr>
      </w:pPr>
      <w:r>
        <w:rPr>
          <w:b/>
          <w:bCs/>
          <w:sz w:val="28"/>
          <w:szCs w:val="28"/>
        </w:rPr>
        <w:t>Del informe enviado retomamos lo siguiente:</w:t>
      </w:r>
    </w:p>
    <w:p w14:paraId="3400201F" w14:textId="77777777" w:rsidR="000B5CEE" w:rsidRDefault="000B5CEE" w:rsidP="000B5CE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0B5CEE" w:rsidRPr="00740FF1" w14:paraId="1FDC188C" w14:textId="77777777" w:rsidTr="00874B2D">
        <w:tc>
          <w:tcPr>
            <w:tcW w:w="562" w:type="dxa"/>
          </w:tcPr>
          <w:p w14:paraId="03DD258C" w14:textId="77777777" w:rsidR="000B5CEE" w:rsidRPr="00740FF1" w:rsidRDefault="000B5CEE" w:rsidP="00874B2D">
            <w:pPr>
              <w:ind w:right="-109"/>
              <w:jc w:val="center"/>
              <w:rPr>
                <w:b/>
                <w:sz w:val="20"/>
                <w:szCs w:val="20"/>
                <w:lang w:val="es-MX"/>
              </w:rPr>
            </w:pPr>
            <w:r w:rsidRPr="00740FF1">
              <w:rPr>
                <w:b/>
                <w:sz w:val="20"/>
                <w:szCs w:val="20"/>
                <w:lang w:val="es-MX"/>
              </w:rPr>
              <w:t>N°</w:t>
            </w:r>
          </w:p>
        </w:tc>
        <w:tc>
          <w:tcPr>
            <w:tcW w:w="9400" w:type="dxa"/>
          </w:tcPr>
          <w:p w14:paraId="55F62EFE" w14:textId="77777777" w:rsidR="000B5CEE" w:rsidRPr="00E648AF" w:rsidRDefault="000B5CEE" w:rsidP="00874B2D">
            <w:pPr>
              <w:jc w:val="center"/>
              <w:rPr>
                <w:b/>
                <w:sz w:val="24"/>
                <w:szCs w:val="24"/>
                <w:lang w:val="es-MX"/>
              </w:rPr>
            </w:pPr>
            <w:r w:rsidRPr="00E648AF">
              <w:rPr>
                <w:b/>
                <w:sz w:val="24"/>
                <w:szCs w:val="24"/>
                <w:lang w:val="es-MX"/>
              </w:rPr>
              <w:t>DEBILIDADES</w:t>
            </w:r>
          </w:p>
          <w:p w14:paraId="6075BCE2" w14:textId="77777777" w:rsidR="000B5CEE" w:rsidRPr="00740FF1" w:rsidRDefault="000B5CEE" w:rsidP="00874B2D">
            <w:pPr>
              <w:jc w:val="center"/>
              <w:rPr>
                <w:b/>
                <w:sz w:val="20"/>
                <w:szCs w:val="20"/>
                <w:lang w:val="es-MX"/>
              </w:rPr>
            </w:pPr>
          </w:p>
        </w:tc>
      </w:tr>
      <w:tr w:rsidR="000B5CEE" w:rsidRPr="00740FF1" w14:paraId="6F2ABF11" w14:textId="77777777" w:rsidTr="00874B2D">
        <w:tc>
          <w:tcPr>
            <w:tcW w:w="562" w:type="dxa"/>
          </w:tcPr>
          <w:p w14:paraId="59A682A8" w14:textId="77777777" w:rsidR="000B5CEE" w:rsidRPr="00740FF1" w:rsidRDefault="000B5CEE" w:rsidP="00874B2D">
            <w:pPr>
              <w:jc w:val="center"/>
              <w:rPr>
                <w:b/>
                <w:sz w:val="20"/>
                <w:szCs w:val="20"/>
                <w:lang w:val="es-MX"/>
              </w:rPr>
            </w:pPr>
            <w:r w:rsidRPr="00740FF1">
              <w:rPr>
                <w:b/>
                <w:sz w:val="20"/>
                <w:szCs w:val="20"/>
                <w:lang w:val="es-MX"/>
              </w:rPr>
              <w:t>1</w:t>
            </w:r>
          </w:p>
        </w:tc>
        <w:tc>
          <w:tcPr>
            <w:tcW w:w="9400" w:type="dxa"/>
          </w:tcPr>
          <w:p w14:paraId="63EF5207" w14:textId="77777777" w:rsidR="000B5CEE" w:rsidRPr="002E0F71" w:rsidRDefault="000B5CEE" w:rsidP="00874B2D">
            <w:pPr>
              <w:pStyle w:val="Textoindependiente"/>
              <w:ind w:right="-1"/>
              <w:jc w:val="both"/>
              <w:rPr>
                <w:sz w:val="20"/>
                <w:szCs w:val="20"/>
              </w:rPr>
            </w:pPr>
            <w:r w:rsidRPr="002E0F71">
              <w:rPr>
                <w:sz w:val="20"/>
                <w:szCs w:val="20"/>
              </w:rPr>
              <w:t>Falta de compromiso por parte de las dependencias del Ministerio que deben reportar información financiera de manera oportuna y completa.</w:t>
            </w:r>
          </w:p>
        </w:tc>
      </w:tr>
      <w:tr w:rsidR="000B5CEE" w:rsidRPr="00740FF1" w14:paraId="5B0864FF" w14:textId="77777777" w:rsidTr="00874B2D">
        <w:tc>
          <w:tcPr>
            <w:tcW w:w="562" w:type="dxa"/>
          </w:tcPr>
          <w:p w14:paraId="55F0D7ED" w14:textId="77777777" w:rsidR="000B5CEE" w:rsidRPr="00740FF1" w:rsidRDefault="000B5CEE" w:rsidP="00874B2D">
            <w:pPr>
              <w:jc w:val="center"/>
              <w:rPr>
                <w:b/>
                <w:sz w:val="20"/>
                <w:szCs w:val="20"/>
                <w:lang w:val="es-MX"/>
              </w:rPr>
            </w:pPr>
            <w:r w:rsidRPr="00740FF1">
              <w:rPr>
                <w:b/>
                <w:sz w:val="20"/>
                <w:szCs w:val="20"/>
                <w:lang w:val="es-MX"/>
              </w:rPr>
              <w:t>2</w:t>
            </w:r>
          </w:p>
        </w:tc>
        <w:tc>
          <w:tcPr>
            <w:tcW w:w="9400" w:type="dxa"/>
          </w:tcPr>
          <w:p w14:paraId="1398768B" w14:textId="77777777" w:rsidR="000B5CEE" w:rsidRPr="002E0F71" w:rsidRDefault="000B5CEE" w:rsidP="00874B2D">
            <w:pPr>
              <w:pStyle w:val="Textoindependiente"/>
              <w:ind w:right="-1"/>
              <w:jc w:val="both"/>
              <w:rPr>
                <w:sz w:val="20"/>
                <w:szCs w:val="20"/>
              </w:rPr>
            </w:pPr>
            <w:r w:rsidRPr="002E0F71">
              <w:rPr>
                <w:sz w:val="20"/>
                <w:szCs w:val="20"/>
              </w:rPr>
              <w:t>Actualización del manual de política de operación de gestión con relación a los procesos.</w:t>
            </w:r>
          </w:p>
        </w:tc>
      </w:tr>
      <w:tr w:rsidR="000B5CEE" w:rsidRPr="00740FF1" w14:paraId="3A5CAED4" w14:textId="77777777" w:rsidTr="00874B2D">
        <w:tc>
          <w:tcPr>
            <w:tcW w:w="562" w:type="dxa"/>
          </w:tcPr>
          <w:p w14:paraId="6C1774CF" w14:textId="77777777" w:rsidR="000B5CEE" w:rsidRPr="00740FF1" w:rsidRDefault="000B5CEE" w:rsidP="00874B2D">
            <w:pPr>
              <w:jc w:val="center"/>
              <w:rPr>
                <w:b/>
                <w:sz w:val="20"/>
                <w:szCs w:val="20"/>
                <w:lang w:val="es-MX"/>
              </w:rPr>
            </w:pPr>
            <w:r w:rsidRPr="00740FF1">
              <w:rPr>
                <w:b/>
                <w:sz w:val="20"/>
                <w:szCs w:val="20"/>
                <w:lang w:val="es-MX"/>
              </w:rPr>
              <w:t>3</w:t>
            </w:r>
          </w:p>
        </w:tc>
        <w:tc>
          <w:tcPr>
            <w:tcW w:w="9400" w:type="dxa"/>
          </w:tcPr>
          <w:p w14:paraId="5AE911CC" w14:textId="77777777" w:rsidR="000B5CEE" w:rsidRPr="002E0F71" w:rsidRDefault="000B5CEE" w:rsidP="00874B2D">
            <w:pPr>
              <w:pStyle w:val="Textoindependiente"/>
              <w:ind w:right="-1"/>
              <w:jc w:val="both"/>
              <w:rPr>
                <w:sz w:val="20"/>
                <w:szCs w:val="20"/>
              </w:rPr>
            </w:pPr>
            <w:r w:rsidRPr="002E0F71">
              <w:rPr>
                <w:sz w:val="20"/>
                <w:szCs w:val="20"/>
              </w:rPr>
              <w:t>De acuerdo al sistema de indicadores existentes se deben agregar indicadores que midan la gestión financiera de la entidad.</w:t>
            </w:r>
          </w:p>
        </w:tc>
      </w:tr>
      <w:tr w:rsidR="000B5CEE" w:rsidRPr="00740FF1" w14:paraId="08CE8B8F" w14:textId="77777777" w:rsidTr="00874B2D">
        <w:tc>
          <w:tcPr>
            <w:tcW w:w="562" w:type="dxa"/>
          </w:tcPr>
          <w:p w14:paraId="10ABCE30" w14:textId="77777777" w:rsidR="000B5CEE" w:rsidRPr="00740FF1" w:rsidRDefault="000B5CEE" w:rsidP="00874B2D">
            <w:pPr>
              <w:jc w:val="center"/>
              <w:rPr>
                <w:b/>
                <w:sz w:val="20"/>
                <w:szCs w:val="20"/>
                <w:lang w:val="es-MX"/>
              </w:rPr>
            </w:pPr>
            <w:r w:rsidRPr="00740FF1">
              <w:rPr>
                <w:b/>
                <w:sz w:val="20"/>
                <w:szCs w:val="20"/>
                <w:lang w:val="es-MX"/>
              </w:rPr>
              <w:t>4</w:t>
            </w:r>
          </w:p>
        </w:tc>
        <w:tc>
          <w:tcPr>
            <w:tcW w:w="9400" w:type="dxa"/>
          </w:tcPr>
          <w:p w14:paraId="2A11D2BE" w14:textId="77777777" w:rsidR="000B5CEE" w:rsidRPr="002E0F71" w:rsidRDefault="000B5CEE" w:rsidP="00874B2D">
            <w:pPr>
              <w:pStyle w:val="Textoindependiente"/>
              <w:ind w:right="-1"/>
              <w:jc w:val="both"/>
              <w:rPr>
                <w:sz w:val="20"/>
                <w:szCs w:val="20"/>
              </w:rPr>
            </w:pPr>
            <w:r w:rsidRPr="002E0F71">
              <w:rPr>
                <w:sz w:val="20"/>
                <w:szCs w:val="20"/>
              </w:rPr>
              <w:t>Recordar permanente a las áreas generadoras de información contable el envío oportuno de la información financiera y darle cumplimiento al calendario fijado por la Subdirección Administraría y Financiera.</w:t>
            </w:r>
          </w:p>
        </w:tc>
      </w:tr>
      <w:tr w:rsidR="000B5CEE" w:rsidRPr="00740FF1" w14:paraId="190D953B" w14:textId="77777777" w:rsidTr="00874B2D">
        <w:tc>
          <w:tcPr>
            <w:tcW w:w="562" w:type="dxa"/>
          </w:tcPr>
          <w:p w14:paraId="76CC99D4" w14:textId="77777777" w:rsidR="000B5CEE" w:rsidRPr="00740FF1" w:rsidRDefault="000B5CEE" w:rsidP="00874B2D">
            <w:pPr>
              <w:jc w:val="center"/>
              <w:rPr>
                <w:b/>
                <w:sz w:val="20"/>
                <w:szCs w:val="20"/>
                <w:lang w:val="es-MX"/>
              </w:rPr>
            </w:pPr>
            <w:r>
              <w:rPr>
                <w:b/>
                <w:sz w:val="20"/>
                <w:szCs w:val="20"/>
                <w:lang w:val="es-MX"/>
              </w:rPr>
              <w:t>5</w:t>
            </w:r>
          </w:p>
        </w:tc>
        <w:tc>
          <w:tcPr>
            <w:tcW w:w="9400" w:type="dxa"/>
          </w:tcPr>
          <w:p w14:paraId="223652A7" w14:textId="77777777" w:rsidR="000B5CEE" w:rsidRPr="002E0F71" w:rsidRDefault="000B5CEE" w:rsidP="00874B2D">
            <w:pPr>
              <w:pStyle w:val="Textoindependiente"/>
              <w:ind w:right="-1"/>
              <w:jc w:val="both"/>
              <w:rPr>
                <w:sz w:val="20"/>
                <w:szCs w:val="20"/>
              </w:rPr>
            </w:pPr>
            <w:r w:rsidRPr="002E0F71">
              <w:rPr>
                <w:sz w:val="20"/>
                <w:szCs w:val="20"/>
              </w:rPr>
              <w:t>Insuficiente personal de planta para atender el cierre financiero de la vigencia, por cuanto algunas funciones son desempeñadas por personal contratado y que al finalizar el contrato dichas funciones deben ser asumidas por el personal de planta</w:t>
            </w:r>
          </w:p>
        </w:tc>
      </w:tr>
    </w:tbl>
    <w:p w14:paraId="0351EE00" w14:textId="77777777" w:rsidR="000B5CEE" w:rsidRDefault="000B5CEE" w:rsidP="000B5CEE">
      <w:pPr>
        <w:jc w:val="both"/>
        <w:rPr>
          <w:b/>
          <w:sz w:val="28"/>
          <w:szCs w:val="28"/>
          <w:lang w:val="es-MX"/>
        </w:rPr>
      </w:pPr>
      <w:r>
        <w:rPr>
          <w:b/>
          <w:sz w:val="28"/>
          <w:szCs w:val="28"/>
          <w:lang w:val="es-MX"/>
        </w:rPr>
        <w:t>Del citado informe retomamos las siguientes recomendaciones:</w:t>
      </w:r>
    </w:p>
    <w:p w14:paraId="7924268D" w14:textId="77777777" w:rsidR="000B5CEE" w:rsidRDefault="000B5CEE" w:rsidP="000B5CE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0B5CEE" w:rsidRPr="00740FF1" w14:paraId="2BBD4E37" w14:textId="77777777" w:rsidTr="00874B2D">
        <w:tc>
          <w:tcPr>
            <w:tcW w:w="562" w:type="dxa"/>
          </w:tcPr>
          <w:p w14:paraId="7AE7E409" w14:textId="77777777" w:rsidR="000B5CEE" w:rsidRPr="00740FF1" w:rsidRDefault="000B5CEE" w:rsidP="00874B2D">
            <w:pPr>
              <w:ind w:right="-109"/>
              <w:jc w:val="center"/>
              <w:rPr>
                <w:b/>
                <w:sz w:val="20"/>
                <w:szCs w:val="20"/>
                <w:lang w:val="es-MX"/>
              </w:rPr>
            </w:pPr>
            <w:r w:rsidRPr="00740FF1">
              <w:rPr>
                <w:b/>
                <w:sz w:val="20"/>
                <w:szCs w:val="20"/>
                <w:lang w:val="es-MX"/>
              </w:rPr>
              <w:t>N°</w:t>
            </w:r>
          </w:p>
        </w:tc>
        <w:tc>
          <w:tcPr>
            <w:tcW w:w="9400" w:type="dxa"/>
          </w:tcPr>
          <w:p w14:paraId="2D2424EE" w14:textId="77777777" w:rsidR="000B5CEE" w:rsidRPr="00E648AF" w:rsidRDefault="000B5CEE" w:rsidP="00874B2D">
            <w:pPr>
              <w:jc w:val="center"/>
              <w:rPr>
                <w:b/>
                <w:sz w:val="24"/>
                <w:szCs w:val="24"/>
                <w:lang w:val="es-MX"/>
              </w:rPr>
            </w:pPr>
            <w:r w:rsidRPr="00E648AF">
              <w:rPr>
                <w:b/>
                <w:sz w:val="24"/>
                <w:szCs w:val="24"/>
                <w:lang w:val="es-MX"/>
              </w:rPr>
              <w:t>RECOMENDACIONES</w:t>
            </w:r>
          </w:p>
          <w:p w14:paraId="5EA99B72" w14:textId="77777777" w:rsidR="000B5CEE" w:rsidRPr="00740FF1" w:rsidRDefault="000B5CEE" w:rsidP="00874B2D">
            <w:pPr>
              <w:jc w:val="center"/>
              <w:rPr>
                <w:b/>
                <w:sz w:val="20"/>
                <w:szCs w:val="20"/>
                <w:lang w:val="es-MX"/>
              </w:rPr>
            </w:pPr>
          </w:p>
        </w:tc>
      </w:tr>
      <w:tr w:rsidR="000B5CEE" w:rsidRPr="00740FF1" w14:paraId="2393F610" w14:textId="77777777" w:rsidTr="00874B2D">
        <w:tc>
          <w:tcPr>
            <w:tcW w:w="562" w:type="dxa"/>
          </w:tcPr>
          <w:p w14:paraId="186E59BE" w14:textId="77777777" w:rsidR="000B5CEE" w:rsidRPr="00740FF1" w:rsidRDefault="000B5CEE" w:rsidP="00874B2D">
            <w:pPr>
              <w:jc w:val="center"/>
              <w:rPr>
                <w:b/>
                <w:sz w:val="20"/>
                <w:szCs w:val="20"/>
                <w:lang w:val="es-MX"/>
              </w:rPr>
            </w:pPr>
            <w:r w:rsidRPr="00740FF1">
              <w:rPr>
                <w:b/>
                <w:sz w:val="20"/>
                <w:szCs w:val="20"/>
                <w:lang w:val="es-MX"/>
              </w:rPr>
              <w:t>1</w:t>
            </w:r>
          </w:p>
        </w:tc>
        <w:tc>
          <w:tcPr>
            <w:tcW w:w="9400" w:type="dxa"/>
          </w:tcPr>
          <w:p w14:paraId="5C75859E" w14:textId="77777777" w:rsidR="000B5CEE" w:rsidRPr="00FE3E35" w:rsidRDefault="000B5CEE" w:rsidP="00874B2D">
            <w:pPr>
              <w:pStyle w:val="Textoindependiente"/>
              <w:spacing w:line="242" w:lineRule="auto"/>
              <w:ind w:right="-1"/>
              <w:jc w:val="both"/>
              <w:rPr>
                <w:sz w:val="20"/>
                <w:szCs w:val="20"/>
              </w:rPr>
            </w:pPr>
            <w:r w:rsidRPr="00FE3E35">
              <w:rPr>
                <w:sz w:val="20"/>
                <w:szCs w:val="20"/>
              </w:rPr>
              <w:t>Mantener actualizado permanentemente el manual de política contable conforme a las nuevas directrices que emita la C.G.N. y la administración.</w:t>
            </w:r>
          </w:p>
        </w:tc>
      </w:tr>
      <w:tr w:rsidR="000B5CEE" w:rsidRPr="00740FF1" w14:paraId="3FEBCD91" w14:textId="77777777" w:rsidTr="00874B2D">
        <w:tc>
          <w:tcPr>
            <w:tcW w:w="562" w:type="dxa"/>
          </w:tcPr>
          <w:p w14:paraId="7E537A5B" w14:textId="77777777" w:rsidR="000B5CEE" w:rsidRPr="00740FF1" w:rsidRDefault="000B5CEE" w:rsidP="00874B2D">
            <w:pPr>
              <w:jc w:val="center"/>
              <w:rPr>
                <w:b/>
                <w:sz w:val="20"/>
                <w:szCs w:val="20"/>
                <w:lang w:val="es-MX"/>
              </w:rPr>
            </w:pPr>
            <w:r w:rsidRPr="00740FF1">
              <w:rPr>
                <w:b/>
                <w:sz w:val="20"/>
                <w:szCs w:val="20"/>
                <w:lang w:val="es-MX"/>
              </w:rPr>
              <w:t>2</w:t>
            </w:r>
          </w:p>
        </w:tc>
        <w:tc>
          <w:tcPr>
            <w:tcW w:w="9400" w:type="dxa"/>
          </w:tcPr>
          <w:p w14:paraId="6389FE40" w14:textId="77777777" w:rsidR="000B5CEE" w:rsidRPr="00FE3E35" w:rsidRDefault="000B5CEE" w:rsidP="00874B2D">
            <w:pPr>
              <w:pStyle w:val="Textoindependiente"/>
              <w:spacing w:line="242" w:lineRule="auto"/>
              <w:ind w:right="-1"/>
              <w:jc w:val="both"/>
              <w:rPr>
                <w:sz w:val="20"/>
                <w:szCs w:val="20"/>
              </w:rPr>
            </w:pPr>
            <w:r w:rsidRPr="00FE3E35">
              <w:rPr>
                <w:sz w:val="20"/>
                <w:szCs w:val="20"/>
              </w:rPr>
              <w:t>Realizar el cronograma interno de cierres contables mensual y trimestral y socializarlo con las áreas proveedoras de información financiera y velar por su cumplimiento.</w:t>
            </w:r>
          </w:p>
        </w:tc>
      </w:tr>
      <w:tr w:rsidR="000B5CEE" w:rsidRPr="00740FF1" w14:paraId="1634C3E2" w14:textId="77777777" w:rsidTr="00874B2D">
        <w:tc>
          <w:tcPr>
            <w:tcW w:w="562" w:type="dxa"/>
          </w:tcPr>
          <w:p w14:paraId="543A183B" w14:textId="77777777" w:rsidR="000B5CEE" w:rsidRPr="00740FF1" w:rsidRDefault="000B5CEE" w:rsidP="00874B2D">
            <w:pPr>
              <w:jc w:val="center"/>
              <w:rPr>
                <w:b/>
                <w:sz w:val="20"/>
                <w:szCs w:val="20"/>
                <w:lang w:val="es-MX"/>
              </w:rPr>
            </w:pPr>
            <w:r w:rsidRPr="00740FF1">
              <w:rPr>
                <w:b/>
                <w:sz w:val="20"/>
                <w:szCs w:val="20"/>
                <w:lang w:val="es-MX"/>
              </w:rPr>
              <w:t>3</w:t>
            </w:r>
          </w:p>
        </w:tc>
        <w:tc>
          <w:tcPr>
            <w:tcW w:w="9400" w:type="dxa"/>
          </w:tcPr>
          <w:p w14:paraId="53C06021" w14:textId="77777777" w:rsidR="000B5CEE" w:rsidRPr="00FE3E35" w:rsidRDefault="000B5CEE" w:rsidP="00874B2D">
            <w:pPr>
              <w:pStyle w:val="Textoindependiente"/>
              <w:spacing w:line="242" w:lineRule="auto"/>
              <w:ind w:right="-1"/>
              <w:jc w:val="both"/>
              <w:rPr>
                <w:sz w:val="20"/>
                <w:szCs w:val="20"/>
              </w:rPr>
            </w:pPr>
            <w:r w:rsidRPr="00FE3E35">
              <w:rPr>
                <w:sz w:val="20"/>
                <w:szCs w:val="20"/>
              </w:rPr>
              <w:t>Realizar mesas de trabajos para conciliar las cifras que generan las dependencias y que son insumos de información financiera.</w:t>
            </w:r>
          </w:p>
        </w:tc>
      </w:tr>
      <w:tr w:rsidR="000B5CEE" w:rsidRPr="00740FF1" w14:paraId="1DDEC7D5" w14:textId="77777777" w:rsidTr="00874B2D">
        <w:tc>
          <w:tcPr>
            <w:tcW w:w="562" w:type="dxa"/>
          </w:tcPr>
          <w:p w14:paraId="014B6C2E" w14:textId="77777777" w:rsidR="000B5CEE" w:rsidRPr="00740FF1" w:rsidRDefault="000B5CEE" w:rsidP="00874B2D">
            <w:pPr>
              <w:jc w:val="center"/>
              <w:rPr>
                <w:b/>
                <w:sz w:val="20"/>
                <w:szCs w:val="20"/>
                <w:lang w:val="es-MX"/>
              </w:rPr>
            </w:pPr>
            <w:r w:rsidRPr="00740FF1">
              <w:rPr>
                <w:b/>
                <w:sz w:val="20"/>
                <w:szCs w:val="20"/>
                <w:lang w:val="es-MX"/>
              </w:rPr>
              <w:t>4</w:t>
            </w:r>
          </w:p>
        </w:tc>
        <w:tc>
          <w:tcPr>
            <w:tcW w:w="9400" w:type="dxa"/>
          </w:tcPr>
          <w:p w14:paraId="4581C13B" w14:textId="77777777" w:rsidR="000B5CEE" w:rsidRPr="002F720C" w:rsidRDefault="000B5CEE" w:rsidP="00874B2D">
            <w:pPr>
              <w:pStyle w:val="Textoindependiente"/>
              <w:spacing w:line="242" w:lineRule="auto"/>
              <w:ind w:right="-1"/>
              <w:jc w:val="both"/>
              <w:rPr>
                <w:sz w:val="20"/>
                <w:szCs w:val="20"/>
              </w:rPr>
            </w:pPr>
            <w:r w:rsidRPr="00FE3E35">
              <w:rPr>
                <w:sz w:val="20"/>
                <w:szCs w:val="20"/>
              </w:rPr>
              <w:t>Continuar con el análisis y la depuración de las cifras de los estados financieros.</w:t>
            </w:r>
          </w:p>
        </w:tc>
      </w:tr>
    </w:tbl>
    <w:p w14:paraId="06A4FBB1" w14:textId="77777777" w:rsidR="000B5CEE" w:rsidRDefault="000B5CEE" w:rsidP="000B5CEE">
      <w:pPr>
        <w:pStyle w:val="Textoindependiente"/>
        <w:ind w:right="-50"/>
        <w:jc w:val="both"/>
        <w:rPr>
          <w:b/>
          <w:bCs/>
          <w:sz w:val="28"/>
          <w:szCs w:val="28"/>
        </w:rPr>
      </w:pPr>
    </w:p>
    <w:p w14:paraId="02586974" w14:textId="77777777" w:rsidR="000B5CEE" w:rsidRPr="0067097C" w:rsidRDefault="000B5CEE" w:rsidP="000B5CEE">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768DA562" w14:textId="66CC2553" w:rsidR="009F68D9" w:rsidRDefault="009F68D9" w:rsidP="007A08F1">
      <w:pPr>
        <w:rPr>
          <w:lang w:val="es-CO"/>
        </w:rPr>
      </w:pPr>
    </w:p>
    <w:p w14:paraId="436C4C57" w14:textId="77777777" w:rsidR="00586C6F" w:rsidRDefault="00586C6F" w:rsidP="00586C6F">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CB9873D" w14:textId="77777777" w:rsidR="00586C6F" w:rsidRPr="00B54567" w:rsidRDefault="00586C6F" w:rsidP="00586C6F">
      <w:pPr>
        <w:tabs>
          <w:tab w:val="left" w:pos="2265"/>
          <w:tab w:val="left" w:pos="5293"/>
          <w:tab w:val="left" w:pos="7458"/>
          <w:tab w:val="left" w:pos="9541"/>
        </w:tabs>
        <w:spacing w:before="92"/>
        <w:ind w:right="49"/>
        <w:jc w:val="both"/>
        <w:rPr>
          <w:b/>
          <w:sz w:val="28"/>
          <w:szCs w:val="28"/>
        </w:rPr>
      </w:pPr>
    </w:p>
    <w:p w14:paraId="6485FCA2" w14:textId="0CBA1A7A" w:rsidR="00586C6F" w:rsidRPr="00B54567" w:rsidRDefault="00586C6F" w:rsidP="00586C6F">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w:t>
      </w:r>
      <w:r w:rsidRPr="00B54567">
        <w:rPr>
          <w:b/>
          <w:sz w:val="28"/>
          <w:szCs w:val="28"/>
        </w:rPr>
        <w:lastRenderedPageBreak/>
        <w:t xml:space="preserve">correo </w:t>
      </w:r>
      <w:hyperlink r:id="rId16" w:history="1">
        <w:r w:rsidR="00C21257" w:rsidRPr="008276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7" w:history="1">
        <w:r w:rsidRPr="00B54567">
          <w:rPr>
            <w:rStyle w:val="Hipervnculo"/>
            <w:b/>
            <w:sz w:val="28"/>
            <w:szCs w:val="28"/>
            <w:u w:val="thick" w:color="0000FF"/>
          </w:rPr>
          <w:t>fabian.trujillo@camara.gov.co</w:t>
        </w:r>
      </w:hyperlink>
    </w:p>
    <w:p w14:paraId="0339CC04" w14:textId="77777777" w:rsidR="00586C6F" w:rsidRPr="00B54567" w:rsidRDefault="00586C6F" w:rsidP="00586C6F">
      <w:pPr>
        <w:tabs>
          <w:tab w:val="left" w:pos="8985"/>
        </w:tabs>
        <w:ind w:right="49"/>
        <w:jc w:val="both"/>
        <w:rPr>
          <w:b/>
          <w:sz w:val="28"/>
          <w:szCs w:val="28"/>
        </w:rPr>
      </w:pPr>
    </w:p>
    <w:p w14:paraId="5B545DEA" w14:textId="77777777" w:rsidR="00586C6F" w:rsidRDefault="00586C6F" w:rsidP="00586C6F">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4EA3B725" w14:textId="77777777" w:rsidR="00586C6F" w:rsidRDefault="00586C6F" w:rsidP="00586C6F">
      <w:pPr>
        <w:tabs>
          <w:tab w:val="left" w:pos="834"/>
        </w:tabs>
        <w:spacing w:before="91"/>
        <w:ind w:right="49"/>
        <w:jc w:val="both"/>
        <w:rPr>
          <w:b/>
          <w:spacing w:val="-15"/>
          <w:sz w:val="28"/>
          <w:szCs w:val="28"/>
        </w:rPr>
      </w:pPr>
    </w:p>
    <w:p w14:paraId="79B5EED0" w14:textId="77777777" w:rsidR="00586C6F" w:rsidRPr="009D3600" w:rsidRDefault="00586C6F" w:rsidP="00586C6F">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5397A2BD" w14:textId="77777777" w:rsidR="00586C6F" w:rsidRPr="00B54567" w:rsidRDefault="00586C6F" w:rsidP="00586C6F">
      <w:pPr>
        <w:pStyle w:val="Textoindependiente"/>
        <w:ind w:right="49"/>
        <w:rPr>
          <w:sz w:val="28"/>
          <w:szCs w:val="28"/>
        </w:rPr>
      </w:pPr>
    </w:p>
    <w:p w14:paraId="23596539" w14:textId="75229323" w:rsidR="00586C6F" w:rsidRDefault="00586C6F" w:rsidP="000B67BD">
      <w:pPr>
        <w:pStyle w:val="Textoindependiente"/>
        <w:ind w:right="49"/>
        <w:rPr>
          <w:sz w:val="28"/>
          <w:szCs w:val="28"/>
        </w:rPr>
      </w:pPr>
      <w:r w:rsidRPr="00B54567">
        <w:rPr>
          <w:sz w:val="28"/>
          <w:szCs w:val="28"/>
        </w:rPr>
        <w:t>Atentamente,</w:t>
      </w:r>
    </w:p>
    <w:p w14:paraId="4A7394FC" w14:textId="4F275758" w:rsidR="000B67BD" w:rsidRDefault="000B67BD" w:rsidP="000B67BD">
      <w:pPr>
        <w:pStyle w:val="Textoindependiente"/>
        <w:ind w:right="49"/>
        <w:rPr>
          <w:sz w:val="28"/>
          <w:szCs w:val="28"/>
        </w:rPr>
      </w:pPr>
    </w:p>
    <w:p w14:paraId="334EB5F8" w14:textId="6DA7AD41" w:rsidR="000B67BD" w:rsidRDefault="000B67BD" w:rsidP="000B67BD">
      <w:pPr>
        <w:pStyle w:val="Textoindependiente"/>
        <w:ind w:right="49"/>
        <w:rPr>
          <w:sz w:val="28"/>
          <w:szCs w:val="28"/>
        </w:rPr>
      </w:pPr>
    </w:p>
    <w:p w14:paraId="54AE7F5D" w14:textId="4558EA3A" w:rsidR="000B67BD" w:rsidRDefault="000B67BD" w:rsidP="000B67BD">
      <w:pPr>
        <w:pStyle w:val="Textoindependiente"/>
        <w:ind w:right="49"/>
        <w:rPr>
          <w:sz w:val="28"/>
          <w:szCs w:val="28"/>
        </w:rPr>
      </w:pPr>
    </w:p>
    <w:p w14:paraId="7F1E8BEF" w14:textId="51EB39FF" w:rsidR="000B67BD" w:rsidRDefault="000B67BD" w:rsidP="000B67BD">
      <w:pPr>
        <w:pStyle w:val="Textoindependiente"/>
        <w:ind w:right="49"/>
        <w:rPr>
          <w:sz w:val="28"/>
          <w:szCs w:val="28"/>
        </w:rPr>
      </w:pPr>
    </w:p>
    <w:p w14:paraId="481CD450" w14:textId="1509D163" w:rsidR="000B67BD" w:rsidRDefault="000B67BD" w:rsidP="000B67BD">
      <w:pPr>
        <w:pStyle w:val="Textoindependiente"/>
        <w:ind w:right="49"/>
        <w:rPr>
          <w:sz w:val="28"/>
          <w:szCs w:val="28"/>
        </w:rPr>
      </w:pPr>
    </w:p>
    <w:p w14:paraId="6FEDFDC0" w14:textId="77777777" w:rsidR="006A20C5" w:rsidRDefault="006A20C5" w:rsidP="006A20C5">
      <w:pPr>
        <w:pStyle w:val="Textoindependiente"/>
        <w:jc w:val="center"/>
        <w:rPr>
          <w:i/>
          <w:iCs/>
        </w:rPr>
      </w:pPr>
      <w:r>
        <w:rPr>
          <w:i/>
          <w:iCs/>
        </w:rPr>
        <w:t>Original firmado</w:t>
      </w:r>
    </w:p>
    <w:p w14:paraId="34B29204" w14:textId="77777777" w:rsidR="000B67BD" w:rsidRPr="00B54567" w:rsidRDefault="000B67BD" w:rsidP="000B67BD">
      <w:pPr>
        <w:pStyle w:val="Textoindependiente"/>
        <w:ind w:right="49"/>
        <w:rPr>
          <w:b/>
        </w:rPr>
      </w:pPr>
    </w:p>
    <w:p w14:paraId="378D11E0" w14:textId="77777777" w:rsidR="00586C6F" w:rsidRPr="00B54567" w:rsidRDefault="00586C6F" w:rsidP="00586C6F">
      <w:pPr>
        <w:ind w:left="-567"/>
        <w:jc w:val="center"/>
        <w:rPr>
          <w:b/>
          <w:sz w:val="24"/>
          <w:szCs w:val="24"/>
        </w:rPr>
      </w:pPr>
      <w:r w:rsidRPr="00B54567">
        <w:rPr>
          <w:b/>
          <w:sz w:val="24"/>
          <w:szCs w:val="24"/>
        </w:rPr>
        <w:t>VICTOR ANDRÉS TOVAR TRUJILLO</w:t>
      </w:r>
    </w:p>
    <w:p w14:paraId="39F393DE" w14:textId="77777777" w:rsidR="00586C6F" w:rsidRPr="00B54567" w:rsidRDefault="00586C6F" w:rsidP="00586C6F">
      <w:pPr>
        <w:ind w:left="-567"/>
        <w:jc w:val="center"/>
        <w:rPr>
          <w:b/>
          <w:sz w:val="24"/>
        </w:rPr>
      </w:pPr>
      <w:r w:rsidRPr="00B54567">
        <w:rPr>
          <w:b/>
          <w:sz w:val="24"/>
          <w:szCs w:val="24"/>
        </w:rPr>
        <w:t>Secretario General</w:t>
      </w:r>
      <w:r w:rsidRPr="00B54567">
        <w:rPr>
          <w:b/>
          <w:sz w:val="24"/>
        </w:rPr>
        <w:t xml:space="preserve"> </w:t>
      </w:r>
    </w:p>
    <w:p w14:paraId="507C8F27" w14:textId="77777777" w:rsidR="00586C6F" w:rsidRPr="00B54567" w:rsidRDefault="00586C6F" w:rsidP="00586C6F">
      <w:pPr>
        <w:ind w:left="2268" w:right="2640"/>
        <w:jc w:val="center"/>
        <w:rPr>
          <w:b/>
          <w:sz w:val="24"/>
        </w:rPr>
      </w:pPr>
      <w:r w:rsidRPr="00B54567">
        <w:rPr>
          <w:b/>
          <w:sz w:val="24"/>
        </w:rPr>
        <w:t xml:space="preserve">Comisión Legal de Cuentas </w:t>
      </w:r>
    </w:p>
    <w:p w14:paraId="558CAD66" w14:textId="77777777" w:rsidR="00586C6F" w:rsidRPr="00B54567" w:rsidRDefault="00586C6F" w:rsidP="00586C6F">
      <w:pPr>
        <w:ind w:left="2268" w:right="2640"/>
        <w:jc w:val="center"/>
        <w:rPr>
          <w:b/>
          <w:sz w:val="24"/>
        </w:rPr>
      </w:pPr>
      <w:r w:rsidRPr="00B54567">
        <w:rPr>
          <w:b/>
          <w:sz w:val="24"/>
        </w:rPr>
        <w:t>Cámara de Representantes</w:t>
      </w:r>
    </w:p>
    <w:p w14:paraId="10E500EB" w14:textId="77777777" w:rsidR="00586C6F" w:rsidRPr="00B54567" w:rsidRDefault="00586C6F" w:rsidP="00586C6F">
      <w:pPr>
        <w:ind w:left="1411" w:right="1900"/>
        <w:jc w:val="center"/>
        <w:rPr>
          <w:b/>
          <w:sz w:val="24"/>
        </w:rPr>
      </w:pPr>
      <w:r w:rsidRPr="00B54567">
        <w:rPr>
          <w:b/>
          <w:sz w:val="24"/>
        </w:rPr>
        <w:t>Carrera 7ª Nº 8 – 68 Edificio Nuevo del Congreso</w:t>
      </w:r>
    </w:p>
    <w:p w14:paraId="3C60E933" w14:textId="77777777" w:rsidR="00586C6F" w:rsidRDefault="00586C6F" w:rsidP="00586C6F">
      <w:pPr>
        <w:ind w:left="1411" w:right="1900"/>
        <w:jc w:val="center"/>
        <w:rPr>
          <w:b/>
          <w:sz w:val="24"/>
        </w:rPr>
      </w:pPr>
      <w:r w:rsidRPr="00B54567">
        <w:rPr>
          <w:b/>
          <w:sz w:val="24"/>
        </w:rPr>
        <w:t>Bogotá D.C.</w:t>
      </w:r>
      <w:r>
        <w:rPr>
          <w:b/>
          <w:sz w:val="24"/>
        </w:rPr>
        <w:t xml:space="preserve"> </w:t>
      </w:r>
    </w:p>
    <w:p w14:paraId="6CDF1B59" w14:textId="77777777" w:rsidR="00586C6F" w:rsidRDefault="00586C6F" w:rsidP="00586C6F">
      <w:pPr>
        <w:ind w:left="1411" w:right="1900"/>
        <w:jc w:val="center"/>
        <w:rPr>
          <w:b/>
          <w:sz w:val="24"/>
        </w:rPr>
      </w:pPr>
    </w:p>
    <w:p w14:paraId="46290CA8" w14:textId="77777777" w:rsidR="00586C6F" w:rsidRDefault="00586C6F" w:rsidP="00586C6F">
      <w:pPr>
        <w:ind w:left="1411" w:right="1900"/>
        <w:jc w:val="center"/>
        <w:rPr>
          <w:b/>
          <w:sz w:val="24"/>
        </w:rPr>
      </w:pPr>
    </w:p>
    <w:p w14:paraId="2FD77574" w14:textId="77777777" w:rsidR="00586C6F" w:rsidRPr="00F07556" w:rsidRDefault="00586C6F" w:rsidP="00586C6F">
      <w:pPr>
        <w:rPr>
          <w:b/>
          <w:bCs/>
          <w:sz w:val="24"/>
          <w:szCs w:val="24"/>
        </w:rPr>
      </w:pPr>
    </w:p>
    <w:p w14:paraId="40C0D4EB" w14:textId="77777777" w:rsidR="00586C6F" w:rsidRPr="000B5CEE" w:rsidRDefault="00586C6F" w:rsidP="007A08F1">
      <w:pPr>
        <w:rPr>
          <w:lang w:val="es-CO"/>
        </w:rPr>
      </w:pPr>
    </w:p>
    <w:sectPr w:rsidR="00586C6F" w:rsidRPr="000B5CEE" w:rsidSect="00343CF3">
      <w:footerReference w:type="default" r:id="rId1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2791" w14:textId="77777777" w:rsidR="00623F62" w:rsidRDefault="00623F62" w:rsidP="00586C6F">
      <w:r>
        <w:separator/>
      </w:r>
    </w:p>
  </w:endnote>
  <w:endnote w:type="continuationSeparator" w:id="0">
    <w:p w14:paraId="44E10D2E" w14:textId="77777777" w:rsidR="00623F62" w:rsidRDefault="00623F62" w:rsidP="0058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59550"/>
      <w:docPartObj>
        <w:docPartGallery w:val="Page Numbers (Bottom of Page)"/>
        <w:docPartUnique/>
      </w:docPartObj>
    </w:sdtPr>
    <w:sdtEndPr/>
    <w:sdtContent>
      <w:p w14:paraId="2C5CD328" w14:textId="0447ECBC" w:rsidR="00586C6F" w:rsidRDefault="00586C6F">
        <w:pPr>
          <w:pStyle w:val="Piedepgina"/>
          <w:jc w:val="center"/>
        </w:pPr>
        <w:r>
          <w:fldChar w:fldCharType="begin"/>
        </w:r>
        <w:r>
          <w:instrText>PAGE   \* MERGEFORMAT</w:instrText>
        </w:r>
        <w:r>
          <w:fldChar w:fldCharType="separate"/>
        </w:r>
        <w:r>
          <w:t>2</w:t>
        </w:r>
        <w:r>
          <w:fldChar w:fldCharType="end"/>
        </w:r>
      </w:p>
    </w:sdtContent>
  </w:sdt>
  <w:p w14:paraId="0D08C0DA" w14:textId="77777777" w:rsidR="00586C6F" w:rsidRDefault="00586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9F07" w14:textId="77777777" w:rsidR="00623F62" w:rsidRDefault="00623F62" w:rsidP="00586C6F">
      <w:r>
        <w:separator/>
      </w:r>
    </w:p>
  </w:footnote>
  <w:footnote w:type="continuationSeparator" w:id="0">
    <w:p w14:paraId="5B403521" w14:textId="77777777" w:rsidR="00623F62" w:rsidRDefault="00623F62" w:rsidP="00586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F12DE3"/>
    <w:multiLevelType w:val="hybridMultilevel"/>
    <w:tmpl w:val="ABFA301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0672F6"/>
    <w:multiLevelType w:val="hybridMultilevel"/>
    <w:tmpl w:val="32CC08AA"/>
    <w:lvl w:ilvl="0" w:tplc="240A0017">
      <w:start w:val="3"/>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11"/>
  </w:num>
  <w:num w:numId="5">
    <w:abstractNumId w:val="25"/>
  </w:num>
  <w:num w:numId="6">
    <w:abstractNumId w:val="15"/>
  </w:num>
  <w:num w:numId="7">
    <w:abstractNumId w:val="5"/>
  </w:num>
  <w:num w:numId="8">
    <w:abstractNumId w:val="27"/>
  </w:num>
  <w:num w:numId="9">
    <w:abstractNumId w:val="8"/>
  </w:num>
  <w:num w:numId="10">
    <w:abstractNumId w:val="7"/>
  </w:num>
  <w:num w:numId="11">
    <w:abstractNumId w:val="12"/>
  </w:num>
  <w:num w:numId="12">
    <w:abstractNumId w:val="24"/>
  </w:num>
  <w:num w:numId="13">
    <w:abstractNumId w:val="10"/>
  </w:num>
  <w:num w:numId="14">
    <w:abstractNumId w:val="18"/>
  </w:num>
  <w:num w:numId="15">
    <w:abstractNumId w:val="20"/>
  </w:num>
  <w:num w:numId="16">
    <w:abstractNumId w:val="16"/>
  </w:num>
  <w:num w:numId="17">
    <w:abstractNumId w:val="0"/>
  </w:num>
  <w:num w:numId="18">
    <w:abstractNumId w:val="22"/>
  </w:num>
  <w:num w:numId="19">
    <w:abstractNumId w:val="19"/>
  </w:num>
  <w:num w:numId="20">
    <w:abstractNumId w:val="21"/>
  </w:num>
  <w:num w:numId="21">
    <w:abstractNumId w:val="9"/>
  </w:num>
  <w:num w:numId="22">
    <w:abstractNumId w:val="1"/>
  </w:num>
  <w:num w:numId="23">
    <w:abstractNumId w:val="3"/>
  </w:num>
  <w:num w:numId="24">
    <w:abstractNumId w:val="4"/>
  </w:num>
  <w:num w:numId="25">
    <w:abstractNumId w:val="17"/>
  </w:num>
  <w:num w:numId="26">
    <w:abstractNumId w:val="26"/>
  </w:num>
  <w:num w:numId="27">
    <w:abstractNumId w:val="1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B5CEE"/>
    <w:rsid w:val="000B67BD"/>
    <w:rsid w:val="002B5B6E"/>
    <w:rsid w:val="002B5E0A"/>
    <w:rsid w:val="00343CF3"/>
    <w:rsid w:val="00496838"/>
    <w:rsid w:val="00586C6F"/>
    <w:rsid w:val="005B5407"/>
    <w:rsid w:val="005F6830"/>
    <w:rsid w:val="00623F62"/>
    <w:rsid w:val="006A20C5"/>
    <w:rsid w:val="00725745"/>
    <w:rsid w:val="007A08F1"/>
    <w:rsid w:val="0083264C"/>
    <w:rsid w:val="008F10AB"/>
    <w:rsid w:val="008F3BFA"/>
    <w:rsid w:val="009F68D9"/>
    <w:rsid w:val="00AD7BEF"/>
    <w:rsid w:val="00C07FDB"/>
    <w:rsid w:val="00C21257"/>
    <w:rsid w:val="00C37755"/>
    <w:rsid w:val="00C75438"/>
    <w:rsid w:val="00C97D4D"/>
    <w:rsid w:val="00D34895"/>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2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581">
      <w:bodyDiv w:val="1"/>
      <w:marLeft w:val="0"/>
      <w:marRight w:val="0"/>
      <w:marTop w:val="0"/>
      <w:marBottom w:val="0"/>
      <w:divBdr>
        <w:top w:val="none" w:sz="0" w:space="0" w:color="auto"/>
        <w:left w:val="none" w:sz="0" w:space="0" w:color="auto"/>
        <w:bottom w:val="none" w:sz="0" w:space="0" w:color="auto"/>
        <w:right w:val="none" w:sz="0" w:space="0" w:color="auto"/>
      </w:divBdr>
    </w:div>
    <w:div w:id="142047041">
      <w:bodyDiv w:val="1"/>
      <w:marLeft w:val="0"/>
      <w:marRight w:val="0"/>
      <w:marTop w:val="0"/>
      <w:marBottom w:val="0"/>
      <w:divBdr>
        <w:top w:val="none" w:sz="0" w:space="0" w:color="auto"/>
        <w:left w:val="none" w:sz="0" w:space="0" w:color="auto"/>
        <w:bottom w:val="none" w:sz="0" w:space="0" w:color="auto"/>
        <w:right w:val="none" w:sz="0" w:space="0" w:color="auto"/>
      </w:divBdr>
    </w:div>
    <w:div w:id="178353870">
      <w:bodyDiv w:val="1"/>
      <w:marLeft w:val="0"/>
      <w:marRight w:val="0"/>
      <w:marTop w:val="0"/>
      <w:marBottom w:val="0"/>
      <w:divBdr>
        <w:top w:val="none" w:sz="0" w:space="0" w:color="auto"/>
        <w:left w:val="none" w:sz="0" w:space="0" w:color="auto"/>
        <w:bottom w:val="none" w:sz="0" w:space="0" w:color="auto"/>
        <w:right w:val="none" w:sz="0" w:space="0" w:color="auto"/>
      </w:divBdr>
    </w:div>
    <w:div w:id="8538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fabian.trujillo@camara.gov.co" TargetMode="External"/><Relationship Id="rId2" Type="http://schemas.openxmlformats.org/officeDocument/2006/relationships/styles" Target="styles.xml"/><Relationship Id="rId16" Type="http://schemas.openxmlformats.org/officeDocument/2006/relationships/hyperlink" Target="mailto:comision.leg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7206</Words>
  <Characters>39637</Characters>
  <Application>Microsoft Office Word</Application>
  <DocSecurity>0</DocSecurity>
  <Lines>330</Lines>
  <Paragraphs>93</Paragraphs>
  <ScaleCrop>false</ScaleCrop>
  <Company/>
  <LinksUpToDate>false</LinksUpToDate>
  <CharactersWithSpaces>46750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14</cp:revision>
  <dcterms:created xsi:type="dcterms:W3CDTF">2025-09-02T17:50:00Z</dcterms:created>
  <dcterms:modified xsi:type="dcterms:W3CDTF">2025-09-09T20:53:00Z</dcterms:modified>
</cp:coreProperties>
</file>