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A5E90" w14:textId="77777777" w:rsidR="008A4945" w:rsidRDefault="00270358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6"/>
          <w:szCs w:val="26"/>
        </w:rPr>
        <w:t xml:space="preserve">7.2.3. CARACTERIZACIÓN PROCESO JUDICIAL – CODIGO___ </w:t>
      </w:r>
    </w:p>
    <w:p w14:paraId="380A5E91" w14:textId="77777777" w:rsidR="008A4945" w:rsidRDefault="008A494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308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89"/>
        <w:gridCol w:w="186"/>
        <w:gridCol w:w="502"/>
        <w:gridCol w:w="2022"/>
        <w:gridCol w:w="141"/>
        <w:gridCol w:w="379"/>
        <w:gridCol w:w="1787"/>
        <w:gridCol w:w="774"/>
        <w:gridCol w:w="338"/>
        <w:gridCol w:w="330"/>
        <w:gridCol w:w="1633"/>
        <w:gridCol w:w="26"/>
        <w:gridCol w:w="304"/>
        <w:gridCol w:w="215"/>
        <w:gridCol w:w="8"/>
        <w:gridCol w:w="549"/>
        <w:gridCol w:w="1261"/>
        <w:gridCol w:w="557"/>
        <w:gridCol w:w="403"/>
        <w:gridCol w:w="13"/>
      </w:tblGrid>
      <w:tr w:rsidR="008A4945" w14:paraId="380A5E9B" w14:textId="77777777">
        <w:trPr>
          <w:trHeight w:val="100"/>
        </w:trPr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5E92" w14:textId="77777777" w:rsidR="008A4945" w:rsidRDefault="0027035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1.TIPO DE PROCESO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0A5E93" w14:textId="77777777" w:rsidR="008A4945" w:rsidRDefault="00270358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ESTRATÉGICO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94" w14:textId="77777777" w:rsidR="008A4945" w:rsidRDefault="008A494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A5E95" w14:textId="77777777" w:rsidR="008A4945" w:rsidRDefault="00270358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MISIONAL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96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A5E97" w14:textId="77777777" w:rsidR="008A4945" w:rsidRDefault="00270358">
            <w:pPr>
              <w:spacing w:after="0" w:line="240" w:lineRule="auto"/>
              <w:ind w:right="8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APOYO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98" w14:textId="77777777" w:rsidR="008A4945" w:rsidRDefault="008A494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9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A5E99" w14:textId="4764287B" w:rsidR="008A4945" w:rsidRDefault="00270358">
            <w:pPr>
              <w:spacing w:after="0" w:line="240" w:lineRule="auto"/>
              <w:ind w:right="1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EVALUACIÓN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9A" w14:textId="77777777" w:rsidR="008A4945" w:rsidRDefault="008A494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A4945" w14:paraId="380A5E9D" w14:textId="77777777">
        <w:trPr>
          <w:trHeight w:val="75"/>
        </w:trPr>
        <w:tc>
          <w:tcPr>
            <w:tcW w:w="13082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0A5E9C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A4945" w14:paraId="380A5EA0" w14:textId="77777777">
        <w:trPr>
          <w:trHeight w:val="270"/>
        </w:trPr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9E" w14:textId="77777777" w:rsidR="008A4945" w:rsidRDefault="0027035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OBJETIVO</w:t>
            </w:r>
          </w:p>
        </w:tc>
        <w:tc>
          <w:tcPr>
            <w:tcW w:w="10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9F" w14:textId="702D479C" w:rsidR="00726752" w:rsidRDefault="003809A0" w:rsidP="00BC484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Proce</w:t>
            </w:r>
            <w:r w:rsidR="00610113">
              <w:rPr>
                <w:rFonts w:ascii="Arial" w:eastAsia="Arial" w:hAnsi="Arial" w:cs="Arial"/>
                <w:color w:val="000000"/>
                <w:sz w:val="16"/>
                <w:szCs w:val="16"/>
              </w:rPr>
              <w:t>sar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 j</w:t>
            </w:r>
            <w:r w:rsidR="0027035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uzgar excepcionalmente </w:t>
            </w:r>
            <w:r w:rsidR="00BC484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 los altos funcionarios del Estado por responsabilidad política: </w:t>
            </w:r>
            <w:r w:rsidR="00270358">
              <w:rPr>
                <w:rFonts w:ascii="Arial" w:eastAsia="Arial" w:hAnsi="Arial" w:cs="Arial"/>
                <w:color w:val="000000"/>
                <w:sz w:val="16"/>
                <w:szCs w:val="16"/>
              </w:rPr>
              <w:t>Presidente de la República o quien haga sus veces; a los Magistrados de la Corte Suprema de Justicia, del Consejo de Estado y de la Corte Constitucional, los miembros de la Comisión de Disciplina Judicial y el Fiscal General de la Nación por responsabilidad política</w:t>
            </w:r>
            <w:r w:rsidR="00D81A0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 m</w:t>
            </w:r>
            <w:r w:rsidR="00294503">
              <w:rPr>
                <w:rFonts w:ascii="Arial" w:eastAsia="Arial" w:hAnsi="Arial" w:cs="Arial"/>
                <w:color w:val="000000"/>
                <w:sz w:val="16"/>
                <w:szCs w:val="16"/>
              </w:rPr>
              <w:t>agistrados de la JEP.</w:t>
            </w:r>
          </w:p>
        </w:tc>
      </w:tr>
      <w:tr w:rsidR="008A4945" w14:paraId="380A5EAC" w14:textId="77777777">
        <w:trPr>
          <w:trHeight w:val="270"/>
        </w:trPr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A1" w14:textId="77777777" w:rsidR="008A4945" w:rsidRDefault="0027035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RESPONSABLE</w:t>
            </w:r>
          </w:p>
        </w:tc>
        <w:tc>
          <w:tcPr>
            <w:tcW w:w="5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A2" w14:textId="77777777" w:rsidR="008A4945" w:rsidRDefault="0027035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Comisión Legal de Investigación y Acusación y Cámara de Representantes en plenaria</w:t>
            </w:r>
          </w:p>
        </w:tc>
        <w:tc>
          <w:tcPr>
            <w:tcW w:w="4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5EA3" w14:textId="77777777" w:rsidR="008A4945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ALCANCE</w:t>
            </w:r>
          </w:p>
          <w:p w14:paraId="380A5EA4" w14:textId="77777777" w:rsidR="008A4945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0A5EA5" w14:textId="77777777" w:rsidR="008A4945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Inicio: </w:t>
            </w:r>
          </w:p>
          <w:p w14:paraId="380A5EA7" w14:textId="66A637A3" w:rsidR="008A4945" w:rsidRPr="00AA2F44" w:rsidRDefault="00270358" w:rsidP="00AA2F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2F44">
              <w:rPr>
                <w:rFonts w:ascii="Arial" w:eastAsia="Arial" w:hAnsi="Arial" w:cs="Arial"/>
                <w:color w:val="000000"/>
                <w:sz w:val="16"/>
                <w:szCs w:val="16"/>
              </w:rPr>
              <w:t>A petición de parte: Conocimiento de las denuncias y/o quejas que ante la Cámara de Representantes se presenten por</w:t>
            </w:r>
            <w:r w:rsidR="00030DBC" w:rsidRPr="00AA2F4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AA2F4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los particulares contra los altos funcionarios del Estado por responsabilidad política. </w:t>
            </w:r>
            <w:r w:rsidR="00030DBC" w:rsidRPr="00AA2F44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="00C76C0A" w:rsidRP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178 de la Constitución política de Colombia</w:t>
            </w:r>
            <w:r w:rsidR="00C013D8" w:rsidRP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</w:t>
            </w:r>
            <w:r w:rsidR="00AA2F44" w:rsidRP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y Ley 5ª </w:t>
            </w:r>
            <w:r w:rsidR="00DA560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 1992, Art. 329 y S.S. Ley 610</w:t>
            </w:r>
            <w:r w:rsidR="00AA2F44" w:rsidRP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2000, Ley 600 de 2000</w:t>
            </w:r>
            <w:r w:rsidR="00587A4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y Ley 1952 de 2019 </w:t>
            </w:r>
            <w:r w:rsidR="00AA2F44" w:rsidRP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articulo 83 modificado por el art.  72 de la Ley 2094/21 contra altos funcionarios del Estado.</w:t>
            </w:r>
          </w:p>
          <w:p w14:paraId="380A5EA8" w14:textId="77777777" w:rsidR="008A4945" w:rsidRDefault="008A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80A5EA9" w14:textId="4DD5B5AD" w:rsidR="008A4945" w:rsidRPr="00030DBC" w:rsidRDefault="002703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 oficio: La Comisión de Investigación y Acusación también podrá iniciar las investigaciones de oficio (Le</w:t>
            </w:r>
            <w:r w:rsidR="00AF5ED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y 5 de 1992, artículo 312 núm. </w:t>
            </w:r>
            <w:r w:rsidR="00AF5ED1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 y artículo 180 de la Ley 270 de 1996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380A5EAA" w14:textId="77777777" w:rsidR="008A4945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0A5EAB" w14:textId="70CBC708" w:rsidR="008A4945" w:rsidRPr="00030DBC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Fin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: </w:t>
            </w:r>
            <w:r w:rsidR="008376FF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Preparar proyectos de Acusación ante el Senado y/o preclusión de la investigación. </w:t>
            </w:r>
          </w:p>
        </w:tc>
      </w:tr>
      <w:tr w:rsidR="008A4945" w14:paraId="380A5EB2" w14:textId="77777777">
        <w:trPr>
          <w:trHeight w:val="90"/>
        </w:trPr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0A5EAD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PROVEEDOR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0A5EAE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ENTRADAS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0A5EAF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 CICLO DEL PROCESO-ACTIVIDADES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0A5EB0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 SALIDAS</w:t>
            </w: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0A5EB1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 CLIENTE</w:t>
            </w:r>
          </w:p>
        </w:tc>
      </w:tr>
      <w:tr w:rsidR="008A4945" w14:paraId="380A5ED8" w14:textId="77777777">
        <w:trPr>
          <w:trHeight w:val="2895"/>
        </w:trPr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5EB3" w14:textId="77777777" w:rsidR="008A4945" w:rsidRDefault="002703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Comisión de Investigación y Acusación</w:t>
            </w:r>
          </w:p>
          <w:p w14:paraId="380A5EB4" w14:textId="77777777" w:rsidR="008A4945" w:rsidRDefault="008A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80A5EB6" w14:textId="77777777" w:rsidR="008A4945" w:rsidRDefault="008A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80A5EB7" w14:textId="492B8319" w:rsidR="008A4945" w:rsidRDefault="002703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</w:t>
            </w:r>
            <w:r w:rsidR="0040771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ersonas naturales y/o jurídicas. </w:t>
            </w:r>
          </w:p>
          <w:p w14:paraId="6D44F8B4" w14:textId="77777777" w:rsidR="0040771F" w:rsidRDefault="0040771F" w:rsidP="00407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34B83A8" w14:textId="77777777" w:rsidR="0040771F" w:rsidRDefault="0040771F" w:rsidP="00407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8959B11" w14:textId="31666F80" w:rsidR="0040771F" w:rsidRDefault="004077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Contraloría general de la república</w:t>
            </w:r>
          </w:p>
          <w:p w14:paraId="380A5EB8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F930" w14:textId="0FFCC108" w:rsidR="00AA2F44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Conocimiento de las denuncias y/o quejas que ante la </w:t>
            </w:r>
            <w:r w:rsidR="00FE565C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Comisión de Investigación y Acusación de la 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Cámara de Representantes se presenten </w:t>
            </w:r>
            <w:r w:rsidR="00357428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por </w:t>
            </w:r>
            <w:r w:rsidR="003574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personas</w:t>
            </w:r>
            <w:r w:rsid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naturales y/o jurídicas 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contra los altos </w:t>
            </w:r>
            <w:r w:rsidR="00E74CDE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dignatarios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del Estado</w:t>
            </w:r>
          </w:p>
          <w:p w14:paraId="3B14C6E8" w14:textId="77777777" w:rsidR="00AA2F44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011B979" w14:textId="5C29B4C8" w:rsidR="00AA2F44" w:rsidRDefault="00627F3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 oficio, la comisión de</w:t>
            </w:r>
            <w:r w:rsid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investigación </w:t>
            </w:r>
            <w:r w:rsidR="0040771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y </w:t>
            </w:r>
            <w:r w:rsidR="0040771F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acusación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podrá investigar a los altos funcionarios del estado estipulado en el artículo 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178 de la constitución política</w:t>
            </w:r>
            <w:r w:rsid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AA2F44" w:rsidRPr="00AA2F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14 del acto legislativo 01 de 2017, articulo 329 de la Ley 5° de 1992,  Ley 617 de 2000    Ley 734 de 2000 modificada por el art. 52 de la Ley 1474 de 2022</w:t>
            </w:r>
          </w:p>
          <w:p w14:paraId="573F6A06" w14:textId="77777777" w:rsidR="00AA2F44" w:rsidRDefault="00AA2F4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22D381B" w14:textId="77777777" w:rsidR="0040771F" w:rsidRPr="00030DBC" w:rsidRDefault="0040771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BC" w14:textId="77777777" w:rsidR="008A4945" w:rsidRPr="00030DBC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BD" w14:textId="77777777" w:rsidR="008A4945" w:rsidRPr="00030DBC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BE" w14:textId="77777777" w:rsidR="008A4945" w:rsidRPr="00030DBC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BF" w14:textId="77777777" w:rsidR="008A4945" w:rsidRPr="00030DBC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C0" w14:textId="77777777" w:rsidR="008A4945" w:rsidRPr="00030DBC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C1" w14:textId="77777777" w:rsidR="008A4945" w:rsidRPr="00030DBC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C2" w14:textId="77777777" w:rsidR="008A4945" w:rsidRPr="00030DBC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5EC3" w14:textId="304A6C8F" w:rsidR="008A4945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Determinación de los procedimientos </w:t>
            </w:r>
            <w:r w:rsidR="001470FC" w:rsidRPr="001470F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en las denuncias penales, disciplinarias y </w:t>
            </w:r>
            <w:r w:rsidR="00FA58EA" w:rsidRPr="001470F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fiscales para</w:t>
            </w:r>
            <w:r w:rsidR="001470FC" w:rsidRPr="001470F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el juzgamiento a los altos funcionarios del Estado por responsabilidad política:</w:t>
            </w:r>
          </w:p>
          <w:p w14:paraId="0EEF919B" w14:textId="77777777" w:rsidR="0080206C" w:rsidRDefault="0080206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121BF340" w14:textId="18CA7454" w:rsidR="0080206C" w:rsidRPr="0080206C" w:rsidRDefault="0080206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PROCESO PENAL</w:t>
            </w:r>
          </w:p>
          <w:p w14:paraId="380A5EC4" w14:textId="77777777" w:rsidR="008A4945" w:rsidRPr="00030DBC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646D689B" w14:textId="77777777" w:rsidR="0080206C" w:rsidRDefault="00EB5546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Presentación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las denuncias y/o quejas que presente </w:t>
            </w:r>
            <w:r w:rsidR="00F96B5E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</w:t>
            </w:r>
            <w:r w:rsidR="001470FC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</w:t>
            </w:r>
            <w:r w:rsidR="00F96B5E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p</w:t>
            </w:r>
            <w:r w:rsidR="001470FC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ersonas naturales y/o jurídicas a 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la Comisión de Investigación y Acusación. </w:t>
            </w:r>
            <w:r w:rsidR="001E3A83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330 ley 5 de 1992. Estas denuncias y/o quejas pueden estar enfocadas en materia de:</w:t>
            </w:r>
          </w:p>
          <w:p w14:paraId="4DD1157A" w14:textId="77777777" w:rsidR="0080206C" w:rsidRDefault="001E3A83" w:rsidP="0080206C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PROCESO PENAL (Art. 419 al 438 Ley 600 de 2000) en c.c. Ley 5a de 1992 art. 329 al 341</w:t>
            </w:r>
          </w:p>
          <w:p w14:paraId="15990E3D" w14:textId="77777777" w:rsidR="0080206C" w:rsidRDefault="001E3A83" w:rsidP="0080206C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- </w:t>
            </w:r>
            <w:r w:rsidRPr="001E3A8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PROCESO DISCIPLINARIO (Ley 1952 de 2019 articulo 83 modificado po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 el art.  72 de la Ley 2094/21</w:t>
            </w:r>
            <w:r w:rsidRPr="001E3A8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1A959D1C" w14:textId="77777777" w:rsidR="0080206C" w:rsidRDefault="001E3A83" w:rsidP="0080206C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 w:rsidRPr="001E3A8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PROCESO FISCAL (</w:t>
            </w:r>
            <w:r w:rsidR="002C64E3" w:rsidRPr="001E3A8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Ley 610</w:t>
            </w:r>
            <w:r w:rsidRPr="001E3A8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2000 art. 39 al </w:t>
            </w:r>
            <w:r w:rsidR="002C64E3" w:rsidRPr="001E3A8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56)</w:t>
            </w:r>
            <w:r w:rsidRPr="001E3A8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  <w:p w14:paraId="380A5EC6" w14:textId="69543C35" w:rsidR="008A4945" w:rsidRPr="0080206C" w:rsidRDefault="003D5612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El presidente de la comisión</w:t>
            </w:r>
            <w:r w:rsidR="001470FC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investigación y acusación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asigna el r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eparto de la denuncia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y/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 queja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 través de resolución </w:t>
            </w:r>
            <w:r w:rsidR="00BB1640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 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los Representantes </w:t>
            </w:r>
            <w:r w:rsidR="001E3A83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investigadores 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que integran la Comisión.</w:t>
            </w:r>
            <w:r w:rsidR="00EB5546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Art. 332 ley 5 de 1992 </w:t>
            </w:r>
          </w:p>
          <w:p w14:paraId="3979CB93" w14:textId="012FD1A5" w:rsidR="005D443F" w:rsidRPr="0080206C" w:rsidRDefault="005D443F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Etapa de </w:t>
            </w:r>
            <w:r w:rsidR="009776B2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investigación previa</w:t>
            </w:r>
            <w:r w:rsidR="001470FC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EB5546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Los representantes investigadores podrán solicitar apoyo a los auxiliares de la justicia conforme a lo establecido en el artículo 333 de la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</w:t>
            </w:r>
            <w:r w:rsidR="00EB5546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ey 5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1992</w:t>
            </w:r>
            <w:r w:rsidR="00EB5546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3ED2D736" w14:textId="3C7E3592" w:rsidR="0080206C" w:rsidRPr="0080206C" w:rsidRDefault="00907F78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Etapa probatoria, el Representante investigador analiza cada uno de los documentos aportados a la denuncia y/o queja y se conforma el expediente que determinara la clase de proceso, para que el Representante Investigador continúe con la investigación. Art. 334 de la ley 5 de 1992.</w:t>
            </w:r>
          </w:p>
          <w:p w14:paraId="1EE443CA" w14:textId="112F6534" w:rsidR="00EB5546" w:rsidRPr="00030DBC" w:rsidRDefault="00E2549F" w:rsidP="0080206C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Si el representante investigador no encuentra mérito para iniciar la investigación podrá proferir un auto in</w:t>
            </w:r>
            <w:r w:rsidR="00FF3051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hib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itorio en la etapa de indagación preliminar</w:t>
            </w:r>
            <w:r w:rsidR="00CF02BB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el cual debe ser aprobado en el pleno de la comisión. </w:t>
            </w:r>
            <w:r w:rsidR="00B20069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En caso contrario, se continuará el proceso descrito.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1BEDB0E5" w14:textId="77777777" w:rsidR="0080206C" w:rsidRDefault="00EB5546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Una vez instaurada la denuncia</w:t>
            </w:r>
            <w:r w:rsidR="00BF71D5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el denunciado tendrá derecho a un apoderado que lo representará en la etapa de investigación. Articulo 335 ley 5</w:t>
            </w:r>
            <w:r w:rsidR="009776B2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1992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374B2076" w14:textId="77777777" w:rsidR="0080206C" w:rsidRDefault="00EB5546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En el desarrollo de la investigación, el representante investigador podrá solicitar pruebas </w:t>
            </w:r>
            <w:r w:rsidR="007C62CD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 través de autos de tramite a fin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 controvertir las pruebas aportadas en la investigación. Artículo 336 ley 5</w:t>
            </w:r>
            <w:r w:rsidR="009B625C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1992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769FF7A0" w14:textId="77777777" w:rsidR="0080206C" w:rsidRDefault="00922B1B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Una vez superadas las etapas correspondientes a la indagación preliminar </w:t>
            </w:r>
            <w:r w:rsidR="007C62CD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 investigación previa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, el </w:t>
            </w:r>
            <w:r w:rsidR="007C62CD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representante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investigador podrá </w:t>
            </w:r>
            <w:r w:rsidR="007C62CD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proferir la decisión que en derecho corresponda a través de autos de interlocutorios que deciden si hay merito a la resolución de </w:t>
            </w:r>
            <w:r w:rsidR="00043012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acusación</w:t>
            </w:r>
            <w:r w:rsidR="007C62CD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 </w:t>
            </w:r>
          </w:p>
          <w:p w14:paraId="65554536" w14:textId="77777777" w:rsidR="0080206C" w:rsidRDefault="008D4C54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El pleno de l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omisión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deberá aprobar o no 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el proyecto de la resolución calificadora presentada</w:t>
            </w:r>
            <w:r w:rsidR="00043012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por el representante investigador</w:t>
            </w:r>
            <w:r w:rsidR="00AB2CF5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161F6DFE" w14:textId="77777777" w:rsidR="0080206C" w:rsidRDefault="004D017B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Si el afectado presenta recurso de </w:t>
            </w:r>
            <w:r w:rsidR="009B625C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reposición y/o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apelación contra la decisión proferida por el Representante investigador, contara con un término de 5 días para resolver el recurso de apelación.  Articulo 338 ley 5 de 1992. </w:t>
            </w:r>
          </w:p>
          <w:p w14:paraId="318568DE" w14:textId="77777777" w:rsidR="0080206C" w:rsidRDefault="004D017B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Si el recurso de apelación es negado y la decisión proferida se mantiene favorable o desfavorablemente para el afectado, el investigador presentara nuevamente ante el pleno de la comisión su decisión la cual será enviada a la plenaria de la Cámara de Representantes para que conozcan del asunto.</w:t>
            </w:r>
            <w:r w:rsidR="00564E8F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5F8271B8" w14:textId="77777777" w:rsidR="0080206C" w:rsidRDefault="007D6649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Conocida la decisión proferida por el representante investigador en la plenaria de la cámara podrá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modificar</w:t>
            </w: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 aclarar</w:t>
            </w:r>
            <w:r w:rsidR="00270358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y decidir sobre el proyecto.</w:t>
            </w:r>
            <w:r w:rsidR="006E2AE2"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  <w:p w14:paraId="09849F63" w14:textId="77777777" w:rsidR="0080206C" w:rsidRDefault="00270358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Si la aprobare, se designará una Comisión de su seno para que elabore el proyecto de Resolución de Acusación.  </w:t>
            </w:r>
          </w:p>
          <w:p w14:paraId="0E437569" w14:textId="741CA220" w:rsidR="008A4945" w:rsidRPr="0080206C" w:rsidRDefault="00270358" w:rsidP="0080206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Si la Cámara de Representantes aprobare la resolución de acusación, se enviará el expediente al Presidente de la Comisión de Instrucción del Senado.</w:t>
            </w:r>
          </w:p>
          <w:p w14:paraId="4ED8530D" w14:textId="77777777" w:rsidR="003118B5" w:rsidRDefault="003118B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2E409216" w14:textId="643F7FAB" w:rsidR="003118B5" w:rsidRPr="0080206C" w:rsidRDefault="003118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PROCESO DISCIPLINARIO </w:t>
            </w:r>
          </w:p>
          <w:p w14:paraId="5C1FFA06" w14:textId="56F670C1" w:rsidR="004E1B0F" w:rsidRDefault="004E1B0F" w:rsidP="004E1B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Realizar indagación previa en caso de existir una falta disciplinaria. Esta indagación tendrá una duración de seis meses y tendrá un fallo decisorio que podrá ser archivo definitivo o auto de apertura de investigación. </w:t>
            </w:r>
            <w:r w:rsid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="00237D8D" w:rsidRP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</w:t>
            </w:r>
            <w:r w:rsidR="00CB04E3" w:rsidRP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208. (modificado art. 34 Ley 2094/21</w:t>
            </w:r>
            <w:r w:rsid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066D4297" w14:textId="79FD0645" w:rsidR="00E85785" w:rsidRDefault="00E85785" w:rsidP="004E1B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Se dará decisión inhibitoria cuando los hechos disciplinarios sean irrelevante,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imposible ocurrencia o sean presentados de manera incorrecta o difusa.</w:t>
            </w:r>
            <w:r w:rsid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 w:rsidR="00CB04E3" w:rsidRP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209 decisión inhibitoria</w:t>
            </w:r>
            <w:r w:rsid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4D7227CD" w14:textId="72D413E8" w:rsidR="00160337" w:rsidRDefault="00E85785" w:rsidP="004E1B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Durante el proceso se podrán presentar quejas falsas o temerarias que originarán responsabilidad patrimonial en contra del denunciante. 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="00747887" w:rsidRP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210 (modificado art. 35 Ley 2094/21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3AAD2B51" w14:textId="4C517412" w:rsidR="0049494B" w:rsidRDefault="00160337" w:rsidP="004E1B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Una vez recibida la documentación </w:t>
            </w:r>
            <w:r w:rsidR="0049494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o realizada la indagación previa, se podrá identificar el o los presuntos autores de la falta disciplinaria se iniciará la etapa de investigación disciplinaria. 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="00747887" w:rsidRP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212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23730AB0" w14:textId="219936F5" w:rsidR="0049494B" w:rsidRDefault="00E04942" w:rsidP="004E1B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Se realizará la investigación pertinente para verificar si la actuación realizada es sujeta a una falta disciplinaria o es una causal de exclusión de la responsabilidad. </w:t>
            </w:r>
          </w:p>
          <w:p w14:paraId="62360FB3" w14:textId="1B24D7D3" w:rsidR="00B805A7" w:rsidRDefault="00B805A7" w:rsidP="004E1B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El investigador tendrá un tiempo de 6 meses para hacer la investigación respectiva y se podrá presentar prorroga de 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meses en el momento que se pueda modificar la situación jurídica disciplinaria. </w:t>
            </w:r>
          </w:p>
          <w:p w14:paraId="59427593" w14:textId="254DA0B0" w:rsidR="008E1879" w:rsidRDefault="00B805A7" w:rsidP="004E1B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podrá presentar una ruptura de la unidad procesal cuando:</w:t>
            </w:r>
            <w:r w:rsidR="008E187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a) cuando se dé una investigación por una falta disciplinaria y se tuviera en cuenta a algunos de los investigados b) cuando uno de los posibles juzgados tenga fuero constitucional o legal que implique cambio de competencia o este en una jurisdicción especial. c) </w:t>
            </w:r>
            <w:r w:rsidR="008028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cuando</w:t>
            </w:r>
            <w:r w:rsidR="008E187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se </w:t>
            </w:r>
            <w:r w:rsidR="008028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dé</w:t>
            </w:r>
            <w:r w:rsidR="008E187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la nulidad parcial la actuación procesal </w:t>
            </w:r>
            <w:r w:rsid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que haga reponer el trámite d) cuando surjan pruebas que corroboren otra posible falta disciplinaria o se vincule otra persona al proceso e) cuando se dé la confesión de una de las faltas o de uno de los disciplinados para continuar con el proceso de juzgamiento.  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="00747887" w:rsidRP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214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  <w:r w:rsidR="00CB04E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8E187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B32C1CC" w14:textId="64B41B97" w:rsidR="004E1B0F" w:rsidRPr="004E1B0F" w:rsidRDefault="00CB04E3" w:rsidP="004E1B0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Emitir informe de la investigación realizada al área competente y según sea la entrada por donde se dio la investigación (</w:t>
            </w:r>
            <w:r w:rsidR="007437A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vice procuraduría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general de la nación, personería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correspondiente o jefe del órgano de control disciplinario interno)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 w:rsidR="00747887" w:rsidRP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216</w:t>
            </w:r>
            <w:r w:rsidR="0074788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B805A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FA04F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857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E1B0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  <w:p w14:paraId="644AC2AC" w14:textId="77777777" w:rsidR="003118B5" w:rsidRPr="0080206C" w:rsidRDefault="003118B5" w:rsidP="003118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9D45D86" w14:textId="1C00C322" w:rsidR="003118B5" w:rsidRDefault="003118B5" w:rsidP="003118B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0206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PROCESO FISCAL</w:t>
            </w:r>
          </w:p>
          <w:p w14:paraId="65639FA3" w14:textId="3EDB6C28" w:rsidR="006173A9" w:rsidRDefault="003E3711" w:rsidP="006173A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iniciará la etapa de indagación preliminar por un periodo de 6 meses cuando no se tenga certeza o se quiera verificar ciertos hechos, lo cual dará vía a la apertura del proceso de responsabilidad fiscal o el archivo de este (</w:t>
            </w:r>
            <w:r w:rsidRPr="003E371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</w:t>
            </w:r>
            <w:r w:rsidR="0093744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</w:t>
            </w:r>
            <w:r w:rsidRPr="003E371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39 </w:t>
            </w:r>
            <w:r w:rsidR="008160E4" w:rsidRPr="003E371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tramite</w:t>
            </w:r>
            <w:r w:rsidRPr="003E371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del proceso (modificado art. 135 decreto 403 de 2020)</w:t>
            </w:r>
          </w:p>
          <w:p w14:paraId="151B63FC" w14:textId="3D5276E0" w:rsidR="008160E4" w:rsidRDefault="008160E4" w:rsidP="006173A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dará apertura del proceso responsabilidad fiscal en el momento que se compruebe que existe un daño patrimonial al Estado e indicios serios sobre los posibles autores de este. (</w:t>
            </w: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40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  <w:p w14:paraId="60837344" w14:textId="1530F4E2" w:rsidR="003E3711" w:rsidRDefault="008160E4" w:rsidP="006173A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Los requisitos para apertura del proceso de responsabilidad fiscal son: </w:t>
            </w:r>
            <w:r w:rsidR="0034294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="00342949" w:rsidRPr="0034294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41</w:t>
            </w:r>
            <w:r w:rsidR="0034294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1DE843B8" w14:textId="77777777" w:rsidR="008160E4" w:rsidRP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Competencia del funcionario de conocimiento.</w:t>
            </w:r>
          </w:p>
          <w:p w14:paraId="678A2696" w14:textId="60B406A9" w:rsidR="008160E4" w:rsidRP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Fundamentos de hecho.</w:t>
            </w:r>
          </w:p>
          <w:p w14:paraId="59EF9CE9" w14:textId="0931C1E3" w:rsidR="008160E4" w:rsidRP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Fundamentos de derecho.</w:t>
            </w:r>
          </w:p>
          <w:p w14:paraId="7BB68182" w14:textId="26217441" w:rsidR="008160E4" w:rsidRP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Identificación de la entidad estatal afectada y de los presuntos responsables fiscales.</w:t>
            </w:r>
          </w:p>
          <w:p w14:paraId="6316AF59" w14:textId="0F562326" w:rsidR="008160E4" w:rsidRP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Determinación del daño patrimonial al Estado y estimación de su cuantía.</w:t>
            </w:r>
          </w:p>
          <w:p w14:paraId="35F12DF7" w14:textId="79DD482D" w:rsidR="008160E4" w:rsidRP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Decreto de las pruebas que se consideren conducentes y pertinentes.</w:t>
            </w:r>
          </w:p>
          <w:p w14:paraId="41D4393D" w14:textId="37A2339F" w:rsid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Decreto de las medidas cautelares a que hubiere lugar, las cuales deberán hacerse efectivas antes de la notificación del auto de apertura a los presuntos responsables.</w:t>
            </w:r>
          </w:p>
          <w:p w14:paraId="19F6C69B" w14:textId="77777777" w:rsidR="008160E4" w:rsidRP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Solicitud a la entidad donde el servidor público esté o haya estado vinculado, para que ésta informe sobre el salario devengado para la época de los hechos, los datos sobre su </w:t>
            </w: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identidad personal y su última dirección conocida o registrada; e igualmente para enterarla del inicio de las diligencias fiscales.</w:t>
            </w:r>
          </w:p>
          <w:p w14:paraId="63961015" w14:textId="2479EF4B" w:rsidR="008160E4" w:rsidRDefault="008160E4" w:rsidP="008160E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160E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Orden de notificar a los presuntos responsables esta decisión.</w:t>
            </w:r>
          </w:p>
          <w:p w14:paraId="3A7765CC" w14:textId="5008D396" w:rsidR="00342949" w:rsidRDefault="00505941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El acusado podrá solicitar al funcionario la recepción exposición libre y espontanea antes de que se le formule el auto de imputación de responsabilidad fiscal. </w:t>
            </w:r>
            <w:r w:rsidR="00BE545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(art 42)</w:t>
            </w:r>
          </w:p>
          <w:p w14:paraId="0B095878" w14:textId="0622D470" w:rsidR="00BE545C" w:rsidRDefault="00BE545C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Si el denunciado no rinde versión se le nombrara un apoderado de oficio para continuar con el trámite. (art 43)  </w:t>
            </w:r>
          </w:p>
          <w:p w14:paraId="0B4C8311" w14:textId="69240D8D" w:rsidR="00BE545C" w:rsidRDefault="00BE545C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vinculará la compañía de seguros siempre y cuando el bien o contrato se encuentren amparados a través de un auto de apertura. (art 44)</w:t>
            </w:r>
          </w:p>
          <w:p w14:paraId="6841B088" w14:textId="552E2711" w:rsidR="00BE545C" w:rsidRDefault="00BE545C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Los tiempos para estas actividades son de tres meses con posibilidad de </w:t>
            </w:r>
            <w:r w:rsidR="008028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prórroga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por dos meses. (art 45)</w:t>
            </w:r>
          </w:p>
          <w:p w14:paraId="291B050F" w14:textId="7BF3E724" w:rsidR="00BE545C" w:rsidRDefault="00671388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Si el termino anterior se vence se podrá archivar el proceso o se dictará auto de imputación de responsabilidad fiscal.</w:t>
            </w:r>
            <w:r w:rsidR="00D53CA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(art 46)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23D7841" w14:textId="44D80490" w:rsidR="00671388" w:rsidRDefault="00D53CA8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archivará el expediente cuando se pruebe que el hecho no existió, cuando no ha causado daños patrimoniales o no comporta el ejercicio de gestión fiscal, cuando el daño se puede resarcir o la operación de una causal excluyente de responsabilidad, cuando se demuestre que no se debió iniciar el proceso o cuando se da la prescripción de esta.  (art 47)</w:t>
            </w:r>
          </w:p>
          <w:p w14:paraId="1D20CAE6" w14:textId="3A9A0B20" w:rsidR="00D53CA8" w:rsidRDefault="00F347EF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 dará auto de imputación de responsabilidad fiscal una vez se logre comprobar el daño o detrimento al patrimonio económico del Estado</w:t>
            </w:r>
            <w:r w:rsidR="0018398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(art 48).   </w:t>
            </w:r>
          </w:p>
          <w:p w14:paraId="1765DA69" w14:textId="2C2DEEBE" w:rsidR="00F347EF" w:rsidRDefault="00442D81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Notificar auto de imputación de responsabilidad fiscal a todos los implicados (</w:t>
            </w:r>
            <w:r w:rsidRPr="00442D8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49. Modificación del auto de imputación (modificado art. 138 decreto 403 de 2020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10964EFE" w14:textId="701499F9" w:rsidR="00442D81" w:rsidRDefault="00442D81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Las personas imputadas tendrán 10 días contados para presentar su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respectiva defensa. (</w:t>
            </w:r>
            <w:r w:rsidRPr="00442D8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50. Traslado (modificado art. 139 decreto 403 de 2020)</w:t>
            </w:r>
          </w:p>
          <w:p w14:paraId="7E83DC37" w14:textId="4985AD72" w:rsidR="00AE3DFD" w:rsidRDefault="00AE3DFD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Una vez cumplidos los términos mencionados anteriormente, se realizará la </w:t>
            </w:r>
            <w:r w:rsidR="008028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práctica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las pruebas necesarias por un máximo de 30 días y debe ser notificado por estado al día siguiente. Posteriormente, el acusado podrá presentar recursos de reposición y apelación dentro de los 5 días siguientes a su notificación. (</w:t>
            </w:r>
            <w:r w:rsidRPr="00AE3DF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51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3A3A2E43" w14:textId="3635D40A" w:rsidR="00AE3DFD" w:rsidRDefault="00AE3DFD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Una vez superadas las fases anteriormente mencionadas, se proferirá decisión con o sin responsabilidad fiscal en un término de 30 días. (</w:t>
            </w:r>
            <w:r w:rsidR="00CA007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art. 52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52BD4785" w14:textId="293840B0" w:rsidR="00CA007C" w:rsidRDefault="00CA007C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Cuando se da un fallo sin responsabilidad fiscal es porque no se encontró pruebas suficientes que constituyan dicha responsabilidad. (art. 54)</w:t>
            </w:r>
          </w:p>
          <w:p w14:paraId="2D606AE9" w14:textId="77777777" w:rsidR="00611A34" w:rsidRDefault="00611A34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Una vez obtenido el fallo, se procederá a notificar el mismo bajo los términos establecidos en el Código Contencioso Administrativo. (art. 55)</w:t>
            </w:r>
          </w:p>
          <w:p w14:paraId="45322C1C" w14:textId="77777777" w:rsidR="00611A34" w:rsidRDefault="00611A34" w:rsidP="0034294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Finalmente, se procede a ejecutar la decisión final del juez quedando así: </w:t>
            </w:r>
          </w:p>
          <w:p w14:paraId="1FC63C9F" w14:textId="787ACD1C" w:rsidR="00611A34" w:rsidRDefault="00611A34" w:rsidP="00611A3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Cuando contra ellas no proceda ningún recurso</w:t>
            </w:r>
          </w:p>
          <w:p w14:paraId="54648ABF" w14:textId="67379397" w:rsidR="002A09DB" w:rsidRDefault="00611A34" w:rsidP="00611A3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Cinco días hábiles después de la </w:t>
            </w:r>
            <w:r w:rsidR="008028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última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notificación, cuando no se </w:t>
            </w:r>
            <w:r w:rsidR="002A09D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interpongan recursos o se renuncie expresamente a ellos. </w:t>
            </w:r>
          </w:p>
          <w:p w14:paraId="41824D3D" w14:textId="47189252" w:rsidR="00442D81" w:rsidRPr="00342949" w:rsidRDefault="002A09DB" w:rsidP="00611A3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Cuando los recursos interpuestos se hayan decidido. </w:t>
            </w:r>
            <w:r w:rsidR="001E39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(art. 56)</w:t>
            </w:r>
            <w:r w:rsidR="00611A3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A007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E3DF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="00442D8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80A5ED0" w14:textId="0F089353" w:rsidR="00907F78" w:rsidRPr="003118B5" w:rsidRDefault="00907F78" w:rsidP="004E1B0F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172" w14:textId="405191BC" w:rsidR="00907F78" w:rsidRDefault="00907F78" w:rsidP="003D4CE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Autos de Sustanciación que le dan impulso al proceso, auto que reconoce </w:t>
            </w:r>
            <w:r w:rsidR="00357428"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personería</w:t>
            </w: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57428"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jurídica</w:t>
            </w: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, que ordena compulsa de copia, que remite por competencia y que corre traslado para alegatos    </w:t>
            </w:r>
          </w:p>
          <w:p w14:paraId="515E9BC6" w14:textId="68D5C69D" w:rsidR="00907F78" w:rsidRDefault="00907F78" w:rsidP="003D4CE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Autos interlocutorios que decide de fondo y debe ser modificado , auto apertura de indagación o investigación , auto inhibitorio, auto que ordena terminar el </w:t>
            </w: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proceso, auto de archivo, auto de nulidad</w:t>
            </w:r>
          </w:p>
          <w:p w14:paraId="2611B2CE" w14:textId="77777777" w:rsidR="00907F78" w:rsidRDefault="00907F78" w:rsidP="003D4CE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Resoluciones de trámite que le dan impulso al proceso para decretar pruebas   </w:t>
            </w:r>
          </w:p>
          <w:p w14:paraId="137A9194" w14:textId="0B7BB722" w:rsidR="00907F78" w:rsidRDefault="00907F78" w:rsidP="003D4CE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Resolución de acusación y/o preclusión de </w:t>
            </w:r>
            <w:r w:rsidR="0085380F"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la investigación</w:t>
            </w: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aprobado por el pleno de la Comisión de Acusación de Investigación a través de auto interlocutorio. </w:t>
            </w:r>
          </w:p>
          <w:p w14:paraId="380A5ED4" w14:textId="1B8ACC5D" w:rsidR="008A4945" w:rsidRPr="00C82D86" w:rsidRDefault="00907F78" w:rsidP="00C82D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Proyecto de resolución de acusación aprobada por la plenaria de la Cámara de Representantes a través de auto interlocutorio, que se radicará ante el Senado de la Re</w:t>
            </w:r>
            <w:r w:rsidR="00B2006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</w:t>
            </w:r>
            <w:r w:rsidRPr="00907F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ública. </w:t>
            </w:r>
            <w:r w:rsidR="00C82D86" w:rsidRPr="00C82D8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5ED5" w14:textId="0B79A119" w:rsidR="008A4945" w:rsidRPr="00030DBC" w:rsidRDefault="0002486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Pueblo colombiano constituido en persona natural o jurídica. </w:t>
            </w:r>
          </w:p>
          <w:p w14:paraId="24B84E93" w14:textId="77777777" w:rsidR="00B25E28" w:rsidRPr="00030DBC" w:rsidRDefault="00B25E2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FFAD0DF" w14:textId="77777777" w:rsidR="00F37F70" w:rsidRDefault="00F37F7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Senado de la República (etapa de instrucción)</w:t>
            </w:r>
          </w:p>
          <w:p w14:paraId="1A50E0C2" w14:textId="77777777" w:rsidR="00B25E28" w:rsidRDefault="00B25E2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723E4F2" w14:textId="77777777" w:rsidR="00B25E28" w:rsidRDefault="00B25E28" w:rsidP="00B25E2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25E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Servidores públicos y particulares que tengan funciones publicas</w:t>
            </w:r>
          </w:p>
          <w:p w14:paraId="2E9DCF3B" w14:textId="77777777" w:rsidR="00B25E28" w:rsidRPr="00030DBC" w:rsidRDefault="00B25E2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D7" w14:textId="02891517" w:rsidR="008A4945" w:rsidRPr="00030DBC" w:rsidRDefault="006D065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A4945" w14:paraId="380A5EDB" w14:textId="77777777">
        <w:tc>
          <w:tcPr>
            <w:tcW w:w="6671" w:type="dxa"/>
            <w:gridSpan w:val="8"/>
            <w:tcBorders>
              <w:bottom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14:paraId="380A5ED9" w14:textId="77777777" w:rsidR="008A4945" w:rsidRDefault="0027035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10. REQUISITOS APLICABLES</w:t>
            </w:r>
          </w:p>
        </w:tc>
        <w:tc>
          <w:tcPr>
            <w:tcW w:w="6411" w:type="dxa"/>
            <w:gridSpan w:val="13"/>
            <w:tcBorders>
              <w:bottom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14:paraId="380A5EDA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 DOCUMENTACIÓN</w:t>
            </w:r>
          </w:p>
        </w:tc>
      </w:tr>
      <w:tr w:rsidR="008A4945" w14:paraId="380A5EDF" w14:textId="77777777">
        <w:tc>
          <w:tcPr>
            <w:tcW w:w="6671" w:type="dxa"/>
            <w:gridSpan w:val="8"/>
            <w:shd w:val="clear" w:color="auto" w:fill="E6E6E6"/>
            <w:tcMar>
              <w:left w:w="70" w:type="dxa"/>
              <w:right w:w="70" w:type="dxa"/>
            </w:tcMar>
          </w:tcPr>
          <w:p w14:paraId="380A5EDC" w14:textId="77777777" w:rsidR="008A4945" w:rsidRDefault="0027035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10.1 NTC GP 1000:2009;           10.2 MECI 1000:2005                  10.3 LEGALES</w:t>
            </w:r>
          </w:p>
        </w:tc>
        <w:tc>
          <w:tcPr>
            <w:tcW w:w="3075" w:type="dxa"/>
            <w:gridSpan w:val="4"/>
            <w:shd w:val="clear" w:color="auto" w:fill="E6E6E6"/>
            <w:tcMar>
              <w:left w:w="70" w:type="dxa"/>
              <w:right w:w="70" w:type="dxa"/>
            </w:tcMar>
          </w:tcPr>
          <w:p w14:paraId="380A5EDD" w14:textId="27519614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11.1 REGISTROS</w:t>
            </w:r>
            <w:r w:rsidR="002A0935">
              <w:rPr>
                <w:rFonts w:ascii="Arial" w:eastAsia="Arial" w:hAnsi="Arial" w:cs="Arial"/>
                <w:sz w:val="16"/>
                <w:szCs w:val="16"/>
              </w:rPr>
              <w:t xml:space="preserve"> (validación)</w:t>
            </w:r>
          </w:p>
        </w:tc>
        <w:tc>
          <w:tcPr>
            <w:tcW w:w="3336" w:type="dxa"/>
            <w:gridSpan w:val="9"/>
            <w:shd w:val="clear" w:color="auto" w:fill="E6E6E6"/>
            <w:tcMar>
              <w:left w:w="70" w:type="dxa"/>
              <w:right w:w="70" w:type="dxa"/>
            </w:tcMar>
          </w:tcPr>
          <w:p w14:paraId="380A5EDE" w14:textId="77777777" w:rsidR="008A4945" w:rsidRDefault="00270358">
            <w:pPr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DOCUMENTOS ASOCIADOS</w:t>
            </w:r>
          </w:p>
        </w:tc>
      </w:tr>
      <w:tr w:rsidR="008A4945" w14:paraId="380A5F04" w14:textId="77777777">
        <w:tc>
          <w:tcPr>
            <w:tcW w:w="2342" w:type="dxa"/>
            <w:gridSpan w:val="4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80A5EE0" w14:textId="77777777" w:rsidR="008A4945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0A5EE1" w14:textId="77777777" w:rsidR="008A4945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Principios de Gestión de la Calidad Numeral 1.2 literales a, b, c, d, e, g, j.</w:t>
            </w:r>
          </w:p>
          <w:p w14:paraId="380A5EE2" w14:textId="77777777" w:rsidR="008A4945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Requisitos generales numeral 4.1. Literales a, b. Enfoque al cliente numeral 5.2 Planificación del Sistema de 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gestión de calidad numeral 5.4.2. Literal a. 5.5.3 comunicación interna</w:t>
            </w:r>
          </w:p>
          <w:p w14:paraId="380A5EE3" w14:textId="77777777" w:rsidR="008A4945" w:rsidRDefault="0027035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Gestión de los recursos numeral 6. Realización del producto o prestación del servicio numeral 7. </w:t>
            </w:r>
          </w:p>
          <w:p w14:paraId="380A5EE4" w14:textId="77777777" w:rsidR="008A4945" w:rsidRDefault="0027035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Medición, análisis y mejora numeral 8.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80A5EE5" w14:textId="77777777" w:rsidR="008A4945" w:rsidRDefault="008A4945">
            <w:pPr>
              <w:numPr>
                <w:ilvl w:val="0"/>
                <w:numId w:val="8"/>
              </w:numPr>
              <w:spacing w:after="0" w:line="240" w:lineRule="auto"/>
              <w:ind w:left="152" w:hanging="15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gridSpan w:val="3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80A5EE6" w14:textId="77777777" w:rsidR="008A4945" w:rsidRPr="00030DBC" w:rsidRDefault="00270358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Constitución Política de Colombia</w:t>
            </w:r>
          </w:p>
          <w:p w14:paraId="380A5EE7" w14:textId="77777777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116</w:t>
            </w:r>
          </w:p>
          <w:p w14:paraId="380A5EE8" w14:textId="77777777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174 </w:t>
            </w:r>
          </w:p>
          <w:p w14:paraId="380A5EE9" w14:textId="3086E2C4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178 </w:t>
            </w:r>
            <w:r w:rsidR="007437A9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núm.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3 -5  </w:t>
            </w:r>
          </w:p>
          <w:p w14:paraId="380A5EEA" w14:textId="77777777" w:rsidR="008A4945" w:rsidRPr="00030DBC" w:rsidRDefault="008A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EB" w14:textId="77777777" w:rsidR="008A4945" w:rsidRPr="00030DBC" w:rsidRDefault="0027035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Ley 5ª de 1992</w:t>
            </w:r>
          </w:p>
          <w:p w14:paraId="380A5EEC" w14:textId="4F709769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Artículo 305 </w:t>
            </w:r>
            <w:r w:rsidR="007437A9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núm.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3 - 5  </w:t>
            </w:r>
          </w:p>
          <w:p w14:paraId="380A5EED" w14:textId="77777777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312</w:t>
            </w:r>
          </w:p>
          <w:p w14:paraId="380A5EEE" w14:textId="5BE95937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313 </w:t>
            </w:r>
            <w:r w:rsidR="007437A9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núm.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11</w:t>
            </w:r>
          </w:p>
          <w:p w14:paraId="380A5EEF" w14:textId="798DE722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328 </w:t>
            </w:r>
            <w:r w:rsidR="007437A9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núm.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1</w:t>
            </w:r>
          </w:p>
          <w:p w14:paraId="380A5EF0" w14:textId="77777777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Artículos 329 – 344 </w:t>
            </w:r>
          </w:p>
          <w:p w14:paraId="380A5EF1" w14:textId="77777777" w:rsidR="008A4945" w:rsidRPr="00030DBC" w:rsidRDefault="0027035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353</w:t>
            </w:r>
          </w:p>
          <w:p w14:paraId="34DF0B9A" w14:textId="77777777" w:rsidR="000F6DAD" w:rsidRPr="0033419D" w:rsidRDefault="000F6DAD" w:rsidP="00030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0FDDBEC" w14:textId="08B6D6E8" w:rsidR="0033419D" w:rsidRPr="00096108" w:rsidRDefault="0033419D" w:rsidP="005C5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09610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Ley 270 de 1996</w:t>
            </w:r>
          </w:p>
          <w:p w14:paraId="695F3D06" w14:textId="2727C995" w:rsidR="0033419D" w:rsidRPr="0033419D" w:rsidRDefault="0033419D" w:rsidP="0033419D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3419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178 </w:t>
            </w:r>
          </w:p>
          <w:p w14:paraId="353F0739" w14:textId="77777777" w:rsidR="0033419D" w:rsidRDefault="0033419D" w:rsidP="005C5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D253F49" w14:textId="7656F4E5" w:rsidR="005C55D1" w:rsidRPr="00030DBC" w:rsidRDefault="005C55D1" w:rsidP="005C5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Ley 600 de 2000</w:t>
            </w:r>
          </w:p>
          <w:p w14:paraId="650B2623" w14:textId="70462169" w:rsidR="007D1272" w:rsidRPr="00030DBC" w:rsidRDefault="007D1272" w:rsidP="007D1272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14</w:t>
            </w:r>
          </w:p>
          <w:p w14:paraId="4E46E02A" w14:textId="2C5E7C14" w:rsidR="00B035F1" w:rsidRPr="00030DBC" w:rsidRDefault="00B035F1" w:rsidP="00B035F1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323</w:t>
            </w:r>
          </w:p>
          <w:p w14:paraId="3C4D2502" w14:textId="0B4CDD11" w:rsidR="005C55D1" w:rsidRDefault="005C55D1" w:rsidP="005C55D1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Artículos 4</w:t>
            </w:r>
            <w:r w:rsidR="00E4352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19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al 438</w:t>
            </w:r>
          </w:p>
          <w:p w14:paraId="1EC99BD6" w14:textId="77777777" w:rsidR="00C57FC5" w:rsidRPr="00030DBC" w:rsidRDefault="00C57FC5" w:rsidP="00C57FC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13FEBEED" w14:textId="03E3039D" w:rsidR="00EF7CD0" w:rsidRPr="00335E20" w:rsidRDefault="00EF7CD0" w:rsidP="00EF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5E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Ley 734 de 2002</w:t>
            </w:r>
          </w:p>
          <w:p w14:paraId="370E423A" w14:textId="33D5461F" w:rsidR="00EF7CD0" w:rsidRPr="00C57FC5" w:rsidRDefault="004B4784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57FC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89 al 91</w:t>
            </w:r>
            <w:r w:rsidR="00C57FC5" w:rsidRPr="00C57FC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 Modificado por la Ley 1952 de 2019</w:t>
            </w:r>
          </w:p>
          <w:p w14:paraId="455E08A7" w14:textId="77777777" w:rsidR="00E43524" w:rsidRDefault="00E43524" w:rsidP="00E4352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  <w:p w14:paraId="0C8C9598" w14:textId="3D85B352" w:rsidR="00E43524" w:rsidRPr="00335E20" w:rsidRDefault="00E43524" w:rsidP="00E4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5E2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Ley 1952 de 2019</w:t>
            </w:r>
          </w:p>
          <w:p w14:paraId="3E2ED8F2" w14:textId="34BD9985" w:rsidR="00E43524" w:rsidRDefault="00E43524" w:rsidP="00E4352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83 modificado por el artículo 72 de la Ley 2094 de 2021</w:t>
            </w:r>
          </w:p>
          <w:p w14:paraId="465FE857" w14:textId="04367AFB" w:rsidR="00AC35AC" w:rsidRDefault="00AC35AC" w:rsidP="00E4352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bookmarkStart w:id="2" w:name="_Hlk135303048"/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208 modificado </w:t>
            </w:r>
            <w:r w:rsidR="0069054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por el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34 Ley 2094 de 2021.</w:t>
            </w:r>
          </w:p>
          <w:p w14:paraId="1F039FFB" w14:textId="51598CB9" w:rsidR="00AC35AC" w:rsidRDefault="00AC35AC" w:rsidP="00AC35AC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209 al 2012</w:t>
            </w:r>
          </w:p>
          <w:p w14:paraId="6D2F3DB4" w14:textId="08B651D2" w:rsidR="00AC35AC" w:rsidRDefault="00AC35AC" w:rsidP="00AC35AC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213 modificado</w:t>
            </w:r>
            <w:r w:rsidR="0069054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por el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articulo 36 Ley 2094 de 2021</w:t>
            </w:r>
          </w:p>
          <w:p w14:paraId="0F4FD41E" w14:textId="3B4AB1F0" w:rsidR="00AC35AC" w:rsidRPr="00AC35AC" w:rsidRDefault="00AC35AC" w:rsidP="00AC35AC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214 y 2016</w:t>
            </w:r>
          </w:p>
          <w:bookmarkEnd w:id="2"/>
          <w:p w14:paraId="5DCB35B6" w14:textId="77777777" w:rsidR="00E43524" w:rsidRPr="00E43524" w:rsidRDefault="00E43524" w:rsidP="00E4352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B20DBC7" w14:textId="3F99A1DA" w:rsidR="00EF7CD0" w:rsidRPr="00CC25EE" w:rsidRDefault="00EF7CD0" w:rsidP="00EF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25E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Ley 610 de 2000</w:t>
            </w:r>
          </w:p>
          <w:p w14:paraId="0B60765B" w14:textId="6010D22F" w:rsidR="00EF7CD0" w:rsidRDefault="004B4784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</w:t>
            </w:r>
            <w:r w:rsidR="00E4352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8</w:t>
            </w:r>
          </w:p>
          <w:p w14:paraId="6C77CD8E" w14:textId="1096B35A" w:rsidR="00E43524" w:rsidRDefault="00E43524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Articulo 268 C.N. numeral 5 y 8</w:t>
            </w:r>
          </w:p>
          <w:p w14:paraId="2AD3EA65" w14:textId="77777777" w:rsidR="007C741A" w:rsidRDefault="00E43524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bookmarkStart w:id="3" w:name="_Hlk135303115"/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39 al </w:t>
            </w:r>
            <w:r w:rsidR="007C741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41</w:t>
            </w:r>
          </w:p>
          <w:p w14:paraId="70D2742F" w14:textId="77777777" w:rsidR="007C741A" w:rsidRDefault="007C741A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42 modificado por el artículo 136 decreto 403 de 2020</w:t>
            </w:r>
          </w:p>
          <w:p w14:paraId="2E2D2DC4" w14:textId="703B5EC4" w:rsidR="00E43524" w:rsidRDefault="007C741A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Artículo 43 </w:t>
            </w:r>
            <w:r w:rsidRPr="007C741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modificado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por el</w:t>
            </w:r>
            <w:r w:rsidRPr="007C741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</w:t>
            </w:r>
            <w:r w:rsidRPr="007C741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137 decreto 403 de 2020</w:t>
            </w:r>
            <w:r w:rsidR="00E4352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01D9C94" w14:textId="5A1ED83F" w:rsidR="007C741A" w:rsidRDefault="007C741A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Artículo 44 al 48</w:t>
            </w:r>
          </w:p>
          <w:p w14:paraId="75487910" w14:textId="54FA42D0" w:rsidR="007C741A" w:rsidRDefault="007C741A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49 modificado por el </w:t>
            </w:r>
            <w:r w:rsidR="0091781D" w:rsidRPr="009178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</w:t>
            </w:r>
            <w:r w:rsidR="009178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iculo </w:t>
            </w:r>
            <w:r w:rsidR="0091781D" w:rsidRPr="009178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138 decreto 403 de 2020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BB9A7F8" w14:textId="5A33CFFB" w:rsidR="0091781D" w:rsidRDefault="0091781D" w:rsidP="004B4784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Artículo 50 modificado por el </w:t>
            </w:r>
            <w:r w:rsidRPr="009178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ículo</w:t>
            </w:r>
            <w:r w:rsidRPr="009178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139 dec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</w:t>
            </w:r>
            <w:r w:rsidRPr="0091781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eto 403 de 2020</w:t>
            </w:r>
          </w:p>
          <w:p w14:paraId="6D8602EC" w14:textId="7C7B458E" w:rsidR="0091781D" w:rsidRPr="0091781D" w:rsidRDefault="0091781D" w:rsidP="0091781D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Articulo 51 al 56</w:t>
            </w:r>
          </w:p>
          <w:bookmarkEnd w:id="3"/>
          <w:p w14:paraId="27FF3FBD" w14:textId="77777777" w:rsidR="00294503" w:rsidRPr="00294503" w:rsidRDefault="00294503" w:rsidP="0029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6C372387" w14:textId="2A62A990" w:rsidR="00D158B3" w:rsidRPr="00D158B3" w:rsidRDefault="00D158B3" w:rsidP="004B4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D158B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Acto legislativo 02 de 2015</w:t>
            </w:r>
          </w:p>
          <w:p w14:paraId="260FC584" w14:textId="1CA76DF0" w:rsidR="00D158B3" w:rsidRPr="00582472" w:rsidRDefault="00D158B3" w:rsidP="00D158B3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8247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Artículo </w:t>
            </w:r>
            <w:r w:rsidR="00996371" w:rsidRPr="00582472">
              <w:rPr>
                <w:rFonts w:ascii="Arial" w:eastAsia="Arial" w:hAnsi="Arial" w:cs="Arial"/>
                <w:color w:val="000000"/>
                <w:sz w:val="16"/>
                <w:szCs w:val="16"/>
              </w:rPr>
              <w:t>26</w:t>
            </w:r>
          </w:p>
          <w:p w14:paraId="7ADA3A5C" w14:textId="77777777" w:rsidR="00D158B3" w:rsidRPr="00D158B3" w:rsidRDefault="00D158B3" w:rsidP="004B4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0068BA7" w14:textId="30DEBE4B" w:rsidR="004B4784" w:rsidRPr="00D158B3" w:rsidRDefault="00423F1D" w:rsidP="004B4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D158B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294503" w:rsidRPr="00D158B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cto legislativo 01 de 2017</w:t>
            </w:r>
          </w:p>
          <w:p w14:paraId="380A5EF4" w14:textId="44D6D4B5" w:rsidR="00294503" w:rsidRPr="00582472" w:rsidRDefault="00294503" w:rsidP="00294503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582472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Artículo 14 </w:t>
            </w:r>
          </w:p>
        </w:tc>
        <w:tc>
          <w:tcPr>
            <w:tcW w:w="3075" w:type="dxa"/>
            <w:gridSpan w:val="4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80A5EF5" w14:textId="77777777" w:rsidR="008A4945" w:rsidRPr="00030DBC" w:rsidRDefault="00270358" w:rsidP="00CA17E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Recepción de las denuncias</w:t>
            </w:r>
          </w:p>
          <w:p w14:paraId="380A5EF6" w14:textId="6B5D4A6A" w:rsidR="008A4945" w:rsidRPr="00030DBC" w:rsidRDefault="00215228" w:rsidP="00CA17E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Informe secretarial de recibimiento de la denuncia. </w:t>
            </w:r>
          </w:p>
          <w:p w14:paraId="74FCB13A" w14:textId="4DEDE5C2" w:rsidR="00215228" w:rsidRPr="00030DBC" w:rsidRDefault="00215228" w:rsidP="00CA17E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Cuadro informativo interno del proceso donde se indica el número del proceso, fecha de recibo de la denuncia y nombre del representante investigador. </w:t>
            </w:r>
          </w:p>
          <w:p w14:paraId="3A9427A8" w14:textId="20D78C9E" w:rsidR="00215228" w:rsidRPr="00030DBC" w:rsidRDefault="00215228" w:rsidP="00CA17E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Cuaderno original </w:t>
            </w:r>
            <w:r w:rsidR="006C6157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de la denuncia 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(anaqueles archivo de la comisión) y cuaderno copia</w:t>
            </w:r>
            <w:r w:rsidR="006C6157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la denuncia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, se entrega al representante investigador asignado para el caso.</w:t>
            </w:r>
          </w:p>
          <w:p w14:paraId="65A7A0AC" w14:textId="77777777" w:rsidR="00CA17E5" w:rsidRPr="00CA17E5" w:rsidRDefault="00CA17E5" w:rsidP="00CA17E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A17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Resolución de preclusión de investigación que es dado por la inexistencia de pruebas, prescripción de la acción, rechazo de plano porque no existe mérito para iniciar o continuar con la investigación. </w:t>
            </w:r>
          </w:p>
          <w:p w14:paraId="5E47AA99" w14:textId="77777777" w:rsidR="00CA17E5" w:rsidRDefault="00CA17E5" w:rsidP="00DC0E6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A17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Proyecto de acusación de la Comisión Legal de Investigación y Acusación, cuando el denunciado es acusado por los delitos imputados. </w:t>
            </w:r>
          </w:p>
          <w:p w14:paraId="085D96A8" w14:textId="53B4E87B" w:rsidR="001859D3" w:rsidRPr="00CA17E5" w:rsidRDefault="001859D3" w:rsidP="00DC0E6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CA17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Grabaciones </w:t>
            </w:r>
            <w:r w:rsidR="000B221A" w:rsidRPr="00CA17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de las sesiones</w:t>
            </w:r>
            <w:r w:rsidR="00FE5319" w:rsidRPr="00CA17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totales en audio. </w:t>
            </w:r>
            <w:r w:rsidR="000B221A" w:rsidRPr="00CA17E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80A5EFA" w14:textId="77777777" w:rsidR="008A4945" w:rsidRPr="00030DBC" w:rsidRDefault="008A4945">
            <w:pPr>
              <w:spacing w:after="0" w:line="240" w:lineRule="auto"/>
              <w:ind w:left="20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FB" w14:textId="77777777" w:rsidR="008A4945" w:rsidRPr="00030DBC" w:rsidRDefault="008A49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80A5EFC" w14:textId="77777777" w:rsidR="008A4945" w:rsidRPr="00030DBC" w:rsidRDefault="008A4945">
            <w:pPr>
              <w:spacing w:after="0" w:line="240" w:lineRule="auto"/>
              <w:ind w:left="20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36" w:type="dxa"/>
            <w:gridSpan w:val="9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80A5EFD" w14:textId="0BFA5EB7" w:rsidR="008A4945" w:rsidRPr="00030DBC" w:rsidRDefault="00270358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Denuncia</w:t>
            </w:r>
          </w:p>
          <w:p w14:paraId="421CAD39" w14:textId="1524C7CA" w:rsidR="006C6157" w:rsidRPr="00030DBC" w:rsidRDefault="006C6157" w:rsidP="006C6157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Resolución de asignación de procesos a los representantes investigadores. </w:t>
            </w:r>
          </w:p>
          <w:p w14:paraId="3DF82B90" w14:textId="136FC672" w:rsidR="006C6157" w:rsidRPr="00030DBC" w:rsidRDefault="006C6157" w:rsidP="006C6157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Autos de trámite expedidos por el representante investigador. </w:t>
            </w:r>
          </w:p>
          <w:p w14:paraId="177E7471" w14:textId="19CA9536" w:rsidR="006C6157" w:rsidRPr="00030DBC" w:rsidRDefault="006C6157" w:rsidP="006C6157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Cuaderno original contiene denuncia, informe secretarial, la resolu</w:t>
            </w:r>
            <w:r w:rsidR="00577A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ción de asignación del proceso,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autos de trámite o 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sustanciación que expida</w:t>
            </w:r>
            <w:r w:rsidR="00577A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el representante investigador y auto</w:t>
            </w:r>
            <w:r w:rsidR="005457EE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 interlocutorio que debe ser</w:t>
            </w:r>
            <w:r w:rsidR="00577A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aprobado por el pleno de la comisión de acusación.</w:t>
            </w:r>
          </w:p>
          <w:p w14:paraId="78AAC4DA" w14:textId="77777777" w:rsidR="008A4945" w:rsidRDefault="00270358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Radicación </w:t>
            </w:r>
            <w:r w:rsidR="00FE5319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del proceso </w:t>
            </w: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ante el Senado</w:t>
            </w:r>
            <w:r w:rsidR="00FE5319"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para adelantar la etapa de instrucción. </w:t>
            </w:r>
          </w:p>
          <w:p w14:paraId="4A4EDA61" w14:textId="77777777" w:rsidR="00CA17E5" w:rsidRPr="00030DBC" w:rsidRDefault="00CA17E5" w:rsidP="00CA17E5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30DB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Acta de la Cámara en pleno de la aprobación de la acusación</w:t>
            </w:r>
          </w:p>
          <w:p w14:paraId="380A5F03" w14:textId="0B69E60A" w:rsidR="00CA17E5" w:rsidRPr="00030DBC" w:rsidRDefault="00CA17E5" w:rsidP="00CA17E5">
            <w:pPr>
              <w:spacing w:after="0" w:line="240" w:lineRule="auto"/>
              <w:ind w:left="167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A4945" w14:paraId="380A5F07" w14:textId="77777777">
        <w:trPr>
          <w:cantSplit/>
        </w:trPr>
        <w:tc>
          <w:tcPr>
            <w:tcW w:w="6671" w:type="dxa"/>
            <w:gridSpan w:val="8"/>
            <w:shd w:val="clear" w:color="auto" w:fill="E6E6E6"/>
            <w:tcMar>
              <w:left w:w="70" w:type="dxa"/>
              <w:right w:w="70" w:type="dxa"/>
            </w:tcMar>
          </w:tcPr>
          <w:p w14:paraId="380A5F05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12. RIESGOS</w:t>
            </w:r>
          </w:p>
        </w:tc>
        <w:tc>
          <w:tcPr>
            <w:tcW w:w="6411" w:type="dxa"/>
            <w:gridSpan w:val="13"/>
            <w:shd w:val="clear" w:color="auto" w:fill="E6E6E6"/>
            <w:tcMar>
              <w:left w:w="70" w:type="dxa"/>
              <w:right w:w="70" w:type="dxa"/>
            </w:tcMar>
          </w:tcPr>
          <w:p w14:paraId="380A5F06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 PUNTOS DE CONTROL</w:t>
            </w:r>
          </w:p>
        </w:tc>
      </w:tr>
      <w:tr w:rsidR="008A4945" w14:paraId="380A5F14" w14:textId="77777777">
        <w:trPr>
          <w:cantSplit/>
        </w:trPr>
        <w:tc>
          <w:tcPr>
            <w:tcW w:w="6671" w:type="dxa"/>
            <w:gridSpan w:val="8"/>
            <w:tcMar>
              <w:left w:w="70" w:type="dxa"/>
              <w:right w:w="70" w:type="dxa"/>
            </w:tcMar>
          </w:tcPr>
          <w:p w14:paraId="1A49C6C6" w14:textId="638E233B" w:rsidR="0019226B" w:rsidRDefault="001922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Demora en los tiempos de las investigaciones. </w:t>
            </w:r>
          </w:p>
          <w:p w14:paraId="380A5F0B" w14:textId="220C6A4F" w:rsidR="008A4945" w:rsidRDefault="002703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Pérdida parcial o total del expediente</w:t>
            </w:r>
            <w:r w:rsidR="0012641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7755DED8" w14:textId="52863836" w:rsidR="009D22C6" w:rsidRDefault="009D22C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Incumplimiento de términos administrativos</w:t>
            </w:r>
          </w:p>
          <w:p w14:paraId="380A5F0F" w14:textId="3751B057" w:rsidR="008A4945" w:rsidRPr="003A4B2F" w:rsidRDefault="008A4945" w:rsidP="003A4B2F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11" w:type="dxa"/>
            <w:gridSpan w:val="13"/>
            <w:tcMar>
              <w:left w:w="70" w:type="dxa"/>
              <w:right w:w="70" w:type="dxa"/>
            </w:tcMar>
          </w:tcPr>
          <w:p w14:paraId="432F8857" w14:textId="7E632626" w:rsidR="0019226B" w:rsidRDefault="0019226B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El presidente de la Cámara deberá convocar de manera periódica y recurrente a los representantes investigadores de esta comisión para obtener un avance más oportuno de las investigaciones. </w:t>
            </w:r>
          </w:p>
          <w:p w14:paraId="3CBB6ED9" w14:textId="2DEFCC0C" w:rsidR="009D22C6" w:rsidRDefault="009D22C6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La comisión cuenta con un cuaderno original del expediente y cuaderno copia que permite recuperar cualquier información que pueda perderse en el expediente. </w:t>
            </w:r>
          </w:p>
          <w:p w14:paraId="380A5F13" w14:textId="27BC9635" w:rsidR="008A4945" w:rsidRPr="00903270" w:rsidRDefault="009D22C6" w:rsidP="00903270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Actualmente, la comisión cuenta con cuadros de seguimiento que permiten conocer en tiempo real el estado de las peticiones desde su inicio hasta que sea tramitado finalmente. </w:t>
            </w:r>
            <w:r w:rsidR="00270358" w:rsidRPr="0090327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A4945" w14:paraId="380A5F16" w14:textId="77777777">
        <w:trPr>
          <w:cantSplit/>
        </w:trPr>
        <w:tc>
          <w:tcPr>
            <w:tcW w:w="13082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380A5F15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 INDICADORES</w:t>
            </w:r>
          </w:p>
        </w:tc>
      </w:tr>
      <w:tr w:rsidR="008A4945" w14:paraId="380A5F1B" w14:textId="77777777">
        <w:trPr>
          <w:cantSplit/>
        </w:trPr>
        <w:tc>
          <w:tcPr>
            <w:tcW w:w="13082" w:type="dxa"/>
            <w:gridSpan w:val="21"/>
            <w:shd w:val="clear" w:color="auto" w:fill="auto"/>
            <w:tcMar>
              <w:left w:w="70" w:type="dxa"/>
              <w:right w:w="70" w:type="dxa"/>
            </w:tcMar>
          </w:tcPr>
          <w:p w14:paraId="760C20EB" w14:textId="424FC2FE" w:rsidR="008A4945" w:rsidRDefault="00F9517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Indicador de eficacia: </w:t>
            </w:r>
            <w:r w:rsidR="00211C70">
              <w:rPr>
                <w:rFonts w:ascii="Arial" w:eastAsia="Arial" w:hAnsi="Arial" w:cs="Arial"/>
                <w:sz w:val="16"/>
                <w:szCs w:val="16"/>
              </w:rPr>
              <w:t xml:space="preserve"># </w:t>
            </w:r>
            <w:r w:rsidR="00610113">
              <w:rPr>
                <w:rFonts w:ascii="Arial" w:eastAsia="Arial" w:hAnsi="Arial" w:cs="Arial"/>
                <w:sz w:val="16"/>
                <w:szCs w:val="16"/>
              </w:rPr>
              <w:t xml:space="preserve">denuncias </w:t>
            </w:r>
            <w:r w:rsidR="00211C70">
              <w:rPr>
                <w:rFonts w:ascii="Arial" w:eastAsia="Arial" w:hAnsi="Arial" w:cs="Arial"/>
                <w:sz w:val="16"/>
                <w:szCs w:val="16"/>
              </w:rPr>
              <w:t>pro</w:t>
            </w:r>
            <w:r w:rsidR="00610113">
              <w:rPr>
                <w:rFonts w:ascii="Arial" w:eastAsia="Arial" w:hAnsi="Arial" w:cs="Arial"/>
                <w:sz w:val="16"/>
                <w:szCs w:val="16"/>
              </w:rPr>
              <w:t>cesadas</w:t>
            </w:r>
            <w:r w:rsidR="00211C70">
              <w:rPr>
                <w:rFonts w:ascii="Arial" w:eastAsia="Arial" w:hAnsi="Arial" w:cs="Arial"/>
                <w:sz w:val="16"/>
                <w:szCs w:val="16"/>
              </w:rPr>
              <w:t xml:space="preserve"> / # de de</w:t>
            </w:r>
            <w:r w:rsidR="00610113">
              <w:rPr>
                <w:rFonts w:ascii="Arial" w:eastAsia="Arial" w:hAnsi="Arial" w:cs="Arial"/>
                <w:sz w:val="16"/>
                <w:szCs w:val="16"/>
              </w:rPr>
              <w:t>nuncias</w:t>
            </w:r>
            <w:r w:rsidR="00211C7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610113">
              <w:rPr>
                <w:rFonts w:ascii="Arial" w:eastAsia="Arial" w:hAnsi="Arial" w:cs="Arial"/>
                <w:sz w:val="16"/>
                <w:szCs w:val="16"/>
              </w:rPr>
              <w:t>presentadas</w:t>
            </w:r>
            <w:r w:rsidR="00211C70">
              <w:rPr>
                <w:rFonts w:ascii="Arial" w:eastAsia="Arial" w:hAnsi="Arial" w:cs="Arial"/>
                <w:sz w:val="16"/>
                <w:szCs w:val="16"/>
              </w:rPr>
              <w:t xml:space="preserve"> * 100%</w:t>
            </w:r>
          </w:p>
          <w:p w14:paraId="380A5F1A" w14:textId="564259F2" w:rsidR="00211C70" w:rsidRDefault="00F9517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Indicador de eficiencia: # denuncias procesadas en los tiempos establecidos / # de </w:t>
            </w:r>
            <w:r w:rsidR="003B4799">
              <w:rPr>
                <w:rFonts w:ascii="Arial" w:eastAsia="Arial" w:hAnsi="Arial" w:cs="Arial"/>
                <w:sz w:val="16"/>
                <w:szCs w:val="16"/>
              </w:rPr>
              <w:t>denuncias totales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*100%</w:t>
            </w:r>
          </w:p>
        </w:tc>
      </w:tr>
      <w:tr w:rsidR="008A4945" w14:paraId="380A5F1D" w14:textId="77777777">
        <w:trPr>
          <w:cantSplit/>
        </w:trPr>
        <w:tc>
          <w:tcPr>
            <w:tcW w:w="13082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380A5F1C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 RECURSOS</w:t>
            </w:r>
          </w:p>
        </w:tc>
      </w:tr>
      <w:tr w:rsidR="008A4945" w14:paraId="380A5F23" w14:textId="77777777">
        <w:trPr>
          <w:cantSplit/>
        </w:trPr>
        <w:tc>
          <w:tcPr>
            <w:tcW w:w="13082" w:type="dxa"/>
            <w:gridSpan w:val="21"/>
            <w:shd w:val="clear" w:color="auto" w:fill="auto"/>
            <w:tcMar>
              <w:left w:w="70" w:type="dxa"/>
              <w:right w:w="70" w:type="dxa"/>
            </w:tcMar>
          </w:tcPr>
          <w:p w14:paraId="380A5F1E" w14:textId="77777777" w:rsidR="008A4945" w:rsidRDefault="00270358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Humanos: Personal de planta y/o contratistas </w:t>
            </w:r>
          </w:p>
          <w:p w14:paraId="380A5F20" w14:textId="67EF2E65" w:rsidR="008A4945" w:rsidRDefault="00270358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Tecnológicos: Hardware y software Sistemas de comunicación</w:t>
            </w:r>
            <w:r w:rsidR="003B4799">
              <w:rPr>
                <w:rFonts w:ascii="Arial" w:eastAsia="Arial" w:hAnsi="Arial" w:cs="Arial"/>
                <w:sz w:val="16"/>
                <w:szCs w:val="16"/>
              </w:rPr>
              <w:t xml:space="preserve"> y grabación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(Teléfono fijo, Internet, fax, grabación sonido TV, radio y video), </w:t>
            </w:r>
          </w:p>
          <w:p w14:paraId="380A5F21" w14:textId="77777777" w:rsidR="008A4945" w:rsidRDefault="00270358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Físicos: Infraestructura del recinto y Comisiones</w:t>
            </w:r>
          </w:p>
          <w:p w14:paraId="380A5F22" w14:textId="77777777" w:rsidR="008A4945" w:rsidRDefault="00270358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Materiales: Formatos y papelería</w:t>
            </w:r>
          </w:p>
        </w:tc>
      </w:tr>
      <w:tr w:rsidR="008A4945" w14:paraId="380A5F25" w14:textId="77777777">
        <w:trPr>
          <w:cantSplit/>
        </w:trPr>
        <w:tc>
          <w:tcPr>
            <w:tcW w:w="13082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380A5F24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 CONTROL DE CAMBIOS</w:t>
            </w:r>
          </w:p>
        </w:tc>
      </w:tr>
      <w:tr w:rsidR="008A4945" w14:paraId="380A5F2A" w14:textId="77777777">
        <w:trPr>
          <w:cantSplit/>
        </w:trPr>
        <w:tc>
          <w:tcPr>
            <w:tcW w:w="1065" w:type="dxa"/>
            <w:tcMar>
              <w:left w:w="70" w:type="dxa"/>
              <w:right w:w="70" w:type="dxa"/>
            </w:tcMar>
          </w:tcPr>
          <w:p w14:paraId="380A5F26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VERSIÓN</w:t>
            </w:r>
          </w:p>
        </w:tc>
        <w:tc>
          <w:tcPr>
            <w:tcW w:w="9234" w:type="dxa"/>
            <w:gridSpan w:val="15"/>
            <w:tcMar>
              <w:left w:w="70" w:type="dxa"/>
              <w:right w:w="70" w:type="dxa"/>
            </w:tcMar>
          </w:tcPr>
          <w:p w14:paraId="380A5F27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DESCRIPCIÓN DEL CAMBIO</w:t>
            </w:r>
          </w:p>
        </w:tc>
        <w:tc>
          <w:tcPr>
            <w:tcW w:w="1810" w:type="dxa"/>
            <w:gridSpan w:val="2"/>
            <w:tcMar>
              <w:left w:w="70" w:type="dxa"/>
              <w:right w:w="70" w:type="dxa"/>
            </w:tcMar>
          </w:tcPr>
          <w:p w14:paraId="380A5F28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RESPONSABLE</w:t>
            </w:r>
          </w:p>
        </w:tc>
        <w:tc>
          <w:tcPr>
            <w:tcW w:w="973" w:type="dxa"/>
            <w:gridSpan w:val="3"/>
            <w:tcMar>
              <w:left w:w="70" w:type="dxa"/>
              <w:right w:w="70" w:type="dxa"/>
            </w:tcMar>
          </w:tcPr>
          <w:p w14:paraId="380A5F29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</w:p>
        </w:tc>
      </w:tr>
      <w:tr w:rsidR="008A4945" w14:paraId="380A5F2F" w14:textId="77777777">
        <w:trPr>
          <w:cantSplit/>
        </w:trPr>
        <w:tc>
          <w:tcPr>
            <w:tcW w:w="1065" w:type="dxa"/>
            <w:tcMar>
              <w:left w:w="70" w:type="dxa"/>
              <w:right w:w="70" w:type="dxa"/>
            </w:tcMar>
          </w:tcPr>
          <w:p w14:paraId="380A5F2B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234" w:type="dxa"/>
            <w:gridSpan w:val="15"/>
            <w:tcMar>
              <w:left w:w="70" w:type="dxa"/>
              <w:right w:w="70" w:type="dxa"/>
            </w:tcMar>
          </w:tcPr>
          <w:p w14:paraId="380A5F2C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Mar>
              <w:left w:w="70" w:type="dxa"/>
              <w:right w:w="70" w:type="dxa"/>
            </w:tcMar>
          </w:tcPr>
          <w:p w14:paraId="380A5F2D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gridSpan w:val="3"/>
            <w:tcMar>
              <w:left w:w="70" w:type="dxa"/>
              <w:right w:w="70" w:type="dxa"/>
            </w:tcMar>
          </w:tcPr>
          <w:p w14:paraId="380A5F2E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A4945" w14:paraId="380A5F34" w14:textId="77777777">
        <w:trPr>
          <w:cantSplit/>
        </w:trPr>
        <w:tc>
          <w:tcPr>
            <w:tcW w:w="1065" w:type="dxa"/>
            <w:tcMar>
              <w:left w:w="70" w:type="dxa"/>
              <w:right w:w="70" w:type="dxa"/>
            </w:tcMar>
          </w:tcPr>
          <w:p w14:paraId="380A5F30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234" w:type="dxa"/>
            <w:gridSpan w:val="15"/>
            <w:tcMar>
              <w:left w:w="70" w:type="dxa"/>
              <w:right w:w="70" w:type="dxa"/>
            </w:tcMar>
          </w:tcPr>
          <w:p w14:paraId="380A5F31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Mar>
              <w:left w:w="70" w:type="dxa"/>
              <w:right w:w="70" w:type="dxa"/>
            </w:tcMar>
          </w:tcPr>
          <w:p w14:paraId="380A5F32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gridSpan w:val="3"/>
            <w:tcMar>
              <w:left w:w="70" w:type="dxa"/>
              <w:right w:w="70" w:type="dxa"/>
            </w:tcMar>
          </w:tcPr>
          <w:p w14:paraId="380A5F33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A4945" w14:paraId="380A5F39" w14:textId="77777777">
        <w:trPr>
          <w:cantSplit/>
        </w:trPr>
        <w:tc>
          <w:tcPr>
            <w:tcW w:w="1065" w:type="dxa"/>
            <w:tcMar>
              <w:left w:w="70" w:type="dxa"/>
              <w:right w:w="70" w:type="dxa"/>
            </w:tcMar>
          </w:tcPr>
          <w:p w14:paraId="380A5F35" w14:textId="77777777" w:rsidR="008A4945" w:rsidRDefault="008A494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234" w:type="dxa"/>
            <w:gridSpan w:val="15"/>
            <w:tcMar>
              <w:left w:w="70" w:type="dxa"/>
              <w:right w:w="70" w:type="dxa"/>
            </w:tcMar>
          </w:tcPr>
          <w:p w14:paraId="380A5F36" w14:textId="77777777" w:rsidR="008A4945" w:rsidRDefault="008A494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Mar>
              <w:left w:w="70" w:type="dxa"/>
              <w:right w:w="70" w:type="dxa"/>
            </w:tcMar>
          </w:tcPr>
          <w:p w14:paraId="380A5F37" w14:textId="77777777" w:rsidR="008A4945" w:rsidRDefault="008A494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gridSpan w:val="3"/>
            <w:tcMar>
              <w:left w:w="70" w:type="dxa"/>
              <w:right w:w="70" w:type="dxa"/>
            </w:tcMar>
          </w:tcPr>
          <w:p w14:paraId="380A5F38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A4945" w14:paraId="380A5F3B" w14:textId="77777777">
        <w:trPr>
          <w:cantSplit/>
        </w:trPr>
        <w:tc>
          <w:tcPr>
            <w:tcW w:w="13082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380A5F3A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 CUADRO DE DISTRIBUCIÓN</w:t>
            </w:r>
          </w:p>
        </w:tc>
      </w:tr>
      <w:tr w:rsidR="008A4945" w14:paraId="380A5F40" w14:textId="77777777">
        <w:trPr>
          <w:gridAfter w:val="1"/>
          <w:wAfter w:w="13" w:type="dxa"/>
          <w:cantSplit/>
        </w:trPr>
        <w:tc>
          <w:tcPr>
            <w:tcW w:w="1654" w:type="dxa"/>
            <w:gridSpan w:val="2"/>
            <w:tcMar>
              <w:left w:w="70" w:type="dxa"/>
              <w:right w:w="70" w:type="dxa"/>
            </w:tcMar>
          </w:tcPr>
          <w:p w14:paraId="380A5F3C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 Copia Controlada</w:t>
            </w:r>
          </w:p>
        </w:tc>
        <w:tc>
          <w:tcPr>
            <w:tcW w:w="6459" w:type="dxa"/>
            <w:gridSpan w:val="9"/>
            <w:tcMar>
              <w:left w:w="70" w:type="dxa"/>
              <w:right w:w="70" w:type="dxa"/>
            </w:tcMar>
          </w:tcPr>
          <w:p w14:paraId="380A5F3D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CARGO/PERSONA/DEPENDENCIA</w:t>
            </w:r>
          </w:p>
        </w:tc>
        <w:tc>
          <w:tcPr>
            <w:tcW w:w="2178" w:type="dxa"/>
            <w:gridSpan w:val="4"/>
            <w:tcMar>
              <w:left w:w="70" w:type="dxa"/>
              <w:right w:w="70" w:type="dxa"/>
            </w:tcMar>
          </w:tcPr>
          <w:p w14:paraId="380A5F3E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RECIBIDO</w:t>
            </w:r>
          </w:p>
        </w:tc>
        <w:tc>
          <w:tcPr>
            <w:tcW w:w="2778" w:type="dxa"/>
            <w:gridSpan w:val="5"/>
            <w:tcMar>
              <w:left w:w="70" w:type="dxa"/>
              <w:right w:w="70" w:type="dxa"/>
            </w:tcMar>
          </w:tcPr>
          <w:p w14:paraId="380A5F3F" w14:textId="77777777" w:rsidR="008A4945" w:rsidRDefault="0027035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FIRMA</w:t>
            </w:r>
          </w:p>
        </w:tc>
      </w:tr>
      <w:tr w:rsidR="008A4945" w14:paraId="380A5F45" w14:textId="77777777">
        <w:trPr>
          <w:gridAfter w:val="1"/>
          <w:wAfter w:w="13" w:type="dxa"/>
          <w:cantSplit/>
        </w:trPr>
        <w:tc>
          <w:tcPr>
            <w:tcW w:w="1654" w:type="dxa"/>
            <w:gridSpan w:val="2"/>
            <w:tcMar>
              <w:left w:w="70" w:type="dxa"/>
              <w:right w:w="70" w:type="dxa"/>
            </w:tcMar>
          </w:tcPr>
          <w:p w14:paraId="380A5F41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59" w:type="dxa"/>
            <w:gridSpan w:val="9"/>
            <w:tcMar>
              <w:left w:w="70" w:type="dxa"/>
              <w:right w:w="70" w:type="dxa"/>
            </w:tcMar>
          </w:tcPr>
          <w:p w14:paraId="380A5F42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Mar>
              <w:left w:w="70" w:type="dxa"/>
              <w:right w:w="70" w:type="dxa"/>
            </w:tcMar>
          </w:tcPr>
          <w:p w14:paraId="380A5F43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78" w:type="dxa"/>
            <w:gridSpan w:val="5"/>
            <w:tcMar>
              <w:left w:w="70" w:type="dxa"/>
              <w:right w:w="70" w:type="dxa"/>
            </w:tcMar>
          </w:tcPr>
          <w:p w14:paraId="380A5F44" w14:textId="77777777" w:rsidR="008A4945" w:rsidRDefault="008A494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80A5F46" w14:textId="7837DF7A" w:rsidR="008A4945" w:rsidRDefault="008A4945" w:rsidP="004A2F12">
      <w:bookmarkStart w:id="4" w:name="_GoBack"/>
      <w:bookmarkEnd w:id="4"/>
    </w:p>
    <w:sectPr w:rsidR="008A4945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ADC"/>
    <w:multiLevelType w:val="multilevel"/>
    <w:tmpl w:val="E0467A9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653D70"/>
    <w:multiLevelType w:val="hybridMultilevel"/>
    <w:tmpl w:val="C694A48A"/>
    <w:lvl w:ilvl="0" w:tplc="50D80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C5094"/>
    <w:multiLevelType w:val="multilevel"/>
    <w:tmpl w:val="F208B4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5709F9"/>
    <w:multiLevelType w:val="multilevel"/>
    <w:tmpl w:val="7FA8EACC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EE0A0F"/>
    <w:multiLevelType w:val="hybridMultilevel"/>
    <w:tmpl w:val="A28A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7A5"/>
    <w:multiLevelType w:val="multilevel"/>
    <w:tmpl w:val="22D2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A459CF"/>
    <w:multiLevelType w:val="multilevel"/>
    <w:tmpl w:val="373C65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7A6FFD"/>
    <w:multiLevelType w:val="multilevel"/>
    <w:tmpl w:val="1FD490DE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39733893"/>
    <w:multiLevelType w:val="hybridMultilevel"/>
    <w:tmpl w:val="B6BE0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D219B"/>
    <w:multiLevelType w:val="multilevel"/>
    <w:tmpl w:val="0164D106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373202"/>
    <w:multiLevelType w:val="hybridMultilevel"/>
    <w:tmpl w:val="B0507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E48C2"/>
    <w:multiLevelType w:val="hybridMultilevel"/>
    <w:tmpl w:val="C55CFC02"/>
    <w:lvl w:ilvl="0" w:tplc="F9A4C778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4160FD"/>
    <w:multiLevelType w:val="multilevel"/>
    <w:tmpl w:val="37CE23F0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89634F5"/>
    <w:multiLevelType w:val="multilevel"/>
    <w:tmpl w:val="8D4C1B7A"/>
    <w:lvl w:ilvl="0">
      <w:start w:val="1"/>
      <w:numFmt w:val="bullet"/>
      <w:lvlText w:val="−"/>
      <w:lvlJc w:val="left"/>
      <w:pPr>
        <w:ind w:left="397" w:hanging="39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F9C1C67"/>
    <w:multiLevelType w:val="hybridMultilevel"/>
    <w:tmpl w:val="AD6A3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C0F25"/>
    <w:multiLevelType w:val="multilevel"/>
    <w:tmpl w:val="62E8F758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DF2F96"/>
    <w:multiLevelType w:val="hybridMultilevel"/>
    <w:tmpl w:val="E8EAE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40DDB"/>
    <w:multiLevelType w:val="multilevel"/>
    <w:tmpl w:val="6F301D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B5A6C56"/>
    <w:multiLevelType w:val="multilevel"/>
    <w:tmpl w:val="B9601F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635235"/>
    <w:multiLevelType w:val="multilevel"/>
    <w:tmpl w:val="E2BC08E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2"/>
  </w:num>
  <w:num w:numId="6">
    <w:abstractNumId w:val="15"/>
  </w:num>
  <w:num w:numId="7">
    <w:abstractNumId w:val="19"/>
  </w:num>
  <w:num w:numId="8">
    <w:abstractNumId w:val="13"/>
  </w:num>
  <w:num w:numId="9">
    <w:abstractNumId w:val="7"/>
  </w:num>
  <w:num w:numId="10">
    <w:abstractNumId w:val="9"/>
  </w:num>
  <w:num w:numId="11">
    <w:abstractNumId w:val="3"/>
  </w:num>
  <w:num w:numId="12">
    <w:abstractNumId w:val="18"/>
  </w:num>
  <w:num w:numId="13">
    <w:abstractNumId w:val="17"/>
  </w:num>
  <w:num w:numId="14">
    <w:abstractNumId w:val="10"/>
  </w:num>
  <w:num w:numId="15">
    <w:abstractNumId w:val="4"/>
  </w:num>
  <w:num w:numId="16">
    <w:abstractNumId w:val="14"/>
  </w:num>
  <w:num w:numId="17">
    <w:abstractNumId w:val="8"/>
  </w:num>
  <w:num w:numId="18">
    <w:abstractNumId w:val="11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45"/>
    <w:rsid w:val="00024869"/>
    <w:rsid w:val="00030DBC"/>
    <w:rsid w:val="00042391"/>
    <w:rsid w:val="00043012"/>
    <w:rsid w:val="00080D46"/>
    <w:rsid w:val="00096108"/>
    <w:rsid w:val="000B221A"/>
    <w:rsid w:val="000B4336"/>
    <w:rsid w:val="000B5378"/>
    <w:rsid w:val="000B565B"/>
    <w:rsid w:val="000C4B96"/>
    <w:rsid w:val="000F6DAD"/>
    <w:rsid w:val="00126411"/>
    <w:rsid w:val="00131D21"/>
    <w:rsid w:val="001470FC"/>
    <w:rsid w:val="00150431"/>
    <w:rsid w:val="00160337"/>
    <w:rsid w:val="00163E83"/>
    <w:rsid w:val="001821FE"/>
    <w:rsid w:val="00183981"/>
    <w:rsid w:val="001859D3"/>
    <w:rsid w:val="0019226B"/>
    <w:rsid w:val="001C1789"/>
    <w:rsid w:val="001E3941"/>
    <w:rsid w:val="001E3A83"/>
    <w:rsid w:val="00211C70"/>
    <w:rsid w:val="00215228"/>
    <w:rsid w:val="002378DC"/>
    <w:rsid w:val="00237D8D"/>
    <w:rsid w:val="00244849"/>
    <w:rsid w:val="00250919"/>
    <w:rsid w:val="00260AB8"/>
    <w:rsid w:val="00270358"/>
    <w:rsid w:val="0027083E"/>
    <w:rsid w:val="00294503"/>
    <w:rsid w:val="002A0935"/>
    <w:rsid w:val="002A09DB"/>
    <w:rsid w:val="002C64E3"/>
    <w:rsid w:val="002F10FD"/>
    <w:rsid w:val="003118B5"/>
    <w:rsid w:val="0033419D"/>
    <w:rsid w:val="00335E20"/>
    <w:rsid w:val="00342949"/>
    <w:rsid w:val="0034698F"/>
    <w:rsid w:val="003521EA"/>
    <w:rsid w:val="00357428"/>
    <w:rsid w:val="00367954"/>
    <w:rsid w:val="0037133A"/>
    <w:rsid w:val="003809A0"/>
    <w:rsid w:val="0038749C"/>
    <w:rsid w:val="00392BB1"/>
    <w:rsid w:val="003A4B2F"/>
    <w:rsid w:val="003B4799"/>
    <w:rsid w:val="003B6944"/>
    <w:rsid w:val="003C4D7A"/>
    <w:rsid w:val="003D4CEF"/>
    <w:rsid w:val="003D5612"/>
    <w:rsid w:val="003E3711"/>
    <w:rsid w:val="003F4D8D"/>
    <w:rsid w:val="0040771F"/>
    <w:rsid w:val="00423F1D"/>
    <w:rsid w:val="0042527F"/>
    <w:rsid w:val="0043788C"/>
    <w:rsid w:val="00442D81"/>
    <w:rsid w:val="00474728"/>
    <w:rsid w:val="0049494B"/>
    <w:rsid w:val="004A2F12"/>
    <w:rsid w:val="004B17C3"/>
    <w:rsid w:val="004B4784"/>
    <w:rsid w:val="004B7439"/>
    <w:rsid w:val="004C6195"/>
    <w:rsid w:val="004D017B"/>
    <w:rsid w:val="004E1B0F"/>
    <w:rsid w:val="00504DCE"/>
    <w:rsid w:val="00505941"/>
    <w:rsid w:val="00505B4E"/>
    <w:rsid w:val="005457EE"/>
    <w:rsid w:val="00550A57"/>
    <w:rsid w:val="00564E8F"/>
    <w:rsid w:val="00577A41"/>
    <w:rsid w:val="0058204F"/>
    <w:rsid w:val="00582472"/>
    <w:rsid w:val="00587A4D"/>
    <w:rsid w:val="005C55D1"/>
    <w:rsid w:val="005D443F"/>
    <w:rsid w:val="00605ECC"/>
    <w:rsid w:val="00607EC4"/>
    <w:rsid w:val="00610113"/>
    <w:rsid w:val="00611A34"/>
    <w:rsid w:val="006173A9"/>
    <w:rsid w:val="00623FB6"/>
    <w:rsid w:val="00627F31"/>
    <w:rsid w:val="00655BF4"/>
    <w:rsid w:val="00671388"/>
    <w:rsid w:val="006713AF"/>
    <w:rsid w:val="0069054D"/>
    <w:rsid w:val="006A7634"/>
    <w:rsid w:val="006C2747"/>
    <w:rsid w:val="006C6157"/>
    <w:rsid w:val="006D0650"/>
    <w:rsid w:val="006D2A98"/>
    <w:rsid w:val="006D75F2"/>
    <w:rsid w:val="006E2AE2"/>
    <w:rsid w:val="00700995"/>
    <w:rsid w:val="00726752"/>
    <w:rsid w:val="007437A9"/>
    <w:rsid w:val="00747887"/>
    <w:rsid w:val="0079137F"/>
    <w:rsid w:val="00792F15"/>
    <w:rsid w:val="007A4DD1"/>
    <w:rsid w:val="007C0A4F"/>
    <w:rsid w:val="007C62CD"/>
    <w:rsid w:val="007C741A"/>
    <w:rsid w:val="007D1272"/>
    <w:rsid w:val="007D6649"/>
    <w:rsid w:val="007F18A3"/>
    <w:rsid w:val="0080206C"/>
    <w:rsid w:val="008028DB"/>
    <w:rsid w:val="008160E4"/>
    <w:rsid w:val="00831A1C"/>
    <w:rsid w:val="008376FF"/>
    <w:rsid w:val="008456E2"/>
    <w:rsid w:val="008529CB"/>
    <w:rsid w:val="0085380F"/>
    <w:rsid w:val="008A4945"/>
    <w:rsid w:val="008B2FAD"/>
    <w:rsid w:val="008D404B"/>
    <w:rsid w:val="008D4C54"/>
    <w:rsid w:val="008E1879"/>
    <w:rsid w:val="00901AD4"/>
    <w:rsid w:val="00903270"/>
    <w:rsid w:val="00907F78"/>
    <w:rsid w:val="00910ACD"/>
    <w:rsid w:val="0091781D"/>
    <w:rsid w:val="00922B1B"/>
    <w:rsid w:val="00932E49"/>
    <w:rsid w:val="00937449"/>
    <w:rsid w:val="009776B2"/>
    <w:rsid w:val="00996371"/>
    <w:rsid w:val="009B625C"/>
    <w:rsid w:val="009D22C6"/>
    <w:rsid w:val="009D6128"/>
    <w:rsid w:val="00A53975"/>
    <w:rsid w:val="00A53FED"/>
    <w:rsid w:val="00A93DDC"/>
    <w:rsid w:val="00AA2F44"/>
    <w:rsid w:val="00AB2CF5"/>
    <w:rsid w:val="00AB5F17"/>
    <w:rsid w:val="00AC35AC"/>
    <w:rsid w:val="00AC7C0D"/>
    <w:rsid w:val="00AE3DFD"/>
    <w:rsid w:val="00AE48C6"/>
    <w:rsid w:val="00AF5ED1"/>
    <w:rsid w:val="00B035F1"/>
    <w:rsid w:val="00B1421A"/>
    <w:rsid w:val="00B20069"/>
    <w:rsid w:val="00B2064C"/>
    <w:rsid w:val="00B25E28"/>
    <w:rsid w:val="00B4493F"/>
    <w:rsid w:val="00B669DB"/>
    <w:rsid w:val="00B805A7"/>
    <w:rsid w:val="00BB1640"/>
    <w:rsid w:val="00BB4192"/>
    <w:rsid w:val="00BC484F"/>
    <w:rsid w:val="00BE545C"/>
    <w:rsid w:val="00BF71D5"/>
    <w:rsid w:val="00C013D8"/>
    <w:rsid w:val="00C57FC5"/>
    <w:rsid w:val="00C6172A"/>
    <w:rsid w:val="00C67C01"/>
    <w:rsid w:val="00C73AA2"/>
    <w:rsid w:val="00C76C0A"/>
    <w:rsid w:val="00C82D86"/>
    <w:rsid w:val="00CA007C"/>
    <w:rsid w:val="00CA17E5"/>
    <w:rsid w:val="00CB04E3"/>
    <w:rsid w:val="00CC25EE"/>
    <w:rsid w:val="00CC44CE"/>
    <w:rsid w:val="00CC5076"/>
    <w:rsid w:val="00CE6379"/>
    <w:rsid w:val="00CF02BB"/>
    <w:rsid w:val="00CF57C7"/>
    <w:rsid w:val="00D158B3"/>
    <w:rsid w:val="00D37FE6"/>
    <w:rsid w:val="00D45B56"/>
    <w:rsid w:val="00D47355"/>
    <w:rsid w:val="00D53CA8"/>
    <w:rsid w:val="00D74ABD"/>
    <w:rsid w:val="00D81A07"/>
    <w:rsid w:val="00D84617"/>
    <w:rsid w:val="00DA2657"/>
    <w:rsid w:val="00DA560B"/>
    <w:rsid w:val="00DD14C2"/>
    <w:rsid w:val="00DD2578"/>
    <w:rsid w:val="00E04942"/>
    <w:rsid w:val="00E2549F"/>
    <w:rsid w:val="00E43162"/>
    <w:rsid w:val="00E43524"/>
    <w:rsid w:val="00E6286F"/>
    <w:rsid w:val="00E74CDE"/>
    <w:rsid w:val="00E85785"/>
    <w:rsid w:val="00E947E9"/>
    <w:rsid w:val="00EA6576"/>
    <w:rsid w:val="00EB5546"/>
    <w:rsid w:val="00EC7A3F"/>
    <w:rsid w:val="00EF7CD0"/>
    <w:rsid w:val="00F347EF"/>
    <w:rsid w:val="00F37F70"/>
    <w:rsid w:val="00F95178"/>
    <w:rsid w:val="00F96B5E"/>
    <w:rsid w:val="00FA04F7"/>
    <w:rsid w:val="00FA58EA"/>
    <w:rsid w:val="00FB5757"/>
    <w:rsid w:val="00FD0920"/>
    <w:rsid w:val="00FE5319"/>
    <w:rsid w:val="00FE565C"/>
    <w:rsid w:val="00FE7CF5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A5E90"/>
  <w15:docId w15:val="{8D7D2B5A-4F7B-46E9-AFF6-31BD0EE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87"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B705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Ltdw8+0eM3up4cqs+hogWyz1Zg==">AMUW2mWA2mkq/9KHd7wNvbEpBjQMH3YgAqyhtSv2rDboNp+qhk31kUWG5Le3wpKZGbwLD5N4GDkHqCuA4BacwqcBqWgWdFoWNDxFsx1yzvpdOQmRMw0gQ3W6/FonpmJbggBrMBj23lCE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2599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Luis Garcia</dc:creator>
  <cp:lastModifiedBy>Diana Marcela Pineda Lopez</cp:lastModifiedBy>
  <cp:revision>20</cp:revision>
  <dcterms:created xsi:type="dcterms:W3CDTF">2023-06-01T17:21:00Z</dcterms:created>
  <dcterms:modified xsi:type="dcterms:W3CDTF">2023-06-22T23:48:00Z</dcterms:modified>
</cp:coreProperties>
</file>