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7.2.3. CARACTERIZACIÓN PROCESO LEGISLATIVO – CODIGO ___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168.999999999998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9"/>
        <w:gridCol w:w="553"/>
        <w:gridCol w:w="187"/>
        <w:gridCol w:w="948"/>
        <w:gridCol w:w="2407"/>
        <w:gridCol w:w="237"/>
        <w:gridCol w:w="1114"/>
        <w:gridCol w:w="977"/>
        <w:gridCol w:w="350"/>
        <w:gridCol w:w="327"/>
        <w:gridCol w:w="880"/>
        <w:gridCol w:w="324"/>
        <w:gridCol w:w="47"/>
        <w:gridCol w:w="1135"/>
        <w:gridCol w:w="1130"/>
        <w:gridCol w:w="287"/>
        <w:gridCol w:w="782"/>
        <w:gridCol w:w="16"/>
        <w:gridCol w:w="166"/>
        <w:gridCol w:w="263"/>
        <w:tblGridChange w:id="0">
          <w:tblGrid>
            <w:gridCol w:w="1039"/>
            <w:gridCol w:w="553"/>
            <w:gridCol w:w="187"/>
            <w:gridCol w:w="948"/>
            <w:gridCol w:w="2407"/>
            <w:gridCol w:w="237"/>
            <w:gridCol w:w="1114"/>
            <w:gridCol w:w="977"/>
            <w:gridCol w:w="350"/>
            <w:gridCol w:w="327"/>
            <w:gridCol w:w="880"/>
            <w:gridCol w:w="324"/>
            <w:gridCol w:w="47"/>
            <w:gridCol w:w="1135"/>
            <w:gridCol w:w="1130"/>
            <w:gridCol w:w="287"/>
            <w:gridCol w:w="782"/>
            <w:gridCol w:w="16"/>
            <w:gridCol w:w="166"/>
            <w:gridCol w:w="263"/>
          </w:tblGrid>
        </w:tblGridChange>
      </w:tblGrid>
      <w:tr>
        <w:trPr>
          <w:cantSplit w:val="0"/>
          <w:trHeight w:val="1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1.TIPO DE PROCESO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ESTRATÉGICO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MISIONAL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ind w:right="80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APOYO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right="160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      EVALUACIÓN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gridSpan w:val="18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2. OBJETIVO</w:t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Elaborar, interpretar, reformar y derogar las leyes y códigos en todos los ramos de la legislación.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3. RESPONSABLE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Congreso de la República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4. ALCANCE 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Inicio: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  Radicación del proyecto de ley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Fin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: Aprobación del proyecto de ley y sanción presidencial o rechazo y archivo del mismo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5. PROVEEDOR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6. ENTRADAS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7. CICLO DEL PROCESO-ACTIVIDADES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8. SALIDAS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9. CLIENTE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after="28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Pueden presentar proyectos de ley:  </w:t>
            </w:r>
          </w:p>
          <w:p w:rsidR="00000000" w:rsidDel="00000000" w:rsidP="00000000" w:rsidRDefault="00000000" w:rsidRPr="00000000" w14:paraId="00000065">
            <w:pPr>
              <w:spacing w:after="280" w:before="28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 Los Senadores y Representantes a la Cámara individualmente y a través de las bancadas.  </w:t>
            </w:r>
          </w:p>
          <w:p w:rsidR="00000000" w:rsidDel="00000000" w:rsidP="00000000" w:rsidRDefault="00000000" w:rsidRPr="00000000" w14:paraId="00000066">
            <w:pPr>
              <w:spacing w:after="280" w:before="28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 El Gobierno Nacional, a través de los Ministros del Despacho.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 </w:t>
            </w:r>
          </w:p>
          <w:p w:rsidR="00000000" w:rsidDel="00000000" w:rsidP="00000000" w:rsidRDefault="00000000" w:rsidRPr="00000000" w14:paraId="00000067">
            <w:pPr>
              <w:spacing w:after="280" w:before="28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3. La Corte Constitucional.  </w:t>
            </w:r>
          </w:p>
          <w:p w:rsidR="00000000" w:rsidDel="00000000" w:rsidP="00000000" w:rsidRDefault="00000000" w:rsidRPr="00000000" w14:paraId="00000068">
            <w:pPr>
              <w:spacing w:after="280" w:before="28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4. El Consejo Superior de la Judicatura.   </w:t>
            </w:r>
          </w:p>
          <w:p w:rsidR="00000000" w:rsidDel="00000000" w:rsidP="00000000" w:rsidRDefault="00000000" w:rsidRPr="00000000" w14:paraId="00000069">
            <w:pPr>
              <w:spacing w:after="280" w:before="28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5. La Corte Suprema de Justicia.   </w:t>
            </w:r>
          </w:p>
          <w:p w:rsidR="00000000" w:rsidDel="00000000" w:rsidP="00000000" w:rsidRDefault="00000000" w:rsidRPr="00000000" w14:paraId="0000006A">
            <w:pPr>
              <w:spacing w:after="280" w:before="28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6. El Consejo de Estado.   </w:t>
            </w:r>
          </w:p>
          <w:p w:rsidR="00000000" w:rsidDel="00000000" w:rsidP="00000000" w:rsidRDefault="00000000" w:rsidRPr="00000000" w14:paraId="0000006B">
            <w:pPr>
              <w:spacing w:after="280" w:before="28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7. El Consejo Nacional Electoral.  </w:t>
            </w:r>
          </w:p>
          <w:p w:rsidR="00000000" w:rsidDel="00000000" w:rsidP="00000000" w:rsidRDefault="00000000" w:rsidRPr="00000000" w14:paraId="0000006C">
            <w:pPr>
              <w:spacing w:after="280" w:before="28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8. El Procurador General de la Nación.   </w:t>
            </w:r>
          </w:p>
          <w:p w:rsidR="00000000" w:rsidDel="00000000" w:rsidP="00000000" w:rsidRDefault="00000000" w:rsidRPr="00000000" w14:paraId="0000006D">
            <w:pPr>
              <w:spacing w:after="280" w:before="28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9. El Contralor General de la República.   </w:t>
            </w:r>
          </w:p>
          <w:p w:rsidR="00000000" w:rsidDel="00000000" w:rsidP="00000000" w:rsidRDefault="00000000" w:rsidRPr="00000000" w14:paraId="0000006E">
            <w:pPr>
              <w:spacing w:after="280" w:before="28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10. El Fiscal General de la Nación.   </w:t>
            </w:r>
          </w:p>
          <w:p w:rsidR="00000000" w:rsidDel="00000000" w:rsidP="00000000" w:rsidRDefault="00000000" w:rsidRPr="00000000" w14:paraId="0000006F">
            <w:pPr>
              <w:spacing w:after="280" w:before="28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11. El Defensor del Pueblo.   </w:t>
            </w:r>
          </w:p>
          <w:p w:rsidR="00000000" w:rsidDel="00000000" w:rsidP="00000000" w:rsidRDefault="00000000" w:rsidRPr="00000000" w14:paraId="00000070">
            <w:pPr>
              <w:spacing w:after="280" w:before="28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Podrán también presentar proyectos de ley, en razón del mecanismo de participación popular: </w:t>
            </w:r>
          </w:p>
          <w:p w:rsidR="00000000" w:rsidDel="00000000" w:rsidP="00000000" w:rsidRDefault="00000000" w:rsidRPr="00000000" w14:paraId="00000071">
            <w:pPr>
              <w:spacing w:after="280" w:before="28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 Un número de ciudadanos igual o superior al cinco por ciento (5%) del censo electoral existente en la fecha respectiva. </w:t>
            </w:r>
          </w:p>
          <w:p w:rsidR="00000000" w:rsidDel="00000000" w:rsidP="00000000" w:rsidRDefault="00000000" w:rsidRPr="00000000" w14:paraId="00000072">
            <w:pPr>
              <w:spacing w:after="280" w:before="28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 Un treinta por ciento (30%) de los Concejales del país. </w:t>
            </w:r>
          </w:p>
          <w:p w:rsidR="00000000" w:rsidDel="00000000" w:rsidP="00000000" w:rsidRDefault="00000000" w:rsidRPr="00000000" w14:paraId="00000073">
            <w:pPr>
              <w:spacing w:before="28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3. Un treinta por ciento (30%) de los Diputados del país.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Los proyectos de ley podrán presentarse en la Secretaría General de las Cámaras o en sus plenarias. 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jc w:val="both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Los proyectos de ley relativos a tributos y presupuesto de rentas y gastos serán presentados en la Secretaría de la Cámara de Representantes, mientras que los de relaciones internacionales lo serán en el Senado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Determinación de los procedimientos específicos para la aprobación o rechazo de Proyectos de Ley en el proceso legislativo ordinario, incluidas las Leyes Marco o Cuadro de que trata el art. 150 núm. 19 constitucional: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Presentación de proyectos de ley: debe contener exposición de motivos y un articulado. 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Publicación del proyecto en la Gaceta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Reparto a la Comisión Permanente respectiva de acuerdo a su tema (ley 3 de 1992 artículo 1).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Radicación del proyecto en la Comisión Permanente respectiva a través de un auto de reparto.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Designación de ponentes mediante una resolución emitida por la mesa directiva de cada comisión.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 da un tiempo determinado a los ponentes para que radiquen la ponencia.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Presentación y publicación del informe de ponencia.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Inicio primer debate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Discusión proyecto de ley y/o acto legislativo. 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Declaración de suficiente ilustración en caso de ser repetitivo el hecho.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Votación de la proposición con el que termina el informe de ponencia, articulado e informe de ponencia.  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Aprobación del proyecto de ley o rechazo. 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Revisión, ordenación y redacción del texto aprobado en la comisión respectiva.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Designación de ponente para segundo debate por parte de la mesa directiva de la comisión.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 da un tiempo determinado a los ponentes para que radiquen la ponencia y radican el informe de ponencia en la comisión respectiva. 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 radica expediente a la secretaria general informado que ya hay un segundo debate.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La secretaria general envía publicar el informe de ponencia en la gaceta del congreso y se informa a presidencia que ya existe esa ponencia para tenerla en cuenta en la segunda sesión de plenaria.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Discusión ponencia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Votación de la proposición con el que termina el informe de ponencia, articulado e informe de ponencia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Aprobación del proyecto de ley o rechazo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Revisión, ordenación y redacción del texto aprobado en plenaria. 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Remisión del proyecto de ley aprobado a la otra Cámara para que realice su trámite respectivo.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 caso de existir diferencias en los textos aprobados en cada cámara, se designa una comisión accidental para que unifiquen los textos.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Radicación del informe de conciliación aprobado por ambas cámaras. 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Sanción u objeción presidencial al proyecto (inconstitucional o inconveniente).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Cuando el proyecto es objetado por inconstitucional o inconveniente se devuelve a la cámara de origen para su respectivo tramite. 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 publican las objeciones presidenciales a la gaceta del congreso y posterior se designa una comisión accidental para el estudio de esas objeciones presidenciales.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La comisión accidental radica el estudio a las objeciones presidenciales en ambas cámaras que será sometido a discusión en sus plenarias.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Ambas plenarias deben aprobar las objeciones, si una de las cámaras rechaza el informe automáticamente se archivará el proyecto.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Cuando el proyecto es objetado por inconveniencia y el congreso rechaza las objeciones presidenciales, el presidente de la república está obligado a sancionar la Ley. 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Cuando el proyecto es objetado por inconstitucionalidad y el congreso rechaza esas objeciones se envía a la corte constitucional para su decisión final.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Si la corte considera que el proyecto es inconstitucional se archiva el expediente.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Si la corte considera que no es inconstitucional y es viable, se envía nuevamente a la cámara de origen para que continúen con el estudio y aprobación. 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 consolida el texto final el cual es remitido a presidencia de la república para su respectiva sanción.       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Determinación de los procedimientos específicos para la aprobación o rechazo de Proyectos de Ley teniendo en cuenta las especialidades del proceso legislativo para los siguientes tipos de proyecto de ley: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Proyectos de Ley Orgánica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Su aprobación requerirá el voto favorable de la mayoría de las Cámaras y sus Comisiones Constitucionales.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Materias que regula: art. 206 de la Ley 5 de 1992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Proyectos de Ley Estatutaria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Su aprobación requerirá el voto favorable de la mayoría de las Cámaras y sus Comisiones Constitucionales.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Materias que regula: art. 207 de la Ley 5 de 1992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Expedirse en una sola legislatura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Control previo de constitucionalidad por parte de la corte constitucional para ser enviada a la cámara de origen y continuar con el trámite.  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 podrán ser expedidas por facultades extraordinarias concedidas al Presidente de la Republica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" w:right="0" w:firstLine="0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" w:right="0" w:firstLine="0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Proyecto de Ley de Presupuesto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Su aprobación requerirá el voto favorable de la mayoría de las Cámaras y sus Comisiones Constitucionales.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Iniciativa presentada anualmente por el Gobierno a la Cámara de Representantes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Las Comisiones de Asuntos Económicos de las dos Cámaras deliberarán de forma conjunta para dar primer debate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ind w:left="317" w:firstLine="0"/>
              <w:jc w:val="both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Proyectos de Ley Aprobatorios de los Tratados sobre Derechos Humanos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Su aprobación requerirá el voto favorable de la mayoría de las Cámaras y sus Comisiones Constitucionales.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Trámite prioritario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ind w:left="317" w:firstLine="0"/>
              <w:jc w:val="both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Proyecto de Ley sobre Tratados Internacionales 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Su aprobación requerirá el voto favorable nominal de la mayoría de las Cámaras y sus Comisiones Constitucionales.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Podrán presentarse propuestas de no aprobación, aplazamiento o de reserva.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 texto no podrá ser objeto de enmiendas.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5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Proyecto de Ley aprobado que se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convierte en Ley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de la República. 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ind w:left="315" w:firstLine="0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5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Proyecto de Ley rechazado y archivado o retirado. 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ind w:left="315" w:firstLine="0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ind w:left="360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Estado y pueblo colombiano.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Senado de la República. </w:t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bottom w:color="000000" w:space="0" w:sz="4" w:val="single"/>
            </w:tcBorders>
            <w:shd w:fill="e6e6e6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   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REQUISITOS APLICABLES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bottom w:color="000000" w:space="0" w:sz="4" w:val="single"/>
            </w:tcBorders>
            <w:shd w:fill="e6e6e6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        11. DOCUMENTACIÓN</w:t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4"/>
            <w:shd w:fill="e6e6e6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 10.1 NTC GP 1000:2009              </w:t>
            </w:r>
          </w:p>
        </w:tc>
        <w:tc>
          <w:tcPr>
            <w:shd w:fill="e6e6e6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   10.2 MECI 1000:2014</w:t>
            </w:r>
          </w:p>
        </w:tc>
        <w:tc>
          <w:tcPr>
            <w:gridSpan w:val="3"/>
            <w:shd w:fill="e6e6e6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 10.3 LEGALES</w:t>
            </w:r>
          </w:p>
        </w:tc>
        <w:tc>
          <w:tcPr>
            <w:gridSpan w:val="5"/>
            <w:shd w:fill="e6e6e6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            11.1 REGISTROS</w:t>
            </w:r>
          </w:p>
        </w:tc>
        <w:tc>
          <w:tcPr>
            <w:gridSpan w:val="5"/>
            <w:shd w:fill="e6e6e6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11.2 DOCUMENTOS ASOCIADOS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 Principios de Gestión de la Calidad Numeral 1.2 literales a, b, c, d, e, g, j.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-Requisitos generales numeral 4.1. Literales a, b.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 Planificación del Sistema de gestión de calidad numeral 5.4.2. Literal a.</w:t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 Gestión de los recursos numeral 6.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 Medición, análisis y mejora numeral 8.</w:t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Manual Técnico del Modelo Estándar de Control Interno para el Estado Colombiano MECI 2014. Dando cumplimiento al numeral 3.3 que hace referencia a la autogestión, en donde toda la organización deberá tener conocimiento de sus respectivas funciones administrativas que le han sido asignadas por la Constitución, la Ley y sus reglamentos.  </w:t>
            </w:r>
          </w:p>
        </w:tc>
        <w:tc>
          <w:tcPr>
            <w:gridSpan w:val="3"/>
            <w:tcBorders>
              <w:bottom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Constitución Política</w:t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ind w:left="214" w:firstLine="211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 Arts. 132 – 187 </w:t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ind w:left="214" w:firstLine="211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Ley 3 de 1992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Art. 1</w:t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Ley 5ª de 1992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ind w:left="356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 Arts. 139 – 217 </w:t>
            </w:r>
          </w:p>
        </w:tc>
        <w:tc>
          <w:tcPr>
            <w:gridSpan w:val="5"/>
            <w:tcBorders>
              <w:bottom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8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Libro radicado (registro de trámite legislativo) de los proyectos de Ley en y/o acto legislativo en ambas Cámaras. </w:t>
            </w:r>
          </w:p>
          <w:p w:rsidR="00000000" w:rsidDel="00000000" w:rsidP="00000000" w:rsidRDefault="00000000" w:rsidRPr="00000000" w14:paraId="0000010D">
            <w:pPr>
              <w:numPr>
                <w:ilvl w:val="0"/>
                <w:numId w:val="1"/>
              </w:numPr>
              <w:spacing w:after="0" w:line="240" w:lineRule="auto"/>
              <w:ind w:left="438" w:hanging="36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Oficios de designación de ponentes de primer y segundo debate y miembros de comisión accidental. </w:t>
            </w:r>
          </w:p>
          <w:p w:rsidR="00000000" w:rsidDel="00000000" w:rsidP="00000000" w:rsidRDefault="00000000" w:rsidRPr="00000000" w14:paraId="0000010E">
            <w:pPr>
              <w:numPr>
                <w:ilvl w:val="0"/>
                <w:numId w:val="1"/>
              </w:numPr>
              <w:spacing w:after="0" w:line="240" w:lineRule="auto"/>
              <w:ind w:left="438" w:hanging="36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Actas de sesiones de comisiones y plenarias.  </w:t>
            </w:r>
          </w:p>
          <w:p w:rsidR="00000000" w:rsidDel="00000000" w:rsidP="00000000" w:rsidRDefault="00000000" w:rsidRPr="00000000" w14:paraId="0000010F">
            <w:pPr>
              <w:numPr>
                <w:ilvl w:val="0"/>
                <w:numId w:val="1"/>
              </w:numPr>
              <w:spacing w:after="0" w:line="240" w:lineRule="auto"/>
              <w:ind w:left="438" w:hanging="36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Proposiciones que versan alrededor del trámite legislativo.  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8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Oficio de traslado a la otra Cámara. 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8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Oficio de remisión a sanción presidencial. </w:t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ind w:left="78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17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Expediente legislativo (proyecto de Ley y/o acto legislativo, junto con la exposición de motivos, informe de ponencia para primer y segundo debate, textos aprobados en primer y segundo debate, sustanciaciones)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Sentencias de la corte constitucional sobre el trámite de algún proyecto </w:t>
            </w:r>
          </w:p>
          <w:p w:rsidR="00000000" w:rsidDel="00000000" w:rsidP="00000000" w:rsidRDefault="00000000" w:rsidRPr="00000000" w14:paraId="00000119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Soportes y/o estudios técnicos de las diferentes entidades competentes al proyecto. </w:t>
            </w:r>
          </w:p>
          <w:p w:rsidR="00000000" w:rsidDel="00000000" w:rsidP="00000000" w:rsidRDefault="00000000" w:rsidRPr="00000000" w14:paraId="0000011A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Hoja de ruta del trámite legislativo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Gacetas del Congreso</w:t>
            </w:r>
          </w:p>
          <w:p w:rsidR="00000000" w:rsidDel="00000000" w:rsidP="00000000" w:rsidRDefault="00000000" w:rsidRPr="00000000" w14:paraId="0000011C">
            <w:pPr>
              <w:spacing w:after="0" w:line="240" w:lineRule="auto"/>
              <w:ind w:left="360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after="0" w:line="240" w:lineRule="auto"/>
              <w:ind w:left="720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after="0" w:line="240" w:lineRule="auto"/>
              <w:ind w:left="360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after="0" w:line="240" w:lineRule="auto"/>
              <w:ind w:left="167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after="0" w:line="240" w:lineRule="auto"/>
              <w:ind w:left="167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after="0" w:line="240" w:lineRule="auto"/>
              <w:ind w:left="167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7"/>
            <w:shd w:fill="e6e6e6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12. RIESGOS</w:t>
            </w:r>
          </w:p>
        </w:tc>
        <w:tc>
          <w:tcPr>
            <w:gridSpan w:val="11"/>
            <w:shd w:fill="e6e6e6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13. PUNTOS DE CONTROL</w:t>
            </w:r>
          </w:p>
        </w:tc>
      </w:tr>
      <w:tr>
        <w:trPr>
          <w:cantSplit w:val="1"/>
          <w:tblHeader w:val="0"/>
        </w:trPr>
        <w:tc>
          <w:tcPr>
            <w:gridSpan w:val="7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38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Posible información errada en la elaboración de las actas frente a las votaciones de los proyectos de Ley.</w:t>
            </w:r>
          </w:p>
          <w:p w:rsidR="00000000" w:rsidDel="00000000" w:rsidP="00000000" w:rsidRDefault="00000000" w:rsidRPr="00000000" w14:paraId="00000139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Que no haya quorum para las sesiones.</w:t>
            </w:r>
          </w:p>
          <w:p w:rsidR="00000000" w:rsidDel="00000000" w:rsidP="00000000" w:rsidRDefault="00000000" w:rsidRPr="00000000" w14:paraId="0000013A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 procedimiento:</w:t>
            </w:r>
          </w:p>
          <w:p w:rsidR="00000000" w:rsidDel="00000000" w:rsidP="00000000" w:rsidRDefault="00000000" w:rsidRPr="00000000" w14:paraId="0000013B">
            <w:pPr>
              <w:numPr>
                <w:ilvl w:val="1"/>
                <w:numId w:val="4"/>
              </w:numPr>
              <w:spacing w:after="0" w:line="240" w:lineRule="auto"/>
              <w:ind w:left="1440" w:hanging="36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 decretar en sesión permanente luego de cuatro (4) horas de sesión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La proposición podrá quedar mal transcrita en la redacción del articulado.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Que se den vicios de nulidad en el trámite legislativo 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Omisión de los términos entre debates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Discusión y/o aprobación de proyectos que no son de competencia el respectivo despacho.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Daños en los archivos de grabación o daño en los sistemas de grabación. </w:t>
            </w:r>
          </w:p>
          <w:p w:rsidR="00000000" w:rsidDel="00000000" w:rsidP="00000000" w:rsidRDefault="00000000" w:rsidRPr="00000000" w14:paraId="00000141">
            <w:pPr>
              <w:spacing w:after="0" w:line="240" w:lineRule="auto"/>
              <w:ind w:left="360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48">
            <w:pPr>
              <w:numPr>
                <w:ilvl w:val="0"/>
                <w:numId w:val="3"/>
              </w:numPr>
              <w:spacing w:after="0" w:line="240" w:lineRule="auto"/>
              <w:ind w:left="204" w:hanging="14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La oficina de relatoría corrobora la información con los registros de votación y grabaciones.  </w:t>
            </w:r>
          </w:p>
          <w:p w:rsidR="00000000" w:rsidDel="00000000" w:rsidP="00000000" w:rsidRDefault="00000000" w:rsidRPr="00000000" w14:paraId="00000149">
            <w:pPr>
              <w:numPr>
                <w:ilvl w:val="0"/>
                <w:numId w:val="3"/>
              </w:numPr>
              <w:spacing w:after="0" w:line="240" w:lineRule="auto"/>
              <w:ind w:left="204" w:hanging="14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Se corrobora información con el sistema biométrico del salón elíptico. </w:t>
            </w:r>
          </w:p>
          <w:p w:rsidR="00000000" w:rsidDel="00000000" w:rsidP="00000000" w:rsidRDefault="00000000" w:rsidRPr="00000000" w14:paraId="0000014A">
            <w:pPr>
              <w:numPr>
                <w:ilvl w:val="0"/>
                <w:numId w:val="3"/>
              </w:numPr>
              <w:spacing w:after="0" w:line="240" w:lineRule="auto"/>
              <w:ind w:left="204" w:hanging="14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Implementar en el sistema biométrico una herramienta de alerta media hora antes de culminar las 4 horas de sesión. </w:t>
            </w:r>
          </w:p>
          <w:p w:rsidR="00000000" w:rsidDel="00000000" w:rsidP="00000000" w:rsidRDefault="00000000" w:rsidRPr="00000000" w14:paraId="0000014B">
            <w:pPr>
              <w:numPr>
                <w:ilvl w:val="0"/>
                <w:numId w:val="3"/>
              </w:numPr>
              <w:spacing w:after="0" w:line="240" w:lineRule="auto"/>
              <w:ind w:left="204" w:hanging="14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La secretaria revisará la documentación y las grabaciones antes y posterior a la publicación de documentos de las sesiones, en caso de encontrar un error de transcripción se emitirá una nota aclaratoria.  </w:t>
            </w:r>
          </w:p>
          <w:p w:rsidR="00000000" w:rsidDel="00000000" w:rsidP="00000000" w:rsidRDefault="00000000" w:rsidRPr="00000000" w14:paraId="0000014C">
            <w:pPr>
              <w:numPr>
                <w:ilvl w:val="0"/>
                <w:numId w:val="3"/>
              </w:numPr>
              <w:spacing w:after="0" w:line="240" w:lineRule="auto"/>
              <w:ind w:left="204" w:hanging="14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Se emite control en la ficha de ejecución del orden del día para que los términos de debate no se venzan. </w:t>
            </w:r>
          </w:p>
          <w:p w:rsidR="00000000" w:rsidDel="00000000" w:rsidP="00000000" w:rsidRDefault="00000000" w:rsidRPr="00000000" w14:paraId="0000014D">
            <w:pPr>
              <w:numPr>
                <w:ilvl w:val="0"/>
                <w:numId w:val="3"/>
              </w:numPr>
              <w:spacing w:after="0" w:line="240" w:lineRule="auto"/>
              <w:ind w:left="204" w:hanging="14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La comisión verifica la idoneidad del proyecto frente a su naturaleza legal, para así no recibir proyectos que no sean de su competencia. </w:t>
            </w:r>
          </w:p>
          <w:p w:rsidR="00000000" w:rsidDel="00000000" w:rsidP="00000000" w:rsidRDefault="00000000" w:rsidRPr="00000000" w14:paraId="0000014E">
            <w:pPr>
              <w:numPr>
                <w:ilvl w:val="0"/>
                <w:numId w:val="3"/>
              </w:numPr>
              <w:spacing w:after="0" w:line="240" w:lineRule="auto"/>
              <w:ind w:left="204" w:hanging="14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El Secretario General deberá cumplir con sus respectivas funciones establecidas en el artículo 47 de la Ley 5° de 1992, haciendo hincapié en la revisión de las proposiciones presentadas, actas y textos de los proyectos de ley </w:t>
            </w:r>
          </w:p>
          <w:p w:rsidR="00000000" w:rsidDel="00000000" w:rsidP="00000000" w:rsidRDefault="00000000" w:rsidRPr="00000000" w14:paraId="0000014F">
            <w:pPr>
              <w:numPr>
                <w:ilvl w:val="0"/>
                <w:numId w:val="3"/>
              </w:numPr>
              <w:spacing w:after="0" w:line="240" w:lineRule="auto"/>
              <w:ind w:left="204" w:hanging="14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El Secretario General verificara el quorum decisorio antes de la votación, como también verificara todos los detalles previos y posteriores a la publicación en la Gaceta Legislativa </w:t>
            </w:r>
          </w:p>
          <w:p w:rsidR="00000000" w:rsidDel="00000000" w:rsidP="00000000" w:rsidRDefault="00000000" w:rsidRPr="00000000" w14:paraId="00000150">
            <w:pPr>
              <w:numPr>
                <w:ilvl w:val="0"/>
                <w:numId w:val="3"/>
              </w:numPr>
              <w:spacing w:after="0" w:line="240" w:lineRule="auto"/>
              <w:ind w:left="204" w:hanging="14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Revisión constante de equipos de grabación, computo, entre otros y manteniendo  total de los diferentes equipos en el receso del periodo legislativo por parte de la oficina de planeación y sistemas de la cámara de representantes. </w:t>
            </w:r>
          </w:p>
        </w:tc>
      </w:tr>
      <w:tr>
        <w:trPr>
          <w:cantSplit w:val="1"/>
          <w:tblHeader w:val="0"/>
        </w:trPr>
        <w:tc>
          <w:tcPr>
            <w:gridSpan w:val="18"/>
            <w:shd w:fill="d9d9d9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14. INDICADORES</w:t>
            </w:r>
          </w:p>
        </w:tc>
      </w:tr>
      <w:tr>
        <w:trPr>
          <w:cantSplit w:val="1"/>
          <w:tblHeader w:val="0"/>
        </w:trPr>
        <w:tc>
          <w:tcPr>
            <w:gridSpan w:val="18"/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6D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# de proyectos de Ley tramitados / # total de proyectos presentados en cada legislatura * 100%</w:t>
            </w:r>
          </w:p>
          <w:p w:rsidR="00000000" w:rsidDel="00000000" w:rsidP="00000000" w:rsidRDefault="00000000" w:rsidRPr="00000000" w14:paraId="0000016E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# de informes de rendición de cuentas remitidos / # de informes de rendición de cuentas socializados * 100% </w:t>
            </w:r>
          </w:p>
        </w:tc>
      </w:tr>
      <w:tr>
        <w:trPr>
          <w:cantSplit w:val="1"/>
          <w:tblHeader w:val="0"/>
        </w:trPr>
        <w:tc>
          <w:tcPr>
            <w:gridSpan w:val="18"/>
            <w:shd w:fill="d9d9d9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15. RECURSOS</w:t>
            </w:r>
          </w:p>
        </w:tc>
      </w:tr>
      <w:tr>
        <w:trPr>
          <w:cantSplit w:val="1"/>
          <w:tblHeader w:val="0"/>
        </w:trPr>
        <w:tc>
          <w:tcPr>
            <w:gridSpan w:val="18"/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92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Humanos: Personal de planta y/o contratistas </w:t>
            </w:r>
          </w:p>
          <w:p w:rsidR="00000000" w:rsidDel="00000000" w:rsidP="00000000" w:rsidRDefault="00000000" w:rsidRPr="00000000" w14:paraId="00000193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Financieros: Los definidos en el presupuesto de la entidad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Físicos: Infraestructura </w:t>
            </w:r>
          </w:p>
          <w:p w:rsidR="00000000" w:rsidDel="00000000" w:rsidP="00000000" w:rsidRDefault="00000000" w:rsidRPr="00000000" w14:paraId="00000195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Materiales: Formatos y papelería</w:t>
            </w:r>
          </w:p>
          <w:p w:rsidR="00000000" w:rsidDel="00000000" w:rsidP="00000000" w:rsidRDefault="00000000" w:rsidRPr="00000000" w14:paraId="00000196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Tecnológico: Hardware y software Sistemas de comunicación (sistemas biométricos, discos a nivel de capacidad, etc.)</w:t>
            </w:r>
          </w:p>
        </w:tc>
      </w:tr>
      <w:tr>
        <w:trPr>
          <w:cantSplit w:val="1"/>
          <w:tblHeader w:val="0"/>
        </w:trPr>
        <w:tc>
          <w:tcPr>
            <w:gridSpan w:val="18"/>
            <w:shd w:fill="d9d9d9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16. CONTROL DE CAMBIOS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VERSIÓN</w:t>
            </w:r>
          </w:p>
        </w:tc>
        <w:tc>
          <w:tcPr>
            <w:gridSpan w:val="13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DESCRIPCIÓN DEL CAMBIO</w:t>
            </w:r>
          </w:p>
        </w:tc>
        <w:tc>
          <w:tcPr>
            <w:gridSpan w:val="2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RESPONSABLE</w:t>
            </w:r>
          </w:p>
        </w:tc>
        <w:tc>
          <w:tcPr>
            <w:gridSpan w:val="2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FECHA</w:t>
            </w:r>
          </w:p>
        </w:tc>
      </w:tr>
      <w:tr>
        <w:trPr>
          <w:cantSplit w:val="1"/>
          <w:tblHeader w:val="0"/>
        </w:trPr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gridSpan w:val="13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C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Se crea la primer versión de dicha caracterización </w:t>
            </w:r>
          </w:p>
        </w:tc>
        <w:tc>
          <w:tcPr>
            <w:gridSpan w:val="2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D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D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D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D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E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E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FE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0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8"/>
            <w:shd w:fill="d9d9d9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0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17. CUADRO DE DISTRIBUCIÓN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1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No. Copia Controlada</w:t>
            </w:r>
          </w:p>
        </w:tc>
        <w:tc>
          <w:tcPr>
            <w:gridSpan w:val="11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CARGO/PERSONA/DEPENDENCIA</w:t>
            </w:r>
          </w:p>
        </w:tc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2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FECHA RECIBIDO</w:t>
            </w:r>
          </w:p>
        </w:tc>
        <w:tc>
          <w:tcPr>
            <w:gridSpan w:val="3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2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FIRMA</w:t>
            </w:r>
          </w:p>
        </w:tc>
      </w:tr>
      <w:tr>
        <w:trPr>
          <w:cantSplit w:val="1"/>
          <w:trHeight w:val="607" w:hRule="atLeast"/>
          <w:tblHeader w:val="0"/>
        </w:trPr>
        <w:tc>
          <w:tcPr>
            <w:gridSpan w:val="2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2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2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3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3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6">
      <w:pPr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sectPr>
      <w:pgSz w:h="12240" w:w="15840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237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i w:val="1"/>
          <w:sz w:val="14"/>
          <w:szCs w:val="14"/>
          <w:rtl w:val="0"/>
        </w:rPr>
        <w:t xml:space="preserve"> Téngase en cuenta el art. 142 de la Ley 5 de 1992 sobre las iniciativas legislativas exclusivas del Gobierno.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3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B5087"/>
    <w:rPr>
      <w:lang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8B7055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B53EC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CO" w:val="es-CO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075DA6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716919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716919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716919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E75ABA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E75ABA"/>
    <w:rPr>
      <w:rFonts w:ascii="Segoe UI" w:cs="Segoe UI" w:hAnsi="Segoe UI"/>
      <w:sz w:val="18"/>
      <w:szCs w:val="18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klJU63UNS1Evm5adlfqawK/c8g==">CgMxLjAyCGguZ2pkZ3hzMgloLjMwajB6bGw4AHIhMTNIOUQ5dEZCN2NjU3ZUWW5ZUExhSVlDWXBWNTI4RWJV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2023-04-20T22:37:00Z</dcterms:created>
  <dc:creator>Edison Luis Garcia</dc:creator>
</cp:coreProperties>
</file>