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EBDBC" w14:textId="0F74B808" w:rsidR="00DC2EC7" w:rsidRPr="00AD393D" w:rsidRDefault="003919D8">
      <w:pPr>
        <w:pStyle w:val="Ttulo1"/>
        <w:spacing w:before="0" w:line="240" w:lineRule="auto"/>
        <w:jc w:val="both"/>
        <w:rPr>
          <w:rFonts w:ascii="Arial" w:eastAsia="Arial" w:hAnsi="Arial" w:cs="Arial"/>
          <w:color w:val="000000"/>
          <w:sz w:val="24"/>
          <w:szCs w:val="24"/>
        </w:rPr>
      </w:pPr>
      <w:r w:rsidRPr="00AD393D">
        <w:rPr>
          <w:rFonts w:ascii="Arial" w:eastAsia="Arial" w:hAnsi="Arial" w:cs="Arial"/>
          <w:color w:val="000000"/>
          <w:sz w:val="24"/>
          <w:szCs w:val="24"/>
        </w:rPr>
        <w:t xml:space="preserve">Bogotá D.C. </w:t>
      </w:r>
      <w:r w:rsidR="009765DB" w:rsidRPr="00AD393D">
        <w:rPr>
          <w:rFonts w:ascii="Arial" w:eastAsia="Arial" w:hAnsi="Arial" w:cs="Arial"/>
          <w:color w:val="000000"/>
          <w:sz w:val="24"/>
          <w:szCs w:val="24"/>
        </w:rPr>
        <w:t>ju</w:t>
      </w:r>
      <w:r w:rsidR="00771F50">
        <w:rPr>
          <w:rFonts w:ascii="Arial" w:eastAsia="Arial" w:hAnsi="Arial" w:cs="Arial"/>
          <w:color w:val="000000"/>
          <w:sz w:val="24"/>
          <w:szCs w:val="24"/>
        </w:rPr>
        <w:t>l</w:t>
      </w:r>
      <w:r w:rsidR="009765DB" w:rsidRPr="00AD393D">
        <w:rPr>
          <w:rFonts w:ascii="Arial" w:eastAsia="Arial" w:hAnsi="Arial" w:cs="Arial"/>
          <w:color w:val="000000"/>
          <w:sz w:val="24"/>
          <w:szCs w:val="24"/>
        </w:rPr>
        <w:t>io de 2024</w:t>
      </w:r>
    </w:p>
    <w:p w14:paraId="6971B31B" w14:textId="77777777" w:rsidR="00DC2EC7" w:rsidRPr="00AD393D" w:rsidRDefault="00DC2EC7">
      <w:pPr>
        <w:spacing w:after="0" w:line="240" w:lineRule="auto"/>
        <w:jc w:val="both"/>
        <w:rPr>
          <w:rFonts w:ascii="Arial" w:eastAsia="Arial" w:hAnsi="Arial" w:cs="Arial"/>
          <w:sz w:val="24"/>
          <w:szCs w:val="24"/>
        </w:rPr>
      </w:pPr>
    </w:p>
    <w:p w14:paraId="49F0FC88" w14:textId="5232523D" w:rsidR="00DC2EC7" w:rsidRPr="00AD393D" w:rsidRDefault="00DC2EC7">
      <w:pPr>
        <w:spacing w:after="0" w:line="240" w:lineRule="auto"/>
        <w:jc w:val="both"/>
        <w:rPr>
          <w:rFonts w:ascii="Arial" w:eastAsia="Arial" w:hAnsi="Arial" w:cs="Arial"/>
          <w:sz w:val="24"/>
          <w:szCs w:val="24"/>
        </w:rPr>
      </w:pPr>
    </w:p>
    <w:p w14:paraId="3D14D28F" w14:textId="77777777" w:rsidR="00DC2EC7" w:rsidRPr="00AD393D" w:rsidRDefault="003919D8">
      <w:pPr>
        <w:spacing w:after="0" w:line="240" w:lineRule="auto"/>
        <w:jc w:val="both"/>
        <w:rPr>
          <w:rFonts w:ascii="Arial" w:eastAsia="Arial" w:hAnsi="Arial" w:cs="Arial"/>
          <w:sz w:val="24"/>
          <w:szCs w:val="24"/>
        </w:rPr>
      </w:pPr>
      <w:r w:rsidRPr="00AD393D">
        <w:rPr>
          <w:rFonts w:ascii="Arial" w:eastAsia="Arial" w:hAnsi="Arial" w:cs="Arial"/>
          <w:sz w:val="24"/>
          <w:szCs w:val="24"/>
        </w:rPr>
        <w:t xml:space="preserve">Honorable Representante </w:t>
      </w:r>
    </w:p>
    <w:p w14:paraId="62DE9A07" w14:textId="41DE3A95" w:rsidR="00DC2EC7" w:rsidRPr="00AD393D" w:rsidRDefault="00633207">
      <w:pPr>
        <w:spacing w:after="0" w:line="240" w:lineRule="auto"/>
        <w:jc w:val="both"/>
        <w:rPr>
          <w:rFonts w:ascii="Arial" w:eastAsia="Arial" w:hAnsi="Arial" w:cs="Arial"/>
          <w:b/>
          <w:sz w:val="24"/>
          <w:szCs w:val="24"/>
        </w:rPr>
      </w:pPr>
      <w:r>
        <w:rPr>
          <w:rFonts w:ascii="Arial" w:eastAsia="Arial" w:hAnsi="Arial" w:cs="Arial"/>
          <w:b/>
          <w:sz w:val="24"/>
          <w:szCs w:val="24"/>
        </w:rPr>
        <w:t>JUAN SEBASTIÁN GÓMEZ GONZÁLEZ</w:t>
      </w:r>
    </w:p>
    <w:p w14:paraId="10C7F5D5" w14:textId="5D4BA22E" w:rsidR="00DC2EC7" w:rsidRPr="00AD393D" w:rsidRDefault="00633207">
      <w:pPr>
        <w:spacing w:after="0" w:line="240" w:lineRule="auto"/>
        <w:jc w:val="both"/>
        <w:rPr>
          <w:rFonts w:ascii="Arial" w:eastAsia="Arial" w:hAnsi="Arial" w:cs="Arial"/>
          <w:b/>
          <w:bCs/>
          <w:sz w:val="24"/>
          <w:szCs w:val="24"/>
        </w:rPr>
      </w:pPr>
      <w:r>
        <w:rPr>
          <w:rFonts w:ascii="Arial" w:eastAsia="Arial" w:hAnsi="Arial" w:cs="Arial"/>
          <w:b/>
          <w:bCs/>
          <w:sz w:val="24"/>
          <w:szCs w:val="24"/>
        </w:rPr>
        <w:t>Vicep</w:t>
      </w:r>
      <w:r w:rsidR="003919D8" w:rsidRPr="00AD393D">
        <w:rPr>
          <w:rFonts w:ascii="Arial" w:eastAsia="Arial" w:hAnsi="Arial" w:cs="Arial"/>
          <w:b/>
          <w:bCs/>
          <w:sz w:val="24"/>
          <w:szCs w:val="24"/>
        </w:rPr>
        <w:t xml:space="preserve">residente </w:t>
      </w:r>
    </w:p>
    <w:p w14:paraId="622EA672" w14:textId="77777777" w:rsidR="00DC2EC7" w:rsidRPr="00AD393D" w:rsidRDefault="003919D8">
      <w:pPr>
        <w:spacing w:after="0" w:line="240" w:lineRule="auto"/>
        <w:jc w:val="both"/>
        <w:rPr>
          <w:rFonts w:ascii="Arial" w:eastAsia="Arial" w:hAnsi="Arial" w:cs="Arial"/>
          <w:sz w:val="24"/>
          <w:szCs w:val="24"/>
        </w:rPr>
      </w:pPr>
      <w:r w:rsidRPr="00AD393D">
        <w:rPr>
          <w:rFonts w:ascii="Arial" w:eastAsia="Arial" w:hAnsi="Arial" w:cs="Arial"/>
          <w:sz w:val="24"/>
          <w:szCs w:val="24"/>
        </w:rPr>
        <w:t>Comisión Primera Constitucional Permanente</w:t>
      </w:r>
    </w:p>
    <w:p w14:paraId="32B45ADA" w14:textId="77777777" w:rsidR="00DC2EC7" w:rsidRPr="00AD393D" w:rsidRDefault="003919D8">
      <w:pPr>
        <w:spacing w:after="0" w:line="240" w:lineRule="auto"/>
        <w:jc w:val="both"/>
        <w:rPr>
          <w:rFonts w:ascii="Arial" w:eastAsia="Arial" w:hAnsi="Arial" w:cs="Arial"/>
          <w:sz w:val="24"/>
          <w:szCs w:val="24"/>
        </w:rPr>
      </w:pPr>
      <w:r w:rsidRPr="00AD393D">
        <w:rPr>
          <w:rFonts w:ascii="Arial" w:eastAsia="Arial" w:hAnsi="Arial" w:cs="Arial"/>
          <w:sz w:val="24"/>
          <w:szCs w:val="24"/>
        </w:rPr>
        <w:t>Cámara de Representantes</w:t>
      </w:r>
    </w:p>
    <w:p w14:paraId="4C0E2533" w14:textId="77777777" w:rsidR="00DC2EC7" w:rsidRPr="00AD393D" w:rsidRDefault="00DC2EC7">
      <w:pPr>
        <w:spacing w:after="0" w:line="240" w:lineRule="auto"/>
        <w:jc w:val="both"/>
        <w:rPr>
          <w:rFonts w:ascii="Arial" w:eastAsia="Arial" w:hAnsi="Arial" w:cs="Arial"/>
          <w:sz w:val="24"/>
          <w:szCs w:val="24"/>
        </w:rPr>
      </w:pPr>
    </w:p>
    <w:p w14:paraId="55B604B8" w14:textId="77777777" w:rsidR="00DC2EC7" w:rsidRPr="00AD393D" w:rsidRDefault="00DC2EC7">
      <w:pPr>
        <w:spacing w:after="0" w:line="240" w:lineRule="auto"/>
        <w:jc w:val="both"/>
        <w:rPr>
          <w:rFonts w:ascii="Arial" w:eastAsia="Arial" w:hAnsi="Arial" w:cs="Arial"/>
          <w:sz w:val="24"/>
          <w:szCs w:val="24"/>
        </w:rPr>
      </w:pPr>
    </w:p>
    <w:p w14:paraId="24EBC685" w14:textId="355432AE" w:rsidR="00DC2EC7" w:rsidRPr="00AD393D" w:rsidRDefault="003919D8" w:rsidP="009765DB">
      <w:pPr>
        <w:spacing w:after="0" w:line="240" w:lineRule="auto"/>
        <w:ind w:left="1440"/>
        <w:jc w:val="both"/>
        <w:rPr>
          <w:rFonts w:ascii="Arial" w:eastAsia="Arial" w:hAnsi="Arial" w:cs="Arial"/>
          <w:sz w:val="24"/>
          <w:szCs w:val="24"/>
        </w:rPr>
      </w:pPr>
      <w:r w:rsidRPr="00AD393D">
        <w:rPr>
          <w:rFonts w:ascii="Arial" w:eastAsia="Arial" w:hAnsi="Arial" w:cs="Arial"/>
          <w:b/>
          <w:sz w:val="24"/>
          <w:szCs w:val="24"/>
        </w:rPr>
        <w:t>Referencia</w:t>
      </w:r>
      <w:r w:rsidRPr="00AD393D">
        <w:rPr>
          <w:rFonts w:ascii="Arial" w:eastAsia="Arial" w:hAnsi="Arial" w:cs="Arial"/>
          <w:sz w:val="24"/>
          <w:szCs w:val="24"/>
        </w:rPr>
        <w:t xml:space="preserve">: Informe Subcomisión </w:t>
      </w:r>
      <w:r w:rsidR="009765DB" w:rsidRPr="00AD393D">
        <w:rPr>
          <w:rFonts w:ascii="Arial" w:eastAsia="Arial" w:hAnsi="Arial" w:cs="Arial"/>
          <w:sz w:val="24"/>
          <w:szCs w:val="24"/>
        </w:rPr>
        <w:t xml:space="preserve">– Respuesta a la rendición de cuentas anual del Ministerio del Interior y el Ministerio de Justicia y del Derecho </w:t>
      </w:r>
    </w:p>
    <w:p w14:paraId="042BA23A" w14:textId="1157E4A9" w:rsidR="00DC2EC7" w:rsidRPr="00AD393D" w:rsidRDefault="00DC2EC7">
      <w:pPr>
        <w:spacing w:after="0" w:line="240" w:lineRule="auto"/>
        <w:jc w:val="both"/>
        <w:rPr>
          <w:rFonts w:ascii="Arial" w:eastAsia="Arial" w:hAnsi="Arial" w:cs="Arial"/>
          <w:sz w:val="24"/>
          <w:szCs w:val="24"/>
        </w:rPr>
      </w:pPr>
    </w:p>
    <w:p w14:paraId="18FB509B" w14:textId="5673E9D5" w:rsidR="00DC2EC7" w:rsidRPr="00AD393D" w:rsidRDefault="0769B0F9">
      <w:pPr>
        <w:spacing w:after="0" w:line="240" w:lineRule="auto"/>
        <w:jc w:val="both"/>
        <w:rPr>
          <w:rFonts w:ascii="Arial" w:eastAsia="Arial" w:hAnsi="Arial" w:cs="Arial"/>
          <w:sz w:val="24"/>
          <w:szCs w:val="24"/>
        </w:rPr>
      </w:pPr>
      <w:r w:rsidRPr="00AD393D">
        <w:rPr>
          <w:rFonts w:ascii="Arial" w:eastAsia="Arial" w:hAnsi="Arial" w:cs="Arial"/>
          <w:sz w:val="24"/>
          <w:szCs w:val="24"/>
        </w:rPr>
        <w:t>Respetado presidente,</w:t>
      </w:r>
    </w:p>
    <w:p w14:paraId="7C50135C" w14:textId="77777777" w:rsidR="00DC2EC7" w:rsidRPr="00AD393D" w:rsidRDefault="00DC2EC7">
      <w:pPr>
        <w:spacing w:after="0" w:line="240" w:lineRule="auto"/>
        <w:jc w:val="both"/>
        <w:rPr>
          <w:rFonts w:ascii="Arial" w:eastAsia="Arial" w:hAnsi="Arial" w:cs="Arial"/>
          <w:sz w:val="24"/>
          <w:szCs w:val="24"/>
        </w:rPr>
      </w:pPr>
    </w:p>
    <w:p w14:paraId="13DD7CDA" w14:textId="2AD7CE0F" w:rsidR="00DC2EC7" w:rsidRPr="00AD393D" w:rsidRDefault="0769B0F9">
      <w:pPr>
        <w:spacing w:after="0" w:line="240" w:lineRule="auto"/>
        <w:jc w:val="both"/>
        <w:rPr>
          <w:rFonts w:ascii="Arial" w:eastAsia="Arial" w:hAnsi="Arial" w:cs="Arial"/>
          <w:sz w:val="24"/>
          <w:szCs w:val="24"/>
        </w:rPr>
      </w:pPr>
      <w:r w:rsidRPr="00AD393D">
        <w:rPr>
          <w:rFonts w:ascii="Arial" w:eastAsia="Arial" w:hAnsi="Arial" w:cs="Arial"/>
          <w:sz w:val="24"/>
          <w:szCs w:val="24"/>
        </w:rPr>
        <w:t xml:space="preserve">En atención a la designación realizada por la honorable mesa directiva de la Comisión Primera el 23 de mayo de 2024, nos permitimos rendir informe y respuesta de acuerdo con lo dispuesto en el artículo 57 de la Ley Estatutaria 1757 de 2015 </w:t>
      </w:r>
      <w:r w:rsidRPr="00AD393D">
        <w:rPr>
          <w:rFonts w:ascii="Arial" w:eastAsia="Arial" w:hAnsi="Arial" w:cs="Arial"/>
          <w:i/>
          <w:iCs/>
          <w:sz w:val="24"/>
          <w:szCs w:val="24"/>
        </w:rPr>
        <w:t xml:space="preserve">“Por la cual se dictan disposiciones en materia de promoción y protección del derecho a la participación democrática”. </w:t>
      </w:r>
      <w:r w:rsidRPr="00AD393D">
        <w:rPr>
          <w:rFonts w:ascii="Arial" w:eastAsia="Arial" w:hAnsi="Arial" w:cs="Arial"/>
          <w:sz w:val="24"/>
          <w:szCs w:val="24"/>
        </w:rPr>
        <w:t xml:space="preserve">En este informe, presentamos observaciones y recomendaciones sobre los documentos: </w:t>
      </w:r>
    </w:p>
    <w:p w14:paraId="6EC8F276" w14:textId="606DCFBB" w:rsidR="689DC7A4" w:rsidRPr="00AD393D" w:rsidRDefault="689DC7A4" w:rsidP="689DC7A4">
      <w:pPr>
        <w:spacing w:after="0" w:line="240" w:lineRule="auto"/>
        <w:jc w:val="both"/>
        <w:rPr>
          <w:rFonts w:ascii="Arial" w:eastAsia="Arial" w:hAnsi="Arial" w:cs="Arial"/>
          <w:sz w:val="24"/>
          <w:szCs w:val="24"/>
        </w:rPr>
      </w:pPr>
    </w:p>
    <w:p w14:paraId="1DE44C21" w14:textId="017E34AF" w:rsidR="00960193" w:rsidRPr="00AD393D" w:rsidRDefault="00960193" w:rsidP="00960193">
      <w:pPr>
        <w:pStyle w:val="Prrafodelista"/>
        <w:numPr>
          <w:ilvl w:val="0"/>
          <w:numId w:val="30"/>
        </w:numPr>
        <w:jc w:val="both"/>
        <w:rPr>
          <w:rFonts w:ascii="Arial" w:eastAsia="Arial" w:hAnsi="Arial" w:cs="Arial"/>
          <w:lang w:val="es-CO"/>
        </w:rPr>
      </w:pPr>
      <w:r w:rsidRPr="00AD393D">
        <w:rPr>
          <w:rFonts w:ascii="Arial" w:eastAsia="Arial" w:hAnsi="Arial" w:cs="Arial"/>
          <w:lang w:val="es-CO"/>
        </w:rPr>
        <w:t>Informe de Rendición de Cuentas, Ministerio de Justicia y del Derecho 2023</w:t>
      </w:r>
    </w:p>
    <w:p w14:paraId="61B7D5C5" w14:textId="7E47BC29" w:rsidR="00960193" w:rsidRPr="00AD393D" w:rsidRDefault="00960193" w:rsidP="00960193">
      <w:pPr>
        <w:pStyle w:val="Prrafodelista"/>
        <w:numPr>
          <w:ilvl w:val="0"/>
          <w:numId w:val="30"/>
        </w:numPr>
        <w:jc w:val="both"/>
        <w:rPr>
          <w:rFonts w:ascii="Arial" w:eastAsia="Arial" w:hAnsi="Arial" w:cs="Arial"/>
          <w:lang w:val="es-CO"/>
        </w:rPr>
      </w:pPr>
      <w:r w:rsidRPr="00AD393D">
        <w:rPr>
          <w:rFonts w:ascii="Arial" w:eastAsia="Arial" w:hAnsi="Arial" w:cs="Arial"/>
          <w:lang w:val="es-CO"/>
        </w:rPr>
        <w:t>Informe de Gestión, Ministerio del Interior 2023</w:t>
      </w:r>
    </w:p>
    <w:p w14:paraId="330B698C" w14:textId="77777777" w:rsidR="00DC2EC7" w:rsidRPr="00AD393D" w:rsidRDefault="00DC2EC7">
      <w:pPr>
        <w:spacing w:after="0" w:line="240" w:lineRule="auto"/>
        <w:jc w:val="both"/>
        <w:rPr>
          <w:rFonts w:ascii="Arial" w:eastAsia="Arial" w:hAnsi="Arial" w:cs="Arial"/>
          <w:sz w:val="24"/>
          <w:szCs w:val="24"/>
        </w:rPr>
      </w:pPr>
    </w:p>
    <w:p w14:paraId="2F53EE66" w14:textId="12A709F6" w:rsidR="00A11476" w:rsidRPr="00AD393D" w:rsidRDefault="00A11476">
      <w:pPr>
        <w:spacing w:after="0" w:line="240" w:lineRule="auto"/>
        <w:jc w:val="both"/>
        <w:rPr>
          <w:rFonts w:ascii="Arial" w:eastAsia="Arial" w:hAnsi="Arial" w:cs="Arial"/>
          <w:sz w:val="24"/>
          <w:szCs w:val="24"/>
        </w:rPr>
      </w:pPr>
      <w:r w:rsidRPr="00AD393D">
        <w:rPr>
          <w:rFonts w:ascii="Arial" w:eastAsia="Arial" w:hAnsi="Arial" w:cs="Arial"/>
          <w:sz w:val="24"/>
          <w:szCs w:val="24"/>
        </w:rPr>
        <w:t>En estos términos, como subcomisión damos cumplimiento a la designación realizada</w:t>
      </w:r>
      <w:r w:rsidR="005D3E67" w:rsidRPr="00AD393D">
        <w:rPr>
          <w:rFonts w:ascii="Arial" w:eastAsia="Arial" w:hAnsi="Arial" w:cs="Arial"/>
          <w:sz w:val="24"/>
          <w:szCs w:val="24"/>
        </w:rPr>
        <w:t>.</w:t>
      </w:r>
    </w:p>
    <w:p w14:paraId="2D35D133" w14:textId="5177B6E4" w:rsidR="005D3E67" w:rsidRPr="00AD393D" w:rsidRDefault="005D3E67">
      <w:pPr>
        <w:spacing w:after="0" w:line="240" w:lineRule="auto"/>
        <w:jc w:val="both"/>
        <w:rPr>
          <w:rFonts w:ascii="Arial" w:eastAsia="Arial" w:hAnsi="Arial" w:cs="Arial"/>
          <w:sz w:val="24"/>
          <w:szCs w:val="24"/>
        </w:rPr>
      </w:pPr>
    </w:p>
    <w:p w14:paraId="78B02B0E" w14:textId="73291BE3" w:rsidR="005D3E67" w:rsidRPr="00AD393D" w:rsidRDefault="005D3E67">
      <w:pPr>
        <w:spacing w:after="0" w:line="240" w:lineRule="auto"/>
        <w:jc w:val="both"/>
        <w:rPr>
          <w:rFonts w:ascii="Arial" w:eastAsia="Arial" w:hAnsi="Arial" w:cs="Arial"/>
          <w:sz w:val="24"/>
          <w:szCs w:val="24"/>
        </w:rPr>
      </w:pPr>
      <w:r w:rsidRPr="00AD393D">
        <w:rPr>
          <w:rFonts w:ascii="Arial" w:eastAsia="Arial" w:hAnsi="Arial" w:cs="Arial"/>
          <w:sz w:val="24"/>
          <w:szCs w:val="24"/>
        </w:rPr>
        <w:t>De los honorables congresistas,</w:t>
      </w:r>
    </w:p>
    <w:p w14:paraId="661AD3DB" w14:textId="77777777" w:rsidR="00C43CAE" w:rsidRPr="00AD393D" w:rsidRDefault="00C43CAE">
      <w:pPr>
        <w:spacing w:after="0" w:line="240" w:lineRule="auto"/>
        <w:jc w:val="both"/>
        <w:rPr>
          <w:rFonts w:ascii="Arial" w:eastAsia="Arial" w:hAnsi="Arial" w:cs="Arial"/>
          <w:sz w:val="24"/>
          <w:szCs w:val="24"/>
        </w:rPr>
      </w:pPr>
    </w:p>
    <w:p w14:paraId="78E0025E" w14:textId="77777777" w:rsidR="003F318A" w:rsidRPr="00AD393D" w:rsidRDefault="003F318A">
      <w:pPr>
        <w:spacing w:after="0" w:line="240" w:lineRule="auto"/>
        <w:jc w:val="both"/>
        <w:rPr>
          <w:rFonts w:ascii="Arial" w:eastAsia="Arial" w:hAnsi="Arial" w:cs="Arial"/>
          <w:sz w:val="24"/>
          <w:szCs w:val="24"/>
        </w:rPr>
      </w:pPr>
    </w:p>
    <w:p w14:paraId="003B87DA" w14:textId="04617CB9" w:rsidR="6B92079F" w:rsidRPr="00AD393D" w:rsidRDefault="6B92079F" w:rsidP="6B92079F">
      <w:pPr>
        <w:spacing w:after="0" w:line="240" w:lineRule="auto"/>
        <w:jc w:val="both"/>
        <w:rPr>
          <w:rFonts w:ascii="Arial" w:eastAsia="Arial" w:hAnsi="Arial" w:cs="Arial"/>
          <w:sz w:val="24"/>
          <w:szCs w:val="24"/>
        </w:rPr>
      </w:pPr>
    </w:p>
    <w:p w14:paraId="0E926219" w14:textId="77777777" w:rsidR="004B3313" w:rsidRPr="00AD393D" w:rsidRDefault="004B3313" w:rsidP="003F318A">
      <w:pPr>
        <w:spacing w:after="0" w:line="240" w:lineRule="auto"/>
        <w:rPr>
          <w:rFonts w:ascii="Arial" w:eastAsia="Arial" w:hAnsi="Arial" w:cs="Arial"/>
          <w:sz w:val="24"/>
          <w:szCs w:val="24"/>
        </w:rPr>
      </w:pPr>
    </w:p>
    <w:p w14:paraId="4EFC2589" w14:textId="77777777" w:rsidR="004B3313" w:rsidRPr="00AD393D" w:rsidRDefault="005D3E67" w:rsidP="00927724">
      <w:pPr>
        <w:spacing w:after="0" w:line="240" w:lineRule="auto"/>
        <w:jc w:val="both"/>
        <w:rPr>
          <w:rFonts w:ascii="Arial" w:eastAsia="Arial" w:hAnsi="Arial" w:cs="Arial"/>
          <w:b/>
          <w:sz w:val="24"/>
          <w:szCs w:val="24"/>
        </w:rPr>
      </w:pPr>
      <w:r w:rsidRPr="00AD393D">
        <w:rPr>
          <w:rFonts w:ascii="Arial" w:eastAsia="Arial" w:hAnsi="Arial" w:cs="Arial"/>
          <w:b/>
          <w:sz w:val="24"/>
          <w:szCs w:val="24"/>
        </w:rPr>
        <w:t>JULIO CÉSAR TRIANA QUINTERO</w:t>
      </w:r>
      <w:r w:rsidRPr="00AD393D">
        <w:rPr>
          <w:rFonts w:ascii="Arial" w:eastAsia="Arial" w:hAnsi="Arial" w:cs="Arial"/>
          <w:b/>
          <w:sz w:val="24"/>
          <w:szCs w:val="24"/>
        </w:rPr>
        <w:tab/>
      </w:r>
      <w:r w:rsidRPr="00AD393D">
        <w:rPr>
          <w:rFonts w:ascii="Arial" w:eastAsia="Arial" w:hAnsi="Arial" w:cs="Arial"/>
          <w:b/>
          <w:sz w:val="24"/>
          <w:szCs w:val="24"/>
        </w:rPr>
        <w:tab/>
        <w:t>DUVALIER SÁNCHEZ ARANGO</w:t>
      </w:r>
    </w:p>
    <w:p w14:paraId="6D67AE10" w14:textId="3D8D9725" w:rsidR="004B3313" w:rsidRPr="00AD393D" w:rsidRDefault="005D3E67"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 xml:space="preserve">Representante a la Cámara </w:t>
      </w:r>
      <w:r w:rsidRPr="00AD393D">
        <w:rPr>
          <w:rFonts w:ascii="Arial" w:eastAsia="Arial" w:hAnsi="Arial" w:cs="Arial"/>
          <w:sz w:val="24"/>
          <w:szCs w:val="24"/>
        </w:rPr>
        <w:tab/>
      </w:r>
      <w:r w:rsidRPr="00AD393D">
        <w:rPr>
          <w:rFonts w:ascii="Arial" w:eastAsia="Arial" w:hAnsi="Arial" w:cs="Arial"/>
          <w:sz w:val="24"/>
          <w:szCs w:val="24"/>
        </w:rPr>
        <w:tab/>
      </w:r>
      <w:r w:rsidR="00DC7124" w:rsidRPr="00AD393D">
        <w:rPr>
          <w:rFonts w:ascii="Arial" w:eastAsia="Arial" w:hAnsi="Arial" w:cs="Arial"/>
          <w:sz w:val="24"/>
          <w:szCs w:val="24"/>
        </w:rPr>
        <w:tab/>
      </w:r>
      <w:r w:rsidRPr="00AD393D">
        <w:rPr>
          <w:rFonts w:ascii="Arial" w:eastAsia="Arial" w:hAnsi="Arial" w:cs="Arial"/>
          <w:sz w:val="24"/>
          <w:szCs w:val="24"/>
        </w:rPr>
        <w:t>Representante a la Cámara</w:t>
      </w:r>
    </w:p>
    <w:p w14:paraId="22F49671" w14:textId="7A99FEA9" w:rsidR="00C43CAE" w:rsidRPr="00AD393D" w:rsidRDefault="004B3313"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Departamento del Huila</w:t>
      </w:r>
      <w:r w:rsidRPr="00AD393D">
        <w:rPr>
          <w:rFonts w:ascii="Arial" w:eastAsia="Arial" w:hAnsi="Arial" w:cs="Arial"/>
          <w:sz w:val="24"/>
          <w:szCs w:val="24"/>
        </w:rPr>
        <w:tab/>
      </w:r>
      <w:r w:rsidR="003F318A" w:rsidRPr="00AD393D">
        <w:rPr>
          <w:rFonts w:ascii="Arial" w:eastAsia="Arial" w:hAnsi="Arial" w:cs="Arial"/>
          <w:sz w:val="24"/>
          <w:szCs w:val="24"/>
        </w:rPr>
        <w:tab/>
      </w:r>
      <w:bookmarkStart w:id="0" w:name="_GoBack"/>
      <w:bookmarkEnd w:id="0"/>
      <w:r w:rsidR="003F318A" w:rsidRPr="00AD393D">
        <w:rPr>
          <w:rFonts w:ascii="Arial" w:eastAsia="Arial" w:hAnsi="Arial" w:cs="Arial"/>
          <w:sz w:val="24"/>
          <w:szCs w:val="24"/>
        </w:rPr>
        <w:tab/>
      </w:r>
      <w:r w:rsidR="003F318A" w:rsidRPr="00AD393D">
        <w:rPr>
          <w:rFonts w:ascii="Arial" w:eastAsia="Arial" w:hAnsi="Arial" w:cs="Arial"/>
          <w:sz w:val="24"/>
          <w:szCs w:val="24"/>
        </w:rPr>
        <w:tab/>
      </w:r>
      <w:r w:rsidRPr="00AD393D">
        <w:rPr>
          <w:rFonts w:ascii="Arial" w:eastAsia="Arial" w:hAnsi="Arial" w:cs="Arial"/>
          <w:sz w:val="24"/>
          <w:szCs w:val="24"/>
        </w:rPr>
        <w:t>Departamento</w:t>
      </w:r>
      <w:r w:rsidR="003F318A" w:rsidRPr="00AD393D">
        <w:rPr>
          <w:rFonts w:ascii="Arial" w:eastAsia="Arial" w:hAnsi="Arial" w:cs="Arial"/>
          <w:sz w:val="24"/>
          <w:szCs w:val="24"/>
        </w:rPr>
        <w:t xml:space="preserve"> </w:t>
      </w:r>
      <w:r w:rsidR="00927724" w:rsidRPr="00AD393D">
        <w:rPr>
          <w:rFonts w:ascii="Arial" w:eastAsia="Arial" w:hAnsi="Arial" w:cs="Arial"/>
          <w:sz w:val="24"/>
          <w:szCs w:val="24"/>
        </w:rPr>
        <w:t xml:space="preserve">de </w:t>
      </w:r>
      <w:r w:rsidR="003F318A" w:rsidRPr="00AD393D">
        <w:rPr>
          <w:rFonts w:ascii="Arial" w:eastAsia="Arial" w:hAnsi="Arial" w:cs="Arial"/>
          <w:sz w:val="24"/>
          <w:szCs w:val="24"/>
        </w:rPr>
        <w:t>Valle del Cauca</w:t>
      </w:r>
    </w:p>
    <w:p w14:paraId="7A332526" w14:textId="77777777" w:rsidR="008D43DB" w:rsidRPr="00AD393D" w:rsidRDefault="008D43DB" w:rsidP="00927724">
      <w:pPr>
        <w:spacing w:after="0" w:line="240" w:lineRule="auto"/>
        <w:jc w:val="both"/>
        <w:rPr>
          <w:rFonts w:ascii="Arial" w:eastAsia="Arial" w:hAnsi="Arial" w:cs="Arial"/>
          <w:sz w:val="24"/>
          <w:szCs w:val="24"/>
        </w:rPr>
      </w:pPr>
    </w:p>
    <w:p w14:paraId="0601FDF5" w14:textId="77777777" w:rsidR="008D43DB" w:rsidRPr="00AD393D" w:rsidRDefault="008D43DB" w:rsidP="00927724">
      <w:pPr>
        <w:spacing w:after="0" w:line="240" w:lineRule="auto"/>
        <w:jc w:val="both"/>
        <w:rPr>
          <w:rFonts w:ascii="Arial" w:eastAsia="Arial" w:hAnsi="Arial" w:cs="Arial"/>
          <w:sz w:val="24"/>
          <w:szCs w:val="24"/>
        </w:rPr>
      </w:pPr>
    </w:p>
    <w:p w14:paraId="0F3AFE2E" w14:textId="64931844" w:rsidR="6B92079F" w:rsidRPr="00AD393D" w:rsidRDefault="6B92079F" w:rsidP="6B92079F">
      <w:pPr>
        <w:spacing w:after="0" w:line="240" w:lineRule="auto"/>
        <w:jc w:val="both"/>
        <w:rPr>
          <w:rFonts w:ascii="Arial" w:eastAsia="Arial" w:hAnsi="Arial" w:cs="Arial"/>
          <w:sz w:val="24"/>
          <w:szCs w:val="24"/>
        </w:rPr>
      </w:pPr>
    </w:p>
    <w:p w14:paraId="3AF086EF" w14:textId="251C36B6" w:rsidR="6B92079F" w:rsidRPr="00AD393D" w:rsidRDefault="6B92079F" w:rsidP="6B92079F">
      <w:pPr>
        <w:spacing w:after="0" w:line="240" w:lineRule="auto"/>
        <w:jc w:val="both"/>
        <w:rPr>
          <w:rFonts w:ascii="Arial" w:eastAsia="Arial" w:hAnsi="Arial" w:cs="Arial"/>
          <w:sz w:val="24"/>
          <w:szCs w:val="24"/>
        </w:rPr>
      </w:pPr>
    </w:p>
    <w:p w14:paraId="30CB2A78" w14:textId="31447F4C" w:rsidR="005D3E67" w:rsidRPr="00AD393D" w:rsidRDefault="005D3E67" w:rsidP="00927724">
      <w:pPr>
        <w:spacing w:after="0" w:line="240" w:lineRule="auto"/>
        <w:jc w:val="both"/>
        <w:rPr>
          <w:rFonts w:ascii="Arial" w:eastAsia="Arial" w:hAnsi="Arial" w:cs="Arial"/>
          <w:b/>
          <w:sz w:val="24"/>
          <w:szCs w:val="24"/>
        </w:rPr>
      </w:pPr>
      <w:r w:rsidRPr="00AD393D">
        <w:rPr>
          <w:rFonts w:ascii="Arial" w:eastAsia="Arial" w:hAnsi="Arial" w:cs="Arial"/>
          <w:b/>
          <w:sz w:val="24"/>
          <w:szCs w:val="24"/>
        </w:rPr>
        <w:t>KARYME ADRANA COTES</w:t>
      </w:r>
      <w:r w:rsidRPr="00AD393D">
        <w:rPr>
          <w:rFonts w:ascii="Arial" w:eastAsia="Arial" w:hAnsi="Arial" w:cs="Arial"/>
          <w:b/>
          <w:sz w:val="24"/>
          <w:szCs w:val="24"/>
        </w:rPr>
        <w:tab/>
      </w:r>
      <w:r w:rsidRPr="00AD393D">
        <w:rPr>
          <w:rFonts w:ascii="Arial" w:eastAsia="Arial" w:hAnsi="Arial" w:cs="Arial"/>
          <w:b/>
          <w:sz w:val="24"/>
          <w:szCs w:val="24"/>
        </w:rPr>
        <w:tab/>
      </w:r>
      <w:r w:rsidRPr="00AD393D">
        <w:rPr>
          <w:rFonts w:ascii="Arial" w:eastAsia="Arial" w:hAnsi="Arial" w:cs="Arial"/>
          <w:b/>
          <w:sz w:val="24"/>
          <w:szCs w:val="24"/>
        </w:rPr>
        <w:tab/>
        <w:t>ANA PAOLA GARCÍA SOTO</w:t>
      </w:r>
    </w:p>
    <w:p w14:paraId="135B6C85" w14:textId="2BD44F84" w:rsidR="005D3E67" w:rsidRPr="00AD393D" w:rsidRDefault="005D3E67"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Representante a la Cámara</w:t>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t>Representante a la Cámara</w:t>
      </w:r>
    </w:p>
    <w:p w14:paraId="57DCFC18" w14:textId="195B4092" w:rsidR="00DC2EC7" w:rsidRPr="00AD393D" w:rsidRDefault="0769B0F9"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Departamento de Sucre</w:t>
      </w:r>
      <w:r w:rsidR="005D3E67" w:rsidRPr="00AD393D">
        <w:tab/>
      </w:r>
      <w:r w:rsidR="005D3E67" w:rsidRPr="00AD393D">
        <w:tab/>
      </w:r>
      <w:r w:rsidR="005D3E67" w:rsidRPr="00AD393D">
        <w:tab/>
      </w:r>
      <w:r w:rsidR="005D3E67" w:rsidRPr="00AD393D">
        <w:tab/>
      </w:r>
      <w:r w:rsidRPr="00AD393D">
        <w:rPr>
          <w:rFonts w:ascii="Arial" w:eastAsia="Arial" w:hAnsi="Arial" w:cs="Arial"/>
          <w:sz w:val="24"/>
          <w:szCs w:val="24"/>
        </w:rPr>
        <w:t>Departamento de Córdoba</w:t>
      </w:r>
      <w:r w:rsidR="005D3E67" w:rsidRPr="00AD393D">
        <w:rPr>
          <w:rFonts w:ascii="Arial" w:eastAsia="Arial" w:hAnsi="Arial" w:cs="Arial"/>
          <w:sz w:val="24"/>
          <w:szCs w:val="24"/>
        </w:rPr>
        <w:br w:type="page"/>
      </w:r>
    </w:p>
    <w:p w14:paraId="53C0158F" w14:textId="46014C5B" w:rsidR="00DC2EC7" w:rsidRPr="00AD393D" w:rsidRDefault="005F06D9" w:rsidP="005F06D9">
      <w:pPr>
        <w:pBdr>
          <w:top w:val="nil"/>
          <w:left w:val="nil"/>
          <w:bottom w:val="nil"/>
          <w:right w:val="nil"/>
          <w:between w:val="nil"/>
        </w:pBdr>
        <w:spacing w:after="0" w:line="240" w:lineRule="auto"/>
        <w:jc w:val="center"/>
        <w:rPr>
          <w:rFonts w:ascii="Arial" w:eastAsia="Arial" w:hAnsi="Arial" w:cs="Arial"/>
          <w:b/>
          <w:bCs/>
          <w:color w:val="000000"/>
          <w:sz w:val="24"/>
          <w:szCs w:val="24"/>
        </w:rPr>
      </w:pPr>
      <w:r w:rsidRPr="00AD393D">
        <w:rPr>
          <w:rFonts w:ascii="Arial" w:eastAsia="Arial" w:hAnsi="Arial" w:cs="Arial"/>
          <w:b/>
          <w:bCs/>
          <w:color w:val="000000"/>
          <w:sz w:val="24"/>
          <w:szCs w:val="24"/>
        </w:rPr>
        <w:lastRenderedPageBreak/>
        <w:t xml:space="preserve">INFORME DE </w:t>
      </w:r>
      <w:r w:rsidR="00F44AC1" w:rsidRPr="00AD393D">
        <w:rPr>
          <w:rFonts w:ascii="Arial" w:eastAsia="Arial" w:hAnsi="Arial" w:cs="Arial"/>
          <w:b/>
          <w:bCs/>
          <w:color w:val="000000"/>
          <w:sz w:val="24"/>
          <w:szCs w:val="24"/>
        </w:rPr>
        <w:t>SUBCOMISIÓN</w:t>
      </w:r>
    </w:p>
    <w:p w14:paraId="73C70559" w14:textId="77777777" w:rsidR="00F44AC1" w:rsidRPr="00AD393D" w:rsidRDefault="00F44AC1" w:rsidP="00F44AC1">
      <w:pPr>
        <w:pBdr>
          <w:top w:val="nil"/>
          <w:left w:val="nil"/>
          <w:bottom w:val="nil"/>
          <w:right w:val="nil"/>
          <w:between w:val="nil"/>
        </w:pBdr>
        <w:spacing w:after="0" w:line="240" w:lineRule="auto"/>
        <w:jc w:val="center"/>
        <w:rPr>
          <w:rFonts w:ascii="Arial" w:eastAsia="Arial" w:hAnsi="Arial" w:cs="Arial"/>
          <w:b/>
          <w:bCs/>
          <w:color w:val="000000"/>
          <w:sz w:val="24"/>
          <w:szCs w:val="24"/>
        </w:rPr>
      </w:pPr>
      <w:r w:rsidRPr="00AD393D">
        <w:rPr>
          <w:rFonts w:ascii="Arial" w:eastAsia="Arial" w:hAnsi="Arial" w:cs="Arial"/>
          <w:b/>
          <w:bCs/>
          <w:color w:val="000000"/>
          <w:sz w:val="24"/>
          <w:szCs w:val="24"/>
        </w:rPr>
        <w:t xml:space="preserve">Respuesta a la rendición de cuentas anual del Ministerio del Interior y el Ministerio de Justicia y del Derecho </w:t>
      </w:r>
    </w:p>
    <w:p w14:paraId="03AFF1B6" w14:textId="77777777" w:rsidR="00F44AC1" w:rsidRPr="00AD393D" w:rsidRDefault="00F44AC1" w:rsidP="005F06D9">
      <w:pPr>
        <w:pBdr>
          <w:top w:val="nil"/>
          <w:left w:val="nil"/>
          <w:bottom w:val="nil"/>
          <w:right w:val="nil"/>
          <w:between w:val="nil"/>
        </w:pBdr>
        <w:spacing w:after="0" w:line="240" w:lineRule="auto"/>
        <w:jc w:val="center"/>
        <w:rPr>
          <w:rFonts w:ascii="Arial" w:eastAsia="Arial" w:hAnsi="Arial" w:cs="Arial"/>
          <w:b/>
          <w:bCs/>
          <w:color w:val="000000"/>
          <w:sz w:val="24"/>
          <w:szCs w:val="24"/>
        </w:rPr>
      </w:pPr>
    </w:p>
    <w:p w14:paraId="64B9AB6A" w14:textId="77777777" w:rsidR="005F06D9" w:rsidRPr="00AD393D" w:rsidRDefault="005F06D9" w:rsidP="005F06D9">
      <w:pPr>
        <w:pBdr>
          <w:top w:val="nil"/>
          <w:left w:val="nil"/>
          <w:bottom w:val="nil"/>
          <w:right w:val="nil"/>
          <w:between w:val="nil"/>
        </w:pBdr>
        <w:spacing w:after="0" w:line="240" w:lineRule="auto"/>
        <w:jc w:val="center"/>
        <w:rPr>
          <w:rFonts w:ascii="Arial" w:eastAsia="Arial" w:hAnsi="Arial" w:cs="Arial"/>
          <w:color w:val="000000"/>
          <w:sz w:val="24"/>
          <w:szCs w:val="24"/>
        </w:rPr>
      </w:pPr>
    </w:p>
    <w:p w14:paraId="12D8EC18" w14:textId="500F51C9"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1AF5CC2D" w14:textId="0233716B" w:rsidR="00960193" w:rsidRPr="00AD393D" w:rsidRDefault="6B92079F" w:rsidP="6B92079F">
      <w:pPr>
        <w:pStyle w:val="Prrafodelista"/>
        <w:numPr>
          <w:ilvl w:val="0"/>
          <w:numId w:val="10"/>
        </w:numPr>
        <w:jc w:val="both"/>
        <w:rPr>
          <w:rFonts w:ascii="Arial" w:eastAsia="Arial" w:hAnsi="Arial" w:cs="Arial"/>
          <w:b/>
          <w:bCs/>
          <w:color w:val="000000" w:themeColor="text1"/>
          <w:lang w:val="es-CO" w:eastAsia="en-US"/>
        </w:rPr>
      </w:pPr>
      <w:r w:rsidRPr="00AD393D">
        <w:rPr>
          <w:rFonts w:ascii="Arial" w:eastAsia="Arial" w:hAnsi="Arial" w:cs="Arial"/>
          <w:b/>
          <w:bCs/>
          <w:color w:val="000000" w:themeColor="text1"/>
          <w:lang w:val="es-CO"/>
        </w:rPr>
        <w:t xml:space="preserve">OBSERVACIONES AL </w:t>
      </w:r>
      <w:r w:rsidRPr="00AD393D">
        <w:rPr>
          <w:rFonts w:ascii="Arial" w:eastAsia="Arial" w:hAnsi="Arial" w:cs="Arial"/>
          <w:b/>
          <w:bCs/>
          <w:color w:val="000000" w:themeColor="text1"/>
          <w:lang w:val="es-CO" w:eastAsia="en-US"/>
        </w:rPr>
        <w:t>INFORME DE RENDICIÓN DE CUENTAS, MINISTERIO DE JUSTICIA Y DEL DERECHO 2023.</w:t>
      </w:r>
    </w:p>
    <w:p w14:paraId="60CD96AE" w14:textId="7B9B8B72" w:rsidR="6B92079F" w:rsidRPr="00AD393D" w:rsidRDefault="6B92079F" w:rsidP="6B92079F">
      <w:pPr>
        <w:jc w:val="both"/>
        <w:rPr>
          <w:rFonts w:ascii="Arial" w:eastAsia="Arial" w:hAnsi="Arial" w:cs="Arial"/>
          <w:b/>
          <w:bCs/>
          <w:color w:val="000000" w:themeColor="text1"/>
        </w:rPr>
      </w:pPr>
    </w:p>
    <w:p w14:paraId="74B37F42" w14:textId="77777777" w:rsidR="00AD393D" w:rsidRPr="00AD393D" w:rsidRDefault="00AD393D" w:rsidP="00AD393D">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 xml:space="preserve">En términos generales del informe, es pertinente señalar que: </w:t>
      </w:r>
    </w:p>
    <w:p w14:paraId="2525EC48" w14:textId="77777777" w:rsidR="00AD393D" w:rsidRPr="00AD393D" w:rsidRDefault="00AD393D" w:rsidP="00AD393D">
      <w:pPr>
        <w:pBdr>
          <w:top w:val="nil"/>
          <w:left w:val="nil"/>
          <w:bottom w:val="nil"/>
          <w:right w:val="nil"/>
          <w:between w:val="nil"/>
        </w:pBdr>
        <w:spacing w:after="0" w:line="240" w:lineRule="auto"/>
        <w:jc w:val="both"/>
      </w:pPr>
      <w:r w:rsidRPr="00AD393D">
        <w:rPr>
          <w:rFonts w:ascii="Arial" w:eastAsia="Arial" w:hAnsi="Arial" w:cs="Arial"/>
          <w:color w:val="000000" w:themeColor="text1"/>
          <w:sz w:val="24"/>
          <w:szCs w:val="24"/>
        </w:rPr>
        <w:t xml:space="preserve"> </w:t>
      </w:r>
    </w:p>
    <w:p w14:paraId="3AE64FD0" w14:textId="77777777" w:rsidR="00AD393D" w:rsidRPr="00AD393D" w:rsidRDefault="00AD393D" w:rsidP="00AD393D">
      <w:pPr>
        <w:pBdr>
          <w:top w:val="nil"/>
          <w:left w:val="nil"/>
          <w:bottom w:val="nil"/>
          <w:right w:val="nil"/>
          <w:between w:val="nil"/>
        </w:pBdr>
        <w:spacing w:after="0" w:line="240" w:lineRule="auto"/>
        <w:jc w:val="both"/>
        <w:rPr>
          <w:rFonts w:ascii="Arial" w:eastAsia="Arial" w:hAnsi="Arial" w:cs="Arial"/>
          <w:color w:val="000000"/>
          <w:sz w:val="24"/>
          <w:szCs w:val="24"/>
        </w:rPr>
      </w:pPr>
      <w:r w:rsidRPr="00AD393D">
        <w:rPr>
          <w:rFonts w:ascii="Arial" w:eastAsia="Arial" w:hAnsi="Arial" w:cs="Arial"/>
          <w:color w:val="000000" w:themeColor="text1"/>
          <w:sz w:val="24"/>
          <w:szCs w:val="24"/>
        </w:rPr>
        <w:t xml:space="preserve">En primer lugar, si estos documentos son los únicos con los cuales se da la rendición de cuentas, hay que anotar que no se presentan indicadores o metas que permitan saber si lo que se reporta es suficiente o no. Seguidamente, si solo se evalúa el desempeño de las entidades ateniéndose a lo reportado, es decir, sin indicadores, al menos debería presentarse una serie de medidas de qué tan efectivo han sido los programas que han implementado, más allá si esa cantidad específica de programas es suficiente o no, la propia eficacia de cada programa reportado. </w:t>
      </w:r>
    </w:p>
    <w:p w14:paraId="0EF55466" w14:textId="77777777" w:rsidR="00AD393D" w:rsidRDefault="00AD393D" w:rsidP="6B92079F">
      <w:pPr>
        <w:jc w:val="both"/>
        <w:rPr>
          <w:rFonts w:ascii="Arial" w:eastAsia="Arial" w:hAnsi="Arial" w:cs="Arial"/>
          <w:color w:val="000000" w:themeColor="text1"/>
          <w:sz w:val="24"/>
          <w:szCs w:val="24"/>
        </w:rPr>
      </w:pPr>
    </w:p>
    <w:p w14:paraId="6D81CB36" w14:textId="032A75C9" w:rsidR="6B92079F" w:rsidRPr="00AD393D" w:rsidRDefault="6B92079F" w:rsidP="6B92079F">
      <w:pPr>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El informe presentado por el Ministerio de Justicia y del Derecho para el año 2023, refiere la existencia de un Plan Estratégico Institucional, metas que se ha trazado el Gobierno Nacional, el Plan de Acción Institucional y el Plan Anticorrupción y Atención al Ciudadano. No obstante, no existen anexos que permitan comprobar el cumplimiento de cada uno de los competentes, ni las acciones desarrolladas para lograr la implementación.</w:t>
      </w:r>
    </w:p>
    <w:p w14:paraId="73839322" w14:textId="69A398DE" w:rsidR="6B92079F" w:rsidRPr="00AD393D" w:rsidRDefault="6B92079F" w:rsidP="6B92079F">
      <w:pPr>
        <w:pStyle w:val="Prrafodelista"/>
        <w:numPr>
          <w:ilvl w:val="0"/>
          <w:numId w:val="6"/>
        </w:numPr>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Sobre la información del Plan de Acción Institucional, no existe claridad sobre el programa de culminación del Grupo de Gestión Administrativo, dado que se hace referencia al año 2021; lo que nos hace pensar que es un error de digitación, por lo que no se tendría información al respecto o se requiere la debida claridad.</w:t>
      </w:r>
    </w:p>
    <w:p w14:paraId="24C6FEC3" w14:textId="203741BE"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0F0A1614" w14:textId="6CB11141" w:rsidR="6B92079F" w:rsidRPr="00AD393D" w:rsidRDefault="6B92079F" w:rsidP="6B92079F">
      <w:pPr>
        <w:pStyle w:val="Prrafodelista"/>
        <w:numPr>
          <w:ilvl w:val="0"/>
          <w:numId w:val="6"/>
        </w:numPr>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El corte que se evidencia en algunos competentes dispuesto en el Plan Anticorrupción y Atención al Ciudadano por ejemplo refiere información hasta el 31 de agosto de 2023; no permitiendo con ello contar con información consolidada a la finalización del año 2023, lo cual genera dudas y cuestionamientos sobre la forma en que se calculan los indicadores y estados de avance que se expresan en el documento.</w:t>
      </w:r>
    </w:p>
    <w:p w14:paraId="37A1518F" w14:textId="4305843A"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58A4B0E6" w14:textId="48FF2144" w:rsidR="6B92079F" w:rsidRPr="00AD393D" w:rsidRDefault="6B92079F" w:rsidP="6B92079F">
      <w:pPr>
        <w:pStyle w:val="Prrafodelista"/>
        <w:numPr>
          <w:ilvl w:val="0"/>
          <w:numId w:val="6"/>
        </w:numPr>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Frente a los temas presupuestales se señala corte a octubre de 2023, no existe un análisis del cierre de año fiscal; lo cual dificulta conocer con claridad la ejecución total del presupuesto para el año 2023.</w:t>
      </w:r>
    </w:p>
    <w:p w14:paraId="43B5F597" w14:textId="16B6FCB6"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2EB4C966" w14:textId="1C8F60AE"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Adicionalmente, la entidad solicitó 6.2 billones de pesos para la vigencia 2024. El Ministerio de Hacienda y Crédito Público le asignó 5 billones de pesos, de los cuales a corte de junio 2024 se han ejecutado el 56.7%, es decir, 2.8 billones. Información que es clave revisar atendiendo a las proyecciones realizada en el año 2023 y a la ejecución presupuestal de la entidad en ese mismo año.</w:t>
      </w:r>
    </w:p>
    <w:p w14:paraId="47B1139F" w14:textId="1B9A3827"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6F251F09" w14:textId="386CD6B5"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 xml:space="preserve">Por lo anterior y atendiendo a la información de la rendición de cuentas, es válido preguntarnos: ¿Se </w:t>
      </w:r>
      <w:r w:rsidR="00AD393D" w:rsidRPr="00AD393D">
        <w:rPr>
          <w:rFonts w:ascii="Arial" w:eastAsia="Arial" w:hAnsi="Arial" w:cs="Arial"/>
          <w:color w:val="000000" w:themeColor="text1"/>
          <w:lang w:val="es-CO" w:eastAsia="en-US"/>
        </w:rPr>
        <w:t>ejecutó</w:t>
      </w:r>
      <w:r w:rsidRPr="00AD393D">
        <w:rPr>
          <w:rFonts w:ascii="Arial" w:eastAsia="Arial" w:hAnsi="Arial" w:cs="Arial"/>
          <w:color w:val="000000" w:themeColor="text1"/>
          <w:lang w:val="es-CO" w:eastAsia="en-US"/>
        </w:rPr>
        <w:t xml:space="preserve"> el 25% restante del presupuesto en diciembre de 2023?  La solicitud realizada es de 26 puntos porcentuales por encima de la inflación; la cartera está solicitando un cuarto (1/4) adicional de su presupuesto del 2023 en términos reales ¿tiene capacidad para ejecutarlos? </w:t>
      </w:r>
    </w:p>
    <w:p w14:paraId="1FBFC09F" w14:textId="55BEFEFF"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6FDEF554" w14:textId="263F4636" w:rsidR="6B92079F" w:rsidRPr="00AD393D" w:rsidRDefault="6B92079F" w:rsidP="6B92079F">
      <w:pPr>
        <w:pStyle w:val="Prrafodelista"/>
        <w:numPr>
          <w:ilvl w:val="0"/>
          <w:numId w:val="6"/>
        </w:numPr>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 xml:space="preserve">Se señala en el informe que </w:t>
      </w:r>
      <w:r w:rsidRPr="00AD393D">
        <w:rPr>
          <w:rFonts w:ascii="Arial" w:eastAsia="Arial" w:hAnsi="Arial" w:cs="Arial"/>
          <w:i/>
          <w:iCs/>
          <w:color w:val="000000" w:themeColor="text1"/>
          <w:lang w:val="es-CO" w:eastAsia="en-US"/>
        </w:rPr>
        <w:t xml:space="preserve">la reglamentación del Sistema Nacional de Búsqueda “deberá ser aprobada para el último trimestre del 2023”, desarrollando disposiciones que deben contener la política pública en la materia”; </w:t>
      </w:r>
      <w:r w:rsidRPr="00AD393D">
        <w:rPr>
          <w:rFonts w:ascii="Arial" w:eastAsia="Arial" w:hAnsi="Arial" w:cs="Arial"/>
          <w:color w:val="000000" w:themeColor="text1"/>
          <w:lang w:val="es-CO" w:eastAsia="en-US"/>
        </w:rPr>
        <w:t>no obstante, dado que este es un informe parcial, no se puede comprobar si la meta se cumplió en el 2023 o de no cumplirse las razones por las cuales no fue posible.</w:t>
      </w:r>
    </w:p>
    <w:p w14:paraId="0F916C5C" w14:textId="6E3F3FB7"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77B61EE6" w14:textId="5491A9FD" w:rsidR="6B92079F" w:rsidRPr="00AD393D" w:rsidRDefault="6B92079F" w:rsidP="6B92079F">
      <w:pPr>
        <w:pStyle w:val="Prrafodelista"/>
        <w:numPr>
          <w:ilvl w:val="0"/>
          <w:numId w:val="6"/>
        </w:numPr>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En relación con los avances y apoyos del Ministerio en la implementación del Acuerdo de Paz, no existe claridad si el estado y el estado técnico hacen referencia al cierre del año 2023, o es como lo refiere la citación de la fuente del año 2022.</w:t>
      </w:r>
    </w:p>
    <w:p w14:paraId="717A6947" w14:textId="7A74A013"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p>
    <w:p w14:paraId="63DCBE32" w14:textId="3F6E3DE6" w:rsidR="6B92079F" w:rsidRPr="00AD393D" w:rsidRDefault="6B92079F" w:rsidP="6B92079F">
      <w:pPr>
        <w:pStyle w:val="Prrafodelista"/>
        <w:spacing w:after="160" w:line="259" w:lineRule="auto"/>
        <w:jc w:val="both"/>
        <w:rPr>
          <w:rFonts w:ascii="Arial" w:eastAsia="Arial" w:hAnsi="Arial" w:cs="Arial"/>
          <w:color w:val="000000" w:themeColor="text1"/>
          <w:lang w:val="es-CO" w:eastAsia="en-US"/>
        </w:rPr>
      </w:pPr>
      <w:r w:rsidRPr="00AD393D">
        <w:rPr>
          <w:rFonts w:ascii="Arial" w:eastAsia="Arial" w:hAnsi="Arial" w:cs="Arial"/>
          <w:color w:val="000000" w:themeColor="text1"/>
          <w:lang w:val="es-CO" w:eastAsia="en-US"/>
        </w:rPr>
        <w:t xml:space="preserve">De igual forma, se establece que el documento es una </w:t>
      </w:r>
      <w:r w:rsidRPr="00AD393D">
        <w:rPr>
          <w:rFonts w:ascii="Arial" w:eastAsia="Arial" w:hAnsi="Arial" w:cs="Arial"/>
          <w:i/>
          <w:iCs/>
          <w:color w:val="000000" w:themeColor="text1"/>
          <w:lang w:val="es-CO" w:eastAsia="en-US"/>
        </w:rPr>
        <w:t>“gestión institucional correspondiente a la vigencia 2023”</w:t>
      </w:r>
      <w:r w:rsidRPr="00AD393D">
        <w:rPr>
          <w:rFonts w:ascii="Arial" w:eastAsia="Arial" w:hAnsi="Arial" w:cs="Arial"/>
          <w:color w:val="000000" w:themeColor="text1"/>
          <w:lang w:val="es-CO" w:eastAsia="en-US"/>
        </w:rPr>
        <w:t>, pero al revisar el punto sobre el estudio nacional de consumo de sustancias psicoactivas, se evidencia como un “</w:t>
      </w:r>
      <w:r w:rsidRPr="00AD393D">
        <w:rPr>
          <w:rFonts w:ascii="Arial" w:eastAsia="Arial" w:hAnsi="Arial" w:cs="Arial"/>
          <w:i/>
          <w:iCs/>
          <w:color w:val="000000" w:themeColor="text1"/>
          <w:lang w:val="es-CO" w:eastAsia="en-US"/>
        </w:rPr>
        <w:t>indicador cumplido”</w:t>
      </w:r>
      <w:r w:rsidRPr="00AD393D">
        <w:rPr>
          <w:rFonts w:ascii="Arial" w:eastAsia="Arial" w:hAnsi="Arial" w:cs="Arial"/>
          <w:color w:val="000000" w:themeColor="text1"/>
          <w:lang w:val="es-CO" w:eastAsia="en-US"/>
        </w:rPr>
        <w:t>; pero este revela información del año 2020 y 2021, no contando con información que permita comprobar si hay nuevos compromisos e indicadores frente a este puntos, criterios de actualización o un compromiso más allá de la radicación de las iniciativas legislativas para el tratamiento penal diferenciado de los pequeños cultivadores.</w:t>
      </w:r>
    </w:p>
    <w:p w14:paraId="0701BD0E" w14:textId="0839B45C" w:rsidR="00960193" w:rsidRPr="00AD393D" w:rsidRDefault="00960193" w:rsidP="0769B0F9">
      <w:pPr>
        <w:pBdr>
          <w:top w:val="nil"/>
          <w:left w:val="nil"/>
          <w:bottom w:val="nil"/>
          <w:right w:val="nil"/>
          <w:between w:val="nil"/>
        </w:pBdr>
        <w:spacing w:after="0" w:line="240" w:lineRule="auto"/>
        <w:jc w:val="both"/>
        <w:rPr>
          <w:rFonts w:ascii="Arial" w:eastAsia="Arial" w:hAnsi="Arial" w:cs="Arial"/>
          <w:color w:val="000000"/>
          <w:sz w:val="24"/>
          <w:szCs w:val="24"/>
        </w:rPr>
      </w:pPr>
    </w:p>
    <w:p w14:paraId="77F03E2A" w14:textId="296376BA" w:rsidR="00960193"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De la misma forma, la información permite comprobar los datos de función pública, en relación con el alto puntaje de desempeño institucional. No obstante, es necesario al igual que se señalan los puntajes, señalar con claridad, los criterios de evaluación y las acciones de mejora para que la entidad continue avanzando en su desempeño.</w:t>
      </w:r>
    </w:p>
    <w:p w14:paraId="6B26C604" w14:textId="460F2707" w:rsidR="00960193" w:rsidRPr="00AD393D" w:rsidRDefault="00960193"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6B60C1A0" w14:textId="7B86A6DB" w:rsidR="00960193"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sz w:val="24"/>
          <w:szCs w:val="24"/>
        </w:rPr>
      </w:pPr>
      <w:r w:rsidRPr="00AD393D">
        <w:rPr>
          <w:rFonts w:ascii="Arial" w:eastAsia="Arial" w:hAnsi="Arial" w:cs="Arial"/>
          <w:color w:val="000000" w:themeColor="text1"/>
          <w:sz w:val="24"/>
          <w:szCs w:val="24"/>
        </w:rPr>
        <w:t>Del análisis integral de la rendición de cuentas del Ministerio de Justicia y del Derecho del año 2023, se resalta la facilidad de lectura del documento y la puesta en marcha de disposiciones para explicar fácilmente a los ciudadanos el funcionamiento interno de la entidad y sus programas; ejemplo de ello es la explicación detalla de las actividades realizadas con el informe de la Comisión para el Esclarecimiento de la Verdad, la Convivencia y la No Repetición -CEV- o los eventos realizados para la implementación de las disposiciones de la Ley 2292 de 2023. Pero estos informes deben contar con todos los anexos necesarios para analizar indicadores y cumplir metas y lograr la transparencia de la entidad en el desarrollo de sus actividades.</w:t>
      </w:r>
    </w:p>
    <w:p w14:paraId="0B07FDEC" w14:textId="1618273E" w:rsidR="00DC2EC7" w:rsidRDefault="00DC2EC7" w:rsidP="6B92079F">
      <w:pPr>
        <w:pBdr>
          <w:top w:val="nil"/>
          <w:left w:val="nil"/>
          <w:bottom w:val="nil"/>
          <w:right w:val="nil"/>
          <w:between w:val="nil"/>
        </w:pBdr>
        <w:spacing w:after="0" w:line="240" w:lineRule="auto"/>
        <w:jc w:val="both"/>
        <w:rPr>
          <w:rFonts w:ascii="Arial" w:eastAsia="Arial" w:hAnsi="Arial" w:cs="Arial"/>
          <w:color w:val="000000"/>
          <w:sz w:val="24"/>
          <w:szCs w:val="24"/>
        </w:rPr>
      </w:pPr>
    </w:p>
    <w:p w14:paraId="37A627F3" w14:textId="77777777" w:rsidR="00771F50" w:rsidRPr="00AD393D" w:rsidRDefault="00771F50" w:rsidP="6B92079F">
      <w:pPr>
        <w:pBdr>
          <w:top w:val="nil"/>
          <w:left w:val="nil"/>
          <w:bottom w:val="nil"/>
          <w:right w:val="nil"/>
          <w:between w:val="nil"/>
        </w:pBdr>
        <w:spacing w:after="0" w:line="240" w:lineRule="auto"/>
        <w:jc w:val="both"/>
        <w:rPr>
          <w:rFonts w:ascii="Arial" w:eastAsia="Arial" w:hAnsi="Arial" w:cs="Arial"/>
          <w:color w:val="000000"/>
          <w:sz w:val="24"/>
          <w:szCs w:val="24"/>
        </w:rPr>
      </w:pPr>
    </w:p>
    <w:p w14:paraId="7EBDED1B" w14:textId="09CC3B67" w:rsidR="00960193" w:rsidRPr="00AD393D" w:rsidRDefault="00960193" w:rsidP="005C6112">
      <w:pPr>
        <w:pStyle w:val="Ttulo1"/>
        <w:numPr>
          <w:ilvl w:val="0"/>
          <w:numId w:val="10"/>
        </w:numPr>
        <w:rPr>
          <w:rFonts w:ascii="Arial" w:hAnsi="Arial" w:cs="Arial"/>
          <w:b/>
          <w:bCs/>
          <w:color w:val="auto"/>
          <w:sz w:val="24"/>
          <w:szCs w:val="24"/>
        </w:rPr>
      </w:pPr>
      <w:r w:rsidRPr="00AD393D">
        <w:rPr>
          <w:rFonts w:ascii="Arial" w:hAnsi="Arial" w:cs="Arial"/>
          <w:b/>
          <w:bCs/>
          <w:color w:val="auto"/>
          <w:sz w:val="24"/>
          <w:szCs w:val="24"/>
        </w:rPr>
        <w:t>OBSERVACIONES AL INFORME DE GESTIÓN, MINISTERIO DEL INTERIOR 2023</w:t>
      </w:r>
    </w:p>
    <w:p w14:paraId="2C057DB8" w14:textId="770A33B0" w:rsidR="00960193" w:rsidRPr="00AD393D" w:rsidRDefault="00960193" w:rsidP="00960193">
      <w:pPr>
        <w:pBdr>
          <w:top w:val="nil"/>
          <w:left w:val="nil"/>
          <w:bottom w:val="nil"/>
          <w:right w:val="nil"/>
          <w:between w:val="nil"/>
        </w:pBdr>
        <w:spacing w:after="0" w:line="240" w:lineRule="auto"/>
        <w:jc w:val="both"/>
        <w:rPr>
          <w:rFonts w:ascii="Arial" w:eastAsia="Arial" w:hAnsi="Arial" w:cs="Arial"/>
          <w:color w:val="000000"/>
          <w:sz w:val="24"/>
          <w:szCs w:val="24"/>
        </w:rPr>
      </w:pPr>
    </w:p>
    <w:p w14:paraId="0024B951" w14:textId="158E904C" w:rsidR="6B92079F" w:rsidRPr="00AD393D" w:rsidRDefault="6B92079F" w:rsidP="6B92079F">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El Informe de Gestión del Ministerio del Interior recuenta los resultados reportados por sus cuatro áreas organizacionales: el viceministerio para el diálogo social, el viceministerio general del interior, la secretaría general y el despacho del ministro. La metodología usada fue, comparar cuando era posible, los resultados presentados por el Ministerio con fuentes alternas como los informes de gestión presentados al Congreso de este mismo Ministerio en vigencias anteriores, al igual que con la información disponible en el Departamento Nacional de Planeación – DNP, el Ministerio de Hacienda y Crédito Público, los reportes de ejecución presupuestal mensual del Ministerio del Interior y el Decreto de Liquidación Presupuestal 2023 – Decreto No. 2590 de 23 de diciembre de 2022.</w:t>
      </w:r>
    </w:p>
    <w:p w14:paraId="73E1B0F6" w14:textId="054C3B10" w:rsidR="6B92079F" w:rsidRPr="00AD393D" w:rsidRDefault="6B92079F" w:rsidP="6B92079F">
      <w:pPr>
        <w:spacing w:after="0"/>
        <w:jc w:val="both"/>
        <w:rPr>
          <w:rFonts w:ascii="Arial" w:eastAsia="Arial" w:hAnsi="Arial" w:cs="Arial"/>
          <w:color w:val="000000" w:themeColor="text1"/>
          <w:sz w:val="24"/>
          <w:szCs w:val="24"/>
        </w:rPr>
      </w:pPr>
    </w:p>
    <w:p w14:paraId="5BFE379F" w14:textId="1611D14A"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Es pertinente señalar, que solo una de las subdirecciones presentó algo similar a indicadores, para el caso de los registros comunales donde se reportó un total o meta y un logrado, lo que permite obtener un cociente para medir avance. Algunas otras dependencias presentan una que otra medida de impacto por ejemplo medidas por cantidad de personas impactadas/beneficiadas y por dineros ejecutados. No obstante, no es información clave para evaluar el impacto de los programas implementados y el cumplimiento de las metas propuestas.</w:t>
      </w:r>
    </w:p>
    <w:p w14:paraId="16535970" w14:textId="084F528A" w:rsidR="005C6112" w:rsidRPr="00AD393D" w:rsidRDefault="005C6112" w:rsidP="003C48EA">
      <w:pPr>
        <w:pStyle w:val="Ttulo1"/>
        <w:rPr>
          <w:rFonts w:ascii="Arial" w:hAnsi="Arial" w:cs="Arial"/>
          <w:b/>
          <w:bCs/>
          <w:color w:val="auto"/>
          <w:sz w:val="24"/>
          <w:szCs w:val="24"/>
        </w:rPr>
      </w:pPr>
      <w:r w:rsidRPr="00AD393D">
        <w:rPr>
          <w:rFonts w:ascii="Arial" w:hAnsi="Arial" w:cs="Arial"/>
          <w:b/>
          <w:bCs/>
          <w:color w:val="auto"/>
          <w:sz w:val="24"/>
          <w:szCs w:val="24"/>
        </w:rPr>
        <w:t xml:space="preserve">Viceministerio </w:t>
      </w:r>
      <w:r w:rsidR="003C48EA" w:rsidRPr="00AD393D">
        <w:rPr>
          <w:rFonts w:ascii="Arial" w:hAnsi="Arial" w:cs="Arial"/>
          <w:b/>
          <w:bCs/>
          <w:color w:val="auto"/>
          <w:sz w:val="24"/>
          <w:szCs w:val="24"/>
        </w:rPr>
        <w:t>para el Diálogo Social</w:t>
      </w:r>
    </w:p>
    <w:p w14:paraId="4DBB79E5" w14:textId="77777777" w:rsidR="005C6112" w:rsidRPr="00AD393D" w:rsidRDefault="005C6112" w:rsidP="0723639E">
      <w:pPr>
        <w:spacing w:after="0"/>
        <w:jc w:val="both"/>
        <w:rPr>
          <w:rFonts w:ascii="Arial" w:eastAsia="Arial" w:hAnsi="Arial" w:cs="Arial"/>
          <w:color w:val="000000" w:themeColor="text1"/>
          <w:sz w:val="24"/>
          <w:szCs w:val="24"/>
        </w:rPr>
      </w:pPr>
    </w:p>
    <w:p w14:paraId="7BD185C7" w14:textId="26FB0769" w:rsidR="003C48EA" w:rsidRPr="00AD393D" w:rsidRDefault="00B33260"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dirección de asuntos para comunidades negras, afrocolombianas, raizales y palenqueras </w:t>
      </w:r>
      <w:r w:rsidRPr="00AD393D">
        <w:rPr>
          <w:rFonts w:ascii="Arial" w:eastAsia="Arial" w:hAnsi="Arial" w:cs="Arial"/>
          <w:color w:val="000000" w:themeColor="text1"/>
          <w:sz w:val="24"/>
          <w:szCs w:val="24"/>
        </w:rPr>
        <w:t>reporta</w:t>
      </w:r>
      <w:r w:rsidR="00167988" w:rsidRPr="00AD393D">
        <w:rPr>
          <w:rFonts w:ascii="Arial" w:eastAsia="Arial" w:hAnsi="Arial" w:cs="Arial"/>
          <w:color w:val="000000" w:themeColor="text1"/>
          <w:sz w:val="24"/>
          <w:szCs w:val="24"/>
        </w:rPr>
        <w:t xml:space="preserve"> la suscripción de un convenio con la Universidad Nacional de Colombia por valor de $12.867.</w:t>
      </w:r>
      <w:bookmarkStart w:id="1" w:name="_Int_KyMabu3b"/>
      <w:r w:rsidR="00167988" w:rsidRPr="00AD393D">
        <w:rPr>
          <w:rFonts w:ascii="Arial" w:eastAsia="Arial" w:hAnsi="Arial" w:cs="Arial"/>
          <w:color w:val="000000" w:themeColor="text1"/>
          <w:sz w:val="24"/>
          <w:szCs w:val="24"/>
        </w:rPr>
        <w:t>455</w:t>
      </w:r>
      <w:r w:rsidR="006456C5" w:rsidRPr="00AD393D">
        <w:rPr>
          <w:rFonts w:ascii="Arial" w:eastAsia="Arial" w:hAnsi="Arial" w:cs="Arial"/>
          <w:color w:val="000000" w:themeColor="text1"/>
          <w:sz w:val="24"/>
          <w:szCs w:val="24"/>
        </w:rPr>
        <w:t>.184.oo</w:t>
      </w:r>
      <w:bookmarkEnd w:id="1"/>
      <w:r w:rsidR="006456C5" w:rsidRPr="00AD393D">
        <w:rPr>
          <w:rFonts w:ascii="Arial" w:eastAsia="Arial" w:hAnsi="Arial" w:cs="Arial"/>
          <w:color w:val="000000" w:themeColor="text1"/>
          <w:sz w:val="24"/>
          <w:szCs w:val="24"/>
        </w:rPr>
        <w:t xml:space="preserve">, al igual que el giro de </w:t>
      </w:r>
      <w:r w:rsidR="00A037F7" w:rsidRPr="00AD393D">
        <w:rPr>
          <w:rFonts w:ascii="Arial" w:eastAsia="Arial" w:hAnsi="Arial" w:cs="Arial"/>
          <w:color w:val="000000" w:themeColor="text1"/>
          <w:sz w:val="24"/>
          <w:szCs w:val="24"/>
        </w:rPr>
        <w:t>$24.</w:t>
      </w:r>
      <w:bookmarkStart w:id="2" w:name="_Int_903CsRmN"/>
      <w:r w:rsidR="00A037F7" w:rsidRPr="00AD393D">
        <w:rPr>
          <w:rFonts w:ascii="Arial" w:eastAsia="Arial" w:hAnsi="Arial" w:cs="Arial"/>
          <w:color w:val="000000" w:themeColor="text1"/>
          <w:sz w:val="24"/>
          <w:szCs w:val="24"/>
        </w:rPr>
        <w:t>000.000.oo</w:t>
      </w:r>
      <w:bookmarkEnd w:id="2"/>
      <w:r w:rsidR="00A037F7" w:rsidRPr="00AD393D">
        <w:rPr>
          <w:rFonts w:ascii="Arial" w:eastAsia="Arial" w:hAnsi="Arial" w:cs="Arial"/>
          <w:color w:val="000000" w:themeColor="text1"/>
          <w:sz w:val="24"/>
          <w:szCs w:val="24"/>
        </w:rPr>
        <w:t xml:space="preserve"> al Fondo Especial de Créditos Educativos de Comunidades Negras – FECECN con el ICETEX</w:t>
      </w:r>
      <w:r w:rsidR="00A22DB5" w:rsidRPr="00AD393D">
        <w:rPr>
          <w:rFonts w:ascii="Arial" w:eastAsia="Arial" w:hAnsi="Arial" w:cs="Arial"/>
          <w:color w:val="000000" w:themeColor="text1"/>
          <w:sz w:val="24"/>
          <w:szCs w:val="24"/>
        </w:rPr>
        <w:t xml:space="preserve">, y la caracterización de 48 comunidades en el marco de la atención a </w:t>
      </w:r>
      <w:r w:rsidR="00A22DB5" w:rsidRPr="00AD393D">
        <w:rPr>
          <w:rFonts w:ascii="Arial" w:eastAsia="Arial" w:hAnsi="Arial" w:cs="Arial"/>
          <w:color w:val="000000" w:themeColor="text1"/>
          <w:sz w:val="24"/>
          <w:szCs w:val="24"/>
        </w:rPr>
        <w:lastRenderedPageBreak/>
        <w:t xml:space="preserve">víctimas de desplazamiento en cumplimiento de la Sentencia T-025 de 2004. </w:t>
      </w:r>
      <w:r w:rsidR="00BB28F3" w:rsidRPr="00AD393D">
        <w:rPr>
          <w:rFonts w:ascii="Arial" w:eastAsia="Arial" w:hAnsi="Arial" w:cs="Arial"/>
          <w:color w:val="000000" w:themeColor="text1"/>
          <w:sz w:val="24"/>
          <w:szCs w:val="24"/>
        </w:rPr>
        <w:t>Esta dirección tenía una apropiación para el 2023 de $55.886.</w:t>
      </w:r>
      <w:bookmarkStart w:id="3" w:name="_Int_rvZG1JMv"/>
      <w:r w:rsidR="00BB28F3" w:rsidRPr="00AD393D">
        <w:rPr>
          <w:rFonts w:ascii="Arial" w:eastAsia="Arial" w:hAnsi="Arial" w:cs="Arial"/>
          <w:color w:val="000000" w:themeColor="text1"/>
          <w:sz w:val="24"/>
          <w:szCs w:val="24"/>
        </w:rPr>
        <w:t>000.000.oo</w:t>
      </w:r>
      <w:bookmarkEnd w:id="3"/>
      <w:r w:rsidR="00BB28F3" w:rsidRPr="00AD393D">
        <w:rPr>
          <w:rFonts w:ascii="Arial" w:eastAsia="Arial" w:hAnsi="Arial" w:cs="Arial"/>
          <w:color w:val="000000" w:themeColor="text1"/>
          <w:sz w:val="24"/>
          <w:szCs w:val="24"/>
        </w:rPr>
        <w:t xml:space="preserve"> </w:t>
      </w:r>
      <w:r w:rsidR="00D036DA" w:rsidRPr="00AD393D">
        <w:rPr>
          <w:rFonts w:ascii="Arial" w:eastAsia="Arial" w:hAnsi="Arial" w:cs="Arial"/>
          <w:color w:val="000000" w:themeColor="text1"/>
          <w:sz w:val="24"/>
          <w:szCs w:val="24"/>
        </w:rPr>
        <w:t xml:space="preserve">y a diciembre de ese mismo año </w:t>
      </w:r>
      <w:r w:rsidR="00B939DC" w:rsidRPr="00AD393D">
        <w:rPr>
          <w:rFonts w:ascii="Arial" w:eastAsia="Arial" w:hAnsi="Arial" w:cs="Arial"/>
          <w:color w:val="000000" w:themeColor="text1"/>
          <w:sz w:val="24"/>
          <w:szCs w:val="24"/>
        </w:rPr>
        <w:t>reportaba una ejecución del 68%.</w:t>
      </w:r>
      <w:r w:rsidR="00057322" w:rsidRPr="00AD393D">
        <w:rPr>
          <w:rFonts w:ascii="Arial" w:eastAsia="Arial" w:hAnsi="Arial" w:cs="Arial"/>
          <w:color w:val="000000" w:themeColor="text1"/>
          <w:sz w:val="24"/>
          <w:szCs w:val="24"/>
        </w:rPr>
        <w:t xml:space="preserve"> Sin embargo, en el caso de los recursos para cumplimiento de la Sentencia T-025 de 2004 se habían apropiado $</w:t>
      </w:r>
      <w:r w:rsidR="00D25182" w:rsidRPr="00AD393D">
        <w:rPr>
          <w:rFonts w:ascii="Arial" w:eastAsia="Arial" w:hAnsi="Arial" w:cs="Arial"/>
          <w:color w:val="000000" w:themeColor="text1"/>
          <w:sz w:val="24"/>
          <w:szCs w:val="24"/>
        </w:rPr>
        <w:t>6.061.</w:t>
      </w:r>
      <w:bookmarkStart w:id="4" w:name="_Int_TitLU4r0"/>
      <w:r w:rsidR="00D25182" w:rsidRPr="00AD393D">
        <w:rPr>
          <w:rFonts w:ascii="Arial" w:eastAsia="Arial" w:hAnsi="Arial" w:cs="Arial"/>
          <w:color w:val="000000" w:themeColor="text1"/>
          <w:sz w:val="24"/>
          <w:szCs w:val="24"/>
        </w:rPr>
        <w:t>000.000.oo</w:t>
      </w:r>
      <w:bookmarkEnd w:id="4"/>
      <w:r w:rsidR="00D25182" w:rsidRPr="00AD393D">
        <w:rPr>
          <w:rFonts w:ascii="Arial" w:eastAsia="Arial" w:hAnsi="Arial" w:cs="Arial"/>
          <w:color w:val="000000" w:themeColor="text1"/>
          <w:sz w:val="24"/>
          <w:szCs w:val="24"/>
        </w:rPr>
        <w:t xml:space="preserve"> para la vigencia 2023 y de estos recursos se reportó una ejecución del 80%.</w:t>
      </w:r>
      <w:r w:rsidR="0003263F" w:rsidRPr="00AD393D">
        <w:rPr>
          <w:rFonts w:ascii="Arial" w:eastAsia="Arial" w:hAnsi="Arial" w:cs="Arial"/>
          <w:color w:val="000000" w:themeColor="text1"/>
          <w:sz w:val="24"/>
          <w:szCs w:val="24"/>
          <w:vertAlign w:val="superscript"/>
        </w:rPr>
        <w:footnoteReference w:id="2"/>
      </w:r>
    </w:p>
    <w:p w14:paraId="40355517" w14:textId="77777777" w:rsidR="00D25182" w:rsidRPr="00AD393D" w:rsidRDefault="00D25182" w:rsidP="0723639E">
      <w:pPr>
        <w:spacing w:after="0"/>
        <w:jc w:val="both"/>
        <w:rPr>
          <w:rFonts w:ascii="Arial" w:eastAsia="Arial" w:hAnsi="Arial" w:cs="Arial"/>
          <w:color w:val="000000" w:themeColor="text1"/>
          <w:sz w:val="24"/>
          <w:szCs w:val="24"/>
        </w:rPr>
      </w:pPr>
    </w:p>
    <w:p w14:paraId="768C90E1" w14:textId="2A5EA592" w:rsidR="003C48EA"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dirección de asuntos indígenas, ROM y minorías </w:t>
      </w:r>
      <w:r w:rsidRPr="00AD393D">
        <w:rPr>
          <w:rFonts w:ascii="Arial" w:eastAsia="Arial" w:hAnsi="Arial" w:cs="Arial"/>
          <w:color w:val="000000" w:themeColor="text1"/>
          <w:sz w:val="24"/>
          <w:szCs w:val="24"/>
        </w:rPr>
        <w:t>estableció que convocaron a 5 mesas nacionales con una inversión de $33.300.</w:t>
      </w:r>
      <w:bookmarkStart w:id="5" w:name="_Int_Pgk1LwEp"/>
      <w:r w:rsidRPr="00AD393D">
        <w:rPr>
          <w:rFonts w:ascii="Arial" w:eastAsia="Arial" w:hAnsi="Arial" w:cs="Arial"/>
          <w:color w:val="000000" w:themeColor="text1"/>
          <w:sz w:val="24"/>
          <w:szCs w:val="24"/>
        </w:rPr>
        <w:t>000.000.oo</w:t>
      </w:r>
      <w:bookmarkEnd w:id="5"/>
      <w:r w:rsidRPr="00AD393D">
        <w:rPr>
          <w:rFonts w:ascii="Arial" w:eastAsia="Arial" w:hAnsi="Arial" w:cs="Arial"/>
          <w:color w:val="000000" w:themeColor="text1"/>
          <w:sz w:val="24"/>
          <w:szCs w:val="24"/>
        </w:rPr>
        <w:t>, un total de 28 mesas regionales y locales con una inversión de $2.850.</w:t>
      </w:r>
      <w:bookmarkStart w:id="6" w:name="_Int_TuPRAiBP"/>
      <w:r w:rsidRPr="00AD393D">
        <w:rPr>
          <w:rFonts w:ascii="Arial" w:eastAsia="Arial" w:hAnsi="Arial" w:cs="Arial"/>
          <w:color w:val="000000" w:themeColor="text1"/>
          <w:sz w:val="24"/>
          <w:szCs w:val="24"/>
        </w:rPr>
        <w:t>000.000.oo</w:t>
      </w:r>
      <w:bookmarkEnd w:id="6"/>
      <w:r w:rsidRPr="00AD393D">
        <w:rPr>
          <w:rFonts w:ascii="Arial" w:eastAsia="Arial" w:hAnsi="Arial" w:cs="Arial"/>
          <w:color w:val="000000" w:themeColor="text1"/>
          <w:sz w:val="24"/>
          <w:szCs w:val="24"/>
        </w:rPr>
        <w:t xml:space="preserve"> y 187 espacios de diálogo para resolución de conflictos en 23 departamentos con una inversión de $1.525.000.000.oo. Suscribieron de igual forma, 37 acuerdos con los pueblos indígenas en el marco de las Consultas previas con una inversión de $96.819.797.103.oo en la mesa permanente de concertación. Con la mesa regional amazónica se suscribieron 15 acuerdos y una inversión de $8.150.000.000.oo. Por último, con la Comisión Nacional de Diálogo se suscribieron 10 acuerdos con el pueblo ROM y una inversión de $1.350.000.000.oo.</w:t>
      </w:r>
    </w:p>
    <w:p w14:paraId="7968CC8B" w14:textId="74B30470" w:rsidR="6B92079F" w:rsidRPr="00AD393D" w:rsidRDefault="6B92079F" w:rsidP="6B92079F">
      <w:pPr>
        <w:spacing w:after="0"/>
        <w:jc w:val="both"/>
        <w:rPr>
          <w:rFonts w:ascii="Arial" w:eastAsia="Arial" w:hAnsi="Arial" w:cs="Arial"/>
          <w:color w:val="000000" w:themeColor="text1"/>
          <w:sz w:val="24"/>
          <w:szCs w:val="24"/>
        </w:rPr>
      </w:pPr>
    </w:p>
    <w:p w14:paraId="3FC73AD4" w14:textId="057E5D88" w:rsidR="00D611D8"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Esta dirección invirtió $35.000.000.000.oo en las comunidades indígenas de Pastos y Quillancingas en Nariño, y $13.500.000.000.oo en las comunidades indígenas del Cauca en proyectos de fortalecimiento de sistemas de gobierno propio. Para diciembre de 2023, el primer rubro reportaba una apropiación de $35.000.000.000.oo y una ejecución del 0%, mientras que el segundo tenía un valor de apropiación de $13.500.000.000.oo y una ejecución del 40%.</w:t>
      </w:r>
    </w:p>
    <w:p w14:paraId="692C338E" w14:textId="212C4663" w:rsidR="6B92079F" w:rsidRPr="00AD393D" w:rsidRDefault="6B92079F" w:rsidP="6B92079F">
      <w:pPr>
        <w:spacing w:after="0"/>
        <w:jc w:val="both"/>
        <w:rPr>
          <w:rFonts w:ascii="Arial" w:eastAsia="Arial" w:hAnsi="Arial" w:cs="Arial"/>
          <w:color w:val="000000" w:themeColor="text1"/>
          <w:sz w:val="24"/>
          <w:szCs w:val="24"/>
        </w:rPr>
      </w:pPr>
    </w:p>
    <w:p w14:paraId="0929B254" w14:textId="26A40715" w:rsidR="00D611D8"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Realizaron una inversión de $84.684.979.785.oo en asistencia técnica, administrativa, operativa y financiera para un total de 59 actividades y/o proyectos de las comunidades indígenas. Por último, destinaron una apropiación de $25.000.000.000.oo para el rubro ‘</w:t>
      </w:r>
      <w:r w:rsidRPr="00AD393D">
        <w:rPr>
          <w:rFonts w:ascii="Arial" w:eastAsia="Arial" w:hAnsi="Arial" w:cs="Arial"/>
          <w:i/>
          <w:iCs/>
          <w:color w:val="000000" w:themeColor="text1"/>
          <w:sz w:val="24"/>
          <w:szCs w:val="24"/>
        </w:rPr>
        <w:t>FORTALECIMIENTO DE LA CAPACIDAD ORGANIZATIVA DE LOS PUEBLOS INDÍGENAS EN EL TERRITORIO NACIONAL’</w:t>
      </w:r>
      <w:r w:rsidRPr="00AD393D">
        <w:rPr>
          <w:rFonts w:ascii="Arial" w:eastAsia="Arial" w:hAnsi="Arial" w:cs="Arial"/>
          <w:color w:val="000000" w:themeColor="text1"/>
          <w:sz w:val="24"/>
          <w:szCs w:val="24"/>
        </w:rPr>
        <w:t xml:space="preserve"> beneficiando a 115 pueblos indígenas. Este rubro reportaba un valor de apropiaciones de $27.000.000.000.oo,</w:t>
      </w:r>
      <w:r w:rsidR="00DD5B3B" w:rsidRPr="00AD393D">
        <w:rPr>
          <w:rStyle w:val="Refdenotaalpie"/>
          <w:rFonts w:ascii="Arial" w:eastAsia="Arial" w:hAnsi="Arial" w:cs="Arial"/>
          <w:color w:val="000000" w:themeColor="text1"/>
          <w:sz w:val="24"/>
          <w:szCs w:val="24"/>
        </w:rPr>
        <w:footnoteReference w:id="3"/>
      </w:r>
      <w:r w:rsidRPr="00AD393D">
        <w:rPr>
          <w:rFonts w:ascii="Arial" w:eastAsia="Arial" w:hAnsi="Arial" w:cs="Arial"/>
          <w:color w:val="000000" w:themeColor="text1"/>
          <w:sz w:val="24"/>
          <w:szCs w:val="24"/>
        </w:rPr>
        <w:t xml:space="preserve"> y a diciembre de 2023 reportaba una ejecución del 17%, de igual forma el informe no menciona en qué se usaron los $2.000.000.000.oo restantes.</w:t>
      </w:r>
    </w:p>
    <w:p w14:paraId="2479019E" w14:textId="77777777" w:rsidR="008A0584" w:rsidRPr="00AD393D" w:rsidRDefault="008A0584" w:rsidP="0723639E">
      <w:pPr>
        <w:spacing w:after="0"/>
        <w:jc w:val="both"/>
        <w:rPr>
          <w:rFonts w:ascii="Arial" w:eastAsia="Arial" w:hAnsi="Arial" w:cs="Arial"/>
          <w:color w:val="000000" w:themeColor="text1"/>
          <w:sz w:val="24"/>
          <w:szCs w:val="24"/>
        </w:rPr>
      </w:pPr>
    </w:p>
    <w:p w14:paraId="4BDBC063" w14:textId="5F6B4B86" w:rsidR="00C16777"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lastRenderedPageBreak/>
        <w:t>La dirección nacional de consulta previa</w:t>
      </w:r>
      <w:r w:rsidRPr="00AD393D">
        <w:rPr>
          <w:rFonts w:ascii="Arial" w:eastAsia="Arial" w:hAnsi="Arial" w:cs="Arial"/>
          <w:color w:val="000000" w:themeColor="text1"/>
          <w:sz w:val="24"/>
          <w:szCs w:val="24"/>
        </w:rPr>
        <w:t xml:space="preserve"> indicó que expidieron 2.094 actos administrativos de determinación de procedencia de consulta previa para el Sector Minas y Energía como producto de una inversión de $1.533.</w:t>
      </w:r>
      <w:bookmarkStart w:id="7" w:name="_Int_RwWosCtM"/>
      <w:r w:rsidRPr="00AD393D">
        <w:rPr>
          <w:rFonts w:ascii="Arial" w:eastAsia="Arial" w:hAnsi="Arial" w:cs="Arial"/>
          <w:color w:val="000000" w:themeColor="text1"/>
          <w:sz w:val="24"/>
          <w:szCs w:val="24"/>
        </w:rPr>
        <w:t>748.214.oo</w:t>
      </w:r>
      <w:bookmarkEnd w:id="7"/>
      <w:r w:rsidRPr="00AD393D">
        <w:rPr>
          <w:rFonts w:ascii="Arial" w:eastAsia="Arial" w:hAnsi="Arial" w:cs="Arial"/>
          <w:color w:val="000000" w:themeColor="text1"/>
          <w:sz w:val="24"/>
          <w:szCs w:val="24"/>
        </w:rPr>
        <w:t>, de igual forma tradujeron la Sentencia T-302 de 2017 a la lengua wuayunaiki y socializaron este documento con las autoridades Wayuu en la Guajira. Evacuaron un total de 2.000 PQRS y estructuraron el proyecto de inversión “Escuela de Formación en Consulta Previa” con una inversión de $1.847.000.000.oo. Esta dirección tenía una apropiación de $51.545.000.000.oo para la vigencia de 2023 y a diciembre de ese mismo año reportaba una ejecución del 66%.</w:t>
      </w:r>
    </w:p>
    <w:p w14:paraId="1E836C3B" w14:textId="77777777" w:rsidR="00C16777" w:rsidRPr="00AD393D" w:rsidRDefault="00C16777" w:rsidP="0723639E">
      <w:pPr>
        <w:spacing w:after="0"/>
        <w:jc w:val="both"/>
        <w:rPr>
          <w:rFonts w:ascii="Arial" w:eastAsia="Arial" w:hAnsi="Arial" w:cs="Arial"/>
          <w:color w:val="000000" w:themeColor="text1"/>
          <w:sz w:val="24"/>
          <w:szCs w:val="24"/>
        </w:rPr>
      </w:pPr>
    </w:p>
    <w:p w14:paraId="051F0E02" w14:textId="54D2BC2B" w:rsidR="002D18FE"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dirección de asuntos religiosos</w:t>
      </w:r>
      <w:r w:rsidRPr="00AD393D">
        <w:rPr>
          <w:rFonts w:ascii="Arial" w:eastAsia="Arial" w:hAnsi="Arial" w:cs="Arial"/>
          <w:color w:val="000000" w:themeColor="text1"/>
          <w:sz w:val="24"/>
          <w:szCs w:val="24"/>
        </w:rPr>
        <w:t xml:space="preserve"> reportó que entregó 1.282 personerías jurídicas especiales nuevas y 71 personerías jurídicas extendidas para entidades religiosas. Capacitaron 3.234 personas y caracterizaron entidades religiosas en 7 departamentos. Realizaron inversiones por $274.</w:t>
      </w:r>
      <w:bookmarkStart w:id="8" w:name="_Int_rELN5TWA"/>
      <w:r w:rsidRPr="00AD393D">
        <w:rPr>
          <w:rFonts w:ascii="Arial" w:eastAsia="Arial" w:hAnsi="Arial" w:cs="Arial"/>
          <w:color w:val="000000" w:themeColor="text1"/>
          <w:sz w:val="24"/>
          <w:szCs w:val="24"/>
        </w:rPr>
        <w:t>000.000.oo</w:t>
      </w:r>
      <w:bookmarkEnd w:id="8"/>
      <w:r w:rsidRPr="00AD393D">
        <w:rPr>
          <w:rFonts w:ascii="Arial" w:eastAsia="Arial" w:hAnsi="Arial" w:cs="Arial"/>
          <w:color w:val="000000" w:themeColor="text1"/>
          <w:sz w:val="24"/>
          <w:szCs w:val="24"/>
        </w:rPr>
        <w:t xml:space="preserve"> y $127.000.000.oo para 24 iniciativas del Banco de Iniciativas Interreligiosas (BIIR). En el documento </w:t>
      </w:r>
      <w:r w:rsidRPr="00AD393D">
        <w:rPr>
          <w:rFonts w:ascii="Arial" w:eastAsia="Arial" w:hAnsi="Arial" w:cs="Arial"/>
          <w:i/>
          <w:iCs/>
          <w:color w:val="000000" w:themeColor="text1"/>
          <w:sz w:val="24"/>
          <w:szCs w:val="24"/>
        </w:rPr>
        <w:t xml:space="preserve">Informe al Congreso de la República 2022-2023 </w:t>
      </w:r>
      <w:r w:rsidRPr="00AD393D">
        <w:rPr>
          <w:rFonts w:ascii="Arial" w:eastAsia="Arial" w:hAnsi="Arial" w:cs="Arial"/>
          <w:color w:val="000000" w:themeColor="text1"/>
          <w:sz w:val="24"/>
          <w:szCs w:val="24"/>
        </w:rPr>
        <w:t>establecen que el BIIR en 2023 fortaleció económicamente a 48 iniciativas religiosas, por lo que existe una discrepancia entre los documentos analizados</w:t>
      </w:r>
      <w:r w:rsidR="00513527" w:rsidRPr="00AD393D">
        <w:rPr>
          <w:rStyle w:val="Refdenotaalpie"/>
          <w:rFonts w:ascii="Arial" w:eastAsia="Arial" w:hAnsi="Arial" w:cs="Arial"/>
          <w:color w:val="000000" w:themeColor="text1"/>
          <w:sz w:val="24"/>
          <w:szCs w:val="24"/>
        </w:rPr>
        <w:footnoteReference w:id="4"/>
      </w:r>
      <w:r w:rsidRPr="00AD393D">
        <w:rPr>
          <w:rFonts w:ascii="Arial" w:eastAsia="Arial" w:hAnsi="Arial" w:cs="Arial"/>
          <w:color w:val="000000" w:themeColor="text1"/>
          <w:sz w:val="24"/>
          <w:szCs w:val="24"/>
        </w:rPr>
        <w:t>. Esta dirección tenía una apropiación de $3.275.</w:t>
      </w:r>
      <w:bookmarkStart w:id="9" w:name="_Int_8AxtcIdG"/>
      <w:r w:rsidRPr="00AD393D">
        <w:rPr>
          <w:rFonts w:ascii="Arial" w:eastAsia="Arial" w:hAnsi="Arial" w:cs="Arial"/>
          <w:color w:val="000000" w:themeColor="text1"/>
          <w:sz w:val="24"/>
          <w:szCs w:val="24"/>
        </w:rPr>
        <w:t>000.000.oo</w:t>
      </w:r>
      <w:bookmarkEnd w:id="9"/>
      <w:r w:rsidRPr="00AD393D">
        <w:rPr>
          <w:rFonts w:ascii="Arial" w:eastAsia="Arial" w:hAnsi="Arial" w:cs="Arial"/>
          <w:color w:val="000000" w:themeColor="text1"/>
          <w:sz w:val="24"/>
          <w:szCs w:val="24"/>
        </w:rPr>
        <w:t xml:space="preserve"> para 2023 y a diciembre de ese año reportaba una ejecución del 53%.</w:t>
      </w:r>
    </w:p>
    <w:p w14:paraId="270F9713" w14:textId="77777777" w:rsidR="00E10022" w:rsidRPr="00AD393D" w:rsidRDefault="00E10022" w:rsidP="0723639E">
      <w:pPr>
        <w:spacing w:after="0"/>
        <w:jc w:val="both"/>
        <w:rPr>
          <w:rFonts w:ascii="Arial" w:eastAsia="Arial" w:hAnsi="Arial" w:cs="Arial"/>
          <w:color w:val="000000" w:themeColor="text1"/>
          <w:sz w:val="24"/>
          <w:szCs w:val="24"/>
        </w:rPr>
      </w:pPr>
    </w:p>
    <w:p w14:paraId="15A0A1A5" w14:textId="58ECC744" w:rsidR="00E10022"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dirección de derechos humanos realizó</w:t>
      </w:r>
      <w:r w:rsidRPr="00AD393D">
        <w:rPr>
          <w:rFonts w:ascii="Arial" w:eastAsia="Arial" w:hAnsi="Arial" w:cs="Arial"/>
          <w:color w:val="000000" w:themeColor="text1"/>
          <w:sz w:val="24"/>
          <w:szCs w:val="24"/>
        </w:rPr>
        <w:t xml:space="preserve"> 42 planes de acción territoriales en 42 municipios de 6 departamentos y 2 regiones además suscribieron 5 pactos contra la estigmatización y realizaron 4 talleres de autocuidado con organizaciones y personas defensoras de derechos humanos en el Cauca y Nariño. Formularon 19 protocolos de protección de territorios rurales con organizaciones de 8 departamentos, 37 planes de prevención y autoprotección y 21 jornadas de asesoría para la implementación de los promotores comunitarios de paz. Lanzaron la campaña “Paz Sin Estigmas” y avanzaron en la construcción del Plan de acción del Programa Integral de Garantías para Mujeres Lideresas y Defensoras. Realizaron 23 espacios con sectores LGBTIQ+ en 9 departamentos y apoyaron 80 entidades territoriales en la incorporación de la política pública LGBTIQ+ en los instrumentos de gestión territorial. Se apoyó la postulación de 28 departamentos,208 municipios y 1000 organizaciones para el Banco de Iniciativas de Derechos Humanos, por un valor de $30.465.000.000.oo. Esta dirección tenía una apropiación de $62.776.</w:t>
      </w:r>
      <w:bookmarkStart w:id="10" w:name="_Int_ZggSpazL"/>
      <w:r w:rsidRPr="00AD393D">
        <w:rPr>
          <w:rFonts w:ascii="Arial" w:eastAsia="Arial" w:hAnsi="Arial" w:cs="Arial"/>
          <w:color w:val="000000" w:themeColor="text1"/>
          <w:sz w:val="24"/>
          <w:szCs w:val="24"/>
        </w:rPr>
        <w:t>000.000.oo</w:t>
      </w:r>
      <w:bookmarkEnd w:id="10"/>
      <w:r w:rsidRPr="00AD393D">
        <w:rPr>
          <w:rFonts w:ascii="Arial" w:eastAsia="Arial" w:hAnsi="Arial" w:cs="Arial"/>
          <w:color w:val="000000" w:themeColor="text1"/>
          <w:sz w:val="24"/>
          <w:szCs w:val="24"/>
        </w:rPr>
        <w:t xml:space="preserve"> y una ejecución del 61% a diciembre de 2023.</w:t>
      </w:r>
    </w:p>
    <w:p w14:paraId="0556BE8F" w14:textId="77777777" w:rsidR="002931C7" w:rsidRPr="00AD393D" w:rsidRDefault="002931C7" w:rsidP="0723639E">
      <w:pPr>
        <w:spacing w:after="0"/>
        <w:jc w:val="both"/>
        <w:rPr>
          <w:rFonts w:ascii="Arial" w:eastAsia="Arial" w:hAnsi="Arial" w:cs="Arial"/>
          <w:color w:val="000000" w:themeColor="text1"/>
          <w:sz w:val="24"/>
          <w:szCs w:val="24"/>
        </w:rPr>
      </w:pPr>
    </w:p>
    <w:p w14:paraId="6832A550" w14:textId="43609353" w:rsidR="002931C7" w:rsidRPr="00AD393D" w:rsidRDefault="002931C7" w:rsidP="002931C7">
      <w:pPr>
        <w:pStyle w:val="Ttulo1"/>
        <w:rPr>
          <w:rFonts w:ascii="Arial" w:hAnsi="Arial" w:cs="Arial"/>
          <w:b/>
          <w:bCs/>
          <w:color w:val="auto"/>
          <w:sz w:val="24"/>
          <w:szCs w:val="24"/>
        </w:rPr>
      </w:pPr>
      <w:r w:rsidRPr="00AD393D">
        <w:rPr>
          <w:rFonts w:ascii="Arial" w:hAnsi="Arial" w:cs="Arial"/>
          <w:b/>
          <w:bCs/>
          <w:color w:val="auto"/>
          <w:sz w:val="24"/>
          <w:szCs w:val="24"/>
        </w:rPr>
        <w:lastRenderedPageBreak/>
        <w:t>Viceministerio general del Interior</w:t>
      </w:r>
    </w:p>
    <w:p w14:paraId="3E72A29B" w14:textId="77777777" w:rsidR="00244E90" w:rsidRPr="00AD393D" w:rsidRDefault="00244E90" w:rsidP="0723639E">
      <w:pPr>
        <w:spacing w:after="0"/>
        <w:jc w:val="both"/>
        <w:rPr>
          <w:rFonts w:ascii="Arial" w:eastAsia="Arial" w:hAnsi="Arial" w:cs="Arial"/>
          <w:color w:val="000000" w:themeColor="text1"/>
          <w:sz w:val="24"/>
          <w:szCs w:val="24"/>
        </w:rPr>
      </w:pPr>
    </w:p>
    <w:p w14:paraId="1DEAD239" w14:textId="1870107C" w:rsidR="00696F40" w:rsidRPr="00AD393D" w:rsidRDefault="00AD1963" w:rsidP="00696F40">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dirección de asuntos legislativos </w:t>
      </w:r>
      <w:r w:rsidR="00FE15D5" w:rsidRPr="00AD393D">
        <w:rPr>
          <w:rFonts w:ascii="Arial" w:eastAsia="Arial" w:hAnsi="Arial" w:cs="Arial"/>
          <w:color w:val="000000" w:themeColor="text1"/>
          <w:sz w:val="24"/>
          <w:szCs w:val="24"/>
        </w:rPr>
        <w:t>reportó que logró la aprobación de 22 Leyes y 2 reformas a la Constitución</w:t>
      </w:r>
      <w:r w:rsidR="00013112" w:rsidRPr="00AD393D">
        <w:rPr>
          <w:rFonts w:ascii="Arial" w:eastAsia="Arial" w:hAnsi="Arial" w:cs="Arial"/>
          <w:color w:val="000000" w:themeColor="text1"/>
          <w:sz w:val="24"/>
          <w:szCs w:val="24"/>
        </w:rPr>
        <w:t>: Campesino sujeto de derechos y la Jurisdicción Agraria y Rural</w:t>
      </w:r>
      <w:r w:rsidR="00E652AF" w:rsidRPr="00AD393D">
        <w:rPr>
          <w:rFonts w:ascii="Arial" w:eastAsia="Arial" w:hAnsi="Arial" w:cs="Arial"/>
          <w:color w:val="000000" w:themeColor="text1"/>
          <w:sz w:val="24"/>
          <w:szCs w:val="24"/>
        </w:rPr>
        <w:t xml:space="preserve"> como Actos Legislativos y la Ley de Plan Nacional de Desarrollo</w:t>
      </w:r>
      <w:r w:rsidR="00F617AB" w:rsidRPr="00AD393D">
        <w:rPr>
          <w:rFonts w:ascii="Arial" w:eastAsia="Arial" w:hAnsi="Arial" w:cs="Arial"/>
          <w:color w:val="000000" w:themeColor="text1"/>
          <w:sz w:val="24"/>
          <w:szCs w:val="24"/>
        </w:rPr>
        <w:t xml:space="preserve">. </w:t>
      </w:r>
      <w:r w:rsidR="00F6243F" w:rsidRPr="00AD393D">
        <w:rPr>
          <w:rFonts w:ascii="Arial" w:eastAsia="Arial" w:hAnsi="Arial" w:cs="Arial"/>
          <w:color w:val="000000" w:themeColor="text1"/>
          <w:sz w:val="24"/>
          <w:szCs w:val="24"/>
        </w:rPr>
        <w:t xml:space="preserve">Esa dirección </w:t>
      </w:r>
      <w:r w:rsidR="00F7097B" w:rsidRPr="00AD393D">
        <w:rPr>
          <w:rFonts w:ascii="Arial" w:eastAsia="Arial" w:hAnsi="Arial" w:cs="Arial"/>
          <w:color w:val="000000" w:themeColor="text1"/>
          <w:sz w:val="24"/>
          <w:szCs w:val="24"/>
        </w:rPr>
        <w:t>tenía una apropiación de $3.655.000.000.oo y para diciembre de 2023 reportaba una ejecución del 44%.</w:t>
      </w:r>
      <w:r w:rsidR="00696F40" w:rsidRPr="00AD393D">
        <w:rPr>
          <w:rFonts w:ascii="Arial" w:eastAsia="Arial" w:hAnsi="Arial" w:cs="Arial"/>
          <w:color w:val="000000" w:themeColor="text1"/>
          <w:sz w:val="24"/>
          <w:szCs w:val="24"/>
        </w:rPr>
        <w:t xml:space="preserve"> En el reporte</w:t>
      </w:r>
      <w:r w:rsidR="0026225F" w:rsidRPr="00AD393D">
        <w:rPr>
          <w:rFonts w:ascii="Arial" w:eastAsia="Arial" w:hAnsi="Arial" w:cs="Arial"/>
          <w:color w:val="000000" w:themeColor="text1"/>
          <w:sz w:val="24"/>
          <w:szCs w:val="24"/>
        </w:rPr>
        <w:t xml:space="preserve"> allegado</w:t>
      </w:r>
      <w:r w:rsidR="00696F40" w:rsidRPr="00AD393D">
        <w:rPr>
          <w:rFonts w:ascii="Arial" w:eastAsia="Arial" w:hAnsi="Arial" w:cs="Arial"/>
          <w:color w:val="000000" w:themeColor="text1"/>
          <w:sz w:val="24"/>
          <w:szCs w:val="24"/>
        </w:rPr>
        <w:t xml:space="preserve"> no se mencionaron las respuestas a los derechos de petición relacionados con las actividades de control político, citaciones e invitaciones a las comisiones y plenarias de las cámaras</w:t>
      </w:r>
      <w:r w:rsidR="0026225F" w:rsidRPr="00AD393D">
        <w:rPr>
          <w:rFonts w:ascii="Arial" w:eastAsia="Arial" w:hAnsi="Arial" w:cs="Arial"/>
          <w:color w:val="000000" w:themeColor="text1"/>
          <w:sz w:val="24"/>
          <w:szCs w:val="24"/>
        </w:rPr>
        <w:t>, sin embargo</w:t>
      </w:r>
      <w:r w:rsidR="00616627" w:rsidRPr="00AD393D">
        <w:rPr>
          <w:rFonts w:ascii="Arial" w:eastAsia="Arial" w:hAnsi="Arial" w:cs="Arial"/>
          <w:color w:val="000000" w:themeColor="text1"/>
          <w:sz w:val="24"/>
          <w:szCs w:val="24"/>
        </w:rPr>
        <w:t>,</w:t>
      </w:r>
      <w:r w:rsidR="0026225F" w:rsidRPr="00AD393D">
        <w:rPr>
          <w:rFonts w:ascii="Arial" w:eastAsia="Arial" w:hAnsi="Arial" w:cs="Arial"/>
          <w:color w:val="000000" w:themeColor="text1"/>
          <w:sz w:val="24"/>
          <w:szCs w:val="24"/>
        </w:rPr>
        <w:t xml:space="preserve"> si </w:t>
      </w:r>
      <w:r w:rsidR="00616627" w:rsidRPr="00AD393D">
        <w:rPr>
          <w:rFonts w:ascii="Arial" w:eastAsia="Arial" w:hAnsi="Arial" w:cs="Arial"/>
          <w:color w:val="000000" w:themeColor="text1"/>
          <w:sz w:val="24"/>
          <w:szCs w:val="24"/>
        </w:rPr>
        <w:t>se encontraban</w:t>
      </w:r>
      <w:r w:rsidR="0026225F" w:rsidRPr="00AD393D">
        <w:rPr>
          <w:rFonts w:ascii="Arial" w:eastAsia="Arial" w:hAnsi="Arial" w:cs="Arial"/>
          <w:color w:val="000000" w:themeColor="text1"/>
          <w:sz w:val="24"/>
          <w:szCs w:val="24"/>
        </w:rPr>
        <w:t xml:space="preserve"> en el </w:t>
      </w:r>
      <w:r w:rsidR="00095EE2" w:rsidRPr="00AD393D">
        <w:rPr>
          <w:rFonts w:ascii="Arial" w:eastAsia="Arial" w:hAnsi="Arial" w:cs="Arial"/>
          <w:color w:val="000000" w:themeColor="text1"/>
          <w:sz w:val="24"/>
          <w:szCs w:val="24"/>
        </w:rPr>
        <w:t xml:space="preserve">documento </w:t>
      </w:r>
      <w:r w:rsidR="002124CA" w:rsidRPr="00AD393D">
        <w:rPr>
          <w:rFonts w:ascii="Arial" w:eastAsia="Arial" w:hAnsi="Arial" w:cs="Arial"/>
          <w:i/>
          <w:iCs/>
          <w:color w:val="000000" w:themeColor="text1"/>
          <w:sz w:val="24"/>
          <w:szCs w:val="24"/>
        </w:rPr>
        <w:t>Informe al Congreso de la República 2022-2023</w:t>
      </w:r>
      <w:r w:rsidR="002124CA" w:rsidRPr="00AD393D">
        <w:rPr>
          <w:rStyle w:val="Refdenotaalpie"/>
          <w:rFonts w:ascii="Arial" w:eastAsia="Arial" w:hAnsi="Arial" w:cs="Arial"/>
          <w:i/>
          <w:iCs/>
          <w:color w:val="000000" w:themeColor="text1"/>
          <w:sz w:val="24"/>
          <w:szCs w:val="24"/>
        </w:rPr>
        <w:footnoteReference w:id="5"/>
      </w:r>
      <w:r w:rsidR="002124CA" w:rsidRPr="00AD393D">
        <w:rPr>
          <w:rFonts w:ascii="Arial" w:eastAsia="Arial" w:hAnsi="Arial" w:cs="Arial"/>
          <w:color w:val="000000" w:themeColor="text1"/>
          <w:sz w:val="24"/>
          <w:szCs w:val="24"/>
        </w:rPr>
        <w:t>.</w:t>
      </w:r>
    </w:p>
    <w:p w14:paraId="5860D409" w14:textId="77777777" w:rsidR="00F7097B" w:rsidRPr="00AD393D" w:rsidRDefault="00F7097B" w:rsidP="0723639E">
      <w:pPr>
        <w:spacing w:after="0"/>
        <w:jc w:val="both"/>
        <w:rPr>
          <w:rFonts w:ascii="Arial" w:eastAsia="Arial" w:hAnsi="Arial" w:cs="Arial"/>
          <w:color w:val="000000" w:themeColor="text1"/>
          <w:sz w:val="24"/>
          <w:szCs w:val="24"/>
        </w:rPr>
      </w:pPr>
    </w:p>
    <w:p w14:paraId="19726688" w14:textId="7C5F787D" w:rsidR="00F7097B"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dirección para la democracia, la participación ciudadana y la acción comunal</w:t>
      </w:r>
      <w:r w:rsidRPr="00AD393D">
        <w:rPr>
          <w:rFonts w:ascii="Arial" w:eastAsia="Arial" w:hAnsi="Arial" w:cs="Arial"/>
          <w:color w:val="000000" w:themeColor="text1"/>
          <w:sz w:val="24"/>
          <w:szCs w:val="24"/>
        </w:rPr>
        <w:t xml:space="preserve"> realizó una asamblea nacional popular donde participaron 4.500 personas y una inversión de $4.000.000.000.oo, también reportaron 6.889 iniciativas en el banco de proyectos por una inversión de $63.177.197.522.oo. Para el programa Jóvenes en Paz en Buenaventura se destinaron $ 1.449.474.000.oo para 100 jóvenes. Lanzamiento de la red de mujeres con discapacidad la creación de 10.447 Registros Únicos Comunales a nivel nacional, con un cubrimiento de 67.8% del total de Juntas de acción comunal, realizaron con el MADR el primer encuentro nacional de jóvenes campesinos y rurales en Palmira- Valle del Cauca, y la semana de la participación ciudadana en Zipaquirá. Esta dirección tenía una apropiación de $104.634.</w:t>
      </w:r>
      <w:bookmarkStart w:id="11" w:name="_Int_z3x6LXvz"/>
      <w:r w:rsidRPr="00AD393D">
        <w:rPr>
          <w:rFonts w:ascii="Arial" w:eastAsia="Arial" w:hAnsi="Arial" w:cs="Arial"/>
          <w:color w:val="000000" w:themeColor="text1"/>
          <w:sz w:val="24"/>
          <w:szCs w:val="24"/>
        </w:rPr>
        <w:t>000.000.oo</w:t>
      </w:r>
      <w:bookmarkEnd w:id="11"/>
      <w:r w:rsidRPr="00AD393D">
        <w:rPr>
          <w:rFonts w:ascii="Arial" w:eastAsia="Arial" w:hAnsi="Arial" w:cs="Arial"/>
          <w:color w:val="000000" w:themeColor="text1"/>
          <w:sz w:val="24"/>
          <w:szCs w:val="24"/>
        </w:rPr>
        <w:t xml:space="preserve"> para la vigencia 2023 y a diciembre de ese año reportó ejecución del 68%.</w:t>
      </w:r>
    </w:p>
    <w:p w14:paraId="7584E91C" w14:textId="77777777" w:rsidR="00696F40" w:rsidRPr="00AD393D" w:rsidRDefault="00696F40" w:rsidP="0723639E">
      <w:pPr>
        <w:spacing w:after="0"/>
        <w:jc w:val="both"/>
        <w:rPr>
          <w:rFonts w:ascii="Arial" w:eastAsia="Arial" w:hAnsi="Arial" w:cs="Arial"/>
          <w:color w:val="000000" w:themeColor="text1"/>
          <w:sz w:val="24"/>
          <w:szCs w:val="24"/>
        </w:rPr>
      </w:pPr>
    </w:p>
    <w:p w14:paraId="33E731B5" w14:textId="74F2B679" w:rsidR="000963BB"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dirección de seguridad, convivencia ciudadana y gobierno </w:t>
      </w:r>
      <w:r w:rsidRPr="00AD393D">
        <w:rPr>
          <w:rFonts w:ascii="Arial" w:eastAsia="Arial" w:hAnsi="Arial" w:cs="Arial"/>
          <w:color w:val="000000" w:themeColor="text1"/>
          <w:sz w:val="24"/>
          <w:szCs w:val="24"/>
        </w:rPr>
        <w:t xml:space="preserve">formuló la política pública de convivencia y seguridad para la vida al igual que el Sistema Nacional de Convivencia para la Vida. Atendieron 39 alertas tempranas para 706 municipios, realizaron 225 talleres regionales de seguimiento por la vida y 64 sesiones de seguimiento a las alertas tempranas. Si bien en el documento </w:t>
      </w:r>
      <w:r w:rsidRPr="00AD393D">
        <w:rPr>
          <w:rFonts w:ascii="Arial" w:eastAsia="Arial" w:hAnsi="Arial" w:cs="Arial"/>
          <w:i/>
          <w:iCs/>
          <w:color w:val="000000" w:themeColor="text1"/>
          <w:sz w:val="24"/>
          <w:szCs w:val="24"/>
        </w:rPr>
        <w:t xml:space="preserve">Informe al Congreso de la República 2022 – 2023, </w:t>
      </w:r>
      <w:r w:rsidRPr="00AD393D">
        <w:rPr>
          <w:rFonts w:ascii="Arial" w:eastAsia="Arial" w:hAnsi="Arial" w:cs="Arial"/>
          <w:color w:val="000000" w:themeColor="text1"/>
          <w:sz w:val="24"/>
          <w:szCs w:val="24"/>
        </w:rPr>
        <w:t>esta dirección resalta que hizo seguimiento a todas las alertas tempranas entre julio de 2022 hasta junio de 2023 a través de la CIPRAT</w:t>
      </w:r>
      <w:r w:rsidR="00E063E0" w:rsidRPr="00AD393D">
        <w:rPr>
          <w:rStyle w:val="Refdenotaalpie"/>
          <w:rFonts w:ascii="Arial" w:eastAsia="Arial" w:hAnsi="Arial" w:cs="Arial"/>
          <w:color w:val="000000" w:themeColor="text1"/>
          <w:sz w:val="24"/>
          <w:szCs w:val="24"/>
        </w:rPr>
        <w:footnoteReference w:id="6"/>
      </w:r>
      <w:r w:rsidRPr="00AD393D">
        <w:rPr>
          <w:rFonts w:ascii="Arial" w:eastAsia="Arial" w:hAnsi="Arial" w:cs="Arial"/>
          <w:color w:val="000000" w:themeColor="text1"/>
          <w:sz w:val="24"/>
          <w:szCs w:val="24"/>
        </w:rPr>
        <w:t xml:space="preserve">, no se mencionan los seguimientos o reportes para el segundo semestre del 2023 al igual que no se incluyen las acciones que realizó el Ministerio para atender esas alertas además de las sesiones de seguimiento. Esta dirección </w:t>
      </w:r>
      <w:r w:rsidRPr="00AD393D">
        <w:rPr>
          <w:rFonts w:ascii="Arial" w:eastAsia="Arial" w:hAnsi="Arial" w:cs="Arial"/>
          <w:color w:val="000000" w:themeColor="text1"/>
          <w:sz w:val="24"/>
          <w:szCs w:val="24"/>
        </w:rPr>
        <w:lastRenderedPageBreak/>
        <w:t>contaba con una apropiación $32.328.</w:t>
      </w:r>
      <w:bookmarkStart w:id="12" w:name="_Int_md3o2ACR"/>
      <w:r w:rsidRPr="00AD393D">
        <w:rPr>
          <w:rFonts w:ascii="Arial" w:eastAsia="Arial" w:hAnsi="Arial" w:cs="Arial"/>
          <w:color w:val="000000" w:themeColor="text1"/>
          <w:sz w:val="24"/>
          <w:szCs w:val="24"/>
        </w:rPr>
        <w:t>000.000.oo</w:t>
      </w:r>
      <w:bookmarkEnd w:id="12"/>
      <w:r w:rsidRPr="00AD393D">
        <w:rPr>
          <w:rFonts w:ascii="Arial" w:eastAsia="Arial" w:hAnsi="Arial" w:cs="Arial"/>
          <w:color w:val="000000" w:themeColor="text1"/>
          <w:sz w:val="24"/>
          <w:szCs w:val="24"/>
        </w:rPr>
        <w:t xml:space="preserve"> para el 2023 y a diciembre de ese año contaba con una ejecución de 88%.</w:t>
      </w:r>
    </w:p>
    <w:p w14:paraId="629FD170" w14:textId="77777777" w:rsidR="000963BB" w:rsidRPr="00AD393D" w:rsidRDefault="000963BB" w:rsidP="0723639E">
      <w:pPr>
        <w:spacing w:after="0"/>
        <w:jc w:val="both"/>
        <w:rPr>
          <w:rFonts w:ascii="Arial" w:eastAsia="Arial" w:hAnsi="Arial" w:cs="Arial"/>
          <w:color w:val="000000" w:themeColor="text1"/>
          <w:sz w:val="24"/>
          <w:szCs w:val="24"/>
        </w:rPr>
      </w:pPr>
    </w:p>
    <w:p w14:paraId="278A5357" w14:textId="4DECC625" w:rsidR="00B06E76"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subdirección de gobierno, gestión territorial y lucha contra la trata</w:t>
      </w:r>
      <w:r w:rsidRPr="00AD393D">
        <w:rPr>
          <w:rFonts w:ascii="Arial" w:eastAsia="Arial" w:hAnsi="Arial" w:cs="Arial"/>
          <w:color w:val="000000" w:themeColor="text1"/>
          <w:sz w:val="24"/>
          <w:szCs w:val="24"/>
        </w:rPr>
        <w:t xml:space="preserve"> desarrolló la herramienta RedPat para la formulación, seguimiento y evaluación de los Planes de Acción Territorial en la lucha contra la trata de personas. Generaron estrategias y convenios para proyectos productivos, reinserción en el mercado laboral y vinculación al sistema educativo de las víctimas de tratas. Adoptaron una Ruta Binacional de Protección y Asistencia a Víctimas de Trata de Personas de Ecuador y Colombia. Realizaron acompañamiento en 64 planes de acción territorial de trata en los 32 departamentos. Articularon 234 casos de víctimas. Pusieron en marcha la campaña ‘De qué trata la trata’ en medios de comunicación y prevención en 10 localidades de Bogotá D.C. Desarrollaron proyectos de asociatividad territorial con 4 regiones del país, fortalecimiento de 15 esquemas asociativos territoriales, y 118 asistencias técnicas a los esquemas asociativos territoriales. De igual forma, realizaron acompañamiento a las autoridades locales, corporaciones de elección popular, mujeres y jóvenes en 272 ocasiones. Esta subdirección tenía una apropiación de $20.452.</w:t>
      </w:r>
      <w:bookmarkStart w:id="13" w:name="_Int_f0QqdGJk"/>
      <w:r w:rsidRPr="00AD393D">
        <w:rPr>
          <w:rFonts w:ascii="Arial" w:eastAsia="Arial" w:hAnsi="Arial" w:cs="Arial"/>
          <w:color w:val="000000" w:themeColor="text1"/>
          <w:sz w:val="24"/>
          <w:szCs w:val="24"/>
        </w:rPr>
        <w:t>000.000.oo</w:t>
      </w:r>
      <w:bookmarkEnd w:id="13"/>
      <w:r w:rsidRPr="00AD393D">
        <w:rPr>
          <w:rFonts w:ascii="Arial" w:eastAsia="Arial" w:hAnsi="Arial" w:cs="Arial"/>
          <w:color w:val="000000" w:themeColor="text1"/>
          <w:sz w:val="24"/>
          <w:szCs w:val="24"/>
        </w:rPr>
        <w:t xml:space="preserve"> para la vigencia 2023 y para diciembre de ese año contaba con una ejecución del 45%.</w:t>
      </w:r>
    </w:p>
    <w:p w14:paraId="6391BA8D" w14:textId="77777777" w:rsidR="00B90B4B" w:rsidRPr="00AD393D" w:rsidRDefault="00B90B4B" w:rsidP="0723639E">
      <w:pPr>
        <w:spacing w:after="0"/>
        <w:jc w:val="both"/>
        <w:rPr>
          <w:rFonts w:ascii="Arial" w:eastAsia="Arial" w:hAnsi="Arial" w:cs="Arial"/>
          <w:color w:val="000000" w:themeColor="text1"/>
          <w:sz w:val="24"/>
          <w:szCs w:val="24"/>
        </w:rPr>
      </w:pPr>
    </w:p>
    <w:p w14:paraId="3CBD518F" w14:textId="562C0B88" w:rsidR="000B4E9B" w:rsidRPr="00AD393D" w:rsidRDefault="6B92079F" w:rsidP="0723639E">
      <w:pPr>
        <w:spacing w:after="0"/>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subdirección de proyectos para la seguridad y convivencia ciudadana </w:t>
      </w:r>
      <w:r w:rsidRPr="00AD393D">
        <w:rPr>
          <w:rFonts w:ascii="Arial" w:eastAsia="Arial" w:hAnsi="Arial" w:cs="Arial"/>
          <w:color w:val="000000" w:themeColor="text1"/>
          <w:sz w:val="24"/>
          <w:szCs w:val="24"/>
        </w:rPr>
        <w:t>reportó 187 obras de infraestructura en 29 departamentos, 33 estaciones de policía y 26 proyectos de tecnología para la seguridad ciudadana. Reportan de igual forma una inversión de $236.781.</w:t>
      </w:r>
      <w:bookmarkStart w:id="14" w:name="_Int_fA6OtLxZ"/>
      <w:r w:rsidRPr="00AD393D">
        <w:rPr>
          <w:rFonts w:ascii="Arial" w:eastAsia="Arial" w:hAnsi="Arial" w:cs="Arial"/>
          <w:color w:val="000000" w:themeColor="text1"/>
          <w:sz w:val="24"/>
          <w:szCs w:val="24"/>
        </w:rPr>
        <w:t>643.789.oo</w:t>
      </w:r>
      <w:bookmarkEnd w:id="14"/>
      <w:r w:rsidRPr="00AD393D">
        <w:rPr>
          <w:rFonts w:ascii="Arial" w:eastAsia="Arial" w:hAnsi="Arial" w:cs="Arial"/>
          <w:color w:val="000000" w:themeColor="text1"/>
          <w:sz w:val="24"/>
          <w:szCs w:val="24"/>
        </w:rPr>
        <w:t xml:space="preserve"> de recursos del FONSECON en 51 proyectos. En el documento </w:t>
      </w:r>
      <w:r w:rsidRPr="00AD393D">
        <w:rPr>
          <w:rFonts w:ascii="Arial" w:eastAsia="Arial" w:hAnsi="Arial" w:cs="Arial"/>
          <w:i/>
          <w:iCs/>
          <w:color w:val="000000" w:themeColor="text1"/>
          <w:sz w:val="24"/>
          <w:szCs w:val="24"/>
        </w:rPr>
        <w:t xml:space="preserve">Informe al Congreso de la República 2022 – 2023, </w:t>
      </w:r>
      <w:r w:rsidRPr="00AD393D">
        <w:rPr>
          <w:rFonts w:ascii="Arial" w:eastAsia="Arial" w:hAnsi="Arial" w:cs="Arial"/>
          <w:color w:val="000000" w:themeColor="text1"/>
          <w:sz w:val="24"/>
          <w:szCs w:val="24"/>
        </w:rPr>
        <w:t>establecieron que en el 2023 se aprobaron 28 proyectos de inversión nuevos que incluían 1 estación de policía, 13 INF convivencia, 9 cámaras, 5 centros administrativos municipales (CAM), 1 proyecto para fuerza aérea y 1 para Fuerza Armada por un monto total aprobado de $120.402.787.180.oo</w:t>
      </w:r>
      <w:r w:rsidR="00612E38" w:rsidRPr="00AD393D">
        <w:rPr>
          <w:rStyle w:val="Refdenotaalpie"/>
          <w:rFonts w:ascii="Arial" w:eastAsia="Arial" w:hAnsi="Arial" w:cs="Arial"/>
          <w:color w:val="000000" w:themeColor="text1"/>
          <w:sz w:val="24"/>
          <w:szCs w:val="24"/>
        </w:rPr>
        <w:footnoteReference w:id="7"/>
      </w:r>
      <w:r w:rsidRPr="00AD393D">
        <w:rPr>
          <w:rFonts w:ascii="Arial" w:eastAsia="Arial" w:hAnsi="Arial" w:cs="Arial"/>
          <w:color w:val="000000" w:themeColor="text1"/>
          <w:sz w:val="24"/>
          <w:szCs w:val="24"/>
        </w:rPr>
        <w:t>. La mayoría de las obras en ejecución en el 2023 venían de las vigencias anteriores. Esta subdirección tenía una apropiación de $441.721.</w:t>
      </w:r>
      <w:bookmarkStart w:id="15" w:name="_Int_DGf1WHXT"/>
      <w:r w:rsidRPr="00AD393D">
        <w:rPr>
          <w:rFonts w:ascii="Arial" w:eastAsia="Arial" w:hAnsi="Arial" w:cs="Arial"/>
          <w:color w:val="000000" w:themeColor="text1"/>
          <w:sz w:val="24"/>
          <w:szCs w:val="24"/>
        </w:rPr>
        <w:t>000.000.oo</w:t>
      </w:r>
      <w:bookmarkEnd w:id="15"/>
      <w:r w:rsidRPr="00AD393D">
        <w:rPr>
          <w:rFonts w:ascii="Arial" w:eastAsia="Arial" w:hAnsi="Arial" w:cs="Arial"/>
          <w:color w:val="000000" w:themeColor="text1"/>
          <w:sz w:val="24"/>
          <w:szCs w:val="24"/>
        </w:rPr>
        <w:t xml:space="preserve"> para la vigencia de 2023, y reportaba para diciembre del mismo año una ejecución de 41%. </w:t>
      </w:r>
    </w:p>
    <w:p w14:paraId="77FB5741" w14:textId="7A11F9C9" w:rsidR="002931C7" w:rsidRPr="00AD393D" w:rsidRDefault="002931C7" w:rsidP="6B92079F">
      <w:pPr>
        <w:spacing w:after="0"/>
        <w:jc w:val="both"/>
        <w:rPr>
          <w:rFonts w:ascii="Arial" w:eastAsia="Arial" w:hAnsi="Arial" w:cs="Arial"/>
          <w:color w:val="000000" w:themeColor="text1"/>
          <w:sz w:val="24"/>
          <w:szCs w:val="24"/>
        </w:rPr>
      </w:pPr>
    </w:p>
    <w:p w14:paraId="022E5E5D" w14:textId="5B4C926C" w:rsidR="0723639E" w:rsidRPr="00AD393D" w:rsidRDefault="0723639E" w:rsidP="005C6112">
      <w:pPr>
        <w:pStyle w:val="Ttulo1"/>
        <w:rPr>
          <w:rFonts w:ascii="Arial" w:hAnsi="Arial" w:cs="Arial"/>
          <w:b/>
          <w:bCs/>
          <w:color w:val="auto"/>
          <w:sz w:val="24"/>
          <w:szCs w:val="24"/>
        </w:rPr>
      </w:pPr>
      <w:r w:rsidRPr="00AD393D">
        <w:rPr>
          <w:rFonts w:ascii="Arial" w:hAnsi="Arial" w:cs="Arial"/>
          <w:b/>
          <w:bCs/>
          <w:color w:val="auto"/>
          <w:sz w:val="24"/>
          <w:szCs w:val="24"/>
        </w:rPr>
        <w:t xml:space="preserve">Secretaría general: </w:t>
      </w:r>
    </w:p>
    <w:p w14:paraId="37F2A795" w14:textId="77777777" w:rsidR="005C6112" w:rsidRPr="00AD393D" w:rsidRDefault="005C6112" w:rsidP="0723639E">
      <w:pPr>
        <w:spacing w:after="0"/>
        <w:jc w:val="both"/>
        <w:rPr>
          <w:rFonts w:ascii="Arial" w:eastAsia="Arial" w:hAnsi="Arial" w:cs="Arial"/>
          <w:color w:val="000000" w:themeColor="text1"/>
          <w:sz w:val="24"/>
          <w:szCs w:val="24"/>
          <w:u w:val="single"/>
        </w:rPr>
      </w:pPr>
    </w:p>
    <w:p w14:paraId="2DC1848F" w14:textId="772DED39" w:rsidR="0723639E" w:rsidRPr="00AD393D" w:rsidRDefault="6B92079F" w:rsidP="0723639E">
      <w:pPr>
        <w:spacing w:after="0"/>
        <w:jc w:val="both"/>
      </w:pPr>
      <w:r w:rsidRPr="00AD393D">
        <w:rPr>
          <w:rFonts w:ascii="Arial" w:eastAsia="Arial" w:hAnsi="Arial" w:cs="Arial"/>
          <w:color w:val="000000" w:themeColor="text1"/>
          <w:sz w:val="24"/>
          <w:szCs w:val="24"/>
          <w:u w:val="single"/>
        </w:rPr>
        <w:t>La Subdirección Administrativa y financiera</w:t>
      </w:r>
      <w:r w:rsidRPr="00AD393D">
        <w:rPr>
          <w:rFonts w:ascii="Arial" w:eastAsia="Arial" w:hAnsi="Arial" w:cs="Arial"/>
          <w:color w:val="000000" w:themeColor="text1"/>
          <w:sz w:val="24"/>
          <w:szCs w:val="24"/>
        </w:rPr>
        <w:t xml:space="preserve"> reportó el proyecto de inversión “</w:t>
      </w:r>
      <w:r w:rsidRPr="00AD393D">
        <w:rPr>
          <w:rFonts w:ascii="Arial" w:eastAsia="Arial" w:hAnsi="Arial" w:cs="Arial"/>
          <w:i/>
          <w:iCs/>
          <w:color w:val="000000" w:themeColor="text1"/>
          <w:sz w:val="24"/>
          <w:szCs w:val="24"/>
        </w:rPr>
        <w:t xml:space="preserve">IMPLEMENTACIÓN DE UN SISTEMA INTEGRAL DE GESTIÓN DE </w:t>
      </w:r>
      <w:r w:rsidRPr="00AD393D">
        <w:rPr>
          <w:rFonts w:ascii="Arial" w:eastAsia="Arial" w:hAnsi="Arial" w:cs="Arial"/>
          <w:i/>
          <w:iCs/>
          <w:color w:val="000000" w:themeColor="text1"/>
          <w:sz w:val="24"/>
          <w:szCs w:val="24"/>
        </w:rPr>
        <w:lastRenderedPageBreak/>
        <w:t>DOCUMENTOS Y ADMINISTRACION DE ARCHIVOS, EN EL MINISTERIO DEL INTERIOR, NACIONAL”</w:t>
      </w:r>
      <w:r w:rsidRPr="00AD393D">
        <w:rPr>
          <w:rFonts w:ascii="Arial" w:eastAsia="Arial" w:hAnsi="Arial" w:cs="Arial"/>
          <w:color w:val="000000" w:themeColor="text1"/>
          <w:sz w:val="24"/>
          <w:szCs w:val="24"/>
        </w:rPr>
        <w:t xml:space="preserve"> con una asignación de $2.293.</w:t>
      </w:r>
      <w:bookmarkStart w:id="16" w:name="_Int_kG7aqtC2"/>
      <w:r w:rsidRPr="00AD393D">
        <w:rPr>
          <w:rFonts w:ascii="Arial" w:eastAsia="Arial" w:hAnsi="Arial" w:cs="Arial"/>
          <w:color w:val="000000" w:themeColor="text1"/>
          <w:sz w:val="24"/>
          <w:szCs w:val="24"/>
        </w:rPr>
        <w:t>939.881.oo</w:t>
      </w:r>
      <w:bookmarkEnd w:id="16"/>
      <w:r w:rsidRPr="00AD393D">
        <w:rPr>
          <w:rFonts w:ascii="Arial" w:eastAsia="Arial" w:hAnsi="Arial" w:cs="Arial"/>
          <w:color w:val="000000" w:themeColor="text1"/>
          <w:sz w:val="24"/>
          <w:szCs w:val="24"/>
        </w:rPr>
        <w:t xml:space="preserve"> para el 2023. Este proyecto cerró el 2023 con una ejecución del 60,10% de todos los recursos. De igual forma reportan logros sobre los procesos de mejora archivística y conservación documental. </w:t>
      </w:r>
    </w:p>
    <w:p w14:paraId="2EAD4ED8" w14:textId="1C2C1F27" w:rsidR="0723639E" w:rsidRPr="00AD393D" w:rsidRDefault="0723639E" w:rsidP="0723639E">
      <w:pPr>
        <w:spacing w:after="0"/>
        <w:jc w:val="both"/>
      </w:pPr>
      <w:r w:rsidRPr="00AD393D">
        <w:rPr>
          <w:rFonts w:ascii="Arial" w:eastAsia="Arial" w:hAnsi="Arial" w:cs="Arial"/>
          <w:color w:val="000000" w:themeColor="text1"/>
          <w:sz w:val="24"/>
          <w:szCs w:val="24"/>
        </w:rPr>
        <w:t xml:space="preserve"> </w:t>
      </w:r>
    </w:p>
    <w:p w14:paraId="0BBA9CFA" w14:textId="0BB90E8A" w:rsidR="0723639E" w:rsidRPr="00AD393D" w:rsidRDefault="0723639E" w:rsidP="0723639E">
      <w:pPr>
        <w:spacing w:after="0"/>
        <w:jc w:val="both"/>
      </w:pPr>
      <w:r w:rsidRPr="00AD393D">
        <w:rPr>
          <w:rFonts w:ascii="Arial" w:eastAsia="Arial" w:hAnsi="Arial" w:cs="Arial"/>
          <w:color w:val="000000" w:themeColor="text1"/>
          <w:sz w:val="24"/>
          <w:szCs w:val="24"/>
          <w:u w:val="single"/>
        </w:rPr>
        <w:t>La subdirección de Gestión Humana</w:t>
      </w:r>
      <w:r w:rsidRPr="00AD393D">
        <w:rPr>
          <w:rFonts w:ascii="Arial" w:eastAsia="Arial" w:hAnsi="Arial" w:cs="Arial"/>
          <w:color w:val="000000" w:themeColor="text1"/>
          <w:sz w:val="24"/>
          <w:szCs w:val="24"/>
        </w:rPr>
        <w:t xml:space="preserve"> reportó un 92% en ejecución de tiquetes aéreos (784 tiquetes), 98,8% de ejecución en viáticos y gastos de viajes, al igual que realizaron 178 actividades de plan estratégico. </w:t>
      </w:r>
    </w:p>
    <w:p w14:paraId="22633829" w14:textId="6118A82D" w:rsidR="0723639E" w:rsidRPr="00AD393D" w:rsidRDefault="0723639E" w:rsidP="0723639E">
      <w:pPr>
        <w:spacing w:after="0"/>
        <w:jc w:val="both"/>
      </w:pPr>
    </w:p>
    <w:p w14:paraId="26B44736" w14:textId="7A77F515" w:rsidR="0723639E" w:rsidRPr="00AD393D" w:rsidRDefault="6B92079F" w:rsidP="0723639E">
      <w:pPr>
        <w:spacing w:after="0"/>
        <w:jc w:val="both"/>
      </w:pPr>
      <w:r w:rsidRPr="00AD393D">
        <w:rPr>
          <w:rFonts w:ascii="Arial" w:eastAsia="Arial" w:hAnsi="Arial" w:cs="Arial"/>
          <w:color w:val="000000" w:themeColor="text1"/>
          <w:sz w:val="24"/>
          <w:szCs w:val="24"/>
          <w:u w:val="single"/>
        </w:rPr>
        <w:t>La subdirección de Gestión Contractual</w:t>
      </w:r>
      <w:r w:rsidRPr="00AD393D">
        <w:rPr>
          <w:rFonts w:ascii="Arial" w:eastAsia="Arial" w:hAnsi="Arial" w:cs="Arial"/>
          <w:color w:val="000000" w:themeColor="text1"/>
          <w:sz w:val="24"/>
          <w:szCs w:val="24"/>
        </w:rPr>
        <w:t xml:space="preserve"> reportó los contratos y convenios suscritos y reportados. Preocupa que, del total de contratos suscritos en 2023 por esta subdirección, 2.612 fueron realizados por la modalidad de contratación directa (98,1%). </w:t>
      </w:r>
    </w:p>
    <w:p w14:paraId="5F333A78" w14:textId="30002A7E" w:rsidR="0723639E" w:rsidRPr="00AD393D" w:rsidRDefault="0723639E" w:rsidP="0723639E">
      <w:pPr>
        <w:spacing w:after="0"/>
        <w:jc w:val="both"/>
        <w:rPr>
          <w:rFonts w:ascii="Arial" w:eastAsia="Arial" w:hAnsi="Arial" w:cs="Arial"/>
          <w:color w:val="000000" w:themeColor="text1"/>
          <w:sz w:val="24"/>
          <w:szCs w:val="24"/>
        </w:rPr>
      </w:pPr>
    </w:p>
    <w:p w14:paraId="68801642" w14:textId="546610CA" w:rsidR="0723639E" w:rsidRPr="00AD393D" w:rsidRDefault="0723639E" w:rsidP="005C6112">
      <w:pPr>
        <w:pStyle w:val="Ttulo1"/>
        <w:rPr>
          <w:rFonts w:ascii="Arial" w:hAnsi="Arial" w:cs="Arial"/>
          <w:b/>
          <w:bCs/>
          <w:color w:val="auto"/>
          <w:sz w:val="24"/>
          <w:szCs w:val="24"/>
        </w:rPr>
      </w:pPr>
      <w:r w:rsidRPr="00AD393D">
        <w:rPr>
          <w:rFonts w:ascii="Arial" w:hAnsi="Arial" w:cs="Arial"/>
          <w:b/>
          <w:bCs/>
          <w:color w:val="auto"/>
          <w:sz w:val="24"/>
          <w:szCs w:val="24"/>
        </w:rPr>
        <w:t>Despacho ministro del Interior:</w:t>
      </w:r>
    </w:p>
    <w:p w14:paraId="03236261" w14:textId="77777777" w:rsidR="005C6112" w:rsidRPr="00AD393D" w:rsidRDefault="005C6112"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u w:val="single"/>
        </w:rPr>
      </w:pPr>
    </w:p>
    <w:p w14:paraId="08786221" w14:textId="105E0CF2" w:rsidR="005B06B0" w:rsidRPr="00AD393D" w:rsidRDefault="6B92079F"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oficina de asesoría jurídica</w:t>
      </w:r>
      <w:r w:rsidRPr="00AD393D">
        <w:rPr>
          <w:rFonts w:ascii="Arial" w:eastAsia="Arial" w:hAnsi="Arial" w:cs="Arial"/>
          <w:color w:val="000000" w:themeColor="text1"/>
          <w:sz w:val="24"/>
          <w:szCs w:val="24"/>
        </w:rPr>
        <w:t xml:space="preserve"> reporta que en el 2023 solo usaron el 5% de los recursos asignados al pago de sentencias, unos $597 millones de pesos, esto representa una disminución del 77,6% en el pago de sentencias a comparación de la vigencia anterior. </w:t>
      </w:r>
    </w:p>
    <w:p w14:paraId="5D0716E7" w14:textId="455060BC"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6AD4AEFB" w14:textId="301AF232" w:rsidR="0723639E" w:rsidRPr="00AD393D" w:rsidRDefault="0723639E"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 xml:space="preserve">Reportaron $1.200 millones de pesos en recaudo de cartera de procesos de cobro coactivo, un decrecimiento del 3,6% a comparación de los $1.244 mil millones de pesos que </w:t>
      </w:r>
      <w:r w:rsidR="005B06B0" w:rsidRPr="00AD393D">
        <w:rPr>
          <w:rFonts w:ascii="Arial" w:eastAsia="Arial" w:hAnsi="Arial" w:cs="Arial"/>
          <w:color w:val="000000" w:themeColor="text1"/>
          <w:sz w:val="24"/>
          <w:szCs w:val="24"/>
        </w:rPr>
        <w:t>reportaron</w:t>
      </w:r>
      <w:r w:rsidRPr="00AD393D">
        <w:rPr>
          <w:rFonts w:ascii="Arial" w:eastAsia="Arial" w:hAnsi="Arial" w:cs="Arial"/>
          <w:color w:val="000000" w:themeColor="text1"/>
          <w:sz w:val="24"/>
          <w:szCs w:val="24"/>
        </w:rPr>
        <w:t xml:space="preserve"> para la vigencia anterior</w:t>
      </w:r>
      <w:r w:rsidRPr="00AD393D">
        <w:rPr>
          <w:rStyle w:val="Refdenotaalpie"/>
          <w:rFonts w:ascii="Arial" w:eastAsia="Arial" w:hAnsi="Arial" w:cs="Arial"/>
          <w:color w:val="000000" w:themeColor="text1"/>
          <w:sz w:val="24"/>
          <w:szCs w:val="24"/>
        </w:rPr>
        <w:footnoteReference w:id="8"/>
      </w:r>
      <w:r w:rsidRPr="00AD393D">
        <w:rPr>
          <w:rFonts w:ascii="Arial" w:eastAsia="Arial" w:hAnsi="Arial" w:cs="Arial"/>
          <w:color w:val="000000" w:themeColor="text1"/>
          <w:sz w:val="24"/>
          <w:szCs w:val="24"/>
        </w:rPr>
        <w:t xml:space="preserve"> y, por último, recibieron 2.109 tutelas con una tasa de favorabilidad del 94%, un valor 5 puntos porcentuales más bajo que el reportado en la vigencia de 2022 cuando recibieron 2.451 acciones de tutela con un porcentaje de favorabilidad del 99%. Por último, reportaron que el Ministerio tiene 1.787 procesos judiciales, que son 100 procesos menos que en la vigencia anterior</w:t>
      </w:r>
      <w:r w:rsidR="005B06B0" w:rsidRPr="00AD393D">
        <w:rPr>
          <w:rFonts w:ascii="Arial" w:eastAsia="Arial" w:hAnsi="Arial" w:cs="Arial"/>
          <w:color w:val="000000" w:themeColor="text1"/>
          <w:sz w:val="24"/>
          <w:szCs w:val="24"/>
        </w:rPr>
        <w:t>.</w:t>
      </w:r>
      <w:r w:rsidRPr="00AD393D">
        <w:rPr>
          <w:rFonts w:ascii="Arial" w:eastAsia="Arial" w:hAnsi="Arial" w:cs="Arial"/>
          <w:color w:val="000000" w:themeColor="text1"/>
          <w:sz w:val="24"/>
          <w:szCs w:val="24"/>
        </w:rPr>
        <w:t xml:space="preserve"> </w:t>
      </w:r>
      <w:r w:rsidR="005B06B0" w:rsidRPr="00AD393D">
        <w:rPr>
          <w:rFonts w:ascii="Arial" w:eastAsia="Arial" w:hAnsi="Arial" w:cs="Arial"/>
          <w:color w:val="000000" w:themeColor="text1"/>
          <w:sz w:val="24"/>
          <w:szCs w:val="24"/>
        </w:rPr>
        <w:t>S</w:t>
      </w:r>
      <w:r w:rsidRPr="00AD393D">
        <w:rPr>
          <w:rFonts w:ascii="Arial" w:eastAsia="Arial" w:hAnsi="Arial" w:cs="Arial"/>
          <w:color w:val="000000" w:themeColor="text1"/>
          <w:sz w:val="24"/>
          <w:szCs w:val="24"/>
        </w:rPr>
        <w:t>e resalta que no se menciona en cuántos de estos procesos está vinculado el ministerio como sujeto procesal en calidad de “demandante” y cuántos en calidad de “demandado”</w:t>
      </w:r>
      <w:r w:rsidR="005B06B0" w:rsidRPr="00AD393D">
        <w:rPr>
          <w:rFonts w:ascii="Arial" w:eastAsia="Arial" w:hAnsi="Arial" w:cs="Arial"/>
          <w:color w:val="000000" w:themeColor="text1"/>
          <w:sz w:val="24"/>
          <w:szCs w:val="24"/>
        </w:rPr>
        <w:t xml:space="preserve"> por lo que comparar con periodos anteriores no fue posible.</w:t>
      </w:r>
      <w:r w:rsidR="00DC2C5D" w:rsidRPr="00AD393D">
        <w:rPr>
          <w:rFonts w:ascii="Arial" w:eastAsia="Arial" w:hAnsi="Arial" w:cs="Arial"/>
          <w:color w:val="000000" w:themeColor="text1"/>
          <w:sz w:val="24"/>
          <w:szCs w:val="24"/>
        </w:rPr>
        <w:t xml:space="preserve"> Esta oficina tenía una apropiación de $</w:t>
      </w:r>
      <w:r w:rsidR="00056B33" w:rsidRPr="00AD393D">
        <w:rPr>
          <w:rFonts w:ascii="Arial" w:eastAsia="Arial" w:hAnsi="Arial" w:cs="Arial"/>
          <w:color w:val="000000" w:themeColor="text1"/>
          <w:sz w:val="24"/>
          <w:szCs w:val="24"/>
        </w:rPr>
        <w:t>12.260.</w:t>
      </w:r>
      <w:bookmarkStart w:id="17" w:name="_Int_BHu6dJ6N"/>
      <w:r w:rsidR="00056B33" w:rsidRPr="00AD393D">
        <w:rPr>
          <w:rFonts w:ascii="Arial" w:eastAsia="Arial" w:hAnsi="Arial" w:cs="Arial"/>
          <w:color w:val="000000" w:themeColor="text1"/>
          <w:sz w:val="24"/>
          <w:szCs w:val="24"/>
        </w:rPr>
        <w:t>000.000.oo</w:t>
      </w:r>
      <w:bookmarkEnd w:id="17"/>
      <w:r w:rsidR="00056B33" w:rsidRPr="00AD393D">
        <w:rPr>
          <w:rFonts w:ascii="Arial" w:eastAsia="Arial" w:hAnsi="Arial" w:cs="Arial"/>
          <w:color w:val="000000" w:themeColor="text1"/>
          <w:sz w:val="24"/>
          <w:szCs w:val="24"/>
        </w:rPr>
        <w:t xml:space="preserve"> para la vigencia 2023 y para diciembre de ese mismo año reportaba una ejecución del 5%</w:t>
      </w:r>
      <w:r w:rsidR="004B777E" w:rsidRPr="00AD393D">
        <w:rPr>
          <w:rFonts w:ascii="Arial" w:eastAsia="Arial" w:hAnsi="Arial" w:cs="Arial"/>
          <w:color w:val="000000" w:themeColor="text1"/>
          <w:sz w:val="24"/>
          <w:szCs w:val="24"/>
          <w:vertAlign w:val="superscript"/>
        </w:rPr>
        <w:footnoteReference w:id="9"/>
      </w:r>
      <w:r w:rsidR="00056B33" w:rsidRPr="00AD393D">
        <w:rPr>
          <w:rFonts w:ascii="Arial" w:eastAsia="Arial" w:hAnsi="Arial" w:cs="Arial"/>
          <w:color w:val="000000" w:themeColor="text1"/>
          <w:sz w:val="24"/>
          <w:szCs w:val="24"/>
        </w:rPr>
        <w:t xml:space="preserve">. </w:t>
      </w:r>
    </w:p>
    <w:p w14:paraId="33334DC5" w14:textId="2BD17B0F" w:rsidR="0723639E" w:rsidRPr="00AD393D" w:rsidRDefault="0723639E"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0768E4D2" w14:textId="0FE6EB5A" w:rsidR="00D5777E"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lastRenderedPageBreak/>
        <w:t>El grupo de articulación interna para la política de víctimas</w:t>
      </w:r>
      <w:r w:rsidRPr="00AD393D">
        <w:rPr>
          <w:rFonts w:ascii="Arial" w:eastAsia="Arial" w:hAnsi="Arial" w:cs="Arial"/>
          <w:color w:val="000000" w:themeColor="text1"/>
          <w:sz w:val="24"/>
          <w:szCs w:val="24"/>
        </w:rPr>
        <w:t xml:space="preserve"> reportó que hizo seguimiento a lo dispuesto en la Sentencia T- 025 de 2004 a través de la producción de 7 documentos. Indicaron que realizaron 1.001 abordajes territoriales incluyendo asistencias técnicas, mecanismos de corresponsabilidad y Ruta de la Esperanza; sin embargo, no establecen en el marco de qué programas o proyectos se realizaron dichas acciones, ni las entidades territoriales o las iniciativas beneficiadas, al igual que el número de personas que participaron de dichas actividades. </w:t>
      </w:r>
    </w:p>
    <w:p w14:paraId="51FD71EE" w14:textId="77777777" w:rsidR="009B4745" w:rsidRPr="00AD393D" w:rsidRDefault="009B4745"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7393D57F" w14:textId="42DDED18" w:rsidR="00C53F3C"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 xml:space="preserve">Establecen que desarrollaron 3 nuevos sistemas de información para el seguimiento y fortalecimiento territorial de la política de víctimas, pero no mencionan si esto se llevó a cabo en paralelo o en el marco de las actividades del Sistema de Información, Coordinación y Seguimiento Territorial de la Política Pública de Víctimas del Conflicto Armado Interno – RUSICST. Sin embargo, en el documento de </w:t>
      </w:r>
      <w:r w:rsidRPr="00AD393D">
        <w:rPr>
          <w:rFonts w:ascii="Arial" w:eastAsia="Arial" w:hAnsi="Arial" w:cs="Arial"/>
          <w:i/>
          <w:iCs/>
          <w:color w:val="000000" w:themeColor="text1"/>
          <w:sz w:val="24"/>
          <w:szCs w:val="24"/>
        </w:rPr>
        <w:t xml:space="preserve">Informe al Congreso de la República 2022-2023 </w:t>
      </w:r>
      <w:r w:rsidRPr="00AD393D">
        <w:rPr>
          <w:rFonts w:ascii="Arial" w:eastAsia="Arial" w:hAnsi="Arial" w:cs="Arial"/>
          <w:color w:val="000000" w:themeColor="text1"/>
          <w:sz w:val="24"/>
          <w:szCs w:val="24"/>
        </w:rPr>
        <w:t>el Grupo de Articulación Interna para la Política Interna de Víctimas menciona que han avanzado en el seguimiento y los reportes que se hacen en el RUSICST al igual que en optimización de las herramientas para el seguimiento y fortalecimiento territorial del sistema</w:t>
      </w:r>
      <w:r w:rsidR="00E526B1" w:rsidRPr="00AD393D">
        <w:rPr>
          <w:rStyle w:val="Refdenotaalpie"/>
          <w:rFonts w:ascii="Arial" w:eastAsia="Arial" w:hAnsi="Arial" w:cs="Arial"/>
          <w:color w:val="000000" w:themeColor="text1"/>
          <w:sz w:val="24"/>
          <w:szCs w:val="24"/>
        </w:rPr>
        <w:footnoteReference w:id="10"/>
      </w:r>
      <w:r w:rsidRPr="00AD393D">
        <w:rPr>
          <w:rFonts w:ascii="Arial" w:eastAsia="Arial" w:hAnsi="Arial" w:cs="Arial"/>
          <w:color w:val="000000" w:themeColor="text1"/>
          <w:sz w:val="24"/>
          <w:szCs w:val="24"/>
        </w:rPr>
        <w:t>, no que fuera la implementación de sistemas nuevos, por lo que hay una inconsistencia entre los documentos.</w:t>
      </w:r>
    </w:p>
    <w:p w14:paraId="7BFCFA28" w14:textId="77777777" w:rsidR="009B4745" w:rsidRPr="00AD393D" w:rsidRDefault="009B4745"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0BFCF0C1" w14:textId="354C1378" w:rsidR="00A443B5"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Reportan la inversión de $2.536.</w:t>
      </w:r>
      <w:bookmarkStart w:id="18" w:name="_Int_sd4WKxCE"/>
      <w:r w:rsidRPr="00AD393D">
        <w:rPr>
          <w:rFonts w:ascii="Arial" w:eastAsia="Arial" w:hAnsi="Arial" w:cs="Arial"/>
          <w:color w:val="000000" w:themeColor="text1"/>
          <w:sz w:val="24"/>
          <w:szCs w:val="24"/>
        </w:rPr>
        <w:t>673.114.oo</w:t>
      </w:r>
      <w:bookmarkEnd w:id="18"/>
      <w:r w:rsidRPr="00AD393D">
        <w:rPr>
          <w:rFonts w:ascii="Arial" w:eastAsia="Arial" w:hAnsi="Arial" w:cs="Arial"/>
          <w:color w:val="000000" w:themeColor="text1"/>
          <w:sz w:val="24"/>
          <w:szCs w:val="24"/>
        </w:rPr>
        <w:t xml:space="preserve"> en el Proyecto ‘</w:t>
      </w:r>
      <w:r w:rsidRPr="00AD393D">
        <w:rPr>
          <w:rFonts w:ascii="Arial" w:eastAsia="Arial" w:hAnsi="Arial" w:cs="Arial"/>
          <w:i/>
          <w:iCs/>
          <w:color w:val="000000" w:themeColor="text1"/>
          <w:sz w:val="24"/>
          <w:szCs w:val="24"/>
        </w:rPr>
        <w:t>FORTALECIMIENTO INSTITUCIONAL PARA LA IMPLEMENTACIÓN DE LA POLÍTICA PÚBLICA DE VÍCTIMAS A NIVEL NACIONAL</w:t>
      </w:r>
      <w:r w:rsidRPr="00AD393D">
        <w:rPr>
          <w:rFonts w:ascii="Arial" w:eastAsia="Arial" w:hAnsi="Arial" w:cs="Arial"/>
          <w:color w:val="000000" w:themeColor="text1"/>
          <w:sz w:val="24"/>
          <w:szCs w:val="24"/>
        </w:rPr>
        <w:t xml:space="preserve">’, que reporta una ejecución del 100% para la vigencia del 2023, pero esta información no se desagrega por región o entidad territorial. </w:t>
      </w:r>
    </w:p>
    <w:p w14:paraId="66B667D1" w14:textId="77777777" w:rsidR="009B4745" w:rsidRPr="00AD393D" w:rsidRDefault="009B4745"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5E2C2C90" w14:textId="605FE540" w:rsidR="0723639E" w:rsidRPr="00AD393D" w:rsidRDefault="00B03410"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rPr>
        <w:t>De igual forma, r</w:t>
      </w:r>
      <w:r w:rsidR="00A76948" w:rsidRPr="00AD393D">
        <w:rPr>
          <w:rFonts w:ascii="Arial" w:eastAsia="Arial" w:hAnsi="Arial" w:cs="Arial"/>
          <w:color w:val="000000" w:themeColor="text1"/>
          <w:sz w:val="24"/>
          <w:szCs w:val="24"/>
        </w:rPr>
        <w:t xml:space="preserve">eportan ejecución </w:t>
      </w:r>
      <w:r w:rsidR="00EE09A4" w:rsidRPr="00AD393D">
        <w:rPr>
          <w:rFonts w:ascii="Arial" w:eastAsia="Arial" w:hAnsi="Arial" w:cs="Arial"/>
          <w:color w:val="000000" w:themeColor="text1"/>
          <w:sz w:val="24"/>
          <w:szCs w:val="24"/>
        </w:rPr>
        <w:t>de</w:t>
      </w:r>
      <w:r w:rsidR="00A76948" w:rsidRPr="00AD393D">
        <w:rPr>
          <w:rFonts w:ascii="Arial" w:eastAsia="Arial" w:hAnsi="Arial" w:cs="Arial"/>
          <w:color w:val="000000" w:themeColor="text1"/>
          <w:sz w:val="24"/>
          <w:szCs w:val="24"/>
        </w:rPr>
        <w:t xml:space="preserve"> los recursos de</w:t>
      </w:r>
      <w:r w:rsidR="00227D8A" w:rsidRPr="00AD393D">
        <w:rPr>
          <w:rFonts w:ascii="Arial" w:eastAsia="Arial" w:hAnsi="Arial" w:cs="Arial"/>
          <w:color w:val="000000" w:themeColor="text1"/>
          <w:sz w:val="24"/>
          <w:szCs w:val="24"/>
        </w:rPr>
        <w:t>l</w:t>
      </w:r>
      <w:r w:rsidR="00A76948" w:rsidRPr="00AD393D">
        <w:rPr>
          <w:rFonts w:ascii="Arial" w:eastAsia="Arial" w:hAnsi="Arial" w:cs="Arial"/>
          <w:color w:val="000000" w:themeColor="text1"/>
          <w:sz w:val="24"/>
          <w:szCs w:val="24"/>
        </w:rPr>
        <w:t xml:space="preserve"> </w:t>
      </w:r>
      <w:r w:rsidR="00227D8A" w:rsidRPr="00AD393D">
        <w:rPr>
          <w:rFonts w:ascii="Arial" w:eastAsia="Arial" w:hAnsi="Arial" w:cs="Arial"/>
          <w:color w:val="000000" w:themeColor="text1"/>
          <w:sz w:val="24"/>
          <w:szCs w:val="24"/>
        </w:rPr>
        <w:t xml:space="preserve">Programa Misional de Funcionamiento: </w:t>
      </w:r>
      <w:r w:rsidR="00227D8A" w:rsidRPr="00AD393D">
        <w:rPr>
          <w:rFonts w:ascii="Arial" w:eastAsia="Arial" w:hAnsi="Arial" w:cs="Arial"/>
          <w:i/>
          <w:iCs/>
          <w:color w:val="000000" w:themeColor="text1"/>
          <w:sz w:val="24"/>
          <w:szCs w:val="24"/>
        </w:rPr>
        <w:t>ATENCIÓN INTEGRAL A LA POBLACIÓN DESPLAZADA EN CUMPLIMIENTO DE LA SENTENCIA T-025 DE 2004 (NO DE PENSIONES)</w:t>
      </w:r>
      <w:r w:rsidR="00227D8A" w:rsidRPr="00AD393D">
        <w:rPr>
          <w:rFonts w:ascii="Arial" w:eastAsia="Arial" w:hAnsi="Arial" w:cs="Arial"/>
          <w:color w:val="000000" w:themeColor="text1"/>
          <w:sz w:val="24"/>
          <w:szCs w:val="24"/>
        </w:rPr>
        <w:t xml:space="preserve"> </w:t>
      </w:r>
      <w:r w:rsidR="00CA0EAD" w:rsidRPr="00AD393D">
        <w:rPr>
          <w:rFonts w:ascii="Arial" w:eastAsia="Arial" w:hAnsi="Arial" w:cs="Arial"/>
          <w:color w:val="000000" w:themeColor="text1"/>
          <w:sz w:val="24"/>
          <w:szCs w:val="24"/>
        </w:rPr>
        <w:t>por valor de</w:t>
      </w:r>
      <w:r w:rsidR="00CA0EAD" w:rsidRPr="00AD393D">
        <w:rPr>
          <w:rFonts w:ascii="Arial" w:eastAsia="Arial" w:hAnsi="Arial" w:cs="Arial"/>
          <w:i/>
          <w:iCs/>
          <w:color w:val="000000" w:themeColor="text1"/>
          <w:sz w:val="24"/>
          <w:szCs w:val="24"/>
        </w:rPr>
        <w:t xml:space="preserve"> </w:t>
      </w:r>
      <w:r w:rsidR="00227D8A" w:rsidRPr="00AD393D">
        <w:rPr>
          <w:rFonts w:ascii="Arial" w:eastAsia="Arial" w:hAnsi="Arial" w:cs="Arial"/>
          <w:color w:val="000000" w:themeColor="text1"/>
          <w:sz w:val="24"/>
          <w:szCs w:val="24"/>
        </w:rPr>
        <w:t>$7.695.</w:t>
      </w:r>
      <w:bookmarkStart w:id="19" w:name="_Int_YIDPnROM"/>
      <w:r w:rsidR="00227D8A" w:rsidRPr="00AD393D">
        <w:rPr>
          <w:rFonts w:ascii="Arial" w:eastAsia="Arial" w:hAnsi="Arial" w:cs="Arial"/>
          <w:color w:val="000000" w:themeColor="text1"/>
          <w:sz w:val="24"/>
          <w:szCs w:val="24"/>
        </w:rPr>
        <w:t>098.699</w:t>
      </w:r>
      <w:r w:rsidR="00C53F3C" w:rsidRPr="00AD393D">
        <w:rPr>
          <w:rFonts w:ascii="Arial" w:eastAsia="Arial" w:hAnsi="Arial" w:cs="Arial"/>
          <w:color w:val="000000" w:themeColor="text1"/>
          <w:sz w:val="24"/>
          <w:szCs w:val="24"/>
        </w:rPr>
        <w:t>.oo</w:t>
      </w:r>
      <w:bookmarkEnd w:id="19"/>
      <w:r w:rsidR="00EE09A4" w:rsidRPr="00AD393D">
        <w:rPr>
          <w:rFonts w:ascii="Arial" w:eastAsia="Arial" w:hAnsi="Arial" w:cs="Arial"/>
          <w:i/>
          <w:iCs/>
          <w:color w:val="000000" w:themeColor="text1"/>
          <w:sz w:val="24"/>
          <w:szCs w:val="24"/>
        </w:rPr>
        <w:t xml:space="preserve"> </w:t>
      </w:r>
      <w:r w:rsidR="00EE09A4" w:rsidRPr="00AD393D">
        <w:rPr>
          <w:rFonts w:ascii="Arial" w:eastAsia="Arial" w:hAnsi="Arial" w:cs="Arial"/>
          <w:color w:val="000000" w:themeColor="text1"/>
          <w:sz w:val="24"/>
          <w:szCs w:val="24"/>
        </w:rPr>
        <w:t>y que sumados con los recursos del programa de fortalecimiento reportan una ejecución</w:t>
      </w:r>
      <w:r w:rsidR="00557130" w:rsidRPr="00AD393D">
        <w:rPr>
          <w:rFonts w:ascii="Arial" w:eastAsia="Arial" w:hAnsi="Arial" w:cs="Arial"/>
          <w:color w:val="000000" w:themeColor="text1"/>
          <w:sz w:val="24"/>
          <w:szCs w:val="24"/>
        </w:rPr>
        <w:t xml:space="preserve"> del 98%.</w:t>
      </w:r>
      <w:r w:rsidR="00981267" w:rsidRPr="00AD393D">
        <w:rPr>
          <w:rFonts w:ascii="Arial" w:eastAsia="Arial" w:hAnsi="Arial" w:cs="Arial"/>
          <w:color w:val="000000" w:themeColor="text1"/>
          <w:sz w:val="24"/>
          <w:szCs w:val="24"/>
        </w:rPr>
        <w:t xml:space="preserve"> </w:t>
      </w:r>
      <w:r w:rsidR="00750B29" w:rsidRPr="00AD393D">
        <w:rPr>
          <w:rFonts w:ascii="Arial" w:eastAsia="Arial" w:hAnsi="Arial" w:cs="Arial"/>
          <w:color w:val="000000" w:themeColor="text1"/>
          <w:sz w:val="24"/>
          <w:szCs w:val="24"/>
        </w:rPr>
        <w:t>Es necesario que se presente la ejecución por programa además del totalizado y s</w:t>
      </w:r>
      <w:r w:rsidR="00981267" w:rsidRPr="00AD393D">
        <w:rPr>
          <w:rFonts w:ascii="Arial" w:eastAsia="Arial" w:hAnsi="Arial" w:cs="Arial"/>
          <w:color w:val="000000" w:themeColor="text1"/>
          <w:sz w:val="24"/>
          <w:szCs w:val="24"/>
        </w:rPr>
        <w:t xml:space="preserve">ería importante que se incluyera </w:t>
      </w:r>
      <w:r w:rsidR="005E4398" w:rsidRPr="00AD393D">
        <w:rPr>
          <w:rFonts w:ascii="Arial" w:eastAsia="Arial" w:hAnsi="Arial" w:cs="Arial"/>
          <w:color w:val="000000" w:themeColor="text1"/>
          <w:sz w:val="24"/>
          <w:szCs w:val="24"/>
        </w:rPr>
        <w:t>la</w:t>
      </w:r>
      <w:r w:rsidR="001B305D" w:rsidRPr="00AD393D">
        <w:rPr>
          <w:rFonts w:ascii="Arial" w:eastAsia="Arial" w:hAnsi="Arial" w:cs="Arial"/>
          <w:color w:val="000000" w:themeColor="text1"/>
          <w:sz w:val="24"/>
          <w:szCs w:val="24"/>
        </w:rPr>
        <w:t xml:space="preserve"> referencia a la</w:t>
      </w:r>
      <w:r w:rsidR="005E4398" w:rsidRPr="00AD393D">
        <w:rPr>
          <w:rFonts w:ascii="Arial" w:eastAsia="Arial" w:hAnsi="Arial" w:cs="Arial"/>
          <w:color w:val="000000" w:themeColor="text1"/>
          <w:sz w:val="24"/>
          <w:szCs w:val="24"/>
        </w:rPr>
        <w:t xml:space="preserve">s partidas presupuestales </w:t>
      </w:r>
      <w:r w:rsidRPr="00AD393D">
        <w:rPr>
          <w:rFonts w:ascii="Arial" w:eastAsia="Arial" w:hAnsi="Arial" w:cs="Arial"/>
          <w:color w:val="000000" w:themeColor="text1"/>
          <w:sz w:val="24"/>
          <w:szCs w:val="24"/>
        </w:rPr>
        <w:t>asignadas</w:t>
      </w:r>
      <w:r w:rsidR="00BB5701" w:rsidRPr="00AD393D">
        <w:rPr>
          <w:rFonts w:ascii="Arial" w:eastAsia="Arial" w:hAnsi="Arial" w:cs="Arial"/>
          <w:color w:val="000000" w:themeColor="text1"/>
          <w:sz w:val="24"/>
          <w:szCs w:val="24"/>
        </w:rPr>
        <w:t>,</w:t>
      </w:r>
      <w:r w:rsidRPr="00AD393D">
        <w:rPr>
          <w:rFonts w:ascii="Arial" w:eastAsia="Arial" w:hAnsi="Arial" w:cs="Arial"/>
          <w:color w:val="000000" w:themeColor="text1"/>
          <w:sz w:val="24"/>
          <w:szCs w:val="24"/>
        </w:rPr>
        <w:t xml:space="preserve"> </w:t>
      </w:r>
      <w:r w:rsidR="005E4398" w:rsidRPr="00AD393D">
        <w:rPr>
          <w:rFonts w:ascii="Arial" w:eastAsia="Arial" w:hAnsi="Arial" w:cs="Arial"/>
          <w:color w:val="000000" w:themeColor="text1"/>
          <w:sz w:val="24"/>
          <w:szCs w:val="24"/>
        </w:rPr>
        <w:t xml:space="preserve">pues en el </w:t>
      </w:r>
      <w:r w:rsidR="005A0473" w:rsidRPr="00AD393D">
        <w:rPr>
          <w:rFonts w:ascii="Arial" w:eastAsia="Arial" w:hAnsi="Arial" w:cs="Arial"/>
          <w:color w:val="000000" w:themeColor="text1"/>
          <w:sz w:val="24"/>
          <w:szCs w:val="24"/>
        </w:rPr>
        <w:t>D</w:t>
      </w:r>
      <w:r w:rsidR="005E4398" w:rsidRPr="00AD393D">
        <w:rPr>
          <w:rFonts w:ascii="Arial" w:eastAsia="Arial" w:hAnsi="Arial" w:cs="Arial"/>
          <w:color w:val="000000" w:themeColor="text1"/>
          <w:sz w:val="24"/>
          <w:szCs w:val="24"/>
        </w:rPr>
        <w:t>ecreto</w:t>
      </w:r>
      <w:r w:rsidR="005A0473" w:rsidRPr="00AD393D">
        <w:rPr>
          <w:rFonts w:ascii="Arial" w:eastAsia="Arial" w:hAnsi="Arial" w:cs="Arial"/>
          <w:color w:val="000000" w:themeColor="text1"/>
          <w:sz w:val="24"/>
          <w:szCs w:val="24"/>
        </w:rPr>
        <w:t xml:space="preserve"> 2590 de 2022</w:t>
      </w:r>
      <w:r w:rsidR="007D196A" w:rsidRPr="00AD393D">
        <w:rPr>
          <w:rFonts w:ascii="Arial" w:eastAsia="Arial" w:hAnsi="Arial" w:cs="Arial"/>
          <w:color w:val="000000" w:themeColor="text1"/>
          <w:sz w:val="24"/>
          <w:szCs w:val="24"/>
        </w:rPr>
        <w:t xml:space="preserve"> -</w:t>
      </w:r>
      <w:r w:rsidR="005E4398" w:rsidRPr="00AD393D">
        <w:rPr>
          <w:rFonts w:ascii="Arial" w:eastAsia="Arial" w:hAnsi="Arial" w:cs="Arial"/>
          <w:color w:val="000000" w:themeColor="text1"/>
          <w:sz w:val="24"/>
          <w:szCs w:val="24"/>
        </w:rPr>
        <w:t xml:space="preserve"> </w:t>
      </w:r>
      <w:r w:rsidR="00E33FF6" w:rsidRPr="00AD393D">
        <w:rPr>
          <w:rFonts w:ascii="Arial" w:eastAsia="Arial" w:hAnsi="Arial" w:cs="Arial"/>
          <w:color w:val="000000" w:themeColor="text1"/>
          <w:sz w:val="24"/>
          <w:szCs w:val="24"/>
        </w:rPr>
        <w:t>D</w:t>
      </w:r>
      <w:r w:rsidR="005A0473" w:rsidRPr="00AD393D">
        <w:rPr>
          <w:rFonts w:ascii="Arial" w:eastAsia="Arial" w:hAnsi="Arial" w:cs="Arial"/>
          <w:color w:val="000000" w:themeColor="text1"/>
          <w:sz w:val="24"/>
          <w:szCs w:val="24"/>
        </w:rPr>
        <w:t>ecreto de liquidación</w:t>
      </w:r>
      <w:r w:rsidR="005E4398" w:rsidRPr="00AD393D">
        <w:rPr>
          <w:rFonts w:ascii="Arial" w:eastAsia="Arial" w:hAnsi="Arial" w:cs="Arial"/>
          <w:color w:val="000000" w:themeColor="text1"/>
          <w:sz w:val="24"/>
          <w:szCs w:val="24"/>
        </w:rPr>
        <w:t xml:space="preserve"> presupuestal </w:t>
      </w:r>
      <w:r w:rsidR="007D196A" w:rsidRPr="00AD393D">
        <w:rPr>
          <w:rFonts w:ascii="Arial" w:eastAsia="Arial" w:hAnsi="Arial" w:cs="Arial"/>
          <w:color w:val="000000" w:themeColor="text1"/>
          <w:sz w:val="24"/>
          <w:szCs w:val="24"/>
        </w:rPr>
        <w:t>del 2023 el r</w:t>
      </w:r>
      <w:r w:rsidR="007D719F" w:rsidRPr="00AD393D">
        <w:rPr>
          <w:rFonts w:ascii="Arial" w:eastAsia="Arial" w:hAnsi="Arial" w:cs="Arial"/>
          <w:color w:val="000000" w:themeColor="text1"/>
          <w:sz w:val="24"/>
          <w:szCs w:val="24"/>
        </w:rPr>
        <w:t xml:space="preserve">ubro con este mismo nombre </w:t>
      </w:r>
      <w:r w:rsidR="001B305D" w:rsidRPr="00AD393D">
        <w:rPr>
          <w:rFonts w:ascii="Arial" w:eastAsia="Arial" w:hAnsi="Arial" w:cs="Arial"/>
          <w:color w:val="000000" w:themeColor="text1"/>
          <w:sz w:val="24"/>
          <w:szCs w:val="24"/>
        </w:rPr>
        <w:t xml:space="preserve">tenía una asignación </w:t>
      </w:r>
      <w:r w:rsidR="00AF2C4F" w:rsidRPr="00AD393D">
        <w:rPr>
          <w:rFonts w:ascii="Arial" w:eastAsia="Arial" w:hAnsi="Arial" w:cs="Arial"/>
          <w:color w:val="000000" w:themeColor="text1"/>
          <w:sz w:val="24"/>
          <w:szCs w:val="24"/>
        </w:rPr>
        <w:t>de $27.306.100.000</w:t>
      </w:r>
      <w:r w:rsidR="00C53F3C" w:rsidRPr="00AD393D">
        <w:rPr>
          <w:rFonts w:ascii="Arial" w:eastAsia="Arial" w:hAnsi="Arial" w:cs="Arial"/>
          <w:color w:val="000000" w:themeColor="text1"/>
          <w:sz w:val="24"/>
          <w:szCs w:val="24"/>
        </w:rPr>
        <w:t>.oo</w:t>
      </w:r>
      <w:r w:rsidR="00EC5811" w:rsidRPr="00AD393D">
        <w:rPr>
          <w:rFonts w:ascii="Arial" w:eastAsia="Arial" w:hAnsi="Arial" w:cs="Arial"/>
          <w:color w:val="000000" w:themeColor="text1"/>
          <w:sz w:val="24"/>
          <w:szCs w:val="24"/>
        </w:rPr>
        <w:t xml:space="preserve"> </w:t>
      </w:r>
      <w:r w:rsidR="00750B29" w:rsidRPr="00AD393D">
        <w:rPr>
          <w:rFonts w:ascii="Arial" w:eastAsia="Arial" w:hAnsi="Arial" w:cs="Arial"/>
          <w:color w:val="000000" w:themeColor="text1"/>
          <w:sz w:val="24"/>
          <w:szCs w:val="24"/>
        </w:rPr>
        <w:t xml:space="preserve">y si bien en los reportes de ejecución del Ministerio del Interior se establece que el resto de los recursos </w:t>
      </w:r>
      <w:r w:rsidR="00A54045" w:rsidRPr="00AD393D">
        <w:rPr>
          <w:rFonts w:ascii="Arial" w:eastAsia="Arial" w:hAnsi="Arial" w:cs="Arial"/>
          <w:color w:val="000000" w:themeColor="text1"/>
          <w:sz w:val="24"/>
          <w:szCs w:val="24"/>
        </w:rPr>
        <w:t xml:space="preserve">se destinaron a las direcciones de Asuntos para las comunidades, Negras, Afrocolombianas, Raizales, y Palenqueras, Asuntos Indígenas, ROM, Minorías y </w:t>
      </w:r>
      <w:r w:rsidR="00A54045" w:rsidRPr="00AD393D">
        <w:rPr>
          <w:rFonts w:ascii="Arial" w:eastAsia="Arial" w:hAnsi="Arial" w:cs="Arial"/>
          <w:color w:val="000000" w:themeColor="text1"/>
          <w:sz w:val="24"/>
          <w:szCs w:val="24"/>
        </w:rPr>
        <w:lastRenderedPageBreak/>
        <w:t>Derechos Humanos</w:t>
      </w:r>
      <w:r w:rsidR="00A262C0" w:rsidRPr="00AD393D">
        <w:rPr>
          <w:rFonts w:ascii="Arial" w:eastAsia="Arial" w:hAnsi="Arial" w:cs="Arial"/>
          <w:color w:val="000000" w:themeColor="text1"/>
          <w:sz w:val="24"/>
          <w:szCs w:val="24"/>
        </w:rPr>
        <w:t xml:space="preserve"> ($</w:t>
      </w:r>
      <w:r w:rsidR="00C01BE4" w:rsidRPr="00AD393D">
        <w:rPr>
          <w:rFonts w:ascii="Arial" w:eastAsia="Arial" w:hAnsi="Arial" w:cs="Arial"/>
          <w:color w:val="000000" w:themeColor="text1"/>
          <w:sz w:val="24"/>
          <w:szCs w:val="24"/>
        </w:rPr>
        <w:t>22.419.000.000.oo)</w:t>
      </w:r>
      <w:r w:rsidR="00AD0723" w:rsidRPr="00AD393D">
        <w:rPr>
          <w:rStyle w:val="Refdenotaalpie"/>
          <w:rFonts w:ascii="Arial" w:eastAsia="Arial" w:hAnsi="Arial" w:cs="Arial"/>
          <w:color w:val="000000" w:themeColor="text1"/>
          <w:sz w:val="24"/>
          <w:szCs w:val="24"/>
        </w:rPr>
        <w:footnoteReference w:id="11"/>
      </w:r>
      <w:r w:rsidR="00C01BE4" w:rsidRPr="00AD393D">
        <w:rPr>
          <w:rFonts w:ascii="Arial" w:eastAsia="Arial" w:hAnsi="Arial" w:cs="Arial"/>
          <w:color w:val="000000" w:themeColor="text1"/>
          <w:sz w:val="24"/>
          <w:szCs w:val="24"/>
        </w:rPr>
        <w:t xml:space="preserve"> esta información no se encuentra en </w:t>
      </w:r>
      <w:r w:rsidR="00AD0723" w:rsidRPr="00AD393D">
        <w:rPr>
          <w:rFonts w:ascii="Arial" w:eastAsia="Arial" w:hAnsi="Arial" w:cs="Arial"/>
          <w:color w:val="000000" w:themeColor="text1"/>
          <w:sz w:val="24"/>
          <w:szCs w:val="24"/>
        </w:rPr>
        <w:t>el documento de rendición de cuentas.</w:t>
      </w:r>
    </w:p>
    <w:p w14:paraId="3A570A68" w14:textId="77777777" w:rsidR="00B714BC" w:rsidRPr="00AD393D" w:rsidRDefault="00B714BC"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35C58D8C" w14:textId="22F85AC4" w:rsidR="00EA6DF4" w:rsidRPr="00AD393D" w:rsidRDefault="0041157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El grupo interno de trabajo equipo de paz, </w:t>
      </w:r>
      <w:r w:rsidR="00C53523" w:rsidRPr="00AD393D">
        <w:rPr>
          <w:rFonts w:ascii="Arial" w:eastAsia="Arial" w:hAnsi="Arial" w:cs="Arial"/>
          <w:color w:val="000000" w:themeColor="text1"/>
          <w:sz w:val="24"/>
          <w:szCs w:val="24"/>
        </w:rPr>
        <w:t>es una dependencia nueva</w:t>
      </w:r>
      <w:r w:rsidR="00E604F9" w:rsidRPr="00AD393D">
        <w:rPr>
          <w:rFonts w:ascii="Arial" w:eastAsia="Arial" w:hAnsi="Arial" w:cs="Arial"/>
          <w:color w:val="000000" w:themeColor="text1"/>
          <w:sz w:val="24"/>
          <w:szCs w:val="24"/>
        </w:rPr>
        <w:t xml:space="preserve"> que se creó con la Resolución </w:t>
      </w:r>
      <w:r w:rsidR="009E560A" w:rsidRPr="00AD393D">
        <w:rPr>
          <w:rFonts w:ascii="Arial" w:eastAsia="Arial" w:hAnsi="Arial" w:cs="Arial"/>
          <w:color w:val="000000" w:themeColor="text1"/>
          <w:sz w:val="24"/>
          <w:szCs w:val="24"/>
        </w:rPr>
        <w:t xml:space="preserve">1996 del 14 de noviembre de 2023 (resolución no </w:t>
      </w:r>
      <w:r w:rsidR="00303463" w:rsidRPr="00AD393D">
        <w:rPr>
          <w:rFonts w:ascii="Arial" w:eastAsia="Arial" w:hAnsi="Arial" w:cs="Arial"/>
          <w:color w:val="000000" w:themeColor="text1"/>
          <w:sz w:val="24"/>
          <w:szCs w:val="24"/>
        </w:rPr>
        <w:t>disponible de forma pública</w:t>
      </w:r>
      <w:r w:rsidR="0084305F" w:rsidRPr="00AD393D">
        <w:rPr>
          <w:rStyle w:val="Refdenotaalpie"/>
          <w:rFonts w:ascii="Arial" w:eastAsia="Arial" w:hAnsi="Arial" w:cs="Arial"/>
          <w:color w:val="000000" w:themeColor="text1"/>
          <w:sz w:val="24"/>
          <w:szCs w:val="24"/>
        </w:rPr>
        <w:footnoteReference w:id="12"/>
      </w:r>
      <w:r w:rsidR="0084305F" w:rsidRPr="00AD393D">
        <w:rPr>
          <w:rFonts w:ascii="Arial" w:eastAsia="Arial" w:hAnsi="Arial" w:cs="Arial"/>
          <w:color w:val="000000" w:themeColor="text1"/>
          <w:sz w:val="24"/>
          <w:szCs w:val="24"/>
        </w:rPr>
        <w:t>)</w:t>
      </w:r>
      <w:r w:rsidR="009E560A" w:rsidRPr="00AD393D">
        <w:rPr>
          <w:rFonts w:ascii="Arial" w:eastAsia="Arial" w:hAnsi="Arial" w:cs="Arial"/>
          <w:color w:val="000000" w:themeColor="text1"/>
          <w:sz w:val="24"/>
          <w:szCs w:val="24"/>
        </w:rPr>
        <w:t xml:space="preserve"> </w:t>
      </w:r>
      <w:r w:rsidR="00303463" w:rsidRPr="00AD393D">
        <w:rPr>
          <w:rFonts w:ascii="Arial" w:eastAsia="Arial" w:hAnsi="Arial" w:cs="Arial"/>
          <w:color w:val="000000" w:themeColor="text1"/>
          <w:sz w:val="24"/>
          <w:szCs w:val="24"/>
        </w:rPr>
        <w:t>este grupo reportó</w:t>
      </w:r>
      <w:r w:rsidR="007E0123" w:rsidRPr="00AD393D">
        <w:rPr>
          <w:rFonts w:ascii="Arial" w:eastAsia="Arial" w:hAnsi="Arial" w:cs="Arial"/>
          <w:color w:val="000000" w:themeColor="text1"/>
          <w:sz w:val="24"/>
          <w:szCs w:val="24"/>
        </w:rPr>
        <w:t xml:space="preserve"> labores de acompañamiento a varios programas existentes y la propuesta de un</w:t>
      </w:r>
      <w:r w:rsidR="005560B1" w:rsidRPr="00AD393D">
        <w:rPr>
          <w:rFonts w:ascii="Arial" w:eastAsia="Arial" w:hAnsi="Arial" w:cs="Arial"/>
          <w:color w:val="000000" w:themeColor="text1"/>
          <w:sz w:val="24"/>
          <w:szCs w:val="24"/>
        </w:rPr>
        <w:t xml:space="preserve"> nuevo proyecto de </w:t>
      </w:r>
      <w:r w:rsidR="005560B1" w:rsidRPr="00AD393D">
        <w:rPr>
          <w:rFonts w:ascii="Arial" w:eastAsia="Arial" w:hAnsi="Arial" w:cs="Arial"/>
          <w:i/>
          <w:iCs/>
          <w:color w:val="000000" w:themeColor="text1"/>
          <w:sz w:val="24"/>
          <w:szCs w:val="24"/>
        </w:rPr>
        <w:t>"Mejoramiento de la efectividad de los Programas de Construcción de Paz liderados por el Ministerio del Interior</w:t>
      </w:r>
      <w:r w:rsidR="005560B1" w:rsidRPr="00AD393D">
        <w:rPr>
          <w:rFonts w:ascii="Arial" w:eastAsia="Arial" w:hAnsi="Arial" w:cs="Arial"/>
          <w:color w:val="000000" w:themeColor="text1"/>
          <w:sz w:val="24"/>
          <w:szCs w:val="24"/>
        </w:rPr>
        <w:t>", que empezarán a ejecutar en 2024.</w:t>
      </w:r>
    </w:p>
    <w:p w14:paraId="3E093A6B" w14:textId="77777777" w:rsidR="00557130" w:rsidRPr="00AD393D" w:rsidRDefault="00557130"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51F2BE0B" w14:textId="1B45C1B1" w:rsidR="002E21CF" w:rsidRPr="00AD393D" w:rsidRDefault="00845418"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La oficina asesora de planeación</w:t>
      </w:r>
      <w:r w:rsidRPr="00AD393D">
        <w:rPr>
          <w:rFonts w:ascii="Arial" w:eastAsia="Arial" w:hAnsi="Arial" w:cs="Arial"/>
          <w:color w:val="000000" w:themeColor="text1"/>
          <w:sz w:val="24"/>
          <w:szCs w:val="24"/>
        </w:rPr>
        <w:t xml:space="preserve"> </w:t>
      </w:r>
      <w:r w:rsidR="00CE1295" w:rsidRPr="00AD393D">
        <w:rPr>
          <w:rFonts w:ascii="Arial" w:eastAsia="Arial" w:hAnsi="Arial" w:cs="Arial"/>
          <w:color w:val="000000" w:themeColor="text1"/>
          <w:sz w:val="24"/>
          <w:szCs w:val="24"/>
        </w:rPr>
        <w:t>realizó capacitaciones para 148 personas del Ministerio en planeación y gestión,</w:t>
      </w:r>
      <w:r w:rsidR="007C0784" w:rsidRPr="00AD393D">
        <w:rPr>
          <w:rFonts w:ascii="Arial" w:eastAsia="Arial" w:hAnsi="Arial" w:cs="Arial"/>
          <w:color w:val="000000" w:themeColor="text1"/>
          <w:sz w:val="24"/>
          <w:szCs w:val="24"/>
        </w:rPr>
        <w:t xml:space="preserve"> realizaron el seguimiento de 32 indicadores</w:t>
      </w:r>
      <w:r w:rsidR="00F25394" w:rsidRPr="00AD393D">
        <w:rPr>
          <w:rFonts w:ascii="Arial" w:eastAsia="Arial" w:hAnsi="Arial" w:cs="Arial"/>
          <w:color w:val="000000" w:themeColor="text1"/>
          <w:sz w:val="24"/>
          <w:szCs w:val="24"/>
        </w:rPr>
        <w:t xml:space="preserve"> al igual que 10 seguimientos mensuales</w:t>
      </w:r>
      <w:r w:rsidR="00034040" w:rsidRPr="00AD393D">
        <w:rPr>
          <w:rFonts w:ascii="Arial" w:eastAsia="Arial" w:hAnsi="Arial" w:cs="Arial"/>
          <w:color w:val="000000" w:themeColor="text1"/>
          <w:sz w:val="24"/>
          <w:szCs w:val="24"/>
        </w:rPr>
        <w:t xml:space="preserve"> a la ejecución presupuestal del Ministerio.</w:t>
      </w:r>
      <w:r w:rsidR="007C5752" w:rsidRPr="00AD393D">
        <w:rPr>
          <w:rFonts w:ascii="Arial" w:eastAsia="Arial" w:hAnsi="Arial" w:cs="Arial"/>
          <w:color w:val="000000" w:themeColor="text1"/>
          <w:sz w:val="24"/>
          <w:szCs w:val="24"/>
        </w:rPr>
        <w:t xml:space="preserve"> Esta oficina reportó una apropiación de $</w:t>
      </w:r>
      <w:r w:rsidR="00AF5FE4" w:rsidRPr="00AD393D">
        <w:rPr>
          <w:rFonts w:ascii="Arial" w:eastAsia="Arial" w:hAnsi="Arial" w:cs="Arial"/>
          <w:color w:val="000000" w:themeColor="text1"/>
          <w:sz w:val="24"/>
          <w:szCs w:val="24"/>
        </w:rPr>
        <w:t>3.712.</w:t>
      </w:r>
      <w:bookmarkStart w:id="20" w:name="_Int_a2pH0bS8"/>
      <w:r w:rsidR="00AF5FE4" w:rsidRPr="00AD393D">
        <w:rPr>
          <w:rFonts w:ascii="Arial" w:eastAsia="Arial" w:hAnsi="Arial" w:cs="Arial"/>
          <w:color w:val="000000" w:themeColor="text1"/>
          <w:sz w:val="24"/>
          <w:szCs w:val="24"/>
        </w:rPr>
        <w:t>000.000.oo</w:t>
      </w:r>
      <w:bookmarkEnd w:id="20"/>
      <w:r w:rsidR="00AF5FE4" w:rsidRPr="00AD393D">
        <w:rPr>
          <w:rFonts w:ascii="Arial" w:eastAsia="Arial" w:hAnsi="Arial" w:cs="Arial"/>
          <w:color w:val="000000" w:themeColor="text1"/>
          <w:sz w:val="24"/>
          <w:szCs w:val="24"/>
        </w:rPr>
        <w:t xml:space="preserve"> para la vigencia de 2023 y tenía una ejecución del 73% a diciembre de ese mismo año</w:t>
      </w:r>
      <w:r w:rsidR="004B777E" w:rsidRPr="00AD393D">
        <w:rPr>
          <w:rFonts w:ascii="Arial" w:eastAsia="Arial" w:hAnsi="Arial" w:cs="Arial"/>
          <w:color w:val="000000" w:themeColor="text1"/>
          <w:sz w:val="24"/>
          <w:szCs w:val="24"/>
          <w:vertAlign w:val="superscript"/>
        </w:rPr>
        <w:footnoteReference w:id="13"/>
      </w:r>
      <w:r w:rsidR="00AF5FE4" w:rsidRPr="00AD393D">
        <w:rPr>
          <w:rFonts w:ascii="Arial" w:eastAsia="Arial" w:hAnsi="Arial" w:cs="Arial"/>
          <w:color w:val="000000" w:themeColor="text1"/>
          <w:sz w:val="24"/>
          <w:szCs w:val="24"/>
        </w:rPr>
        <w:t>.</w:t>
      </w:r>
    </w:p>
    <w:p w14:paraId="2199D373" w14:textId="77777777" w:rsidR="00CD4DAD" w:rsidRPr="00AD393D" w:rsidRDefault="00CD4DAD"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498D444A" w14:textId="44C4C74A" w:rsidR="00CD4DAD" w:rsidRPr="00AD393D" w:rsidRDefault="00CD4DAD"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oficina </w:t>
      </w:r>
      <w:r w:rsidR="004D2407" w:rsidRPr="00AD393D">
        <w:rPr>
          <w:rFonts w:ascii="Arial" w:eastAsia="Arial" w:hAnsi="Arial" w:cs="Arial"/>
          <w:color w:val="000000" w:themeColor="text1"/>
          <w:sz w:val="24"/>
          <w:szCs w:val="24"/>
          <w:u w:val="single"/>
        </w:rPr>
        <w:t xml:space="preserve">de información pública </w:t>
      </w:r>
      <w:r w:rsidR="004D2407" w:rsidRPr="00AD393D">
        <w:rPr>
          <w:rFonts w:ascii="Arial" w:eastAsia="Arial" w:hAnsi="Arial" w:cs="Arial"/>
          <w:color w:val="000000" w:themeColor="text1"/>
          <w:sz w:val="24"/>
          <w:szCs w:val="24"/>
        </w:rPr>
        <w:t xml:space="preserve">reportó </w:t>
      </w:r>
      <w:r w:rsidR="00867EA7" w:rsidRPr="00AD393D">
        <w:rPr>
          <w:rFonts w:ascii="Arial" w:eastAsia="Arial" w:hAnsi="Arial" w:cs="Arial"/>
          <w:color w:val="000000" w:themeColor="text1"/>
          <w:sz w:val="24"/>
          <w:szCs w:val="24"/>
        </w:rPr>
        <w:t>que formularon e implementaron la estrategia de transformación digital del Ministerio del Interior</w:t>
      </w:r>
      <w:r w:rsidR="007B029F" w:rsidRPr="00AD393D">
        <w:rPr>
          <w:rFonts w:ascii="Arial" w:eastAsia="Arial" w:hAnsi="Arial" w:cs="Arial"/>
          <w:color w:val="000000" w:themeColor="text1"/>
          <w:sz w:val="24"/>
          <w:szCs w:val="24"/>
        </w:rPr>
        <w:t xml:space="preserve"> con una inversión de $4.040.</w:t>
      </w:r>
      <w:bookmarkStart w:id="21" w:name="_Int_beNhVDfW"/>
      <w:r w:rsidR="007B029F" w:rsidRPr="00AD393D">
        <w:rPr>
          <w:rFonts w:ascii="Arial" w:eastAsia="Arial" w:hAnsi="Arial" w:cs="Arial"/>
          <w:color w:val="000000" w:themeColor="text1"/>
          <w:sz w:val="24"/>
          <w:szCs w:val="24"/>
        </w:rPr>
        <w:t>213.541.oo</w:t>
      </w:r>
      <w:bookmarkEnd w:id="21"/>
      <w:r w:rsidR="00036917" w:rsidRPr="00AD393D">
        <w:rPr>
          <w:rFonts w:ascii="Arial" w:eastAsia="Arial" w:hAnsi="Arial" w:cs="Arial"/>
          <w:color w:val="000000" w:themeColor="text1"/>
          <w:sz w:val="24"/>
          <w:szCs w:val="24"/>
        </w:rPr>
        <w:t xml:space="preserve">, de igual forma realizaron actividades de relacionamiento con la ciudadanía </w:t>
      </w:r>
      <w:r w:rsidR="0059482A" w:rsidRPr="00AD393D">
        <w:rPr>
          <w:rFonts w:ascii="Arial" w:eastAsia="Arial" w:hAnsi="Arial" w:cs="Arial"/>
          <w:color w:val="000000" w:themeColor="text1"/>
          <w:sz w:val="24"/>
          <w:szCs w:val="24"/>
        </w:rPr>
        <w:t>con un total de 14 eventos y 1.449 personas atendidas</w:t>
      </w:r>
      <w:r w:rsidR="00945471" w:rsidRPr="00AD393D">
        <w:rPr>
          <w:rFonts w:ascii="Arial" w:eastAsia="Arial" w:hAnsi="Arial" w:cs="Arial"/>
          <w:color w:val="000000" w:themeColor="text1"/>
          <w:sz w:val="24"/>
          <w:szCs w:val="24"/>
        </w:rPr>
        <w:t xml:space="preserve"> con una inversión de $1.048.</w:t>
      </w:r>
      <w:bookmarkStart w:id="22" w:name="_Int_4N3mGjpO"/>
      <w:r w:rsidR="00945471" w:rsidRPr="00AD393D">
        <w:rPr>
          <w:rFonts w:ascii="Arial" w:eastAsia="Arial" w:hAnsi="Arial" w:cs="Arial"/>
          <w:color w:val="000000" w:themeColor="text1"/>
          <w:sz w:val="24"/>
          <w:szCs w:val="24"/>
        </w:rPr>
        <w:t>222.568.oo</w:t>
      </w:r>
      <w:bookmarkEnd w:id="22"/>
      <w:r w:rsidR="00945471" w:rsidRPr="00AD393D">
        <w:rPr>
          <w:rFonts w:ascii="Arial" w:eastAsia="Arial" w:hAnsi="Arial" w:cs="Arial"/>
          <w:color w:val="000000" w:themeColor="text1"/>
          <w:sz w:val="24"/>
          <w:szCs w:val="24"/>
        </w:rPr>
        <w:t xml:space="preserve">. Por último, </w:t>
      </w:r>
      <w:r w:rsidR="004F381A" w:rsidRPr="00AD393D">
        <w:rPr>
          <w:rFonts w:ascii="Arial" w:eastAsia="Arial" w:hAnsi="Arial" w:cs="Arial"/>
          <w:color w:val="000000" w:themeColor="text1"/>
          <w:sz w:val="24"/>
          <w:szCs w:val="24"/>
        </w:rPr>
        <w:t xml:space="preserve">la ejecución del plan de medios reportó un total de 13 campañas institucionales, 3 campañas de conmemoración, y 1 resumen de acciones del Ministerio del Interior por valor de </w:t>
      </w:r>
      <w:r w:rsidR="00512928" w:rsidRPr="00AD393D">
        <w:rPr>
          <w:rFonts w:ascii="Arial" w:eastAsia="Arial" w:hAnsi="Arial" w:cs="Arial"/>
          <w:color w:val="000000" w:themeColor="text1"/>
          <w:sz w:val="24"/>
          <w:szCs w:val="24"/>
        </w:rPr>
        <w:t>$1.753.</w:t>
      </w:r>
      <w:bookmarkStart w:id="23" w:name="_Int_Psu50YW5"/>
      <w:r w:rsidR="00512928" w:rsidRPr="00AD393D">
        <w:rPr>
          <w:rFonts w:ascii="Arial" w:eastAsia="Arial" w:hAnsi="Arial" w:cs="Arial"/>
          <w:color w:val="000000" w:themeColor="text1"/>
          <w:sz w:val="24"/>
          <w:szCs w:val="24"/>
        </w:rPr>
        <w:t>167.947.oo</w:t>
      </w:r>
      <w:bookmarkEnd w:id="23"/>
      <w:r w:rsidR="00512928" w:rsidRPr="00AD393D">
        <w:rPr>
          <w:rFonts w:ascii="Arial" w:eastAsia="Arial" w:hAnsi="Arial" w:cs="Arial"/>
          <w:color w:val="000000" w:themeColor="text1"/>
          <w:sz w:val="24"/>
          <w:szCs w:val="24"/>
        </w:rPr>
        <w:t xml:space="preserve">. </w:t>
      </w:r>
      <w:r w:rsidR="002F77FC" w:rsidRPr="00AD393D">
        <w:rPr>
          <w:rFonts w:ascii="Arial" w:eastAsia="Arial" w:hAnsi="Arial" w:cs="Arial"/>
          <w:color w:val="000000" w:themeColor="text1"/>
          <w:sz w:val="24"/>
          <w:szCs w:val="24"/>
        </w:rPr>
        <w:t xml:space="preserve">Se reportan múltiples avances </w:t>
      </w:r>
      <w:r w:rsidR="00076D02" w:rsidRPr="00AD393D">
        <w:rPr>
          <w:rFonts w:ascii="Arial" w:eastAsia="Arial" w:hAnsi="Arial" w:cs="Arial"/>
          <w:color w:val="000000" w:themeColor="text1"/>
          <w:sz w:val="24"/>
          <w:szCs w:val="24"/>
        </w:rPr>
        <w:t>en temas de procedimientos internos, estructuración de proyectos</w:t>
      </w:r>
      <w:r w:rsidR="008460C7" w:rsidRPr="00AD393D">
        <w:rPr>
          <w:rFonts w:ascii="Arial" w:eastAsia="Arial" w:hAnsi="Arial" w:cs="Arial"/>
          <w:color w:val="000000" w:themeColor="text1"/>
          <w:sz w:val="24"/>
          <w:szCs w:val="24"/>
        </w:rPr>
        <w:t>, creación de memoria institucional y sistemas de información, al igual que la creación del portafolio de servicios del Ministerio.</w:t>
      </w:r>
      <w:r w:rsidR="004B198E" w:rsidRPr="00AD393D">
        <w:rPr>
          <w:rFonts w:ascii="Arial" w:eastAsia="Arial" w:hAnsi="Arial" w:cs="Arial"/>
          <w:color w:val="000000" w:themeColor="text1"/>
          <w:sz w:val="24"/>
          <w:szCs w:val="24"/>
        </w:rPr>
        <w:t xml:space="preserve"> La oficina de información pública tenía una apropiación de $</w:t>
      </w:r>
      <w:r w:rsidR="00651F13" w:rsidRPr="00AD393D">
        <w:rPr>
          <w:rFonts w:ascii="Arial" w:eastAsia="Arial" w:hAnsi="Arial" w:cs="Arial"/>
          <w:color w:val="000000" w:themeColor="text1"/>
          <w:sz w:val="24"/>
          <w:szCs w:val="24"/>
        </w:rPr>
        <w:t>5.106.</w:t>
      </w:r>
      <w:bookmarkStart w:id="24" w:name="_Int_tD7BLO3E"/>
      <w:r w:rsidR="00651F13" w:rsidRPr="00AD393D">
        <w:rPr>
          <w:rFonts w:ascii="Arial" w:eastAsia="Arial" w:hAnsi="Arial" w:cs="Arial"/>
          <w:color w:val="000000" w:themeColor="text1"/>
          <w:sz w:val="24"/>
          <w:szCs w:val="24"/>
        </w:rPr>
        <w:t>000.000.oo</w:t>
      </w:r>
      <w:bookmarkEnd w:id="24"/>
      <w:r w:rsidR="00651F13" w:rsidRPr="00AD393D">
        <w:rPr>
          <w:rFonts w:ascii="Arial" w:eastAsia="Arial" w:hAnsi="Arial" w:cs="Arial"/>
          <w:color w:val="000000" w:themeColor="text1"/>
          <w:sz w:val="24"/>
          <w:szCs w:val="24"/>
        </w:rPr>
        <w:t xml:space="preserve"> para la vigencia de 2023 y reportó una ejecución del 93% para diciembre de ese mismo año</w:t>
      </w:r>
      <w:r w:rsidR="004B777E" w:rsidRPr="00AD393D">
        <w:rPr>
          <w:rFonts w:ascii="Arial" w:eastAsia="Arial" w:hAnsi="Arial" w:cs="Arial"/>
          <w:color w:val="000000" w:themeColor="text1"/>
          <w:sz w:val="24"/>
          <w:szCs w:val="24"/>
          <w:vertAlign w:val="superscript"/>
        </w:rPr>
        <w:footnoteReference w:id="14"/>
      </w:r>
      <w:r w:rsidR="00651F13" w:rsidRPr="00AD393D">
        <w:rPr>
          <w:rFonts w:ascii="Arial" w:eastAsia="Arial" w:hAnsi="Arial" w:cs="Arial"/>
          <w:color w:val="000000" w:themeColor="text1"/>
          <w:sz w:val="24"/>
          <w:szCs w:val="24"/>
        </w:rPr>
        <w:t>.</w:t>
      </w:r>
    </w:p>
    <w:p w14:paraId="655954BA" w14:textId="77777777" w:rsidR="002E21CF" w:rsidRPr="00AD393D" w:rsidRDefault="002E21CF"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3950769D" w14:textId="5C093F2A" w:rsidR="002E21C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La oficina de Control Interno </w:t>
      </w:r>
      <w:r w:rsidRPr="00AD393D">
        <w:rPr>
          <w:rFonts w:ascii="Arial" w:eastAsia="Arial" w:hAnsi="Arial" w:cs="Arial"/>
          <w:color w:val="000000" w:themeColor="text1"/>
          <w:sz w:val="24"/>
          <w:szCs w:val="24"/>
        </w:rPr>
        <w:t xml:space="preserve">indicó que se encuentran en proceso de formulación de la estrategia nacional de lucha contra la corrupción, realizaron 11 visitas de asesorías, 48 informes de Ley, 31 informes de seguimiento, y 4 campañas de </w:t>
      </w:r>
      <w:r w:rsidRPr="00AD393D">
        <w:rPr>
          <w:rFonts w:ascii="Arial" w:eastAsia="Arial" w:hAnsi="Arial" w:cs="Arial"/>
          <w:color w:val="000000" w:themeColor="text1"/>
          <w:sz w:val="24"/>
          <w:szCs w:val="24"/>
        </w:rPr>
        <w:lastRenderedPageBreak/>
        <w:t xml:space="preserve">fomento de cultura de control. Igualmente reportan un cumplimiento del 100 % del Plan Anual de Auditorías Independientes, pero no establecieron el número de estos, tampoco si se dieron auditorías y hallazgos por parte de la Contraloría General de la República o los planes de mejora implementados si era necesario. </w:t>
      </w:r>
    </w:p>
    <w:p w14:paraId="03A455A5" w14:textId="77777777" w:rsidR="00122241" w:rsidRPr="00AD393D" w:rsidRDefault="00122241"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1CE8105C" w14:textId="0112F525" w:rsidR="00122241" w:rsidRPr="00AD393D" w:rsidRDefault="6B92079F" w:rsidP="0723639E">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 xml:space="preserve">El grupo de Control Interno Disciplinario </w:t>
      </w:r>
      <w:r w:rsidRPr="00AD393D">
        <w:rPr>
          <w:rFonts w:ascii="Arial" w:eastAsia="Arial" w:hAnsi="Arial" w:cs="Arial"/>
          <w:color w:val="000000" w:themeColor="text1"/>
          <w:sz w:val="24"/>
          <w:szCs w:val="24"/>
        </w:rPr>
        <w:t>reportó 72 procesos y/o actuaciones recibidas, 8 capacitaciones con el personal de planta y contratistas y la producción de 16 piezas gráficas.</w:t>
      </w:r>
    </w:p>
    <w:p w14:paraId="1F779665" w14:textId="53E664B8"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26CC9ED9" w14:textId="3F5B76F7"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r w:rsidRPr="00AD393D">
        <w:rPr>
          <w:rFonts w:ascii="Arial" w:eastAsia="Arial" w:hAnsi="Arial" w:cs="Arial"/>
          <w:color w:val="000000" w:themeColor="text1"/>
          <w:sz w:val="24"/>
          <w:szCs w:val="24"/>
          <w:u w:val="single"/>
        </w:rPr>
        <w:t>Sobre el Viceministerio de Dialogo Social,</w:t>
      </w:r>
      <w:r w:rsidRPr="00AD393D">
        <w:rPr>
          <w:rFonts w:ascii="Arial" w:eastAsia="Arial" w:hAnsi="Arial" w:cs="Arial"/>
          <w:color w:val="000000" w:themeColor="text1"/>
          <w:sz w:val="24"/>
          <w:szCs w:val="24"/>
        </w:rPr>
        <w:t xml:space="preserve"> es pertinente señalar:</w:t>
      </w:r>
    </w:p>
    <w:p w14:paraId="203E17CD" w14:textId="58E5A531" w:rsidR="6B92079F" w:rsidRPr="00AD393D" w:rsidRDefault="6B92079F"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1AE348DC" w14:textId="64B42125" w:rsidR="6B92079F" w:rsidRPr="00AD393D" w:rsidRDefault="6B92079F" w:rsidP="6B92079F">
      <w:pPr>
        <w:pStyle w:val="Prrafodelista"/>
        <w:numPr>
          <w:ilvl w:val="0"/>
          <w:numId w:val="2"/>
        </w:numPr>
        <w:pBdr>
          <w:top w:val="nil"/>
          <w:left w:val="nil"/>
          <w:bottom w:val="nil"/>
          <w:right w:val="nil"/>
          <w:between w:val="nil"/>
        </w:pBdr>
        <w:jc w:val="both"/>
        <w:rPr>
          <w:rFonts w:ascii="Arial" w:eastAsia="Arial" w:hAnsi="Arial" w:cs="Arial"/>
          <w:lang w:val="es-CO"/>
        </w:rPr>
      </w:pPr>
      <w:r w:rsidRPr="00AD393D">
        <w:rPr>
          <w:rFonts w:ascii="Arial" w:eastAsia="Arial" w:hAnsi="Arial" w:cs="Arial"/>
          <w:color w:val="000000" w:themeColor="text1"/>
          <w:lang w:val="es-CO"/>
        </w:rPr>
        <w:t>Dirección de Comunidades Negras: Se realizaron unas caracterizaciones y un acuerdo con la Universidad Nacional pero se desconoce si esta es mucho o poco con relación a las metas.</w:t>
      </w:r>
    </w:p>
    <w:p w14:paraId="7F91C361" w14:textId="3F77A984" w:rsidR="6B92079F" w:rsidRPr="00AD393D" w:rsidRDefault="6B92079F" w:rsidP="6B92079F">
      <w:pPr>
        <w:pStyle w:val="Prrafodelista"/>
        <w:pBdr>
          <w:top w:val="nil"/>
          <w:left w:val="nil"/>
          <w:bottom w:val="nil"/>
          <w:right w:val="nil"/>
          <w:between w:val="nil"/>
        </w:pBdr>
        <w:jc w:val="both"/>
        <w:rPr>
          <w:rFonts w:ascii="Arial" w:eastAsia="Arial" w:hAnsi="Arial" w:cs="Arial"/>
          <w:lang w:val="es-CO"/>
        </w:rPr>
      </w:pPr>
    </w:p>
    <w:p w14:paraId="40BB363C" w14:textId="0C2404AF" w:rsidR="6B92079F" w:rsidRPr="00AD393D" w:rsidRDefault="6B92079F" w:rsidP="6B92079F">
      <w:pPr>
        <w:pStyle w:val="Prrafodelista"/>
        <w:numPr>
          <w:ilvl w:val="0"/>
          <w:numId w:val="2"/>
        </w:numPr>
        <w:pBdr>
          <w:top w:val="nil"/>
          <w:left w:val="nil"/>
          <w:bottom w:val="nil"/>
          <w:right w:val="nil"/>
          <w:between w:val="nil"/>
        </w:pBdr>
        <w:jc w:val="both"/>
        <w:rPr>
          <w:rFonts w:ascii="Arial" w:eastAsia="Arial" w:hAnsi="Arial" w:cs="Arial"/>
          <w:lang w:val="es-CO"/>
        </w:rPr>
      </w:pPr>
      <w:r w:rsidRPr="00AD393D">
        <w:rPr>
          <w:rFonts w:ascii="Arial" w:eastAsia="Arial" w:hAnsi="Arial" w:cs="Arial"/>
          <w:lang w:val="es-CO"/>
        </w:rPr>
        <w:t xml:space="preserve">Dirección de Asuntos Indígenas: </w:t>
      </w:r>
      <w:r w:rsidRPr="00AD393D">
        <w:rPr>
          <w:rFonts w:ascii="Arial" w:eastAsia="Arial" w:hAnsi="Arial" w:cs="Arial"/>
          <w:color w:val="000000" w:themeColor="text1"/>
          <w:lang w:val="es-CO"/>
        </w:rPr>
        <w:t>Se habla de espacios de diálogo y concertación, como mesas de resolución de conflicto en 23 departamentos por alrededor de 37mil millones; 37 acuerdos indígenas, 15 acuerdos de Amazonía, 10 ROM gitano; benéficos a 308 mil personas indígenas; 85mil millones para cumplimiento del PND.</w:t>
      </w:r>
    </w:p>
    <w:p w14:paraId="5CD474FB" w14:textId="5947A5D6" w:rsidR="00AD393D" w:rsidRDefault="00AD393D">
      <w:pPr>
        <w:rPr>
          <w:rFonts w:ascii="Arial" w:eastAsia="Arial" w:hAnsi="Arial" w:cs="Arial"/>
          <w:sz w:val="24"/>
          <w:szCs w:val="24"/>
          <w:lang w:eastAsia="es-ES"/>
        </w:rPr>
      </w:pPr>
    </w:p>
    <w:p w14:paraId="2CB1E067" w14:textId="77777777" w:rsidR="00771F50" w:rsidRDefault="00771F50">
      <w:pPr>
        <w:rPr>
          <w:rFonts w:ascii="Arial" w:eastAsia="Arial" w:hAnsi="Arial" w:cs="Arial"/>
          <w:sz w:val="24"/>
          <w:szCs w:val="24"/>
          <w:lang w:eastAsia="es-ES"/>
        </w:rPr>
      </w:pPr>
    </w:p>
    <w:p w14:paraId="446A63A0" w14:textId="6C13420D" w:rsidR="00DC2EC7" w:rsidRPr="00AD393D" w:rsidRDefault="6B92079F" w:rsidP="6B92079F">
      <w:pPr>
        <w:pStyle w:val="Ttulo1"/>
        <w:keepNext w:val="0"/>
        <w:keepLines w:val="0"/>
        <w:numPr>
          <w:ilvl w:val="0"/>
          <w:numId w:val="10"/>
        </w:numPr>
        <w:spacing w:before="0" w:line="240" w:lineRule="auto"/>
        <w:jc w:val="both"/>
        <w:rPr>
          <w:rFonts w:ascii="Arial" w:eastAsia="Arial" w:hAnsi="Arial" w:cs="Arial"/>
          <w:b/>
          <w:bCs/>
          <w:color w:val="000000"/>
          <w:sz w:val="24"/>
          <w:szCs w:val="24"/>
        </w:rPr>
      </w:pPr>
      <w:r w:rsidRPr="00AD393D">
        <w:rPr>
          <w:rFonts w:ascii="Arial" w:eastAsia="Arial" w:hAnsi="Arial" w:cs="Arial"/>
          <w:b/>
          <w:bCs/>
          <w:color w:val="000000" w:themeColor="text1"/>
          <w:sz w:val="24"/>
          <w:szCs w:val="24"/>
        </w:rPr>
        <w:t xml:space="preserve">CONCLUSIONES </w:t>
      </w:r>
      <w:r w:rsidR="00AD393D">
        <w:rPr>
          <w:rFonts w:ascii="Arial" w:eastAsia="Arial" w:hAnsi="Arial" w:cs="Arial"/>
          <w:b/>
          <w:bCs/>
          <w:color w:val="000000" w:themeColor="text1"/>
          <w:sz w:val="24"/>
          <w:szCs w:val="24"/>
        </w:rPr>
        <w:t>Y RESPUESTAS</w:t>
      </w:r>
    </w:p>
    <w:p w14:paraId="407CDB39" w14:textId="4F756C33" w:rsidR="00DC2EC7" w:rsidRPr="00AD393D" w:rsidRDefault="00DC2EC7" w:rsidP="005D3E67">
      <w:pPr>
        <w:pBdr>
          <w:top w:val="nil"/>
          <w:left w:val="nil"/>
          <w:bottom w:val="nil"/>
          <w:right w:val="nil"/>
          <w:between w:val="nil"/>
        </w:pBdr>
        <w:spacing w:after="0" w:line="240" w:lineRule="auto"/>
        <w:jc w:val="both"/>
        <w:rPr>
          <w:rFonts w:ascii="Arial" w:eastAsia="Arial" w:hAnsi="Arial" w:cs="Arial"/>
          <w:color w:val="000000"/>
          <w:sz w:val="24"/>
          <w:szCs w:val="24"/>
        </w:rPr>
      </w:pPr>
    </w:p>
    <w:p w14:paraId="58B04048" w14:textId="0C797ED3" w:rsidR="005D3E67" w:rsidRPr="00AD393D" w:rsidRDefault="6B92079F" w:rsidP="6B92079F">
      <w:pPr>
        <w:pBdr>
          <w:top w:val="nil"/>
          <w:left w:val="nil"/>
          <w:bottom w:val="nil"/>
          <w:right w:val="nil"/>
          <w:between w:val="nil"/>
        </w:pBdr>
        <w:spacing w:after="0" w:line="240" w:lineRule="auto"/>
        <w:jc w:val="both"/>
        <w:rPr>
          <w:rFonts w:ascii="Arial" w:eastAsia="Arial" w:hAnsi="Arial" w:cs="Arial"/>
          <w:b/>
          <w:bCs/>
          <w:color w:val="000000" w:themeColor="text1"/>
          <w:sz w:val="24"/>
          <w:szCs w:val="24"/>
        </w:rPr>
      </w:pPr>
      <w:r w:rsidRPr="00AD393D">
        <w:rPr>
          <w:rFonts w:ascii="Arial" w:eastAsia="Arial" w:hAnsi="Arial" w:cs="Arial"/>
          <w:b/>
          <w:bCs/>
          <w:color w:val="000000" w:themeColor="text1"/>
          <w:sz w:val="24"/>
          <w:szCs w:val="24"/>
        </w:rPr>
        <w:t>Al Ministerio de Justicia.</w:t>
      </w:r>
    </w:p>
    <w:p w14:paraId="33AC55DB" w14:textId="3E603582" w:rsidR="005D3E67" w:rsidRPr="00AD393D" w:rsidRDefault="005D3E67" w:rsidP="6B92079F">
      <w:pPr>
        <w:pBdr>
          <w:top w:val="nil"/>
          <w:left w:val="nil"/>
          <w:bottom w:val="nil"/>
          <w:right w:val="nil"/>
          <w:between w:val="nil"/>
        </w:pBdr>
        <w:spacing w:after="0" w:line="240" w:lineRule="auto"/>
        <w:jc w:val="both"/>
        <w:rPr>
          <w:rFonts w:ascii="Arial" w:eastAsia="Arial" w:hAnsi="Arial" w:cs="Arial"/>
          <w:b/>
          <w:bCs/>
          <w:color w:val="000000" w:themeColor="text1"/>
          <w:sz w:val="24"/>
          <w:szCs w:val="24"/>
        </w:rPr>
      </w:pPr>
    </w:p>
    <w:p w14:paraId="6BA286DC" w14:textId="281E4FE5" w:rsidR="005D3E67" w:rsidRPr="00AD393D" w:rsidRDefault="6B92079F" w:rsidP="6B92079F">
      <w:pPr>
        <w:pStyle w:val="Prrafodelista"/>
        <w:numPr>
          <w:ilvl w:val="0"/>
          <w:numId w:val="5"/>
        </w:numPr>
        <w:pBdr>
          <w:top w:val="nil"/>
          <w:left w:val="nil"/>
          <w:bottom w:val="nil"/>
          <w:right w:val="nil"/>
          <w:between w:val="nil"/>
        </w:pBdr>
        <w:jc w:val="both"/>
        <w:rPr>
          <w:rFonts w:ascii="Arial" w:eastAsia="Arial" w:hAnsi="Arial" w:cs="Arial"/>
          <w:color w:val="000000" w:themeColor="text1"/>
          <w:lang w:val="es-CO"/>
        </w:rPr>
      </w:pPr>
      <w:r w:rsidRPr="00AD393D">
        <w:rPr>
          <w:rFonts w:ascii="Arial" w:eastAsia="Arial" w:hAnsi="Arial" w:cs="Arial"/>
          <w:color w:val="000000" w:themeColor="text1"/>
          <w:lang w:val="es-CO"/>
        </w:rPr>
        <w:t>Hay que contar con los anexos correspondientes que contrastan las cifras, para evaluar el cumplimiento de las metas e indicadores del documento.</w:t>
      </w:r>
    </w:p>
    <w:p w14:paraId="7321AA23" w14:textId="7346A294" w:rsidR="005D3E67" w:rsidRPr="00AD393D" w:rsidRDefault="005D3E67" w:rsidP="6B92079F">
      <w:pPr>
        <w:pStyle w:val="Prrafodelista"/>
        <w:pBdr>
          <w:top w:val="nil"/>
          <w:left w:val="nil"/>
          <w:bottom w:val="nil"/>
          <w:right w:val="nil"/>
          <w:between w:val="nil"/>
        </w:pBdr>
        <w:jc w:val="both"/>
        <w:rPr>
          <w:rFonts w:ascii="Arial" w:eastAsia="Arial" w:hAnsi="Arial" w:cs="Arial"/>
          <w:color w:val="000000" w:themeColor="text1"/>
          <w:lang w:val="es-CO"/>
        </w:rPr>
      </w:pPr>
    </w:p>
    <w:p w14:paraId="07151717" w14:textId="299F8039" w:rsidR="005D3E67" w:rsidRPr="00AD393D" w:rsidRDefault="6B92079F" w:rsidP="6B92079F">
      <w:pPr>
        <w:pStyle w:val="Prrafodelista"/>
        <w:numPr>
          <w:ilvl w:val="0"/>
          <w:numId w:val="5"/>
        </w:numPr>
        <w:pBdr>
          <w:top w:val="nil"/>
          <w:left w:val="nil"/>
          <w:bottom w:val="nil"/>
          <w:right w:val="nil"/>
          <w:between w:val="nil"/>
        </w:pBdr>
        <w:jc w:val="both"/>
        <w:rPr>
          <w:rFonts w:ascii="Arial" w:eastAsia="Arial" w:hAnsi="Arial" w:cs="Arial"/>
          <w:color w:val="000000" w:themeColor="text1"/>
          <w:lang w:val="es-CO"/>
        </w:rPr>
      </w:pPr>
      <w:r w:rsidRPr="00AD393D">
        <w:rPr>
          <w:rFonts w:ascii="Arial" w:eastAsia="Arial" w:hAnsi="Arial" w:cs="Arial"/>
          <w:color w:val="000000" w:themeColor="text1"/>
          <w:lang w:val="es-CO"/>
        </w:rPr>
        <w:t>El informe parece ser un “informe parcial”, dado que algunos de los datos son de agosto y octubre de 2023. Por lo que se recomienda a la entidad la importancia de una rendición integral o un anexo al informe que permita conocer el funcionamiento de la entidad y el cumplimiento de sus indicadores de todo el año 2023, ya que el análisis es para medir su gestión anual, no por meses.</w:t>
      </w:r>
    </w:p>
    <w:p w14:paraId="1F1DA515" w14:textId="3B6BE4DE" w:rsidR="005D3E67" w:rsidRPr="00AD393D" w:rsidRDefault="005D3E67"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3DC56BA0" w14:textId="5DFE7A46" w:rsidR="005D3E67" w:rsidRPr="00AD393D" w:rsidRDefault="6B92079F" w:rsidP="6B92079F">
      <w:pPr>
        <w:pStyle w:val="Prrafodelista"/>
        <w:numPr>
          <w:ilvl w:val="0"/>
          <w:numId w:val="4"/>
        </w:numPr>
        <w:pBdr>
          <w:top w:val="nil"/>
          <w:left w:val="nil"/>
          <w:bottom w:val="nil"/>
          <w:right w:val="nil"/>
          <w:between w:val="nil"/>
        </w:pBdr>
        <w:jc w:val="both"/>
        <w:rPr>
          <w:rFonts w:ascii="Arial" w:eastAsia="Arial" w:hAnsi="Arial" w:cs="Arial"/>
          <w:color w:val="000000" w:themeColor="text1"/>
          <w:lang w:val="es-CO"/>
        </w:rPr>
      </w:pPr>
      <w:r w:rsidRPr="00AD393D">
        <w:rPr>
          <w:rFonts w:ascii="Arial" w:eastAsia="Arial" w:hAnsi="Arial" w:cs="Arial"/>
          <w:color w:val="000000" w:themeColor="text1"/>
          <w:lang w:val="es-CO"/>
        </w:rPr>
        <w:t>Se recomienda, dado que algunas de las medidas y disposiciones se refiere su ejecución a futuro, brindar un estado de avance de cada una y las proyecciones de cumplimiento de estas en el futuro cercano. También señalar con claridad los actores necesarios articular para cumplir los procesos, programas y compromisos de la entidad.</w:t>
      </w:r>
    </w:p>
    <w:p w14:paraId="66D7095A" w14:textId="5FEC214F" w:rsidR="005D3E67" w:rsidRPr="00AD393D" w:rsidRDefault="005D3E67" w:rsidP="6B92079F">
      <w:pPr>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47A68865" w14:textId="4A404E5C" w:rsidR="005D3E67" w:rsidRPr="00AD393D" w:rsidRDefault="6B92079F" w:rsidP="6B92079F">
      <w:pPr>
        <w:pStyle w:val="Prrafodelista"/>
        <w:numPr>
          <w:ilvl w:val="0"/>
          <w:numId w:val="3"/>
        </w:numPr>
        <w:pBdr>
          <w:top w:val="nil"/>
          <w:left w:val="nil"/>
          <w:bottom w:val="nil"/>
          <w:right w:val="nil"/>
          <w:between w:val="nil"/>
        </w:pBdr>
        <w:jc w:val="both"/>
        <w:rPr>
          <w:rFonts w:ascii="Arial" w:eastAsia="Arial" w:hAnsi="Arial" w:cs="Arial"/>
          <w:color w:val="000000" w:themeColor="text1"/>
          <w:lang w:val="es-CO"/>
        </w:rPr>
      </w:pPr>
      <w:r w:rsidRPr="00AD393D">
        <w:rPr>
          <w:rFonts w:ascii="Arial" w:eastAsia="Arial" w:hAnsi="Arial" w:cs="Arial"/>
          <w:color w:val="000000" w:themeColor="text1"/>
          <w:lang w:val="es-CO"/>
        </w:rPr>
        <w:lastRenderedPageBreak/>
        <w:t>Se recomienda incluir un aparte sobre los retos para el 2024, siempre que se hable de temas presupuestales para cada dependencia; pero no se refiere con claridad los indicadores y metas pendientes ni cómo se lograrán y retomarán en la vigencia 2024. Esto es clave para evaluar el desempeño de la entidad, los retos que tiene para la siguiente vigencia y el cumplimiento de cada indicador y meta trazada.</w:t>
      </w:r>
    </w:p>
    <w:p w14:paraId="46629C43" w14:textId="1D19E3A4" w:rsidR="005D3E67" w:rsidRPr="00AD393D" w:rsidRDefault="005D3E67" w:rsidP="6B92079F">
      <w:pPr>
        <w:pStyle w:val="Prrafodelista"/>
        <w:pBdr>
          <w:top w:val="nil"/>
          <w:left w:val="nil"/>
          <w:bottom w:val="nil"/>
          <w:right w:val="nil"/>
          <w:between w:val="nil"/>
        </w:pBdr>
        <w:jc w:val="both"/>
        <w:rPr>
          <w:rFonts w:ascii="Arial" w:eastAsia="Arial" w:hAnsi="Arial" w:cs="Arial"/>
          <w:color w:val="000000" w:themeColor="text1"/>
          <w:lang w:val="es-CO"/>
        </w:rPr>
      </w:pPr>
    </w:p>
    <w:p w14:paraId="66C4BFAF" w14:textId="3DFB2B35" w:rsidR="005D3E67" w:rsidRPr="00AD393D" w:rsidRDefault="6B92079F" w:rsidP="6B92079F">
      <w:pPr>
        <w:pBdr>
          <w:top w:val="nil"/>
          <w:left w:val="nil"/>
          <w:bottom w:val="nil"/>
          <w:right w:val="nil"/>
          <w:between w:val="nil"/>
        </w:pBdr>
        <w:spacing w:after="0" w:line="240" w:lineRule="auto"/>
        <w:jc w:val="both"/>
        <w:rPr>
          <w:rFonts w:ascii="Arial" w:eastAsia="Arial" w:hAnsi="Arial" w:cs="Arial"/>
          <w:b/>
          <w:bCs/>
          <w:color w:val="000000"/>
          <w:sz w:val="24"/>
          <w:szCs w:val="24"/>
        </w:rPr>
      </w:pPr>
      <w:r w:rsidRPr="00AD393D">
        <w:rPr>
          <w:rFonts w:ascii="Arial" w:eastAsia="Arial" w:hAnsi="Arial" w:cs="Arial"/>
          <w:b/>
          <w:bCs/>
          <w:color w:val="000000" w:themeColor="text1"/>
          <w:sz w:val="24"/>
          <w:szCs w:val="24"/>
        </w:rPr>
        <w:t>Al Ministerio del Interior.</w:t>
      </w:r>
    </w:p>
    <w:p w14:paraId="29519F88" w14:textId="2A4F9074" w:rsidR="6B92079F" w:rsidRPr="00AD393D" w:rsidRDefault="6B92079F" w:rsidP="6B92079F">
      <w:pPr>
        <w:pBdr>
          <w:top w:val="nil"/>
          <w:left w:val="nil"/>
          <w:bottom w:val="nil"/>
          <w:right w:val="nil"/>
          <w:between w:val="nil"/>
        </w:pBdr>
        <w:spacing w:after="0" w:line="240" w:lineRule="auto"/>
        <w:jc w:val="both"/>
        <w:rPr>
          <w:rFonts w:ascii="Arial" w:eastAsia="Arial" w:hAnsi="Arial" w:cs="Arial"/>
          <w:b/>
          <w:bCs/>
          <w:color w:val="000000" w:themeColor="text1"/>
          <w:sz w:val="24"/>
          <w:szCs w:val="24"/>
        </w:rPr>
      </w:pPr>
    </w:p>
    <w:p w14:paraId="633A7707" w14:textId="7888E438" w:rsidR="0723639E" w:rsidRPr="00AD393D" w:rsidRDefault="6B92079F" w:rsidP="6B92079F">
      <w:pPr>
        <w:pStyle w:val="Prrafodelista"/>
        <w:numPr>
          <w:ilvl w:val="0"/>
          <w:numId w:val="8"/>
        </w:numPr>
        <w:jc w:val="both"/>
        <w:rPr>
          <w:rFonts w:ascii="Arial" w:eastAsia="Times New Roman" w:hAnsi="Arial" w:cs="Arial"/>
          <w:color w:val="000000" w:themeColor="text1"/>
          <w:lang w:val="es-CO"/>
        </w:rPr>
      </w:pPr>
      <w:r w:rsidRPr="00AD393D">
        <w:rPr>
          <w:rFonts w:ascii="Arial" w:hAnsi="Arial" w:cs="Arial"/>
          <w:color w:val="000000" w:themeColor="text1"/>
          <w:lang w:val="es-CO"/>
        </w:rPr>
        <w:t xml:space="preserve">Es importante que se unifiquen los criterios para elaborar informes de rendición de cuentas del Ministerio del Interior, ya que la variación entre formatos y la falta de indicadores permanentes impide medir y analizar el desempeño de la entidad entre vigencias de forma cuantitativa. </w:t>
      </w:r>
      <w:r w:rsidRPr="00AD393D">
        <w:rPr>
          <w:rFonts w:ascii="Arial" w:eastAsia="Times New Roman" w:hAnsi="Arial" w:cs="Arial"/>
          <w:color w:val="000000" w:themeColor="text1"/>
          <w:lang w:val="es-CO"/>
        </w:rPr>
        <w:t>Hay información faltante al comparar el documento de rendición de cuentas actual con los documentos de administraciones anteriores.</w:t>
      </w:r>
    </w:p>
    <w:p w14:paraId="21A8DF2C" w14:textId="6302AEA9" w:rsidR="6B92079F" w:rsidRPr="00AD393D" w:rsidRDefault="6B92079F" w:rsidP="6B92079F">
      <w:pPr>
        <w:pStyle w:val="Prrafodelista"/>
        <w:jc w:val="both"/>
        <w:rPr>
          <w:rFonts w:ascii="Arial" w:eastAsia="Times New Roman" w:hAnsi="Arial" w:cs="Arial"/>
          <w:color w:val="000000" w:themeColor="text1"/>
          <w:lang w:val="es-CO"/>
        </w:rPr>
      </w:pPr>
    </w:p>
    <w:p w14:paraId="24F8750D" w14:textId="3A0B6169" w:rsidR="006E3030" w:rsidRPr="00AD393D" w:rsidRDefault="6B92079F" w:rsidP="6B92079F">
      <w:pPr>
        <w:pStyle w:val="Prrafodelista"/>
        <w:numPr>
          <w:ilvl w:val="0"/>
          <w:numId w:val="8"/>
        </w:numPr>
        <w:jc w:val="both"/>
        <w:rPr>
          <w:rFonts w:ascii="Arial" w:eastAsia="Times New Roman" w:hAnsi="Arial" w:cs="Arial"/>
          <w:color w:val="000000" w:themeColor="text1"/>
          <w:lang w:val="es-CO"/>
        </w:rPr>
      </w:pPr>
      <w:r w:rsidRPr="00AD393D">
        <w:rPr>
          <w:rFonts w:ascii="Arial" w:hAnsi="Arial" w:cs="Arial"/>
          <w:color w:val="000000" w:themeColor="text1"/>
          <w:lang w:val="es-CO"/>
        </w:rPr>
        <w:t>Es necesario empezar a considerar si la forma en que se hacen los informes de gestión permite analizar y hacer control político por parte de organismos como la Cámara de Representantes, que tienen un carácter inherentemente regional. La información presentada por sí sola no permite analizar cómo esta cartera ministerial realizó actividades o destinó recursos para trabajo con las entidades territoriales o comunidades de las diferentes regiones del país, por lo que es necesario buscar documentos suplementarios. Se propone que se implemente un formato donde se incluya la gestión y ejecución regionalizada de la entidad.</w:t>
      </w:r>
    </w:p>
    <w:p w14:paraId="29493ED1" w14:textId="44E37E14" w:rsidR="6B92079F" w:rsidRPr="00AD393D" w:rsidRDefault="6B92079F" w:rsidP="6B92079F">
      <w:pPr>
        <w:pStyle w:val="Prrafodelista"/>
        <w:ind w:hanging="360"/>
        <w:jc w:val="both"/>
        <w:rPr>
          <w:rFonts w:ascii="Arial" w:eastAsia="Times New Roman" w:hAnsi="Arial" w:cs="Arial"/>
          <w:color w:val="000000" w:themeColor="text1"/>
          <w:lang w:val="es-CO"/>
        </w:rPr>
      </w:pPr>
    </w:p>
    <w:p w14:paraId="5F63DE17" w14:textId="57C48F7A" w:rsidR="6B92079F" w:rsidRPr="00AD393D" w:rsidRDefault="6B92079F" w:rsidP="6B92079F">
      <w:pPr>
        <w:pStyle w:val="Prrafodelista"/>
        <w:numPr>
          <w:ilvl w:val="0"/>
          <w:numId w:val="8"/>
        </w:numPr>
        <w:jc w:val="both"/>
        <w:rPr>
          <w:rFonts w:ascii="Arial" w:eastAsia="Times New Roman" w:hAnsi="Arial" w:cs="Arial"/>
          <w:color w:val="000000" w:themeColor="text1"/>
          <w:lang w:val="es-CO"/>
        </w:rPr>
      </w:pPr>
      <w:r w:rsidRPr="00AD393D">
        <w:rPr>
          <w:rFonts w:ascii="Arial" w:eastAsia="Times New Roman" w:hAnsi="Arial" w:cs="Arial"/>
          <w:color w:val="000000" w:themeColor="text1"/>
          <w:lang w:val="es-CO"/>
        </w:rPr>
        <w:t>Es necesario que se incluya en el informe qué porcentaje de las respuestas a peticiones del Congreso de la República se responden en el término previsto por la Ley 5ta de 1992, a cuántas se les solicita prórroga y cuál es el tiempo de respuesta promedio para dichas solicitudes.</w:t>
      </w:r>
    </w:p>
    <w:p w14:paraId="4EBA373F" w14:textId="4623DB41" w:rsidR="6B92079F" w:rsidRPr="00AD393D" w:rsidRDefault="6B92079F" w:rsidP="6B92079F">
      <w:pPr>
        <w:pStyle w:val="Prrafodelista"/>
        <w:jc w:val="both"/>
        <w:rPr>
          <w:rFonts w:ascii="Arial" w:eastAsia="Times New Roman" w:hAnsi="Arial" w:cs="Arial"/>
          <w:color w:val="000000" w:themeColor="text1"/>
          <w:lang w:val="es-CO"/>
        </w:rPr>
      </w:pPr>
    </w:p>
    <w:p w14:paraId="4E646BD0" w14:textId="2051FD21" w:rsidR="003340E4" w:rsidRPr="00AD393D" w:rsidRDefault="6B92079F" w:rsidP="0723639E">
      <w:pPr>
        <w:pStyle w:val="Prrafodelista"/>
        <w:numPr>
          <w:ilvl w:val="0"/>
          <w:numId w:val="8"/>
        </w:numPr>
        <w:jc w:val="both"/>
        <w:rPr>
          <w:rFonts w:ascii="Arial" w:eastAsia="Times New Roman" w:hAnsi="Arial" w:cs="Arial"/>
          <w:color w:val="000000" w:themeColor="text1"/>
          <w:lang w:val="es-CO"/>
        </w:rPr>
      </w:pPr>
      <w:r w:rsidRPr="00AD393D">
        <w:rPr>
          <w:rFonts w:ascii="Arial" w:hAnsi="Arial" w:cs="Arial"/>
          <w:color w:val="000000" w:themeColor="text1"/>
          <w:lang w:val="es-CO"/>
        </w:rPr>
        <w:t xml:space="preserve">Esta cartera tiene áreas </w:t>
      </w:r>
      <w:r w:rsidR="00AD393D">
        <w:rPr>
          <w:rFonts w:ascii="Arial" w:hAnsi="Arial" w:cs="Arial"/>
          <w:color w:val="000000" w:themeColor="text1"/>
          <w:lang w:val="es-CO"/>
        </w:rPr>
        <w:t>con una ejecución de recursos muy baja</w:t>
      </w:r>
      <w:r w:rsidRPr="00AD393D">
        <w:rPr>
          <w:rFonts w:ascii="Arial" w:hAnsi="Arial" w:cs="Arial"/>
          <w:color w:val="000000" w:themeColor="text1"/>
          <w:lang w:val="es-CO"/>
        </w:rPr>
        <w:t>, por lo que se debe tener en cuenta qué áreas tienen debilidades en el desempeño y establecer un plan de mejora para las siguientes vigencias.</w:t>
      </w:r>
    </w:p>
    <w:p w14:paraId="744C8B2B" w14:textId="6357595A" w:rsidR="6B92079F" w:rsidRPr="00AD393D" w:rsidRDefault="6B92079F" w:rsidP="6B92079F">
      <w:pPr>
        <w:pStyle w:val="Prrafodelista"/>
        <w:jc w:val="both"/>
        <w:rPr>
          <w:rFonts w:ascii="Arial" w:eastAsia="Times New Roman" w:hAnsi="Arial" w:cs="Arial"/>
          <w:color w:val="000000" w:themeColor="text1"/>
          <w:lang w:val="es-CO"/>
        </w:rPr>
      </w:pPr>
    </w:p>
    <w:p w14:paraId="4E97B4D9" w14:textId="29BB4CD0" w:rsidR="001941B9" w:rsidRPr="00AD393D" w:rsidRDefault="6B92079F" w:rsidP="001941B9">
      <w:pPr>
        <w:pStyle w:val="Prrafodelista"/>
        <w:numPr>
          <w:ilvl w:val="0"/>
          <w:numId w:val="8"/>
        </w:numPr>
        <w:jc w:val="both"/>
        <w:rPr>
          <w:rFonts w:ascii="Arial" w:eastAsia="Times New Roman" w:hAnsi="Arial" w:cs="Arial"/>
          <w:color w:val="000000" w:themeColor="text1"/>
          <w:lang w:val="es-CO"/>
        </w:rPr>
      </w:pPr>
      <w:r w:rsidRPr="00AD393D">
        <w:rPr>
          <w:rFonts w:ascii="Arial" w:eastAsia="Times New Roman" w:hAnsi="Arial" w:cs="Arial"/>
          <w:color w:val="000000" w:themeColor="text1"/>
          <w:lang w:val="es-CO"/>
        </w:rPr>
        <w:t>Es necesario incluir el informe de ejecución presupuestal desagregado por dirección para el final de la vigencia como información suplementaria del informe de gestión.</w:t>
      </w:r>
    </w:p>
    <w:p w14:paraId="76117B5E" w14:textId="26D66D78" w:rsidR="0723639E" w:rsidRPr="00AD393D" w:rsidRDefault="0723639E" w:rsidP="6B92079F">
      <w:pPr>
        <w:pStyle w:val="Prrafodelista"/>
        <w:jc w:val="both"/>
        <w:rPr>
          <w:rFonts w:ascii="Arial" w:eastAsia="Times New Roman" w:hAnsi="Arial" w:cs="Arial"/>
          <w:color w:val="000000" w:themeColor="text1"/>
          <w:lang w:val="es-CO"/>
        </w:rPr>
      </w:pPr>
    </w:p>
    <w:p w14:paraId="1317D949" w14:textId="36DA9F0B" w:rsidR="0723639E" w:rsidRPr="00AD393D" w:rsidRDefault="6B92079F" w:rsidP="6B92079F">
      <w:pPr>
        <w:pStyle w:val="Prrafodelista"/>
        <w:numPr>
          <w:ilvl w:val="0"/>
          <w:numId w:val="8"/>
        </w:numPr>
        <w:jc w:val="both"/>
        <w:rPr>
          <w:rFonts w:ascii="Arial" w:eastAsia="Times New Roman" w:hAnsi="Arial" w:cs="Arial"/>
          <w:color w:val="000000" w:themeColor="text1"/>
          <w:lang w:val="es-CO"/>
        </w:rPr>
      </w:pPr>
      <w:r w:rsidRPr="00AD393D">
        <w:rPr>
          <w:rFonts w:ascii="Arial" w:eastAsia="Times New Roman" w:hAnsi="Arial" w:cs="Arial"/>
          <w:color w:val="000000" w:themeColor="text1"/>
          <w:lang w:val="es-CO"/>
        </w:rPr>
        <w:t xml:space="preserve">Se evidenciaron múltiples inconsistencias entre el documento remitido por la cartera para respuesta y el documento </w:t>
      </w:r>
      <w:r w:rsidRPr="00AD393D">
        <w:rPr>
          <w:rFonts w:ascii="Arial" w:eastAsia="Times New Roman" w:hAnsi="Arial" w:cs="Arial"/>
          <w:i/>
          <w:iCs/>
          <w:color w:val="000000" w:themeColor="text1"/>
          <w:lang w:val="es-CO"/>
        </w:rPr>
        <w:t>Informe al Congreso de la República 2022-2023.</w:t>
      </w:r>
    </w:p>
    <w:p w14:paraId="43DE36C5" w14:textId="3EFAAB35" w:rsidR="00771F50" w:rsidRDefault="00771F50">
      <w:pPr>
        <w:rPr>
          <w:rFonts w:ascii="Arial" w:eastAsia="Times New Roman" w:hAnsi="Arial" w:cs="Arial"/>
          <w:color w:val="000000" w:themeColor="text1"/>
        </w:rPr>
      </w:pPr>
      <w:r>
        <w:rPr>
          <w:rFonts w:ascii="Arial" w:eastAsia="Times New Roman" w:hAnsi="Arial" w:cs="Arial"/>
          <w:color w:val="000000" w:themeColor="text1"/>
        </w:rPr>
        <w:br w:type="page"/>
      </w:r>
    </w:p>
    <w:p w14:paraId="67649BF7" w14:textId="77777777" w:rsidR="00DC2EC7" w:rsidRPr="00AD393D" w:rsidRDefault="003919D8">
      <w:pPr>
        <w:numPr>
          <w:ilvl w:val="0"/>
          <w:numId w:val="10"/>
        </w:numPr>
        <w:jc w:val="both"/>
        <w:rPr>
          <w:rFonts w:ascii="Arial" w:eastAsia="Arial" w:hAnsi="Arial" w:cs="Arial"/>
          <w:b/>
          <w:sz w:val="24"/>
          <w:szCs w:val="24"/>
        </w:rPr>
      </w:pPr>
      <w:r w:rsidRPr="00AD393D">
        <w:rPr>
          <w:rFonts w:ascii="Arial" w:eastAsia="Arial" w:hAnsi="Arial" w:cs="Arial"/>
          <w:b/>
          <w:sz w:val="24"/>
          <w:szCs w:val="24"/>
        </w:rPr>
        <w:lastRenderedPageBreak/>
        <w:t>PROPOSICIÓN</w:t>
      </w:r>
    </w:p>
    <w:p w14:paraId="46EFDD0D" w14:textId="3FD3293A" w:rsidR="6B92079F" w:rsidRPr="00AD393D" w:rsidRDefault="6B92079F" w:rsidP="6B92079F">
      <w:pPr>
        <w:jc w:val="both"/>
        <w:rPr>
          <w:rFonts w:ascii="Arial" w:eastAsia="Arial" w:hAnsi="Arial" w:cs="Arial"/>
          <w:sz w:val="24"/>
          <w:szCs w:val="24"/>
          <w:u w:val="single"/>
        </w:rPr>
      </w:pPr>
      <w:r w:rsidRPr="00AD393D">
        <w:rPr>
          <w:rFonts w:ascii="Arial" w:eastAsia="Arial" w:hAnsi="Arial" w:cs="Arial"/>
          <w:sz w:val="24"/>
          <w:szCs w:val="24"/>
        </w:rPr>
        <w:t xml:space="preserve">Los Honorables representantes miembros de la </w:t>
      </w:r>
      <w:r w:rsidRPr="00AD393D">
        <w:rPr>
          <w:rFonts w:ascii="Arial" w:eastAsia="Arial" w:hAnsi="Arial" w:cs="Arial"/>
          <w:i/>
          <w:iCs/>
          <w:sz w:val="24"/>
          <w:szCs w:val="24"/>
        </w:rPr>
        <w:t>subcomisión para evaluar, dictaminar, y responder a los informes anuales de rendición de cuentas del Ministerio del Interior y del Ministerio de Justicia y del Derecho,</w:t>
      </w:r>
      <w:r w:rsidRPr="00AD393D">
        <w:rPr>
          <w:rFonts w:ascii="Arial" w:eastAsia="Arial" w:hAnsi="Arial" w:cs="Arial"/>
          <w:sz w:val="24"/>
          <w:szCs w:val="24"/>
        </w:rPr>
        <w:t xml:space="preserve"> ponemos a consideración y solicitamos a los miembros de la Honorable Comisión Primera de la Cámara de Representantes se apruebe el informe presentado.</w:t>
      </w:r>
    </w:p>
    <w:p w14:paraId="00EFDB5F" w14:textId="77777777" w:rsidR="00DC2EC7" w:rsidRPr="00AD393D" w:rsidRDefault="00DC2EC7">
      <w:pPr>
        <w:spacing w:after="0" w:line="240" w:lineRule="auto"/>
        <w:jc w:val="both"/>
        <w:rPr>
          <w:rFonts w:ascii="Arial" w:eastAsia="Arial" w:hAnsi="Arial" w:cs="Arial"/>
          <w:sz w:val="24"/>
          <w:szCs w:val="24"/>
        </w:rPr>
      </w:pPr>
    </w:p>
    <w:p w14:paraId="4AD578E3" w14:textId="1E29058F" w:rsidR="00DC2EC7" w:rsidRPr="00AD393D" w:rsidRDefault="003919D8">
      <w:pPr>
        <w:spacing w:after="0" w:line="240" w:lineRule="auto"/>
        <w:jc w:val="both"/>
        <w:rPr>
          <w:rFonts w:ascii="Arial" w:eastAsia="Arial" w:hAnsi="Arial" w:cs="Arial"/>
          <w:sz w:val="24"/>
          <w:szCs w:val="24"/>
        </w:rPr>
      </w:pPr>
      <w:r w:rsidRPr="00AD393D">
        <w:rPr>
          <w:rFonts w:ascii="Arial" w:eastAsia="Arial" w:hAnsi="Arial" w:cs="Arial"/>
          <w:sz w:val="24"/>
          <w:szCs w:val="24"/>
        </w:rPr>
        <w:t>De los Honorables Representantes,</w:t>
      </w:r>
    </w:p>
    <w:p w14:paraId="7A8B6E2C" w14:textId="77777777" w:rsidR="00DC2EC7" w:rsidRPr="00AD393D" w:rsidRDefault="00DC2EC7">
      <w:pPr>
        <w:spacing w:after="0" w:line="240" w:lineRule="auto"/>
        <w:jc w:val="both"/>
        <w:rPr>
          <w:rFonts w:ascii="Arial" w:eastAsia="Arial" w:hAnsi="Arial" w:cs="Arial"/>
          <w:sz w:val="24"/>
          <w:szCs w:val="24"/>
        </w:rPr>
      </w:pPr>
    </w:p>
    <w:p w14:paraId="1CA701CE" w14:textId="77777777" w:rsidR="00927724" w:rsidRPr="00AD393D" w:rsidRDefault="00927724">
      <w:pPr>
        <w:spacing w:after="0" w:line="240" w:lineRule="auto"/>
        <w:jc w:val="both"/>
        <w:rPr>
          <w:rFonts w:ascii="Arial" w:eastAsia="Arial" w:hAnsi="Arial" w:cs="Arial"/>
          <w:sz w:val="24"/>
          <w:szCs w:val="24"/>
        </w:rPr>
      </w:pPr>
    </w:p>
    <w:p w14:paraId="35A9AD08" w14:textId="6DD4493C" w:rsidR="00927724" w:rsidRDefault="00927724" w:rsidP="00927724">
      <w:pPr>
        <w:spacing w:after="0" w:line="240" w:lineRule="auto"/>
        <w:jc w:val="both"/>
        <w:rPr>
          <w:rFonts w:ascii="Arial" w:eastAsia="Arial" w:hAnsi="Arial" w:cs="Arial"/>
          <w:sz w:val="24"/>
          <w:szCs w:val="24"/>
        </w:rPr>
      </w:pPr>
    </w:p>
    <w:p w14:paraId="040A8028" w14:textId="77777777" w:rsidR="00771F50" w:rsidRPr="00AD393D" w:rsidRDefault="00771F50" w:rsidP="00927724">
      <w:pPr>
        <w:spacing w:after="0" w:line="240" w:lineRule="auto"/>
        <w:jc w:val="both"/>
        <w:rPr>
          <w:rFonts w:ascii="Arial" w:eastAsia="Arial" w:hAnsi="Arial" w:cs="Arial"/>
          <w:sz w:val="24"/>
          <w:szCs w:val="24"/>
        </w:rPr>
      </w:pPr>
    </w:p>
    <w:p w14:paraId="495FD4AA" w14:textId="77777777" w:rsidR="00927724" w:rsidRPr="00AD393D" w:rsidRDefault="00927724" w:rsidP="00927724">
      <w:pPr>
        <w:spacing w:after="0" w:line="240" w:lineRule="auto"/>
        <w:jc w:val="both"/>
        <w:rPr>
          <w:rFonts w:ascii="Arial" w:eastAsia="Arial" w:hAnsi="Arial" w:cs="Arial"/>
          <w:sz w:val="24"/>
          <w:szCs w:val="24"/>
        </w:rPr>
      </w:pPr>
    </w:p>
    <w:p w14:paraId="7C6E568B" w14:textId="77777777" w:rsidR="00927724" w:rsidRPr="00AD393D" w:rsidRDefault="00927724" w:rsidP="00927724">
      <w:pPr>
        <w:spacing w:after="0" w:line="240" w:lineRule="auto"/>
        <w:jc w:val="both"/>
        <w:rPr>
          <w:rFonts w:ascii="Arial" w:eastAsia="Arial" w:hAnsi="Arial" w:cs="Arial"/>
          <w:b/>
          <w:sz w:val="24"/>
          <w:szCs w:val="24"/>
        </w:rPr>
      </w:pPr>
      <w:r w:rsidRPr="00AD393D">
        <w:rPr>
          <w:rFonts w:ascii="Arial" w:eastAsia="Arial" w:hAnsi="Arial" w:cs="Arial"/>
          <w:b/>
          <w:sz w:val="24"/>
          <w:szCs w:val="24"/>
        </w:rPr>
        <w:t>JULIO CÉSAR TRIANA QUINTERO</w:t>
      </w:r>
      <w:r w:rsidRPr="00AD393D">
        <w:rPr>
          <w:rFonts w:ascii="Arial" w:eastAsia="Arial" w:hAnsi="Arial" w:cs="Arial"/>
          <w:b/>
          <w:sz w:val="24"/>
          <w:szCs w:val="24"/>
        </w:rPr>
        <w:tab/>
      </w:r>
      <w:r w:rsidRPr="00AD393D">
        <w:rPr>
          <w:rFonts w:ascii="Arial" w:eastAsia="Arial" w:hAnsi="Arial" w:cs="Arial"/>
          <w:b/>
          <w:sz w:val="24"/>
          <w:szCs w:val="24"/>
        </w:rPr>
        <w:tab/>
        <w:t>DUVALIER SÁNCHEZ ARANGO</w:t>
      </w:r>
    </w:p>
    <w:p w14:paraId="2FFB1C11" w14:textId="77777777" w:rsidR="00927724" w:rsidRPr="00AD393D" w:rsidRDefault="00927724"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 xml:space="preserve">Representante a la Cámara </w:t>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t>Representante a la Cámara</w:t>
      </w:r>
    </w:p>
    <w:p w14:paraId="4F707E88" w14:textId="5C7E3516" w:rsidR="00927724" w:rsidRPr="00AD393D" w:rsidRDefault="00927724"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Departamento del Huila</w:t>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t>Departamento de Valle del Cauca</w:t>
      </w:r>
    </w:p>
    <w:p w14:paraId="29B316C0" w14:textId="77777777" w:rsidR="00927724" w:rsidRPr="00AD393D" w:rsidRDefault="00927724" w:rsidP="00927724">
      <w:pPr>
        <w:spacing w:after="0" w:line="240" w:lineRule="auto"/>
        <w:jc w:val="both"/>
        <w:rPr>
          <w:rFonts w:ascii="Arial" w:eastAsia="Arial" w:hAnsi="Arial" w:cs="Arial"/>
          <w:sz w:val="24"/>
          <w:szCs w:val="24"/>
        </w:rPr>
      </w:pPr>
    </w:p>
    <w:p w14:paraId="567C9A71" w14:textId="21E32DAA" w:rsidR="00927724" w:rsidRDefault="00927724" w:rsidP="00927724">
      <w:pPr>
        <w:spacing w:after="0" w:line="240" w:lineRule="auto"/>
        <w:jc w:val="both"/>
        <w:rPr>
          <w:rFonts w:ascii="Arial" w:eastAsia="Arial" w:hAnsi="Arial" w:cs="Arial"/>
          <w:sz w:val="24"/>
          <w:szCs w:val="24"/>
        </w:rPr>
      </w:pPr>
    </w:p>
    <w:p w14:paraId="235B8FE7" w14:textId="77777777" w:rsidR="00771F50" w:rsidRPr="00AD393D" w:rsidRDefault="00771F50" w:rsidP="00927724">
      <w:pPr>
        <w:spacing w:after="0" w:line="240" w:lineRule="auto"/>
        <w:jc w:val="both"/>
        <w:rPr>
          <w:rFonts w:ascii="Arial" w:eastAsia="Arial" w:hAnsi="Arial" w:cs="Arial"/>
          <w:sz w:val="24"/>
          <w:szCs w:val="24"/>
        </w:rPr>
      </w:pPr>
    </w:p>
    <w:p w14:paraId="053DC0F7" w14:textId="77777777" w:rsidR="00927724" w:rsidRPr="00AD393D" w:rsidRDefault="00927724" w:rsidP="00927724">
      <w:pPr>
        <w:spacing w:after="0" w:line="240" w:lineRule="auto"/>
        <w:jc w:val="both"/>
        <w:rPr>
          <w:rFonts w:ascii="Arial" w:eastAsia="Arial" w:hAnsi="Arial" w:cs="Arial"/>
          <w:sz w:val="24"/>
          <w:szCs w:val="24"/>
        </w:rPr>
      </w:pPr>
    </w:p>
    <w:p w14:paraId="2D206407" w14:textId="77777777" w:rsidR="00927724" w:rsidRPr="00AD393D" w:rsidRDefault="00927724" w:rsidP="00927724">
      <w:pPr>
        <w:spacing w:after="0" w:line="240" w:lineRule="auto"/>
        <w:jc w:val="both"/>
        <w:rPr>
          <w:rFonts w:ascii="Arial" w:eastAsia="Arial" w:hAnsi="Arial" w:cs="Arial"/>
          <w:sz w:val="24"/>
          <w:szCs w:val="24"/>
        </w:rPr>
      </w:pPr>
    </w:p>
    <w:p w14:paraId="4EAA1F08" w14:textId="77777777" w:rsidR="00927724" w:rsidRPr="00AD393D" w:rsidRDefault="00927724" w:rsidP="00927724">
      <w:pPr>
        <w:spacing w:after="0" w:line="240" w:lineRule="auto"/>
        <w:jc w:val="both"/>
        <w:rPr>
          <w:rFonts w:ascii="Arial" w:eastAsia="Arial" w:hAnsi="Arial" w:cs="Arial"/>
          <w:b/>
          <w:sz w:val="24"/>
          <w:szCs w:val="24"/>
        </w:rPr>
      </w:pPr>
      <w:r w:rsidRPr="00AD393D">
        <w:rPr>
          <w:rFonts w:ascii="Arial" w:eastAsia="Arial" w:hAnsi="Arial" w:cs="Arial"/>
          <w:b/>
          <w:sz w:val="24"/>
          <w:szCs w:val="24"/>
        </w:rPr>
        <w:t>KARYME ADRANA COTES</w:t>
      </w:r>
      <w:r w:rsidRPr="00AD393D">
        <w:rPr>
          <w:rFonts w:ascii="Arial" w:eastAsia="Arial" w:hAnsi="Arial" w:cs="Arial"/>
          <w:b/>
          <w:sz w:val="24"/>
          <w:szCs w:val="24"/>
        </w:rPr>
        <w:tab/>
      </w:r>
      <w:r w:rsidRPr="00AD393D">
        <w:rPr>
          <w:rFonts w:ascii="Arial" w:eastAsia="Arial" w:hAnsi="Arial" w:cs="Arial"/>
          <w:b/>
          <w:sz w:val="24"/>
          <w:szCs w:val="24"/>
        </w:rPr>
        <w:tab/>
      </w:r>
      <w:r w:rsidRPr="00AD393D">
        <w:rPr>
          <w:rFonts w:ascii="Arial" w:eastAsia="Arial" w:hAnsi="Arial" w:cs="Arial"/>
          <w:b/>
          <w:sz w:val="24"/>
          <w:szCs w:val="24"/>
        </w:rPr>
        <w:tab/>
        <w:t>ANA PAOLA GARCÍA SOTO</w:t>
      </w:r>
    </w:p>
    <w:p w14:paraId="6F75627A" w14:textId="77777777" w:rsidR="00927724" w:rsidRPr="00AD393D" w:rsidRDefault="00927724"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Representante a la Cámara</w:t>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t>Representante a la Cámara</w:t>
      </w:r>
    </w:p>
    <w:p w14:paraId="7B280539" w14:textId="054FC3BB" w:rsidR="00927724" w:rsidRPr="00AD393D" w:rsidRDefault="00927724" w:rsidP="00927724">
      <w:pPr>
        <w:spacing w:after="0" w:line="240" w:lineRule="auto"/>
        <w:jc w:val="both"/>
        <w:rPr>
          <w:rFonts w:ascii="Arial" w:eastAsia="Arial" w:hAnsi="Arial" w:cs="Arial"/>
          <w:sz w:val="24"/>
          <w:szCs w:val="24"/>
        </w:rPr>
      </w:pPr>
      <w:r w:rsidRPr="00AD393D">
        <w:rPr>
          <w:rFonts w:ascii="Arial" w:eastAsia="Arial" w:hAnsi="Arial" w:cs="Arial"/>
          <w:sz w:val="24"/>
          <w:szCs w:val="24"/>
        </w:rPr>
        <w:t>Departamento de Sucre</w:t>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r>
      <w:r w:rsidRPr="00AD393D">
        <w:rPr>
          <w:rFonts w:ascii="Arial" w:eastAsia="Arial" w:hAnsi="Arial" w:cs="Arial"/>
          <w:sz w:val="24"/>
          <w:szCs w:val="24"/>
        </w:rPr>
        <w:tab/>
        <w:t>Departamento de Córdoba</w:t>
      </w:r>
    </w:p>
    <w:sectPr w:rsidR="00927724" w:rsidRPr="00AD393D">
      <w:headerReference w:type="default" r:id="rId9"/>
      <w:footerReference w:type="default" r:id="rId10"/>
      <w:headerReference w:type="first" r:id="rId11"/>
      <w:pgSz w:w="12240" w:h="15840"/>
      <w:pgMar w:top="1701" w:right="1701" w:bottom="167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1A93" w14:textId="77777777" w:rsidR="009D5A32" w:rsidRDefault="009D5A32">
      <w:pPr>
        <w:spacing w:after="0" w:line="240" w:lineRule="auto"/>
      </w:pPr>
      <w:r>
        <w:separator/>
      </w:r>
    </w:p>
  </w:endnote>
  <w:endnote w:type="continuationSeparator" w:id="0">
    <w:p w14:paraId="5E83318D" w14:textId="77777777" w:rsidR="009D5A32" w:rsidRDefault="009D5A32">
      <w:pPr>
        <w:spacing w:after="0" w:line="240" w:lineRule="auto"/>
      </w:pPr>
      <w:r>
        <w:continuationSeparator/>
      </w:r>
    </w:p>
  </w:endnote>
  <w:endnote w:type="continuationNotice" w:id="1">
    <w:p w14:paraId="2056854E" w14:textId="77777777" w:rsidR="009D5A32" w:rsidRDefault="009D5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D3E4" w14:textId="77777777" w:rsidR="003919D8" w:rsidRDefault="003919D8">
    <w:pPr>
      <w:pBdr>
        <w:top w:val="nil"/>
        <w:left w:val="nil"/>
        <w:bottom w:val="nil"/>
        <w:right w:val="nil"/>
        <w:between w:val="nil"/>
      </w:pBdr>
      <w:tabs>
        <w:tab w:val="center" w:pos="4419"/>
        <w:tab w:val="right" w:pos="8838"/>
      </w:tabs>
      <w:spacing w:after="0" w:line="240" w:lineRule="auto"/>
      <w:rPr>
        <w:rFonts w:ascii="Arial" w:eastAsia="Arial" w:hAnsi="Arial" w:cs="Arial"/>
        <w:b/>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E0480" w14:textId="77777777" w:rsidR="009D5A32" w:rsidRDefault="009D5A32">
      <w:pPr>
        <w:spacing w:after="0" w:line="240" w:lineRule="auto"/>
      </w:pPr>
      <w:r>
        <w:separator/>
      </w:r>
    </w:p>
  </w:footnote>
  <w:footnote w:type="continuationSeparator" w:id="0">
    <w:p w14:paraId="5B9D609C" w14:textId="77777777" w:rsidR="009D5A32" w:rsidRDefault="009D5A32">
      <w:pPr>
        <w:spacing w:after="0" w:line="240" w:lineRule="auto"/>
      </w:pPr>
      <w:r>
        <w:continuationSeparator/>
      </w:r>
    </w:p>
  </w:footnote>
  <w:footnote w:type="continuationNotice" w:id="1">
    <w:p w14:paraId="15954DEE" w14:textId="77777777" w:rsidR="009D5A32" w:rsidRDefault="009D5A32">
      <w:pPr>
        <w:spacing w:after="0" w:line="240" w:lineRule="auto"/>
      </w:pPr>
    </w:p>
  </w:footnote>
  <w:footnote w:id="2">
    <w:p w14:paraId="417982A4" w14:textId="6A0F509A" w:rsidR="0003263F" w:rsidRDefault="0003263F" w:rsidP="0003263F">
      <w:pPr>
        <w:pStyle w:val="Textonotapie"/>
        <w:jc w:val="both"/>
      </w:pPr>
      <w:r>
        <w:rPr>
          <w:rStyle w:val="Refdenotaalpie"/>
        </w:rPr>
        <w:footnoteRef/>
      </w:r>
      <w:r>
        <w:t xml:space="preserve"> Ministerio del Interior. 2024. Ejecución Presupuestal Vigencia diciembre 2023. </w:t>
      </w:r>
      <w:r w:rsidRPr="00475E7E">
        <w:t xml:space="preserve">Seguimiento al cumplimiento de la </w:t>
      </w:r>
      <w:r>
        <w:t>S</w:t>
      </w:r>
      <w:r w:rsidRPr="00475E7E">
        <w:t xml:space="preserve">entencia </w:t>
      </w:r>
      <w:r>
        <w:t>T</w:t>
      </w:r>
      <w:r w:rsidRPr="00475E7E">
        <w:t>-025 de 2004 población desplazada</w:t>
      </w:r>
      <w:r>
        <w:t>.</w:t>
      </w:r>
      <w:r w:rsidRPr="00475E7E">
        <w:t xml:space="preserve"> </w:t>
      </w:r>
      <w:hyperlink r:id="rId1" w:history="1">
        <w:r w:rsidRPr="00863A72">
          <w:rPr>
            <w:rStyle w:val="Hipervnculo"/>
          </w:rPr>
          <w:t>https://www.mininterior.gov.co/wp-content/uploads/2023/11/12.-ejecucion-presupuestal-cierre-31-de-diciembre-de-2023.xlsx</w:t>
        </w:r>
      </w:hyperlink>
      <w:r>
        <w:t xml:space="preserve"> </w:t>
      </w:r>
    </w:p>
  </w:footnote>
  <w:footnote w:id="3">
    <w:p w14:paraId="58D81965" w14:textId="62B142F8" w:rsidR="6B92079F" w:rsidRDefault="6B92079F" w:rsidP="6B92079F">
      <w:pPr>
        <w:pStyle w:val="Textonotapie"/>
        <w:jc w:val="both"/>
        <w:rPr>
          <w:rStyle w:val="Hipervnculo"/>
        </w:rPr>
      </w:pPr>
      <w:r w:rsidRPr="6B92079F">
        <w:rPr>
          <w:rStyle w:val="Refdenotaalpie"/>
        </w:rPr>
        <w:footnoteRef/>
      </w:r>
      <w:r>
        <w:t xml:space="preserve"> Ministerio del Interior. 2024. Ejecución Presupuestal Vigencia Diciembre 2023. Por direcciones. Rubro C-3701-1000-18. </w:t>
      </w:r>
      <w:hyperlink r:id="rId2">
        <w:r w:rsidRPr="6B92079F">
          <w:rPr>
            <w:rStyle w:val="Hipervnculo"/>
          </w:rPr>
          <w:t>https://www.mininterior.gov.co/wp-content/uploads/2023/11/12.-ejecucion-presupuestal-cierre-31-de-diciembre-de-2023.xlsx</w:t>
        </w:r>
      </w:hyperlink>
    </w:p>
    <w:p w14:paraId="1F2BDAA9" w14:textId="4FEFD9CC" w:rsidR="6B92079F" w:rsidRDefault="6B92079F" w:rsidP="6B92079F">
      <w:pPr>
        <w:pStyle w:val="Textonotapie"/>
      </w:pPr>
    </w:p>
  </w:footnote>
  <w:footnote w:id="4">
    <w:p w14:paraId="194ADFDE" w14:textId="2120D8B9" w:rsidR="6B92079F" w:rsidRDefault="6B92079F" w:rsidP="6B92079F">
      <w:pPr>
        <w:pStyle w:val="Textonotapie"/>
      </w:pPr>
      <w:r w:rsidRPr="6B92079F">
        <w:rPr>
          <w:rStyle w:val="Refdenotaalpie"/>
        </w:rPr>
        <w:footnoteRef/>
      </w:r>
      <w:r>
        <w:t xml:space="preserve"> Ministerio de Interior. 2022. Informe de Gestión al Congreso de la República 2021-2022. </w:t>
      </w:r>
      <w:hyperlink r:id="rId3">
        <w:r w:rsidRPr="6B92079F">
          <w:rPr>
            <w:rStyle w:val="Hipervnculo"/>
          </w:rPr>
          <w:t>https://www.mininterior.gov.co/wp-content/uploads/2022/07/INFORME-CONGRESO-DE-LA-REPUBLICA-2021-2022.pdf</w:t>
        </w:r>
      </w:hyperlink>
    </w:p>
  </w:footnote>
  <w:footnote w:id="5">
    <w:p w14:paraId="1196E93C" w14:textId="57FD246A" w:rsidR="002124CA" w:rsidRDefault="002124CA">
      <w:pPr>
        <w:pStyle w:val="Textonotapie"/>
      </w:pPr>
      <w:r>
        <w:rPr>
          <w:rStyle w:val="Refdenotaalpie"/>
        </w:rPr>
        <w:footnoteRef/>
      </w:r>
      <w:r>
        <w:t xml:space="preserve"> Ministerio del Interior. 2024. Informe al Congreso de la República 2022-2023.</w:t>
      </w:r>
      <w:r w:rsidR="00D25345" w:rsidRPr="00D25345">
        <w:t xml:space="preserve"> </w:t>
      </w:r>
      <w:hyperlink w:history="1">
        <w:r w:rsidR="00616627" w:rsidRPr="000455B1">
          <w:rPr>
            <w:rStyle w:val="Hipervnculo"/>
          </w:rPr>
          <w:t>https://www.mininterior.gov .co/wp-content/uploads/2022/12/02-ago-informe-de-gestion-al-congreso_f4.pdf</w:t>
        </w:r>
      </w:hyperlink>
      <w:r w:rsidR="00D25345">
        <w:t xml:space="preserve"> </w:t>
      </w:r>
    </w:p>
  </w:footnote>
  <w:footnote w:id="6">
    <w:p w14:paraId="24C64CF9" w14:textId="3D0685A3" w:rsidR="6B92079F" w:rsidRDefault="6B92079F" w:rsidP="6B92079F">
      <w:pPr>
        <w:pStyle w:val="Textonotapie"/>
      </w:pPr>
      <w:r w:rsidRPr="6B92079F">
        <w:rPr>
          <w:rStyle w:val="Refdenotaalpie"/>
        </w:rPr>
        <w:footnoteRef/>
      </w:r>
      <w:r>
        <w:t xml:space="preserve"> Ministerio de Interior. 2022. Informe de Gestión al Congreso de la República 2021-2022. Secretaría Técnica de la Comisión Intersectorial para la Atención Rápida a las</w:t>
      </w:r>
      <w:r w:rsidR="00AD393D">
        <w:t xml:space="preserve"> </w:t>
      </w:r>
      <w:r>
        <w:t xml:space="preserve">Alertas Tempranas – CIPRAT. Pag 198 – 221. </w:t>
      </w:r>
      <w:hyperlink r:id="rId4" w:history="1">
        <w:r w:rsidR="00AD393D" w:rsidRPr="00E61517">
          <w:rPr>
            <w:rStyle w:val="Hipervnculo"/>
          </w:rPr>
          <w:t>https://www.mininterior.gov.co/wp-content/uploads/2022/07/ INFORME-CONGRESO-DE-LA-REPUBLICA-2021-2022.pdf</w:t>
        </w:r>
      </w:hyperlink>
    </w:p>
  </w:footnote>
  <w:footnote w:id="7">
    <w:p w14:paraId="37E91202" w14:textId="766497E4" w:rsidR="6B92079F" w:rsidRDefault="6B92079F" w:rsidP="6B92079F">
      <w:pPr>
        <w:pStyle w:val="Textonotapie"/>
      </w:pPr>
      <w:r w:rsidRPr="6B92079F">
        <w:rPr>
          <w:rStyle w:val="Refdenotaalpie"/>
        </w:rPr>
        <w:footnoteRef/>
      </w:r>
      <w:r>
        <w:t xml:space="preserve"> Ministerio de Interior. 2022. Informe de Gestión al Congreso de la República 2021-2022. Subdirección</w:t>
      </w:r>
      <w:r w:rsidR="00AD393D">
        <w:t xml:space="preserve"> </w:t>
      </w:r>
      <w:r>
        <w:t xml:space="preserve">de Proyectos para la Seguridad y Convivencia Ciudadana. Pag 240-242.  </w:t>
      </w:r>
      <w:hyperlink r:id="rId5">
        <w:r w:rsidRPr="6B92079F">
          <w:rPr>
            <w:rStyle w:val="Hipervnculo"/>
          </w:rPr>
          <w:t>https://www.mininterior.gov.co/wp-content/uploads/2022/07/INFORME-CONGRESO-DE-LA-REPUBLICA-2021-2022.pdf</w:t>
        </w:r>
      </w:hyperlink>
    </w:p>
  </w:footnote>
  <w:footnote w:id="8">
    <w:p w14:paraId="19B087D1" w14:textId="3C3836A7" w:rsidR="0723639E" w:rsidRDefault="0723639E" w:rsidP="009B4745">
      <w:pPr>
        <w:pStyle w:val="Textonotapie"/>
        <w:jc w:val="both"/>
      </w:pPr>
      <w:r w:rsidRPr="0723639E">
        <w:rPr>
          <w:rStyle w:val="Refdenotaalpie"/>
        </w:rPr>
        <w:footnoteRef/>
      </w:r>
      <w:r w:rsidRPr="0723639E">
        <w:t xml:space="preserve"> Ministerio de Interior. 2022. Informe de Gestión al Congreso de la República 2021-2022. </w:t>
      </w:r>
      <w:hyperlink r:id="rId6">
        <w:r w:rsidRPr="0723639E">
          <w:rPr>
            <w:rStyle w:val="Hipervnculo"/>
          </w:rPr>
          <w:t>https://www.mininterior.gov.co/wp-content/uploads/2022/07/INFORME-CONGRESO-DE-LA-REPUBLICA-2021-2022.pdf</w:t>
        </w:r>
      </w:hyperlink>
      <w:r w:rsidRPr="0723639E">
        <w:t xml:space="preserve"> </w:t>
      </w:r>
    </w:p>
  </w:footnote>
  <w:footnote w:id="9">
    <w:p w14:paraId="3F7C27C3" w14:textId="77777777" w:rsidR="004B777E" w:rsidRDefault="004B777E" w:rsidP="009B4745">
      <w:pPr>
        <w:pStyle w:val="Textonotapie"/>
        <w:jc w:val="both"/>
      </w:pPr>
      <w:r>
        <w:rPr>
          <w:rStyle w:val="Refdenotaalpie"/>
        </w:rPr>
        <w:footnoteRef/>
      </w:r>
      <w:r>
        <w:t xml:space="preserve"> Ministerio del Interior. 2024. Ejecución Presupuestal Vigencia Diciembre 2023. </w:t>
      </w:r>
      <w:r w:rsidRPr="00475E7E">
        <w:t xml:space="preserve">Seguimiento al cumplimiento de la </w:t>
      </w:r>
      <w:r>
        <w:t>S</w:t>
      </w:r>
      <w:r w:rsidRPr="00475E7E">
        <w:t xml:space="preserve">entencia </w:t>
      </w:r>
      <w:r>
        <w:t>T</w:t>
      </w:r>
      <w:r w:rsidRPr="00475E7E">
        <w:t>-025 de 2004 población desplazada</w:t>
      </w:r>
      <w:r>
        <w:t>.</w:t>
      </w:r>
      <w:r w:rsidRPr="00475E7E">
        <w:t xml:space="preserve"> </w:t>
      </w:r>
      <w:hyperlink r:id="rId7" w:history="1">
        <w:r w:rsidRPr="00863A72">
          <w:rPr>
            <w:rStyle w:val="Hipervnculo"/>
          </w:rPr>
          <w:t>https://www.mininterior.gov.co/wp-content/uploads/2023/11/12.-ejecucion-presupuestal-cierre-31-de-diciembre-de-2023.xlsx</w:t>
        </w:r>
      </w:hyperlink>
      <w:r>
        <w:t xml:space="preserve"> </w:t>
      </w:r>
    </w:p>
  </w:footnote>
  <w:footnote w:id="10">
    <w:p w14:paraId="5D4B6200" w14:textId="6D773F91" w:rsidR="6B92079F" w:rsidRDefault="6B92079F" w:rsidP="6B92079F">
      <w:pPr>
        <w:pStyle w:val="Textonotapie"/>
      </w:pPr>
      <w:r w:rsidRPr="6B92079F">
        <w:rPr>
          <w:rStyle w:val="Refdenotaalpie"/>
        </w:rPr>
        <w:footnoteRef/>
      </w:r>
      <w:r>
        <w:t xml:space="preserve"> Ministerio del Interior. 2024. Ejecución Presupuestal Vigencia diciembre 2023. Sistemas de información para el seguimiento y fortalecimiento de la implementación de la política pública de víctimas. Pag 248. </w:t>
      </w:r>
      <w:hyperlink r:id="rId8">
        <w:r w:rsidRPr="6B92079F">
          <w:rPr>
            <w:rStyle w:val="Hipervnculo"/>
          </w:rPr>
          <w:t>https://www.mininterior.gov.co/wp-content/uploads/2023/11/12.-ejecucion-presupuestal-cierre-31-de-diciembre-de-2023.xlsx</w:t>
        </w:r>
      </w:hyperlink>
    </w:p>
  </w:footnote>
  <w:footnote w:id="11">
    <w:p w14:paraId="59EABA5D" w14:textId="5153585F" w:rsidR="00AD0723" w:rsidRDefault="00AD0723" w:rsidP="009B4745">
      <w:pPr>
        <w:pStyle w:val="Textonotapie"/>
        <w:jc w:val="both"/>
      </w:pPr>
      <w:r>
        <w:rPr>
          <w:rStyle w:val="Refdenotaalpie"/>
        </w:rPr>
        <w:footnoteRef/>
      </w:r>
      <w:r>
        <w:t xml:space="preserve"> </w:t>
      </w:r>
      <w:r w:rsidR="00686383">
        <w:t>Ministerio del Interior. 2024. Ejecución Presupuestal Vigencia Diciembre</w:t>
      </w:r>
      <w:r w:rsidR="00475E7E">
        <w:t xml:space="preserve"> 2023</w:t>
      </w:r>
      <w:r w:rsidR="00686383">
        <w:t xml:space="preserve">. </w:t>
      </w:r>
      <w:r w:rsidR="00475E7E" w:rsidRPr="00475E7E">
        <w:t xml:space="preserve">Seguimiento al cumplimiento de la </w:t>
      </w:r>
      <w:r w:rsidR="00475E7E">
        <w:t>S</w:t>
      </w:r>
      <w:r w:rsidR="00475E7E" w:rsidRPr="00475E7E">
        <w:t xml:space="preserve">entencia </w:t>
      </w:r>
      <w:r w:rsidR="00475E7E">
        <w:t>T</w:t>
      </w:r>
      <w:r w:rsidR="00475E7E" w:rsidRPr="00475E7E">
        <w:t>-025 de 2004 población desplazada</w:t>
      </w:r>
      <w:r w:rsidR="00475E7E">
        <w:t>.</w:t>
      </w:r>
      <w:r w:rsidR="00475E7E" w:rsidRPr="00475E7E">
        <w:t xml:space="preserve"> </w:t>
      </w:r>
      <w:hyperlink r:id="rId9" w:history="1">
        <w:r w:rsidR="00475E7E" w:rsidRPr="00863A72">
          <w:rPr>
            <w:rStyle w:val="Hipervnculo"/>
          </w:rPr>
          <w:t>https://www.mininterior.gov.co/wp-content/uploads/2023/11/12.-ejecucion-presupuestal-cierre-31-de-diciembre-de-2023.xlsx</w:t>
        </w:r>
      </w:hyperlink>
      <w:r w:rsidR="00475E7E">
        <w:t xml:space="preserve"> </w:t>
      </w:r>
    </w:p>
  </w:footnote>
  <w:footnote w:id="12">
    <w:p w14:paraId="4665FDC4" w14:textId="533DBEA8" w:rsidR="0084305F" w:rsidRDefault="0084305F" w:rsidP="009B4745">
      <w:pPr>
        <w:pStyle w:val="Textonotapie"/>
        <w:jc w:val="both"/>
      </w:pPr>
      <w:r>
        <w:rPr>
          <w:rStyle w:val="Refdenotaalpie"/>
        </w:rPr>
        <w:footnoteRef/>
      </w:r>
      <w:r>
        <w:t xml:space="preserve"> </w:t>
      </w:r>
      <w:r w:rsidRPr="0084305F">
        <w:rPr>
          <w:i/>
          <w:iCs/>
        </w:rPr>
        <w:t>Se consultó</w:t>
      </w:r>
      <w:r>
        <w:rPr>
          <w:i/>
          <w:iCs/>
        </w:rPr>
        <w:t xml:space="preserve"> la página web </w:t>
      </w:r>
      <w:hyperlink r:id="rId10" w:history="1">
        <w:r w:rsidRPr="00863A72">
          <w:rPr>
            <w:rStyle w:val="Hipervnculo"/>
            <w:i/>
            <w:iCs/>
          </w:rPr>
          <w:t>https://www.mininterior.gov.co/normatividad/</w:t>
        </w:r>
      </w:hyperlink>
      <w:r>
        <w:rPr>
          <w:i/>
          <w:iCs/>
        </w:rPr>
        <w:t xml:space="preserve"> </w:t>
      </w:r>
      <w:r w:rsidR="00920AE0">
        <w:rPr>
          <w:i/>
          <w:iCs/>
        </w:rPr>
        <w:t xml:space="preserve">implementando los filtros por número de resolución, luego para el año 2023, </w:t>
      </w:r>
      <w:r w:rsidR="00A4219A">
        <w:rPr>
          <w:i/>
          <w:iCs/>
        </w:rPr>
        <w:t>con la palabra clave “grupo”</w:t>
      </w:r>
      <w:r w:rsidR="002E21CF">
        <w:rPr>
          <w:i/>
          <w:iCs/>
        </w:rPr>
        <w:t xml:space="preserve"> y luego manualmente; si</w:t>
      </w:r>
      <w:r w:rsidR="00A4219A">
        <w:rPr>
          <w:i/>
          <w:iCs/>
        </w:rPr>
        <w:t xml:space="preserve"> bien se e</w:t>
      </w:r>
      <w:r w:rsidR="002E21CF">
        <w:rPr>
          <w:i/>
          <w:iCs/>
        </w:rPr>
        <w:t>ncontraron</w:t>
      </w:r>
      <w:r w:rsidR="00A4219A">
        <w:rPr>
          <w:i/>
          <w:iCs/>
        </w:rPr>
        <w:t xml:space="preserve"> resoluciones como el recientemente creado </w:t>
      </w:r>
      <w:r w:rsidR="002E6EA3">
        <w:rPr>
          <w:i/>
          <w:iCs/>
        </w:rPr>
        <w:t>“</w:t>
      </w:r>
      <w:r w:rsidR="002E6EA3" w:rsidRPr="002E6EA3">
        <w:rPr>
          <w:i/>
          <w:iCs/>
        </w:rPr>
        <w:t xml:space="preserve">Grupo Interno de Trabajo de Enfoque de </w:t>
      </w:r>
      <w:r w:rsidR="002E21CF" w:rsidRPr="002E6EA3">
        <w:rPr>
          <w:i/>
          <w:iCs/>
        </w:rPr>
        <w:t>Género</w:t>
      </w:r>
      <w:r w:rsidR="002E6EA3" w:rsidRPr="002E6EA3">
        <w:rPr>
          <w:i/>
          <w:iCs/>
        </w:rPr>
        <w:t xml:space="preserve"> y Diversidad</w:t>
      </w:r>
      <w:r w:rsidR="002E6EA3">
        <w:rPr>
          <w:i/>
          <w:iCs/>
        </w:rPr>
        <w:t xml:space="preserve">”, no está disponible la </w:t>
      </w:r>
      <w:r w:rsidR="002E21CF">
        <w:rPr>
          <w:i/>
          <w:iCs/>
        </w:rPr>
        <w:t xml:space="preserve">resolución </w:t>
      </w:r>
      <w:r w:rsidR="002E6EA3">
        <w:rPr>
          <w:i/>
          <w:iCs/>
        </w:rPr>
        <w:t>del GIT equipo paz.</w:t>
      </w:r>
      <w:r w:rsidR="005560B1">
        <w:rPr>
          <w:i/>
          <w:iCs/>
        </w:rPr>
        <w:t xml:space="preserve"> Consulta</w:t>
      </w:r>
      <w:r w:rsidR="002E21CF">
        <w:rPr>
          <w:i/>
          <w:iCs/>
        </w:rPr>
        <w:t>do</w:t>
      </w:r>
      <w:r w:rsidR="005560B1">
        <w:rPr>
          <w:i/>
          <w:iCs/>
        </w:rPr>
        <w:t>: 25/06/2024</w:t>
      </w:r>
    </w:p>
  </w:footnote>
  <w:footnote w:id="13">
    <w:p w14:paraId="5E245188" w14:textId="77777777" w:rsidR="004B777E" w:rsidRDefault="004B777E" w:rsidP="009B4745">
      <w:pPr>
        <w:pStyle w:val="Textonotapie"/>
        <w:jc w:val="both"/>
      </w:pPr>
      <w:r>
        <w:rPr>
          <w:rStyle w:val="Refdenotaalpie"/>
        </w:rPr>
        <w:footnoteRef/>
      </w:r>
      <w:r>
        <w:t xml:space="preserve"> Ministerio del Interior. 2024. Ejecución Presupuestal Vigencia Diciembre 2023. </w:t>
      </w:r>
      <w:r w:rsidRPr="00475E7E">
        <w:t xml:space="preserve">Seguimiento al cumplimiento de la </w:t>
      </w:r>
      <w:r>
        <w:t>S</w:t>
      </w:r>
      <w:r w:rsidRPr="00475E7E">
        <w:t xml:space="preserve">entencia </w:t>
      </w:r>
      <w:r>
        <w:t>T</w:t>
      </w:r>
      <w:r w:rsidRPr="00475E7E">
        <w:t>-025 de 2004 población desplazada</w:t>
      </w:r>
      <w:r>
        <w:t>.</w:t>
      </w:r>
      <w:r w:rsidRPr="00475E7E">
        <w:t xml:space="preserve"> </w:t>
      </w:r>
      <w:hyperlink r:id="rId11" w:history="1">
        <w:r w:rsidRPr="00863A72">
          <w:rPr>
            <w:rStyle w:val="Hipervnculo"/>
          </w:rPr>
          <w:t>https://www.mininterior.gov.co/wp-content/uploads/2023/11/12.-ejecucion-presupuestal-cierre-31-de-diciembre-de-2023.xlsx</w:t>
        </w:r>
      </w:hyperlink>
      <w:r>
        <w:t xml:space="preserve"> </w:t>
      </w:r>
    </w:p>
  </w:footnote>
  <w:footnote w:id="14">
    <w:p w14:paraId="4C1E3D98" w14:textId="77777777" w:rsidR="004B777E" w:rsidRDefault="004B777E" w:rsidP="009B4745">
      <w:pPr>
        <w:pStyle w:val="Textonotapie"/>
        <w:jc w:val="both"/>
      </w:pPr>
      <w:r>
        <w:rPr>
          <w:rStyle w:val="Refdenotaalpie"/>
        </w:rPr>
        <w:footnoteRef/>
      </w:r>
      <w:r>
        <w:t xml:space="preserve"> Ministerio del Interior. 2024. Ejecución Presupuestal Vigencia Diciembre 2023. </w:t>
      </w:r>
      <w:r w:rsidRPr="00475E7E">
        <w:t xml:space="preserve">Seguimiento al cumplimiento de la </w:t>
      </w:r>
      <w:r>
        <w:t>S</w:t>
      </w:r>
      <w:r w:rsidRPr="00475E7E">
        <w:t xml:space="preserve">entencia </w:t>
      </w:r>
      <w:r>
        <w:t>T</w:t>
      </w:r>
      <w:r w:rsidRPr="00475E7E">
        <w:t>-025 de 2004 población desplazada</w:t>
      </w:r>
      <w:r>
        <w:t>.</w:t>
      </w:r>
      <w:r w:rsidRPr="00475E7E">
        <w:t xml:space="preserve"> </w:t>
      </w:r>
      <w:hyperlink r:id="rId12" w:history="1">
        <w:r w:rsidRPr="00863A72">
          <w:rPr>
            <w:rStyle w:val="Hipervnculo"/>
          </w:rPr>
          <w:t>https://www.mininterior.gov.co/wp-content/uploads/2023/11/12.-ejecucion-presupuestal-cierre-31-de-diciembre-de-2023.xlsx</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FECF" w14:textId="77777777" w:rsidR="003919D8" w:rsidRDefault="003919D8">
    <w:pPr>
      <w:widowControl w:val="0"/>
      <w:pBdr>
        <w:top w:val="nil"/>
        <w:left w:val="nil"/>
        <w:bottom w:val="nil"/>
        <w:right w:val="nil"/>
        <w:between w:val="nil"/>
      </w:pBdr>
      <w:spacing w:after="0" w:line="276" w:lineRule="auto"/>
      <w:jc w:val="center"/>
      <w:rPr>
        <w:color w:val="000000"/>
      </w:rPr>
    </w:pPr>
    <w:r>
      <w:rPr>
        <w:noProof/>
        <w:lang w:eastAsia="es-CO"/>
      </w:rPr>
      <w:drawing>
        <wp:anchor distT="0" distB="0" distL="114300" distR="114300" simplePos="0" relativeHeight="251658240" behindDoc="1" locked="0" layoutInCell="1" allowOverlap="1" wp14:anchorId="66D477E1" wp14:editId="13C605EA">
          <wp:simplePos x="0" y="0"/>
          <wp:positionH relativeFrom="column">
            <wp:posOffset>1726565</wp:posOffset>
          </wp:positionH>
          <wp:positionV relativeFrom="paragraph">
            <wp:posOffset>-221615</wp:posOffset>
          </wp:positionV>
          <wp:extent cx="2558905" cy="755650"/>
          <wp:effectExtent l="0" t="0" r="0" b="6350"/>
          <wp:wrapNone/>
          <wp:docPr id="17"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58905" cy="755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294B" w14:textId="77777777" w:rsidR="003919D8" w:rsidRDefault="003919D8">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eastAsia="es-CO"/>
      </w:rPr>
      <w:drawing>
        <wp:inline distT="0" distB="0" distL="0" distR="0" wp14:anchorId="319E7A0F" wp14:editId="27BD5E1A">
          <wp:extent cx="2813327" cy="833448"/>
          <wp:effectExtent l="0" t="0" r="0" b="0"/>
          <wp:docPr id="16" name="image2.png" descr="C:\Users\admin\Desktop\logo congreso.png"/>
          <wp:cNvGraphicFramePr/>
          <a:graphic xmlns:a="http://schemas.openxmlformats.org/drawingml/2006/main">
            <a:graphicData uri="http://schemas.openxmlformats.org/drawingml/2006/picture">
              <pic:pic xmlns:pic="http://schemas.openxmlformats.org/drawingml/2006/picture">
                <pic:nvPicPr>
                  <pic:cNvPr id="0" name="image2.png" descr="C:\Users\admin\Desktop\logo congreso.png"/>
                  <pic:cNvPicPr preferRelativeResize="0"/>
                </pic:nvPicPr>
                <pic:blipFill>
                  <a:blip r:embed="rId1"/>
                  <a:srcRect/>
                  <a:stretch>
                    <a:fillRect/>
                  </a:stretch>
                </pic:blipFill>
                <pic:spPr>
                  <a:xfrm>
                    <a:off x="0" y="0"/>
                    <a:ext cx="2813327" cy="833448"/>
                  </a:xfrm>
                  <a:prstGeom prst="rect">
                    <a:avLst/>
                  </a:prstGeom>
                  <a:ln/>
                </pic:spPr>
              </pic:pic>
            </a:graphicData>
          </a:graphic>
        </wp:inline>
      </w:drawing>
    </w:r>
  </w:p>
  <w:p w14:paraId="2AE4078D" w14:textId="77777777" w:rsidR="003919D8" w:rsidRDefault="003919D8">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int2:observations>
    <int2:textHash int2:hashCode="jYUVM5cRxHRs5M" int2:id="iuN68xmF">
      <int2:state int2:type="AugLoop_Text_Critique" int2:value="Rejected"/>
    </int2:textHash>
    <int2:textHash int2:hashCode="6ZlxAaUk3NkdgM" int2:id="431izDR9">
      <int2:state int2:type="AugLoop_Text_Critique" int2:value="Rejected"/>
    </int2:textHash>
    <int2:textHash int2:hashCode="GahAFDd5YjpbVh" int2:id="8ZkGyURS">
      <int2:state int2:type="AugLoop_Text_Critique" int2:value="Rejected"/>
    </int2:textHash>
    <int2:bookmark int2:bookmarkName="_Int_tD7BLO3E" int2:invalidationBookmarkName="" int2:hashCode="JcddmdKQyxkv3/" int2:id="Hq8MVB2j">
      <int2:state int2:type="AugLoop_Text_Critique" int2:value="Rejected"/>
    </int2:bookmark>
    <int2:bookmark int2:bookmarkName="_Int_DGf1WHXT" int2:invalidationBookmarkName="" int2:hashCode="JcddmdKQyxkv3/" int2:id="0oYRlYhe">
      <int2:state int2:type="AugLoop_Text_Critique" int2:value="Rejected"/>
    </int2:bookmark>
    <int2:bookmark int2:bookmarkName="_Int_TitLU4r0" int2:invalidationBookmarkName="" int2:hashCode="JcddmdKQyxkv3/" int2:id="Na9AFCH7">
      <int2:state int2:type="AugLoop_Text_Critique" int2:value="Rejected"/>
    </int2:bookmark>
    <int2:bookmark int2:bookmarkName="_Int_903CsRmN" int2:invalidationBookmarkName="" int2:hashCode="JcddmdKQyxkv3/" int2:id="ZRHfdYyT">
      <int2:state int2:type="AugLoop_Text_Critique" int2:value="Rejected"/>
    </int2:bookmark>
    <int2:bookmark int2:bookmarkName="_Int_KyMabu3b" int2:invalidationBookmarkName="" int2:hashCode="0PvxBubY8pMJby" int2:id="BHzRofjF">
      <int2:state int2:type="AugLoop_Text_Critique" int2:value="Rejected"/>
    </int2:bookmark>
    <int2:bookmark int2:bookmarkName="_Int_rvZG1JMv" int2:invalidationBookmarkName="" int2:hashCode="JcddmdKQyxkv3/" int2:id="BBv354id">
      <int2:state int2:type="AugLoop_Text_Critique" int2:value="Rejected"/>
    </int2:bookmark>
    <int2:bookmark int2:bookmarkName="_Int_Pgk1LwEp" int2:invalidationBookmarkName="" int2:hashCode="JcddmdKQyxkv3/" int2:id="HPoSUuat">
      <int2:state int2:type="AugLoop_Text_Critique" int2:value="Rejected"/>
    </int2:bookmark>
    <int2:bookmark int2:bookmarkName="_Int_TuPRAiBP" int2:invalidationBookmarkName="" int2:hashCode="JcddmdKQyxkv3/" int2:id="XUZQkG1e">
      <int2:state int2:type="AugLoop_Text_Critique" int2:value="Rejected"/>
    </int2:bookmark>
    <int2:bookmark int2:bookmarkName="_Int_RwWosCtM" int2:invalidationBookmarkName="" int2:hashCode="lOG2903mwgfJae" int2:id="aerwVnH4">
      <int2:state int2:type="AugLoop_Text_Critique" int2:value="Rejected"/>
    </int2:bookmark>
    <int2:bookmark int2:bookmarkName="_Int_BHu6dJ6N" int2:invalidationBookmarkName="" int2:hashCode="JcddmdKQyxkv3/" int2:id="husp0spB">
      <int2:state int2:type="AugLoop_Text_Critique" int2:value="Rejected"/>
    </int2:bookmark>
    <int2:bookmark int2:bookmarkName="_Int_4N3mGjpO" int2:invalidationBookmarkName="" int2:hashCode="U+Vp7grNYhxRCX" int2:id="9FIrlzAN">
      <int2:state int2:type="AugLoop_Text_Critique" int2:value="Rejected"/>
    </int2:bookmark>
    <int2:bookmark int2:bookmarkName="_Int_Psu50YW5" int2:invalidationBookmarkName="" int2:hashCode="N3Jf+Xko1MPpC/" int2:id="OnHXQjXF">
      <int2:state int2:type="AugLoop_Text_Critique" int2:value="Rejected"/>
    </int2:bookmark>
    <int2:bookmark int2:bookmarkName="_Int_beNhVDfW" int2:invalidationBookmarkName="" int2:hashCode="tusU4HCJkZ26Te" int2:id="13XrMJVW">
      <int2:state int2:type="AugLoop_Text_Critique" int2:value="Rejected"/>
    </int2:bookmark>
    <int2:bookmark int2:bookmarkName="_Int_a2pH0bS8" int2:invalidationBookmarkName="" int2:hashCode="JcddmdKQyxkv3/" int2:id="neWGfy15">
      <int2:state int2:type="AugLoop_Text_Critique" int2:value="Rejected"/>
    </int2:bookmark>
    <int2:bookmark int2:bookmarkName="_Int_YIDPnROM" int2:invalidationBookmarkName="" int2:hashCode="zqkxZWgDeI0sEt" int2:id="eU9W9cOb">
      <int2:state int2:type="AugLoop_Text_Critique" int2:value="Rejected"/>
    </int2:bookmark>
    <int2:bookmark int2:bookmarkName="_Int_sd4WKxCE" int2:invalidationBookmarkName="" int2:hashCode="q0mcxkYFtNRFqx" int2:id="tqBAmPGk">
      <int2:state int2:type="AugLoop_Text_Critique" int2:value="Rejected"/>
    </int2:bookmark>
    <int2:bookmark int2:bookmarkName="_Int_kG7aqtC2" int2:invalidationBookmarkName="" int2:hashCode="nzYn8fCcJYOEzH" int2:id="9IQpEa5V">
      <int2:state int2:type="AugLoop_Text_Critique" int2:value="Rejected"/>
    </int2:bookmark>
    <int2:bookmark int2:bookmarkName="_Int_fA6OtLxZ" int2:invalidationBookmarkName="" int2:hashCode="UW5hxt5xDaC1DG" int2:id="BnTGm4m0">
      <int2:state int2:type="AugLoop_Text_Critique" int2:value="Rejected"/>
    </int2:bookmark>
    <int2:bookmark int2:bookmarkName="_Int_f0QqdGJk" int2:invalidationBookmarkName="" int2:hashCode="JcddmdKQyxkv3/" int2:id="sUFrWpNg">
      <int2:state int2:type="AugLoop_Text_Critique" int2:value="Rejected"/>
    </int2:bookmark>
    <int2:bookmark int2:bookmarkName="_Int_md3o2ACR" int2:invalidationBookmarkName="" int2:hashCode="JcddmdKQyxkv3/" int2:id="YN7XD9ca">
      <int2:state int2:type="AugLoop_Text_Critique" int2:value="Rejected"/>
    </int2:bookmark>
    <int2:bookmark int2:bookmarkName="_Int_z3x6LXvz" int2:invalidationBookmarkName="" int2:hashCode="JcddmdKQyxkv3/" int2:id="mWY4RBQb">
      <int2:state int2:type="AugLoop_Text_Critique" int2:value="Rejected"/>
    </int2:bookmark>
    <int2:bookmark int2:bookmarkName="_Int_ZggSpazL" int2:invalidationBookmarkName="" int2:hashCode="JcddmdKQyxkv3/" int2:id="itUWpahp">
      <int2:state int2:type="AugLoop_Text_Critique" int2:value="Rejected"/>
    </int2:bookmark>
    <int2:bookmark int2:bookmarkName="_Int_8AxtcIdG" int2:invalidationBookmarkName="" int2:hashCode="JcddmdKQyxkv3/" int2:id="HD3qOFqp">
      <int2:state int2:type="AugLoop_Text_Critique" int2:value="Rejected"/>
    </int2:bookmark>
    <int2:bookmark int2:bookmarkName="_Int_rELN5TWA" int2:invalidationBookmarkName="" int2:hashCode="JcddmdKQyxkv3/" int2:id="c6kr2Te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010"/>
    <w:multiLevelType w:val="multilevel"/>
    <w:tmpl w:val="DA6C0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F6496"/>
    <w:multiLevelType w:val="multilevel"/>
    <w:tmpl w:val="546C07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E8DB0"/>
    <w:multiLevelType w:val="hybridMultilevel"/>
    <w:tmpl w:val="F168EC44"/>
    <w:lvl w:ilvl="0" w:tplc="76A876D2">
      <w:start w:val="1"/>
      <w:numFmt w:val="bullet"/>
      <w:lvlText w:val="-"/>
      <w:lvlJc w:val="left"/>
      <w:pPr>
        <w:ind w:left="720" w:hanging="360"/>
      </w:pPr>
      <w:rPr>
        <w:rFonts w:ascii="Aptos" w:hAnsi="Aptos" w:hint="default"/>
      </w:rPr>
    </w:lvl>
    <w:lvl w:ilvl="1" w:tplc="EFEE403E">
      <w:start w:val="1"/>
      <w:numFmt w:val="bullet"/>
      <w:lvlText w:val="o"/>
      <w:lvlJc w:val="left"/>
      <w:pPr>
        <w:ind w:left="1440" w:hanging="360"/>
      </w:pPr>
      <w:rPr>
        <w:rFonts w:ascii="Courier New" w:hAnsi="Courier New" w:hint="default"/>
      </w:rPr>
    </w:lvl>
    <w:lvl w:ilvl="2" w:tplc="F3C6AC94">
      <w:start w:val="1"/>
      <w:numFmt w:val="bullet"/>
      <w:lvlText w:val=""/>
      <w:lvlJc w:val="left"/>
      <w:pPr>
        <w:ind w:left="2160" w:hanging="360"/>
      </w:pPr>
      <w:rPr>
        <w:rFonts w:ascii="Wingdings" w:hAnsi="Wingdings" w:hint="default"/>
      </w:rPr>
    </w:lvl>
    <w:lvl w:ilvl="3" w:tplc="448AB7FE">
      <w:start w:val="1"/>
      <w:numFmt w:val="bullet"/>
      <w:lvlText w:val=""/>
      <w:lvlJc w:val="left"/>
      <w:pPr>
        <w:ind w:left="2880" w:hanging="360"/>
      </w:pPr>
      <w:rPr>
        <w:rFonts w:ascii="Symbol" w:hAnsi="Symbol" w:hint="default"/>
      </w:rPr>
    </w:lvl>
    <w:lvl w:ilvl="4" w:tplc="1F2E80D8">
      <w:start w:val="1"/>
      <w:numFmt w:val="bullet"/>
      <w:lvlText w:val="o"/>
      <w:lvlJc w:val="left"/>
      <w:pPr>
        <w:ind w:left="3600" w:hanging="360"/>
      </w:pPr>
      <w:rPr>
        <w:rFonts w:ascii="Courier New" w:hAnsi="Courier New" w:hint="default"/>
      </w:rPr>
    </w:lvl>
    <w:lvl w:ilvl="5" w:tplc="650ACB94">
      <w:start w:val="1"/>
      <w:numFmt w:val="bullet"/>
      <w:lvlText w:val=""/>
      <w:lvlJc w:val="left"/>
      <w:pPr>
        <w:ind w:left="4320" w:hanging="360"/>
      </w:pPr>
      <w:rPr>
        <w:rFonts w:ascii="Wingdings" w:hAnsi="Wingdings" w:hint="default"/>
      </w:rPr>
    </w:lvl>
    <w:lvl w:ilvl="6" w:tplc="9D08D8F6">
      <w:start w:val="1"/>
      <w:numFmt w:val="bullet"/>
      <w:lvlText w:val=""/>
      <w:lvlJc w:val="left"/>
      <w:pPr>
        <w:ind w:left="5040" w:hanging="360"/>
      </w:pPr>
      <w:rPr>
        <w:rFonts w:ascii="Symbol" w:hAnsi="Symbol" w:hint="default"/>
      </w:rPr>
    </w:lvl>
    <w:lvl w:ilvl="7" w:tplc="0AAA9B84">
      <w:start w:val="1"/>
      <w:numFmt w:val="bullet"/>
      <w:lvlText w:val="o"/>
      <w:lvlJc w:val="left"/>
      <w:pPr>
        <w:ind w:left="5760" w:hanging="360"/>
      </w:pPr>
      <w:rPr>
        <w:rFonts w:ascii="Courier New" w:hAnsi="Courier New" w:hint="default"/>
      </w:rPr>
    </w:lvl>
    <w:lvl w:ilvl="8" w:tplc="C226C53E">
      <w:start w:val="1"/>
      <w:numFmt w:val="bullet"/>
      <w:lvlText w:val=""/>
      <w:lvlJc w:val="left"/>
      <w:pPr>
        <w:ind w:left="6480" w:hanging="360"/>
      </w:pPr>
      <w:rPr>
        <w:rFonts w:ascii="Wingdings" w:hAnsi="Wingdings" w:hint="default"/>
      </w:rPr>
    </w:lvl>
  </w:abstractNum>
  <w:abstractNum w:abstractNumId="3" w15:restartNumberingAfterBreak="0">
    <w:nsid w:val="07BD01E8"/>
    <w:multiLevelType w:val="multilevel"/>
    <w:tmpl w:val="8A7AD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B53804"/>
    <w:multiLevelType w:val="hybridMultilevel"/>
    <w:tmpl w:val="FA8EB62A"/>
    <w:lvl w:ilvl="0" w:tplc="EEE2DADE">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E50492"/>
    <w:multiLevelType w:val="multilevel"/>
    <w:tmpl w:val="F7E6BF38"/>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7CB977A"/>
    <w:multiLevelType w:val="hybridMultilevel"/>
    <w:tmpl w:val="4DE00B6E"/>
    <w:lvl w:ilvl="0" w:tplc="D1BA5D1C">
      <w:start w:val="1"/>
      <w:numFmt w:val="bullet"/>
      <w:lvlText w:val="-"/>
      <w:lvlJc w:val="left"/>
      <w:pPr>
        <w:ind w:left="720" w:hanging="360"/>
      </w:pPr>
      <w:rPr>
        <w:rFonts w:ascii="Aptos" w:hAnsi="Aptos" w:hint="default"/>
      </w:rPr>
    </w:lvl>
    <w:lvl w:ilvl="1" w:tplc="964C885C">
      <w:start w:val="1"/>
      <w:numFmt w:val="bullet"/>
      <w:lvlText w:val="o"/>
      <w:lvlJc w:val="left"/>
      <w:pPr>
        <w:ind w:left="1440" w:hanging="360"/>
      </w:pPr>
      <w:rPr>
        <w:rFonts w:ascii="Courier New" w:hAnsi="Courier New" w:hint="default"/>
      </w:rPr>
    </w:lvl>
    <w:lvl w:ilvl="2" w:tplc="BC8AA8F8">
      <w:start w:val="1"/>
      <w:numFmt w:val="bullet"/>
      <w:lvlText w:val=""/>
      <w:lvlJc w:val="left"/>
      <w:pPr>
        <w:ind w:left="2160" w:hanging="360"/>
      </w:pPr>
      <w:rPr>
        <w:rFonts w:ascii="Wingdings" w:hAnsi="Wingdings" w:hint="default"/>
      </w:rPr>
    </w:lvl>
    <w:lvl w:ilvl="3" w:tplc="C76065A0">
      <w:start w:val="1"/>
      <w:numFmt w:val="bullet"/>
      <w:lvlText w:val=""/>
      <w:lvlJc w:val="left"/>
      <w:pPr>
        <w:ind w:left="2880" w:hanging="360"/>
      </w:pPr>
      <w:rPr>
        <w:rFonts w:ascii="Symbol" w:hAnsi="Symbol" w:hint="default"/>
      </w:rPr>
    </w:lvl>
    <w:lvl w:ilvl="4" w:tplc="42AE9232">
      <w:start w:val="1"/>
      <w:numFmt w:val="bullet"/>
      <w:lvlText w:val="o"/>
      <w:lvlJc w:val="left"/>
      <w:pPr>
        <w:ind w:left="3600" w:hanging="360"/>
      </w:pPr>
      <w:rPr>
        <w:rFonts w:ascii="Courier New" w:hAnsi="Courier New" w:hint="default"/>
      </w:rPr>
    </w:lvl>
    <w:lvl w:ilvl="5" w:tplc="0322AD7A">
      <w:start w:val="1"/>
      <w:numFmt w:val="bullet"/>
      <w:lvlText w:val=""/>
      <w:lvlJc w:val="left"/>
      <w:pPr>
        <w:ind w:left="4320" w:hanging="360"/>
      </w:pPr>
      <w:rPr>
        <w:rFonts w:ascii="Wingdings" w:hAnsi="Wingdings" w:hint="default"/>
      </w:rPr>
    </w:lvl>
    <w:lvl w:ilvl="6" w:tplc="B4EC6F68">
      <w:start w:val="1"/>
      <w:numFmt w:val="bullet"/>
      <w:lvlText w:val=""/>
      <w:lvlJc w:val="left"/>
      <w:pPr>
        <w:ind w:left="5040" w:hanging="360"/>
      </w:pPr>
      <w:rPr>
        <w:rFonts w:ascii="Symbol" w:hAnsi="Symbol" w:hint="default"/>
      </w:rPr>
    </w:lvl>
    <w:lvl w:ilvl="7" w:tplc="62749A88">
      <w:start w:val="1"/>
      <w:numFmt w:val="bullet"/>
      <w:lvlText w:val="o"/>
      <w:lvlJc w:val="left"/>
      <w:pPr>
        <w:ind w:left="5760" w:hanging="360"/>
      </w:pPr>
      <w:rPr>
        <w:rFonts w:ascii="Courier New" w:hAnsi="Courier New" w:hint="default"/>
      </w:rPr>
    </w:lvl>
    <w:lvl w:ilvl="8" w:tplc="CD443830">
      <w:start w:val="1"/>
      <w:numFmt w:val="bullet"/>
      <w:lvlText w:val=""/>
      <w:lvlJc w:val="left"/>
      <w:pPr>
        <w:ind w:left="6480" w:hanging="360"/>
      </w:pPr>
      <w:rPr>
        <w:rFonts w:ascii="Wingdings" w:hAnsi="Wingdings" w:hint="default"/>
      </w:rPr>
    </w:lvl>
  </w:abstractNum>
  <w:abstractNum w:abstractNumId="7" w15:restartNumberingAfterBreak="0">
    <w:nsid w:val="1D770B6C"/>
    <w:multiLevelType w:val="multilevel"/>
    <w:tmpl w:val="E348FF6A"/>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BD5CE4"/>
    <w:multiLevelType w:val="multilevel"/>
    <w:tmpl w:val="CA1AD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BE134F"/>
    <w:multiLevelType w:val="multilevel"/>
    <w:tmpl w:val="F710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2BDFDE"/>
    <w:multiLevelType w:val="hybridMultilevel"/>
    <w:tmpl w:val="BA1A09D4"/>
    <w:lvl w:ilvl="0" w:tplc="87B6CDD6">
      <w:start w:val="1"/>
      <w:numFmt w:val="bullet"/>
      <w:lvlText w:val="-"/>
      <w:lvlJc w:val="left"/>
      <w:pPr>
        <w:ind w:left="720" w:hanging="360"/>
      </w:pPr>
      <w:rPr>
        <w:rFonts w:ascii="Aptos" w:hAnsi="Aptos" w:hint="default"/>
      </w:rPr>
    </w:lvl>
    <w:lvl w:ilvl="1" w:tplc="34285B8A">
      <w:start w:val="1"/>
      <w:numFmt w:val="bullet"/>
      <w:lvlText w:val="o"/>
      <w:lvlJc w:val="left"/>
      <w:pPr>
        <w:ind w:left="1440" w:hanging="360"/>
      </w:pPr>
      <w:rPr>
        <w:rFonts w:ascii="Courier New" w:hAnsi="Courier New" w:hint="default"/>
      </w:rPr>
    </w:lvl>
    <w:lvl w:ilvl="2" w:tplc="2664467A">
      <w:start w:val="1"/>
      <w:numFmt w:val="bullet"/>
      <w:lvlText w:val=""/>
      <w:lvlJc w:val="left"/>
      <w:pPr>
        <w:ind w:left="2160" w:hanging="360"/>
      </w:pPr>
      <w:rPr>
        <w:rFonts w:ascii="Wingdings" w:hAnsi="Wingdings" w:hint="default"/>
      </w:rPr>
    </w:lvl>
    <w:lvl w:ilvl="3" w:tplc="49FE0D44">
      <w:start w:val="1"/>
      <w:numFmt w:val="bullet"/>
      <w:lvlText w:val=""/>
      <w:lvlJc w:val="left"/>
      <w:pPr>
        <w:ind w:left="2880" w:hanging="360"/>
      </w:pPr>
      <w:rPr>
        <w:rFonts w:ascii="Symbol" w:hAnsi="Symbol" w:hint="default"/>
      </w:rPr>
    </w:lvl>
    <w:lvl w:ilvl="4" w:tplc="507E68EE">
      <w:start w:val="1"/>
      <w:numFmt w:val="bullet"/>
      <w:lvlText w:val="o"/>
      <w:lvlJc w:val="left"/>
      <w:pPr>
        <w:ind w:left="3600" w:hanging="360"/>
      </w:pPr>
      <w:rPr>
        <w:rFonts w:ascii="Courier New" w:hAnsi="Courier New" w:hint="default"/>
      </w:rPr>
    </w:lvl>
    <w:lvl w:ilvl="5" w:tplc="0832AD68">
      <w:start w:val="1"/>
      <w:numFmt w:val="bullet"/>
      <w:lvlText w:val=""/>
      <w:lvlJc w:val="left"/>
      <w:pPr>
        <w:ind w:left="4320" w:hanging="360"/>
      </w:pPr>
      <w:rPr>
        <w:rFonts w:ascii="Wingdings" w:hAnsi="Wingdings" w:hint="default"/>
      </w:rPr>
    </w:lvl>
    <w:lvl w:ilvl="6" w:tplc="1D361F64">
      <w:start w:val="1"/>
      <w:numFmt w:val="bullet"/>
      <w:lvlText w:val=""/>
      <w:lvlJc w:val="left"/>
      <w:pPr>
        <w:ind w:left="5040" w:hanging="360"/>
      </w:pPr>
      <w:rPr>
        <w:rFonts w:ascii="Symbol" w:hAnsi="Symbol" w:hint="default"/>
      </w:rPr>
    </w:lvl>
    <w:lvl w:ilvl="7" w:tplc="84A2A5AE">
      <w:start w:val="1"/>
      <w:numFmt w:val="bullet"/>
      <w:lvlText w:val="o"/>
      <w:lvlJc w:val="left"/>
      <w:pPr>
        <w:ind w:left="5760" w:hanging="360"/>
      </w:pPr>
      <w:rPr>
        <w:rFonts w:ascii="Courier New" w:hAnsi="Courier New" w:hint="default"/>
      </w:rPr>
    </w:lvl>
    <w:lvl w:ilvl="8" w:tplc="A4EEB58A">
      <w:start w:val="1"/>
      <w:numFmt w:val="bullet"/>
      <w:lvlText w:val=""/>
      <w:lvlJc w:val="left"/>
      <w:pPr>
        <w:ind w:left="6480" w:hanging="360"/>
      </w:pPr>
      <w:rPr>
        <w:rFonts w:ascii="Wingdings" w:hAnsi="Wingdings" w:hint="default"/>
      </w:rPr>
    </w:lvl>
  </w:abstractNum>
  <w:abstractNum w:abstractNumId="11" w15:restartNumberingAfterBreak="0">
    <w:nsid w:val="262676EA"/>
    <w:multiLevelType w:val="hybridMultilevel"/>
    <w:tmpl w:val="2A38FA24"/>
    <w:lvl w:ilvl="0" w:tplc="C5BC5256">
      <w:start w:val="1"/>
      <w:numFmt w:val="bullet"/>
      <w:lvlText w:val="-"/>
      <w:lvlJc w:val="left"/>
      <w:pPr>
        <w:ind w:left="720" w:hanging="360"/>
      </w:pPr>
      <w:rPr>
        <w:rFonts w:ascii="Aptos" w:hAnsi="Aptos" w:hint="default"/>
      </w:rPr>
    </w:lvl>
    <w:lvl w:ilvl="1" w:tplc="0F1E2E5E">
      <w:start w:val="1"/>
      <w:numFmt w:val="bullet"/>
      <w:lvlText w:val="o"/>
      <w:lvlJc w:val="left"/>
      <w:pPr>
        <w:ind w:left="1440" w:hanging="360"/>
      </w:pPr>
      <w:rPr>
        <w:rFonts w:ascii="Courier New" w:hAnsi="Courier New" w:hint="default"/>
      </w:rPr>
    </w:lvl>
    <w:lvl w:ilvl="2" w:tplc="5616E992">
      <w:start w:val="1"/>
      <w:numFmt w:val="bullet"/>
      <w:lvlText w:val=""/>
      <w:lvlJc w:val="left"/>
      <w:pPr>
        <w:ind w:left="2160" w:hanging="360"/>
      </w:pPr>
      <w:rPr>
        <w:rFonts w:ascii="Wingdings" w:hAnsi="Wingdings" w:hint="default"/>
      </w:rPr>
    </w:lvl>
    <w:lvl w:ilvl="3" w:tplc="144ABCC4">
      <w:start w:val="1"/>
      <w:numFmt w:val="bullet"/>
      <w:lvlText w:val=""/>
      <w:lvlJc w:val="left"/>
      <w:pPr>
        <w:ind w:left="2880" w:hanging="360"/>
      </w:pPr>
      <w:rPr>
        <w:rFonts w:ascii="Symbol" w:hAnsi="Symbol" w:hint="default"/>
      </w:rPr>
    </w:lvl>
    <w:lvl w:ilvl="4" w:tplc="35869E3A">
      <w:start w:val="1"/>
      <w:numFmt w:val="bullet"/>
      <w:lvlText w:val="o"/>
      <w:lvlJc w:val="left"/>
      <w:pPr>
        <w:ind w:left="3600" w:hanging="360"/>
      </w:pPr>
      <w:rPr>
        <w:rFonts w:ascii="Courier New" w:hAnsi="Courier New" w:hint="default"/>
      </w:rPr>
    </w:lvl>
    <w:lvl w:ilvl="5" w:tplc="C766402A">
      <w:start w:val="1"/>
      <w:numFmt w:val="bullet"/>
      <w:lvlText w:val=""/>
      <w:lvlJc w:val="left"/>
      <w:pPr>
        <w:ind w:left="4320" w:hanging="360"/>
      </w:pPr>
      <w:rPr>
        <w:rFonts w:ascii="Wingdings" w:hAnsi="Wingdings" w:hint="default"/>
      </w:rPr>
    </w:lvl>
    <w:lvl w:ilvl="6" w:tplc="188AE85C">
      <w:start w:val="1"/>
      <w:numFmt w:val="bullet"/>
      <w:lvlText w:val=""/>
      <w:lvlJc w:val="left"/>
      <w:pPr>
        <w:ind w:left="5040" w:hanging="360"/>
      </w:pPr>
      <w:rPr>
        <w:rFonts w:ascii="Symbol" w:hAnsi="Symbol" w:hint="default"/>
      </w:rPr>
    </w:lvl>
    <w:lvl w:ilvl="7" w:tplc="C59C6EF8">
      <w:start w:val="1"/>
      <w:numFmt w:val="bullet"/>
      <w:lvlText w:val="o"/>
      <w:lvlJc w:val="left"/>
      <w:pPr>
        <w:ind w:left="5760" w:hanging="360"/>
      </w:pPr>
      <w:rPr>
        <w:rFonts w:ascii="Courier New" w:hAnsi="Courier New" w:hint="default"/>
      </w:rPr>
    </w:lvl>
    <w:lvl w:ilvl="8" w:tplc="A694EFF2">
      <w:start w:val="1"/>
      <w:numFmt w:val="bullet"/>
      <w:lvlText w:val=""/>
      <w:lvlJc w:val="left"/>
      <w:pPr>
        <w:ind w:left="6480" w:hanging="360"/>
      </w:pPr>
      <w:rPr>
        <w:rFonts w:ascii="Wingdings" w:hAnsi="Wingdings" w:hint="default"/>
      </w:rPr>
    </w:lvl>
  </w:abstractNum>
  <w:abstractNum w:abstractNumId="12" w15:restartNumberingAfterBreak="0">
    <w:nsid w:val="2DB235D3"/>
    <w:multiLevelType w:val="multilevel"/>
    <w:tmpl w:val="2402C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21F7B46"/>
    <w:multiLevelType w:val="multilevel"/>
    <w:tmpl w:val="07CC7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791A6C"/>
    <w:multiLevelType w:val="multilevel"/>
    <w:tmpl w:val="C7F8F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A4CF31"/>
    <w:multiLevelType w:val="hybridMultilevel"/>
    <w:tmpl w:val="8438F3FA"/>
    <w:lvl w:ilvl="0" w:tplc="68FE7392">
      <w:start w:val="1"/>
      <w:numFmt w:val="bullet"/>
      <w:lvlText w:val="-"/>
      <w:lvlJc w:val="left"/>
      <w:pPr>
        <w:ind w:left="720" w:hanging="360"/>
      </w:pPr>
      <w:rPr>
        <w:rFonts w:ascii="Aptos" w:hAnsi="Aptos" w:hint="default"/>
      </w:rPr>
    </w:lvl>
    <w:lvl w:ilvl="1" w:tplc="1B46A2C4">
      <w:start w:val="1"/>
      <w:numFmt w:val="bullet"/>
      <w:lvlText w:val="o"/>
      <w:lvlJc w:val="left"/>
      <w:pPr>
        <w:ind w:left="1440" w:hanging="360"/>
      </w:pPr>
      <w:rPr>
        <w:rFonts w:ascii="Courier New" w:hAnsi="Courier New" w:hint="default"/>
      </w:rPr>
    </w:lvl>
    <w:lvl w:ilvl="2" w:tplc="E9FE434E">
      <w:start w:val="1"/>
      <w:numFmt w:val="bullet"/>
      <w:lvlText w:val=""/>
      <w:lvlJc w:val="left"/>
      <w:pPr>
        <w:ind w:left="2160" w:hanging="360"/>
      </w:pPr>
      <w:rPr>
        <w:rFonts w:ascii="Wingdings" w:hAnsi="Wingdings" w:hint="default"/>
      </w:rPr>
    </w:lvl>
    <w:lvl w:ilvl="3" w:tplc="889099A8">
      <w:start w:val="1"/>
      <w:numFmt w:val="bullet"/>
      <w:lvlText w:val=""/>
      <w:lvlJc w:val="left"/>
      <w:pPr>
        <w:ind w:left="2880" w:hanging="360"/>
      </w:pPr>
      <w:rPr>
        <w:rFonts w:ascii="Symbol" w:hAnsi="Symbol" w:hint="default"/>
      </w:rPr>
    </w:lvl>
    <w:lvl w:ilvl="4" w:tplc="4E00EE24">
      <w:start w:val="1"/>
      <w:numFmt w:val="bullet"/>
      <w:lvlText w:val="o"/>
      <w:lvlJc w:val="left"/>
      <w:pPr>
        <w:ind w:left="3600" w:hanging="360"/>
      </w:pPr>
      <w:rPr>
        <w:rFonts w:ascii="Courier New" w:hAnsi="Courier New" w:hint="default"/>
      </w:rPr>
    </w:lvl>
    <w:lvl w:ilvl="5" w:tplc="96E0B5DC">
      <w:start w:val="1"/>
      <w:numFmt w:val="bullet"/>
      <w:lvlText w:val=""/>
      <w:lvlJc w:val="left"/>
      <w:pPr>
        <w:ind w:left="4320" w:hanging="360"/>
      </w:pPr>
      <w:rPr>
        <w:rFonts w:ascii="Wingdings" w:hAnsi="Wingdings" w:hint="default"/>
      </w:rPr>
    </w:lvl>
    <w:lvl w:ilvl="6" w:tplc="6BD8DC12">
      <w:start w:val="1"/>
      <w:numFmt w:val="bullet"/>
      <w:lvlText w:val=""/>
      <w:lvlJc w:val="left"/>
      <w:pPr>
        <w:ind w:left="5040" w:hanging="360"/>
      </w:pPr>
      <w:rPr>
        <w:rFonts w:ascii="Symbol" w:hAnsi="Symbol" w:hint="default"/>
      </w:rPr>
    </w:lvl>
    <w:lvl w:ilvl="7" w:tplc="53FA00CC">
      <w:start w:val="1"/>
      <w:numFmt w:val="bullet"/>
      <w:lvlText w:val="o"/>
      <w:lvlJc w:val="left"/>
      <w:pPr>
        <w:ind w:left="5760" w:hanging="360"/>
      </w:pPr>
      <w:rPr>
        <w:rFonts w:ascii="Courier New" w:hAnsi="Courier New" w:hint="default"/>
      </w:rPr>
    </w:lvl>
    <w:lvl w:ilvl="8" w:tplc="137249C8">
      <w:start w:val="1"/>
      <w:numFmt w:val="bullet"/>
      <w:lvlText w:val=""/>
      <w:lvlJc w:val="left"/>
      <w:pPr>
        <w:ind w:left="6480" w:hanging="360"/>
      </w:pPr>
      <w:rPr>
        <w:rFonts w:ascii="Wingdings" w:hAnsi="Wingdings" w:hint="default"/>
      </w:rPr>
    </w:lvl>
  </w:abstractNum>
  <w:abstractNum w:abstractNumId="16" w15:restartNumberingAfterBreak="0">
    <w:nsid w:val="3B4B66CD"/>
    <w:multiLevelType w:val="hybridMultilevel"/>
    <w:tmpl w:val="EB0CDA36"/>
    <w:lvl w:ilvl="0" w:tplc="D274604A">
      <w:start w:val="1"/>
      <w:numFmt w:val="bullet"/>
      <w:lvlText w:val="-"/>
      <w:lvlJc w:val="left"/>
      <w:pPr>
        <w:ind w:left="720" w:hanging="360"/>
      </w:pPr>
      <w:rPr>
        <w:rFonts w:ascii="Aptos" w:hAnsi="Aptos" w:hint="default"/>
      </w:rPr>
    </w:lvl>
    <w:lvl w:ilvl="1" w:tplc="525C1B1E">
      <w:start w:val="1"/>
      <w:numFmt w:val="bullet"/>
      <w:lvlText w:val="o"/>
      <w:lvlJc w:val="left"/>
      <w:pPr>
        <w:ind w:left="1440" w:hanging="360"/>
      </w:pPr>
      <w:rPr>
        <w:rFonts w:ascii="Courier New" w:hAnsi="Courier New" w:hint="default"/>
      </w:rPr>
    </w:lvl>
    <w:lvl w:ilvl="2" w:tplc="BCD25D50">
      <w:start w:val="1"/>
      <w:numFmt w:val="bullet"/>
      <w:lvlText w:val=""/>
      <w:lvlJc w:val="left"/>
      <w:pPr>
        <w:ind w:left="2160" w:hanging="360"/>
      </w:pPr>
      <w:rPr>
        <w:rFonts w:ascii="Wingdings" w:hAnsi="Wingdings" w:hint="default"/>
      </w:rPr>
    </w:lvl>
    <w:lvl w:ilvl="3" w:tplc="5070681C">
      <w:start w:val="1"/>
      <w:numFmt w:val="bullet"/>
      <w:lvlText w:val=""/>
      <w:lvlJc w:val="left"/>
      <w:pPr>
        <w:ind w:left="2880" w:hanging="360"/>
      </w:pPr>
      <w:rPr>
        <w:rFonts w:ascii="Symbol" w:hAnsi="Symbol" w:hint="default"/>
      </w:rPr>
    </w:lvl>
    <w:lvl w:ilvl="4" w:tplc="76A032BA">
      <w:start w:val="1"/>
      <w:numFmt w:val="bullet"/>
      <w:lvlText w:val="o"/>
      <w:lvlJc w:val="left"/>
      <w:pPr>
        <w:ind w:left="3600" w:hanging="360"/>
      </w:pPr>
      <w:rPr>
        <w:rFonts w:ascii="Courier New" w:hAnsi="Courier New" w:hint="default"/>
      </w:rPr>
    </w:lvl>
    <w:lvl w:ilvl="5" w:tplc="6C14D250">
      <w:start w:val="1"/>
      <w:numFmt w:val="bullet"/>
      <w:lvlText w:val=""/>
      <w:lvlJc w:val="left"/>
      <w:pPr>
        <w:ind w:left="4320" w:hanging="360"/>
      </w:pPr>
      <w:rPr>
        <w:rFonts w:ascii="Wingdings" w:hAnsi="Wingdings" w:hint="default"/>
      </w:rPr>
    </w:lvl>
    <w:lvl w:ilvl="6" w:tplc="C9D8FA60">
      <w:start w:val="1"/>
      <w:numFmt w:val="bullet"/>
      <w:lvlText w:val=""/>
      <w:lvlJc w:val="left"/>
      <w:pPr>
        <w:ind w:left="5040" w:hanging="360"/>
      </w:pPr>
      <w:rPr>
        <w:rFonts w:ascii="Symbol" w:hAnsi="Symbol" w:hint="default"/>
      </w:rPr>
    </w:lvl>
    <w:lvl w:ilvl="7" w:tplc="EACAC4CC">
      <w:start w:val="1"/>
      <w:numFmt w:val="bullet"/>
      <w:lvlText w:val="o"/>
      <w:lvlJc w:val="left"/>
      <w:pPr>
        <w:ind w:left="5760" w:hanging="360"/>
      </w:pPr>
      <w:rPr>
        <w:rFonts w:ascii="Courier New" w:hAnsi="Courier New" w:hint="default"/>
      </w:rPr>
    </w:lvl>
    <w:lvl w:ilvl="8" w:tplc="63D683A2">
      <w:start w:val="1"/>
      <w:numFmt w:val="bullet"/>
      <w:lvlText w:val=""/>
      <w:lvlJc w:val="left"/>
      <w:pPr>
        <w:ind w:left="6480" w:hanging="360"/>
      </w:pPr>
      <w:rPr>
        <w:rFonts w:ascii="Wingdings" w:hAnsi="Wingdings" w:hint="default"/>
      </w:rPr>
    </w:lvl>
  </w:abstractNum>
  <w:abstractNum w:abstractNumId="17" w15:restartNumberingAfterBreak="0">
    <w:nsid w:val="3B529B9B"/>
    <w:multiLevelType w:val="hybridMultilevel"/>
    <w:tmpl w:val="6FAEE006"/>
    <w:lvl w:ilvl="0" w:tplc="C8363EDA">
      <w:start w:val="1"/>
      <w:numFmt w:val="bullet"/>
      <w:lvlText w:val="-"/>
      <w:lvlJc w:val="left"/>
      <w:pPr>
        <w:ind w:left="720" w:hanging="360"/>
      </w:pPr>
      <w:rPr>
        <w:rFonts w:ascii="Aptos" w:hAnsi="Aptos" w:hint="default"/>
      </w:rPr>
    </w:lvl>
    <w:lvl w:ilvl="1" w:tplc="ABE4CEC2">
      <w:start w:val="1"/>
      <w:numFmt w:val="bullet"/>
      <w:lvlText w:val="o"/>
      <w:lvlJc w:val="left"/>
      <w:pPr>
        <w:ind w:left="1440" w:hanging="360"/>
      </w:pPr>
      <w:rPr>
        <w:rFonts w:ascii="Courier New" w:hAnsi="Courier New" w:hint="default"/>
      </w:rPr>
    </w:lvl>
    <w:lvl w:ilvl="2" w:tplc="7C9A9F4E">
      <w:start w:val="1"/>
      <w:numFmt w:val="bullet"/>
      <w:lvlText w:val=""/>
      <w:lvlJc w:val="left"/>
      <w:pPr>
        <w:ind w:left="2160" w:hanging="360"/>
      </w:pPr>
      <w:rPr>
        <w:rFonts w:ascii="Wingdings" w:hAnsi="Wingdings" w:hint="default"/>
      </w:rPr>
    </w:lvl>
    <w:lvl w:ilvl="3" w:tplc="F5160992">
      <w:start w:val="1"/>
      <w:numFmt w:val="bullet"/>
      <w:lvlText w:val=""/>
      <w:lvlJc w:val="left"/>
      <w:pPr>
        <w:ind w:left="2880" w:hanging="360"/>
      </w:pPr>
      <w:rPr>
        <w:rFonts w:ascii="Symbol" w:hAnsi="Symbol" w:hint="default"/>
      </w:rPr>
    </w:lvl>
    <w:lvl w:ilvl="4" w:tplc="A1301E44">
      <w:start w:val="1"/>
      <w:numFmt w:val="bullet"/>
      <w:lvlText w:val="o"/>
      <w:lvlJc w:val="left"/>
      <w:pPr>
        <w:ind w:left="3600" w:hanging="360"/>
      </w:pPr>
      <w:rPr>
        <w:rFonts w:ascii="Courier New" w:hAnsi="Courier New" w:hint="default"/>
      </w:rPr>
    </w:lvl>
    <w:lvl w:ilvl="5" w:tplc="83DAE166">
      <w:start w:val="1"/>
      <w:numFmt w:val="bullet"/>
      <w:lvlText w:val=""/>
      <w:lvlJc w:val="left"/>
      <w:pPr>
        <w:ind w:left="4320" w:hanging="360"/>
      </w:pPr>
      <w:rPr>
        <w:rFonts w:ascii="Wingdings" w:hAnsi="Wingdings" w:hint="default"/>
      </w:rPr>
    </w:lvl>
    <w:lvl w:ilvl="6" w:tplc="A670C250">
      <w:start w:val="1"/>
      <w:numFmt w:val="bullet"/>
      <w:lvlText w:val=""/>
      <w:lvlJc w:val="left"/>
      <w:pPr>
        <w:ind w:left="5040" w:hanging="360"/>
      </w:pPr>
      <w:rPr>
        <w:rFonts w:ascii="Symbol" w:hAnsi="Symbol" w:hint="default"/>
      </w:rPr>
    </w:lvl>
    <w:lvl w:ilvl="7" w:tplc="E8EC6B5E">
      <w:start w:val="1"/>
      <w:numFmt w:val="bullet"/>
      <w:lvlText w:val="o"/>
      <w:lvlJc w:val="left"/>
      <w:pPr>
        <w:ind w:left="5760" w:hanging="360"/>
      </w:pPr>
      <w:rPr>
        <w:rFonts w:ascii="Courier New" w:hAnsi="Courier New" w:hint="default"/>
      </w:rPr>
    </w:lvl>
    <w:lvl w:ilvl="8" w:tplc="5AE0CA78">
      <w:start w:val="1"/>
      <w:numFmt w:val="bullet"/>
      <w:lvlText w:val=""/>
      <w:lvlJc w:val="left"/>
      <w:pPr>
        <w:ind w:left="6480" w:hanging="360"/>
      </w:pPr>
      <w:rPr>
        <w:rFonts w:ascii="Wingdings" w:hAnsi="Wingdings" w:hint="default"/>
      </w:rPr>
    </w:lvl>
  </w:abstractNum>
  <w:abstractNum w:abstractNumId="18" w15:restartNumberingAfterBreak="0">
    <w:nsid w:val="42947089"/>
    <w:multiLevelType w:val="multilevel"/>
    <w:tmpl w:val="299E12E6"/>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9" w15:restartNumberingAfterBreak="0">
    <w:nsid w:val="48C62350"/>
    <w:multiLevelType w:val="multilevel"/>
    <w:tmpl w:val="B81C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BF7756"/>
    <w:multiLevelType w:val="multilevel"/>
    <w:tmpl w:val="DC402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E424A4"/>
    <w:multiLevelType w:val="multilevel"/>
    <w:tmpl w:val="B5AE7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32D4F"/>
    <w:multiLevelType w:val="multilevel"/>
    <w:tmpl w:val="C660F01C"/>
    <w:lvl w:ilvl="0">
      <w:start w:val="1"/>
      <w:numFmt w:val="lowerLetter"/>
      <w:lvlText w:val="%1)"/>
      <w:lvlJc w:val="left"/>
      <w:pPr>
        <w:ind w:left="501" w:hanging="360"/>
      </w:pPr>
      <w:rPr>
        <w:b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3" w15:restartNumberingAfterBreak="0">
    <w:nsid w:val="62064D14"/>
    <w:multiLevelType w:val="multilevel"/>
    <w:tmpl w:val="7B420E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5009F7"/>
    <w:multiLevelType w:val="multilevel"/>
    <w:tmpl w:val="EB12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3902EC"/>
    <w:multiLevelType w:val="multilevel"/>
    <w:tmpl w:val="7F24F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2AAC66"/>
    <w:multiLevelType w:val="hybridMultilevel"/>
    <w:tmpl w:val="F73A0C96"/>
    <w:lvl w:ilvl="0" w:tplc="5C4E9D3E">
      <w:start w:val="1"/>
      <w:numFmt w:val="bullet"/>
      <w:lvlText w:val="-"/>
      <w:lvlJc w:val="left"/>
      <w:pPr>
        <w:ind w:left="720" w:hanging="360"/>
      </w:pPr>
      <w:rPr>
        <w:rFonts w:ascii="Aptos" w:hAnsi="Aptos" w:hint="default"/>
      </w:rPr>
    </w:lvl>
    <w:lvl w:ilvl="1" w:tplc="CAD03FA6">
      <w:start w:val="1"/>
      <w:numFmt w:val="bullet"/>
      <w:lvlText w:val="o"/>
      <w:lvlJc w:val="left"/>
      <w:pPr>
        <w:ind w:left="1440" w:hanging="360"/>
      </w:pPr>
      <w:rPr>
        <w:rFonts w:ascii="Courier New" w:hAnsi="Courier New" w:hint="default"/>
      </w:rPr>
    </w:lvl>
    <w:lvl w:ilvl="2" w:tplc="4F3C2150">
      <w:start w:val="1"/>
      <w:numFmt w:val="bullet"/>
      <w:lvlText w:val=""/>
      <w:lvlJc w:val="left"/>
      <w:pPr>
        <w:ind w:left="2160" w:hanging="360"/>
      </w:pPr>
      <w:rPr>
        <w:rFonts w:ascii="Wingdings" w:hAnsi="Wingdings" w:hint="default"/>
      </w:rPr>
    </w:lvl>
    <w:lvl w:ilvl="3" w:tplc="446EC718">
      <w:start w:val="1"/>
      <w:numFmt w:val="bullet"/>
      <w:lvlText w:val=""/>
      <w:lvlJc w:val="left"/>
      <w:pPr>
        <w:ind w:left="2880" w:hanging="360"/>
      </w:pPr>
      <w:rPr>
        <w:rFonts w:ascii="Symbol" w:hAnsi="Symbol" w:hint="default"/>
      </w:rPr>
    </w:lvl>
    <w:lvl w:ilvl="4" w:tplc="9C18C358">
      <w:start w:val="1"/>
      <w:numFmt w:val="bullet"/>
      <w:lvlText w:val="o"/>
      <w:lvlJc w:val="left"/>
      <w:pPr>
        <w:ind w:left="3600" w:hanging="360"/>
      </w:pPr>
      <w:rPr>
        <w:rFonts w:ascii="Courier New" w:hAnsi="Courier New" w:hint="default"/>
      </w:rPr>
    </w:lvl>
    <w:lvl w:ilvl="5" w:tplc="9DB0E410">
      <w:start w:val="1"/>
      <w:numFmt w:val="bullet"/>
      <w:lvlText w:val=""/>
      <w:lvlJc w:val="left"/>
      <w:pPr>
        <w:ind w:left="4320" w:hanging="360"/>
      </w:pPr>
      <w:rPr>
        <w:rFonts w:ascii="Wingdings" w:hAnsi="Wingdings" w:hint="default"/>
      </w:rPr>
    </w:lvl>
    <w:lvl w:ilvl="6" w:tplc="F07C5570">
      <w:start w:val="1"/>
      <w:numFmt w:val="bullet"/>
      <w:lvlText w:val=""/>
      <w:lvlJc w:val="left"/>
      <w:pPr>
        <w:ind w:left="5040" w:hanging="360"/>
      </w:pPr>
      <w:rPr>
        <w:rFonts w:ascii="Symbol" w:hAnsi="Symbol" w:hint="default"/>
      </w:rPr>
    </w:lvl>
    <w:lvl w:ilvl="7" w:tplc="0FE64368">
      <w:start w:val="1"/>
      <w:numFmt w:val="bullet"/>
      <w:lvlText w:val="o"/>
      <w:lvlJc w:val="left"/>
      <w:pPr>
        <w:ind w:left="5760" w:hanging="360"/>
      </w:pPr>
      <w:rPr>
        <w:rFonts w:ascii="Courier New" w:hAnsi="Courier New" w:hint="default"/>
      </w:rPr>
    </w:lvl>
    <w:lvl w:ilvl="8" w:tplc="68120D06">
      <w:start w:val="1"/>
      <w:numFmt w:val="bullet"/>
      <w:lvlText w:val=""/>
      <w:lvlJc w:val="left"/>
      <w:pPr>
        <w:ind w:left="6480" w:hanging="360"/>
      </w:pPr>
      <w:rPr>
        <w:rFonts w:ascii="Wingdings" w:hAnsi="Wingdings" w:hint="default"/>
      </w:rPr>
    </w:lvl>
  </w:abstractNum>
  <w:abstractNum w:abstractNumId="27" w15:restartNumberingAfterBreak="0">
    <w:nsid w:val="778B5D63"/>
    <w:multiLevelType w:val="multilevel"/>
    <w:tmpl w:val="DD7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936A0"/>
    <w:multiLevelType w:val="multilevel"/>
    <w:tmpl w:val="C562BC66"/>
    <w:lvl w:ilvl="0">
      <w:start w:val="9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3B5B4E"/>
    <w:multiLevelType w:val="multilevel"/>
    <w:tmpl w:val="071AABFA"/>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num w:numId="1">
    <w:abstractNumId w:val="10"/>
  </w:num>
  <w:num w:numId="2">
    <w:abstractNumId w:val="2"/>
  </w:num>
  <w:num w:numId="3">
    <w:abstractNumId w:val="6"/>
  </w:num>
  <w:num w:numId="4">
    <w:abstractNumId w:val="16"/>
  </w:num>
  <w:num w:numId="5">
    <w:abstractNumId w:val="15"/>
  </w:num>
  <w:num w:numId="6">
    <w:abstractNumId w:val="26"/>
  </w:num>
  <w:num w:numId="7">
    <w:abstractNumId w:val="11"/>
  </w:num>
  <w:num w:numId="8">
    <w:abstractNumId w:val="17"/>
  </w:num>
  <w:num w:numId="9">
    <w:abstractNumId w:val="1"/>
  </w:num>
  <w:num w:numId="10">
    <w:abstractNumId w:val="21"/>
  </w:num>
  <w:num w:numId="11">
    <w:abstractNumId w:val="29"/>
  </w:num>
  <w:num w:numId="12">
    <w:abstractNumId w:val="18"/>
  </w:num>
  <w:num w:numId="13">
    <w:abstractNumId w:val="7"/>
  </w:num>
  <w:num w:numId="14">
    <w:abstractNumId w:val="25"/>
  </w:num>
  <w:num w:numId="15">
    <w:abstractNumId w:val="20"/>
  </w:num>
  <w:num w:numId="16">
    <w:abstractNumId w:val="0"/>
  </w:num>
  <w:num w:numId="17">
    <w:abstractNumId w:val="13"/>
  </w:num>
  <w:num w:numId="18">
    <w:abstractNumId w:val="12"/>
  </w:num>
  <w:num w:numId="19">
    <w:abstractNumId w:val="23"/>
  </w:num>
  <w:num w:numId="20">
    <w:abstractNumId w:val="19"/>
  </w:num>
  <w:num w:numId="21">
    <w:abstractNumId w:val="5"/>
  </w:num>
  <w:num w:numId="22">
    <w:abstractNumId w:val="24"/>
  </w:num>
  <w:num w:numId="23">
    <w:abstractNumId w:val="8"/>
  </w:num>
  <w:num w:numId="24">
    <w:abstractNumId w:val="22"/>
  </w:num>
  <w:num w:numId="25">
    <w:abstractNumId w:val="14"/>
  </w:num>
  <w:num w:numId="26">
    <w:abstractNumId w:val="3"/>
  </w:num>
  <w:num w:numId="27">
    <w:abstractNumId w:val="9"/>
  </w:num>
  <w:num w:numId="28">
    <w:abstractNumId w:val="28"/>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C7"/>
    <w:rsid w:val="00002124"/>
    <w:rsid w:val="00013112"/>
    <w:rsid w:val="0003263F"/>
    <w:rsid w:val="00034040"/>
    <w:rsid w:val="00034D7D"/>
    <w:rsid w:val="00036917"/>
    <w:rsid w:val="00042CC9"/>
    <w:rsid w:val="00056B33"/>
    <w:rsid w:val="00057322"/>
    <w:rsid w:val="00065DD5"/>
    <w:rsid w:val="0006652F"/>
    <w:rsid w:val="00076D02"/>
    <w:rsid w:val="000948F4"/>
    <w:rsid w:val="00095EE2"/>
    <w:rsid w:val="000963BB"/>
    <w:rsid w:val="00096E4A"/>
    <w:rsid w:val="000A3072"/>
    <w:rsid w:val="000A6FAC"/>
    <w:rsid w:val="000B3591"/>
    <w:rsid w:val="000B4E9B"/>
    <w:rsid w:val="000C5967"/>
    <w:rsid w:val="00103A15"/>
    <w:rsid w:val="00104EE5"/>
    <w:rsid w:val="0011448E"/>
    <w:rsid w:val="0012188B"/>
    <w:rsid w:val="00122241"/>
    <w:rsid w:val="00130C25"/>
    <w:rsid w:val="001329FF"/>
    <w:rsid w:val="00135272"/>
    <w:rsid w:val="00135608"/>
    <w:rsid w:val="00145CE3"/>
    <w:rsid w:val="00167988"/>
    <w:rsid w:val="00176E50"/>
    <w:rsid w:val="0018742F"/>
    <w:rsid w:val="001941B9"/>
    <w:rsid w:val="001A2315"/>
    <w:rsid w:val="001A2941"/>
    <w:rsid w:val="001A75B4"/>
    <w:rsid w:val="001B305D"/>
    <w:rsid w:val="001B3DF4"/>
    <w:rsid w:val="001B54FD"/>
    <w:rsid w:val="001B662F"/>
    <w:rsid w:val="001C77B9"/>
    <w:rsid w:val="001E00C1"/>
    <w:rsid w:val="002124CA"/>
    <w:rsid w:val="00212927"/>
    <w:rsid w:val="0021674D"/>
    <w:rsid w:val="00220281"/>
    <w:rsid w:val="00221151"/>
    <w:rsid w:val="002267A5"/>
    <w:rsid w:val="00227D8A"/>
    <w:rsid w:val="002300C3"/>
    <w:rsid w:val="002314FE"/>
    <w:rsid w:val="002360E4"/>
    <w:rsid w:val="002414F1"/>
    <w:rsid w:val="00244E90"/>
    <w:rsid w:val="0026225F"/>
    <w:rsid w:val="00263AD0"/>
    <w:rsid w:val="002658BA"/>
    <w:rsid w:val="002931C7"/>
    <w:rsid w:val="002935C2"/>
    <w:rsid w:val="002A50CE"/>
    <w:rsid w:val="002B5FF9"/>
    <w:rsid w:val="002C02CA"/>
    <w:rsid w:val="002C77A0"/>
    <w:rsid w:val="002D18FE"/>
    <w:rsid w:val="002D1C89"/>
    <w:rsid w:val="002E21CF"/>
    <w:rsid w:val="002E4175"/>
    <w:rsid w:val="002E6EA3"/>
    <w:rsid w:val="002F346E"/>
    <w:rsid w:val="002F77FC"/>
    <w:rsid w:val="00301C99"/>
    <w:rsid w:val="0030252B"/>
    <w:rsid w:val="00303463"/>
    <w:rsid w:val="00303A4E"/>
    <w:rsid w:val="00306958"/>
    <w:rsid w:val="00314D9D"/>
    <w:rsid w:val="00316FC1"/>
    <w:rsid w:val="0032236F"/>
    <w:rsid w:val="0033027A"/>
    <w:rsid w:val="003340E4"/>
    <w:rsid w:val="003366C2"/>
    <w:rsid w:val="003541E7"/>
    <w:rsid w:val="00360E6F"/>
    <w:rsid w:val="0036280C"/>
    <w:rsid w:val="00364EFC"/>
    <w:rsid w:val="00376C99"/>
    <w:rsid w:val="00383152"/>
    <w:rsid w:val="00386703"/>
    <w:rsid w:val="00386F41"/>
    <w:rsid w:val="00390D24"/>
    <w:rsid w:val="003919D8"/>
    <w:rsid w:val="00394568"/>
    <w:rsid w:val="003B203D"/>
    <w:rsid w:val="003B5626"/>
    <w:rsid w:val="003B6F00"/>
    <w:rsid w:val="003C2776"/>
    <w:rsid w:val="003C27A0"/>
    <w:rsid w:val="003C48EA"/>
    <w:rsid w:val="003D2985"/>
    <w:rsid w:val="003D412A"/>
    <w:rsid w:val="003E0C24"/>
    <w:rsid w:val="003E4194"/>
    <w:rsid w:val="003F0F9E"/>
    <w:rsid w:val="003F318A"/>
    <w:rsid w:val="0040073A"/>
    <w:rsid w:val="00401232"/>
    <w:rsid w:val="0041157F"/>
    <w:rsid w:val="00444729"/>
    <w:rsid w:val="0046011A"/>
    <w:rsid w:val="00465210"/>
    <w:rsid w:val="00475E7E"/>
    <w:rsid w:val="00477F7D"/>
    <w:rsid w:val="0048007E"/>
    <w:rsid w:val="00490A32"/>
    <w:rsid w:val="004943F0"/>
    <w:rsid w:val="004A0BCB"/>
    <w:rsid w:val="004B198E"/>
    <w:rsid w:val="004B3313"/>
    <w:rsid w:val="004B3E86"/>
    <w:rsid w:val="004B777E"/>
    <w:rsid w:val="004C00E4"/>
    <w:rsid w:val="004D02E7"/>
    <w:rsid w:val="004D2407"/>
    <w:rsid w:val="004D7D7C"/>
    <w:rsid w:val="004E1FF4"/>
    <w:rsid w:val="004E7B91"/>
    <w:rsid w:val="004E7C8E"/>
    <w:rsid w:val="004F381A"/>
    <w:rsid w:val="0050078D"/>
    <w:rsid w:val="005040FE"/>
    <w:rsid w:val="00512928"/>
    <w:rsid w:val="00513527"/>
    <w:rsid w:val="00516CB4"/>
    <w:rsid w:val="00521BF3"/>
    <w:rsid w:val="00525DEE"/>
    <w:rsid w:val="00554A77"/>
    <w:rsid w:val="0055537A"/>
    <w:rsid w:val="005560B1"/>
    <w:rsid w:val="00557130"/>
    <w:rsid w:val="00576A69"/>
    <w:rsid w:val="00594472"/>
    <w:rsid w:val="0059482A"/>
    <w:rsid w:val="00597E6C"/>
    <w:rsid w:val="005A0473"/>
    <w:rsid w:val="005A171C"/>
    <w:rsid w:val="005B06B0"/>
    <w:rsid w:val="005C6112"/>
    <w:rsid w:val="005C76BD"/>
    <w:rsid w:val="005C7B39"/>
    <w:rsid w:val="005D0009"/>
    <w:rsid w:val="005D3E67"/>
    <w:rsid w:val="005E4398"/>
    <w:rsid w:val="005E472C"/>
    <w:rsid w:val="005F06D9"/>
    <w:rsid w:val="005F4202"/>
    <w:rsid w:val="005F77F6"/>
    <w:rsid w:val="00612E38"/>
    <w:rsid w:val="00616627"/>
    <w:rsid w:val="00626FCE"/>
    <w:rsid w:val="00633207"/>
    <w:rsid w:val="00636853"/>
    <w:rsid w:val="0064366E"/>
    <w:rsid w:val="006438ED"/>
    <w:rsid w:val="006456C5"/>
    <w:rsid w:val="0064688E"/>
    <w:rsid w:val="00647EE0"/>
    <w:rsid w:val="00651F13"/>
    <w:rsid w:val="006632C5"/>
    <w:rsid w:val="00665286"/>
    <w:rsid w:val="00674B2F"/>
    <w:rsid w:val="00683431"/>
    <w:rsid w:val="00686383"/>
    <w:rsid w:val="00686A40"/>
    <w:rsid w:val="00696F40"/>
    <w:rsid w:val="006B29C2"/>
    <w:rsid w:val="006C5020"/>
    <w:rsid w:val="006D0F41"/>
    <w:rsid w:val="006D2717"/>
    <w:rsid w:val="006D483D"/>
    <w:rsid w:val="006E3030"/>
    <w:rsid w:val="006F4E1C"/>
    <w:rsid w:val="00710542"/>
    <w:rsid w:val="00724C57"/>
    <w:rsid w:val="00733F3F"/>
    <w:rsid w:val="00736CCA"/>
    <w:rsid w:val="00750342"/>
    <w:rsid w:val="00750B29"/>
    <w:rsid w:val="00750D35"/>
    <w:rsid w:val="00761EDA"/>
    <w:rsid w:val="00771F50"/>
    <w:rsid w:val="007A5ABD"/>
    <w:rsid w:val="007B029F"/>
    <w:rsid w:val="007C0784"/>
    <w:rsid w:val="007C5752"/>
    <w:rsid w:val="007C6EDE"/>
    <w:rsid w:val="007D05F3"/>
    <w:rsid w:val="007D196A"/>
    <w:rsid w:val="007D3562"/>
    <w:rsid w:val="007D5ABA"/>
    <w:rsid w:val="007D719F"/>
    <w:rsid w:val="007E0123"/>
    <w:rsid w:val="008009F7"/>
    <w:rsid w:val="00802822"/>
    <w:rsid w:val="008123F3"/>
    <w:rsid w:val="0083730F"/>
    <w:rsid w:val="0084305F"/>
    <w:rsid w:val="00845418"/>
    <w:rsid w:val="008460C7"/>
    <w:rsid w:val="008515C7"/>
    <w:rsid w:val="0085182C"/>
    <w:rsid w:val="00861A95"/>
    <w:rsid w:val="00864CFD"/>
    <w:rsid w:val="00867EA7"/>
    <w:rsid w:val="00874EC0"/>
    <w:rsid w:val="008A0584"/>
    <w:rsid w:val="008B0859"/>
    <w:rsid w:val="008C7600"/>
    <w:rsid w:val="008D2337"/>
    <w:rsid w:val="008D43DB"/>
    <w:rsid w:val="008E15DB"/>
    <w:rsid w:val="008F4D78"/>
    <w:rsid w:val="008F63FB"/>
    <w:rsid w:val="009020B5"/>
    <w:rsid w:val="009059DD"/>
    <w:rsid w:val="00913642"/>
    <w:rsid w:val="00916F81"/>
    <w:rsid w:val="009170E6"/>
    <w:rsid w:val="00920AE0"/>
    <w:rsid w:val="00927724"/>
    <w:rsid w:val="00932BB4"/>
    <w:rsid w:val="009341F9"/>
    <w:rsid w:val="00937C60"/>
    <w:rsid w:val="00943FC6"/>
    <w:rsid w:val="00945471"/>
    <w:rsid w:val="00947B17"/>
    <w:rsid w:val="00947C51"/>
    <w:rsid w:val="00960193"/>
    <w:rsid w:val="009601C5"/>
    <w:rsid w:val="00962FC4"/>
    <w:rsid w:val="0096560C"/>
    <w:rsid w:val="009679FF"/>
    <w:rsid w:val="009765DB"/>
    <w:rsid w:val="00981267"/>
    <w:rsid w:val="00994FD5"/>
    <w:rsid w:val="009A413E"/>
    <w:rsid w:val="009A6C0D"/>
    <w:rsid w:val="009A774B"/>
    <w:rsid w:val="009B0ACF"/>
    <w:rsid w:val="009B4745"/>
    <w:rsid w:val="009C3B3F"/>
    <w:rsid w:val="009D5A32"/>
    <w:rsid w:val="009D6D27"/>
    <w:rsid w:val="009E0434"/>
    <w:rsid w:val="009E4C26"/>
    <w:rsid w:val="009E560A"/>
    <w:rsid w:val="009E7E1B"/>
    <w:rsid w:val="009F1CC6"/>
    <w:rsid w:val="009F62BE"/>
    <w:rsid w:val="00A037F7"/>
    <w:rsid w:val="00A03F55"/>
    <w:rsid w:val="00A106F4"/>
    <w:rsid w:val="00A11476"/>
    <w:rsid w:val="00A1606B"/>
    <w:rsid w:val="00A22DB5"/>
    <w:rsid w:val="00A262C0"/>
    <w:rsid w:val="00A4219A"/>
    <w:rsid w:val="00A443B5"/>
    <w:rsid w:val="00A54045"/>
    <w:rsid w:val="00A6049F"/>
    <w:rsid w:val="00A64819"/>
    <w:rsid w:val="00A73240"/>
    <w:rsid w:val="00A76948"/>
    <w:rsid w:val="00A806A6"/>
    <w:rsid w:val="00A823A9"/>
    <w:rsid w:val="00A86059"/>
    <w:rsid w:val="00A955E7"/>
    <w:rsid w:val="00AB4557"/>
    <w:rsid w:val="00AB6597"/>
    <w:rsid w:val="00AC665A"/>
    <w:rsid w:val="00AD0723"/>
    <w:rsid w:val="00AD1963"/>
    <w:rsid w:val="00AD393D"/>
    <w:rsid w:val="00AD459B"/>
    <w:rsid w:val="00AE0516"/>
    <w:rsid w:val="00AE1340"/>
    <w:rsid w:val="00AF28EC"/>
    <w:rsid w:val="00AF2C4F"/>
    <w:rsid w:val="00AF5FE4"/>
    <w:rsid w:val="00B003D3"/>
    <w:rsid w:val="00B03410"/>
    <w:rsid w:val="00B06E76"/>
    <w:rsid w:val="00B136C2"/>
    <w:rsid w:val="00B140FE"/>
    <w:rsid w:val="00B25819"/>
    <w:rsid w:val="00B33260"/>
    <w:rsid w:val="00B355AB"/>
    <w:rsid w:val="00B44474"/>
    <w:rsid w:val="00B466C0"/>
    <w:rsid w:val="00B7076A"/>
    <w:rsid w:val="00B714BC"/>
    <w:rsid w:val="00B7289B"/>
    <w:rsid w:val="00B76F8B"/>
    <w:rsid w:val="00B82406"/>
    <w:rsid w:val="00B90B4B"/>
    <w:rsid w:val="00B92F68"/>
    <w:rsid w:val="00B939DC"/>
    <w:rsid w:val="00B958C0"/>
    <w:rsid w:val="00BB28F3"/>
    <w:rsid w:val="00BB5701"/>
    <w:rsid w:val="00C0029C"/>
    <w:rsid w:val="00C01BE4"/>
    <w:rsid w:val="00C01F42"/>
    <w:rsid w:val="00C10DD9"/>
    <w:rsid w:val="00C11CA7"/>
    <w:rsid w:val="00C16777"/>
    <w:rsid w:val="00C22129"/>
    <w:rsid w:val="00C43CAE"/>
    <w:rsid w:val="00C44E6F"/>
    <w:rsid w:val="00C44F55"/>
    <w:rsid w:val="00C511C7"/>
    <w:rsid w:val="00C53523"/>
    <w:rsid w:val="00C53F3C"/>
    <w:rsid w:val="00C5569B"/>
    <w:rsid w:val="00C71222"/>
    <w:rsid w:val="00C72237"/>
    <w:rsid w:val="00CA0EAD"/>
    <w:rsid w:val="00CA5ABE"/>
    <w:rsid w:val="00CC006C"/>
    <w:rsid w:val="00CC2232"/>
    <w:rsid w:val="00CD4DAD"/>
    <w:rsid w:val="00CD6A9E"/>
    <w:rsid w:val="00CD7B76"/>
    <w:rsid w:val="00CE1295"/>
    <w:rsid w:val="00CF5792"/>
    <w:rsid w:val="00D036DA"/>
    <w:rsid w:val="00D05E11"/>
    <w:rsid w:val="00D25182"/>
    <w:rsid w:val="00D25345"/>
    <w:rsid w:val="00D27ACD"/>
    <w:rsid w:val="00D33DF2"/>
    <w:rsid w:val="00D502F3"/>
    <w:rsid w:val="00D511D2"/>
    <w:rsid w:val="00D5447C"/>
    <w:rsid w:val="00D55C4B"/>
    <w:rsid w:val="00D5777E"/>
    <w:rsid w:val="00D611D8"/>
    <w:rsid w:val="00D65D6D"/>
    <w:rsid w:val="00D71F6B"/>
    <w:rsid w:val="00D840B3"/>
    <w:rsid w:val="00D93434"/>
    <w:rsid w:val="00D93A61"/>
    <w:rsid w:val="00D94BA1"/>
    <w:rsid w:val="00DA3967"/>
    <w:rsid w:val="00DB5DE7"/>
    <w:rsid w:val="00DB71A8"/>
    <w:rsid w:val="00DC2C5D"/>
    <w:rsid w:val="00DC2EC7"/>
    <w:rsid w:val="00DC6A32"/>
    <w:rsid w:val="00DC7124"/>
    <w:rsid w:val="00DC75DD"/>
    <w:rsid w:val="00DD5B3B"/>
    <w:rsid w:val="00DE1C0A"/>
    <w:rsid w:val="00E063E0"/>
    <w:rsid w:val="00E10022"/>
    <w:rsid w:val="00E21111"/>
    <w:rsid w:val="00E24FE2"/>
    <w:rsid w:val="00E33FF6"/>
    <w:rsid w:val="00E51D77"/>
    <w:rsid w:val="00E526B1"/>
    <w:rsid w:val="00E55126"/>
    <w:rsid w:val="00E604F9"/>
    <w:rsid w:val="00E652AF"/>
    <w:rsid w:val="00E81A3D"/>
    <w:rsid w:val="00E95F8D"/>
    <w:rsid w:val="00EA6DF4"/>
    <w:rsid w:val="00EB3738"/>
    <w:rsid w:val="00EB4ACC"/>
    <w:rsid w:val="00EB6316"/>
    <w:rsid w:val="00EB7B2F"/>
    <w:rsid w:val="00EC35F6"/>
    <w:rsid w:val="00EC5811"/>
    <w:rsid w:val="00ED4A7E"/>
    <w:rsid w:val="00EE09A4"/>
    <w:rsid w:val="00EE2108"/>
    <w:rsid w:val="00EF47B2"/>
    <w:rsid w:val="00EF683E"/>
    <w:rsid w:val="00F01011"/>
    <w:rsid w:val="00F05093"/>
    <w:rsid w:val="00F06A5D"/>
    <w:rsid w:val="00F16B85"/>
    <w:rsid w:val="00F21EE2"/>
    <w:rsid w:val="00F25394"/>
    <w:rsid w:val="00F3090C"/>
    <w:rsid w:val="00F33C3D"/>
    <w:rsid w:val="00F343B4"/>
    <w:rsid w:val="00F4283F"/>
    <w:rsid w:val="00F43C02"/>
    <w:rsid w:val="00F44AC1"/>
    <w:rsid w:val="00F617AB"/>
    <w:rsid w:val="00F62198"/>
    <w:rsid w:val="00F6243F"/>
    <w:rsid w:val="00F7097B"/>
    <w:rsid w:val="00F74B0B"/>
    <w:rsid w:val="00FA23F1"/>
    <w:rsid w:val="00FA4AAA"/>
    <w:rsid w:val="00FA659B"/>
    <w:rsid w:val="00FC19B2"/>
    <w:rsid w:val="00FC3A6D"/>
    <w:rsid w:val="00FC4A09"/>
    <w:rsid w:val="00FD1D07"/>
    <w:rsid w:val="00FD29DA"/>
    <w:rsid w:val="00FD32EA"/>
    <w:rsid w:val="00FD3F03"/>
    <w:rsid w:val="00FE15D5"/>
    <w:rsid w:val="00FE7FC9"/>
    <w:rsid w:val="00FF51C1"/>
    <w:rsid w:val="00FF6B74"/>
    <w:rsid w:val="0723639E"/>
    <w:rsid w:val="0769B0F9"/>
    <w:rsid w:val="5CA6E6E0"/>
    <w:rsid w:val="689DC7A4"/>
    <w:rsid w:val="6B92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9F39"/>
  <w15:docId w15:val="{30300FF8-81C7-4EFA-856F-7449F904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C1"/>
  </w:style>
  <w:style w:type="paragraph" w:styleId="Ttulo1">
    <w:name w:val="heading 1"/>
    <w:basedOn w:val="Normal"/>
    <w:next w:val="Normal"/>
    <w:link w:val="Ttulo1Car"/>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tblPr>
      <w:tblStyleRowBandSize w:val="1"/>
      <w:tblStyleColBandSize w:val="1"/>
      <w:tblCellMar>
        <w:left w:w="0" w:type="dxa"/>
        <w:right w:w="0"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anormal"/>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3">
    <w:basedOn w:val="Tablanormal"/>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anormal"/>
    <w:tblPr>
      <w:tblStyleRowBandSize w:val="1"/>
      <w:tblStyleColBandSize w:val="1"/>
      <w:tblCellMar>
        <w:left w:w="70" w:type="dxa"/>
        <w:right w:w="70" w:type="dxa"/>
      </w:tblCellMar>
    </w:tblPr>
  </w:style>
  <w:style w:type="table" w:customStyle="1" w:styleId="a6">
    <w:basedOn w:val="Tablanormal"/>
    <w:tblPr>
      <w:tblStyleRowBandSize w:val="1"/>
      <w:tblStyleColBandSize w:val="1"/>
      <w:tblCellMar>
        <w:left w:w="70" w:type="dxa"/>
        <w:right w:w="70" w:type="dxa"/>
      </w:tblCellMar>
    </w:tblPr>
  </w:style>
  <w:style w:type="table" w:customStyle="1" w:styleId="a7">
    <w:basedOn w:val="Tablanormal"/>
    <w:tblPr>
      <w:tblStyleRowBandSize w:val="1"/>
      <w:tblStyleColBandSize w:val="1"/>
      <w:tblCellMar>
        <w:left w:w="70" w:type="dxa"/>
        <w:right w:w="70" w:type="dxa"/>
      </w:tblCellMar>
    </w:tblPr>
  </w:style>
  <w:style w:type="table" w:customStyle="1" w:styleId="a8">
    <w:basedOn w:val="Tablanormal"/>
    <w:tblPr>
      <w:tblStyleRowBandSize w:val="1"/>
      <w:tblStyleColBandSize w:val="1"/>
      <w:tblCellMar>
        <w:left w:w="70" w:type="dxa"/>
        <w:right w:w="70" w:type="dxa"/>
      </w:tblCellMar>
    </w:tblPr>
  </w:style>
  <w:style w:type="table" w:customStyle="1" w:styleId="a9">
    <w:basedOn w:val="Tablanormal"/>
    <w:tblPr>
      <w:tblStyleRowBandSize w:val="1"/>
      <w:tblStyleColBandSize w:val="1"/>
      <w:tblCellMar>
        <w:top w:w="15" w:type="dxa"/>
        <w:left w:w="15" w:type="dxa"/>
        <w:bottom w:w="15" w:type="dxa"/>
        <w:right w:w="15" w:type="dxa"/>
      </w:tblCellMar>
    </w:tblPr>
  </w:style>
  <w:style w:type="table" w:customStyle="1" w:styleId="aa">
    <w:basedOn w:val="Tablanormal"/>
    <w:tblPr>
      <w:tblStyleRowBandSize w:val="1"/>
      <w:tblStyleColBandSize w:val="1"/>
      <w:tblCellMar>
        <w:top w:w="15" w:type="dxa"/>
        <w:left w:w="15" w:type="dxa"/>
        <w:bottom w:w="15" w:type="dxa"/>
        <w:right w:w="15" w:type="dxa"/>
      </w:tblCellMar>
    </w:tblPr>
  </w:style>
  <w:style w:type="table" w:customStyle="1" w:styleId="ab">
    <w:basedOn w:val="Tablanormal"/>
    <w:tblPr>
      <w:tblStyleRowBandSize w:val="1"/>
      <w:tblStyleColBandSize w:val="1"/>
      <w:tblCellMar>
        <w:top w:w="15" w:type="dxa"/>
        <w:left w:w="15" w:type="dxa"/>
        <w:bottom w:w="15" w:type="dxa"/>
        <w:right w:w="15" w:type="dxa"/>
      </w:tblCellMar>
    </w:tblPr>
  </w:style>
  <w:style w:type="table" w:customStyle="1" w:styleId="ac">
    <w:basedOn w:val="Tablanormal"/>
    <w:tblPr>
      <w:tblStyleRowBandSize w:val="1"/>
      <w:tblStyleColBandSize w:val="1"/>
      <w:tblCellMar>
        <w:left w:w="70" w:type="dxa"/>
        <w:right w:w="70" w:type="dxa"/>
      </w:tblCellMar>
    </w:tblPr>
  </w:style>
  <w:style w:type="table" w:customStyle="1" w:styleId="ad">
    <w:basedOn w:val="Tablanormal"/>
    <w:tblPr>
      <w:tblStyleRowBandSize w:val="1"/>
      <w:tblStyleColBandSize w:val="1"/>
      <w:tblCellMar>
        <w:left w:w="70" w:type="dxa"/>
        <w:right w:w="70" w:type="dxa"/>
      </w:tblCellMar>
    </w:tblPr>
  </w:style>
  <w:style w:type="table" w:customStyle="1" w:styleId="ae">
    <w:basedOn w:val="Tablanormal"/>
    <w:tblPr>
      <w:tblStyleRowBandSize w:val="1"/>
      <w:tblStyleColBandSize w:val="1"/>
      <w:tblCellMar>
        <w:left w:w="70" w:type="dxa"/>
        <w:right w:w="70" w:type="dxa"/>
      </w:tblCellMar>
    </w:tblPr>
  </w:style>
  <w:style w:type="table" w:customStyle="1" w:styleId="af">
    <w:basedOn w:val="Tablanormal"/>
    <w:tblPr>
      <w:tblStyleRowBandSize w:val="1"/>
      <w:tblStyleColBandSize w:val="1"/>
      <w:tblCellMar>
        <w:left w:w="70" w:type="dxa"/>
        <w:right w:w="70" w:type="dxa"/>
      </w:tblCellMar>
    </w:tblPr>
  </w:style>
  <w:style w:type="table" w:customStyle="1" w:styleId="af0">
    <w:basedOn w:val="Tablanormal"/>
    <w:tblPr>
      <w:tblStyleRowBandSize w:val="1"/>
      <w:tblStyleColBandSize w:val="1"/>
      <w:tblCellMar>
        <w:left w:w="70" w:type="dxa"/>
        <w:right w:w="70" w:type="dxa"/>
      </w:tblCellMar>
    </w:tblPr>
  </w:style>
  <w:style w:type="table" w:customStyle="1" w:styleId="af1">
    <w:basedOn w:val="Tablanormal"/>
    <w:tblPr>
      <w:tblStyleRowBandSize w:val="1"/>
      <w:tblStyleColBandSize w:val="1"/>
      <w:tblCellMar>
        <w:left w:w="70" w:type="dxa"/>
        <w:right w:w="70" w:type="dxa"/>
      </w:tblCellMar>
    </w:tblPr>
  </w:style>
  <w:style w:type="table" w:customStyle="1" w:styleId="af2">
    <w:basedOn w:val="Tablanormal"/>
    <w:tblPr>
      <w:tblStyleRowBandSize w:val="1"/>
      <w:tblStyleColBandSize w:val="1"/>
      <w:tblCellMar>
        <w:left w:w="70" w:type="dxa"/>
        <w:right w:w="70" w:type="dxa"/>
      </w:tblCellMar>
    </w:tblPr>
  </w:style>
  <w:style w:type="table" w:customStyle="1" w:styleId="af3">
    <w:basedOn w:val="Tablanormal"/>
    <w:tblPr>
      <w:tblStyleRowBandSize w:val="1"/>
      <w:tblStyleColBandSize w:val="1"/>
      <w:tblCellMar>
        <w:left w:w="70" w:type="dxa"/>
        <w:right w:w="70" w:type="dxa"/>
      </w:tblCellMar>
    </w:tblPr>
  </w:style>
  <w:style w:type="table" w:customStyle="1" w:styleId="af4">
    <w:basedOn w:val="Tablanormal"/>
    <w:tblPr>
      <w:tblStyleRowBandSize w:val="1"/>
      <w:tblStyleColBandSize w:val="1"/>
      <w:tblCellMar>
        <w:left w:w="70" w:type="dxa"/>
        <w:right w:w="70" w:type="dxa"/>
      </w:tblCellMar>
    </w:tblPr>
  </w:style>
  <w:style w:type="table" w:customStyle="1" w:styleId="af5">
    <w:basedOn w:val="Tablanormal"/>
    <w:tblPr>
      <w:tblStyleRowBandSize w:val="1"/>
      <w:tblStyleColBandSize w:val="1"/>
      <w:tblCellMar>
        <w:left w:w="70" w:type="dxa"/>
        <w:right w:w="70" w:type="dxa"/>
      </w:tblCellMar>
    </w:tblPr>
  </w:style>
  <w:style w:type="table" w:customStyle="1" w:styleId="af6">
    <w:basedOn w:val="Tablanormal"/>
    <w:tblPr>
      <w:tblStyleRowBandSize w:val="1"/>
      <w:tblStyleColBandSize w:val="1"/>
      <w:tblCellMar>
        <w:left w:w="70" w:type="dxa"/>
        <w:right w:w="70" w:type="dxa"/>
      </w:tblCellMar>
    </w:tblPr>
  </w:style>
  <w:style w:type="table" w:customStyle="1" w:styleId="af7">
    <w:basedOn w:val="Tablanormal"/>
    <w:tblPr>
      <w:tblStyleRowBandSize w:val="1"/>
      <w:tblStyleColBandSize w:val="1"/>
      <w:tblCellMar>
        <w:left w:w="70" w:type="dxa"/>
        <w:right w:w="70" w:type="dxa"/>
      </w:tblCellMar>
    </w:tblPr>
  </w:style>
  <w:style w:type="table" w:customStyle="1" w:styleId="af8">
    <w:basedOn w:val="Tablanormal"/>
    <w:tblPr>
      <w:tblStyleRowBandSize w:val="1"/>
      <w:tblStyleColBandSize w:val="1"/>
      <w:tblCellMar>
        <w:left w:w="70" w:type="dxa"/>
        <w:right w:w="70" w:type="dxa"/>
      </w:tblCellMar>
    </w:tblPr>
  </w:style>
  <w:style w:type="table" w:customStyle="1" w:styleId="af9">
    <w:basedOn w:val="Tablanormal"/>
    <w:tblPr>
      <w:tblStyleRowBandSize w:val="1"/>
      <w:tblStyleColBandSize w:val="1"/>
      <w:tblCellMar>
        <w:left w:w="70" w:type="dxa"/>
        <w:right w:w="70" w:type="dxa"/>
      </w:tblCellMar>
    </w:tblPr>
  </w:style>
  <w:style w:type="table" w:customStyle="1" w:styleId="afa">
    <w:basedOn w:val="Tablanormal"/>
    <w:tblPr>
      <w:tblStyleRowBandSize w:val="1"/>
      <w:tblStyleColBandSize w:val="1"/>
      <w:tblCellMar>
        <w:left w:w="70" w:type="dxa"/>
        <w:right w:w="70" w:type="dxa"/>
      </w:tblCellMar>
    </w:tblPr>
  </w:style>
  <w:style w:type="table" w:customStyle="1" w:styleId="afb">
    <w:basedOn w:val="Tablanormal"/>
    <w:tblPr>
      <w:tblStyleRowBandSize w:val="1"/>
      <w:tblStyleColBandSize w:val="1"/>
      <w:tblCellMar>
        <w:left w:w="70" w:type="dxa"/>
        <w:right w:w="70" w:type="dxa"/>
      </w:tblCellMar>
    </w:tblPr>
  </w:style>
  <w:style w:type="table" w:customStyle="1" w:styleId="afc">
    <w:basedOn w:val="Tablanormal"/>
    <w:tblPr>
      <w:tblStyleRowBandSize w:val="1"/>
      <w:tblStyleColBandSize w:val="1"/>
      <w:tblCellMar>
        <w:left w:w="70" w:type="dxa"/>
        <w:right w:w="70" w:type="dxa"/>
      </w:tblCellMar>
    </w:tblPr>
  </w:style>
  <w:style w:type="table" w:customStyle="1" w:styleId="afd">
    <w:basedOn w:val="Tablanormal"/>
    <w:tblPr>
      <w:tblStyleRowBandSize w:val="1"/>
      <w:tblStyleColBandSize w:val="1"/>
      <w:tblCellMar>
        <w:top w:w="15" w:type="dxa"/>
        <w:left w:w="15" w:type="dxa"/>
        <w:bottom w:w="15" w:type="dxa"/>
        <w:right w:w="15" w:type="dxa"/>
      </w:tblCellMar>
    </w:tblPr>
  </w:style>
  <w:style w:type="table" w:customStyle="1" w:styleId="afe">
    <w:basedOn w:val="Tablanormal"/>
    <w:tblPr>
      <w:tblStyleRowBandSize w:val="1"/>
      <w:tblStyleColBandSize w:val="1"/>
      <w:tblCellMar>
        <w:top w:w="15" w:type="dxa"/>
        <w:left w:w="15" w:type="dxa"/>
        <w:bottom w:w="15" w:type="dxa"/>
        <w:right w:w="15" w:type="dxa"/>
      </w:tblCellMar>
    </w:tblPr>
  </w:style>
  <w:style w:type="table" w:customStyle="1" w:styleId="aff">
    <w:basedOn w:val="Tablanormal"/>
    <w:tblPr>
      <w:tblStyleRowBandSize w:val="1"/>
      <w:tblStyleColBandSize w:val="1"/>
      <w:tblCellMar>
        <w:top w:w="15" w:type="dxa"/>
        <w:left w:w="15" w:type="dxa"/>
        <w:bottom w:w="15" w:type="dxa"/>
        <w:right w:w="15" w:type="dxa"/>
      </w:tblCellMar>
    </w:tblPr>
  </w:style>
  <w:style w:type="table" w:customStyle="1" w:styleId="aff0">
    <w:basedOn w:val="Tablanormal"/>
    <w:tblPr>
      <w:tblStyleRowBandSize w:val="1"/>
      <w:tblStyleColBandSize w:val="1"/>
      <w:tblCellMar>
        <w:left w:w="70" w:type="dxa"/>
        <w:right w:w="70" w:type="dxa"/>
      </w:tblCellMar>
    </w:tblPr>
  </w:style>
  <w:style w:type="table" w:customStyle="1" w:styleId="aff1">
    <w:basedOn w:val="Tablanormal"/>
    <w:tblPr>
      <w:tblStyleRowBandSize w:val="1"/>
      <w:tblStyleColBandSize w:val="1"/>
      <w:tblCellMar>
        <w:left w:w="70" w:type="dxa"/>
        <w:right w:w="70" w:type="dxa"/>
      </w:tblCellMar>
    </w:tblPr>
  </w:style>
  <w:style w:type="table" w:customStyle="1" w:styleId="aff2">
    <w:basedOn w:val="Tablanormal"/>
    <w:tblPr>
      <w:tblStyleRowBandSize w:val="1"/>
      <w:tblStyleColBandSize w:val="1"/>
      <w:tblCellMar>
        <w:left w:w="70" w:type="dxa"/>
        <w:right w:w="70" w:type="dxa"/>
      </w:tblCellMar>
    </w:tblPr>
  </w:style>
  <w:style w:type="table" w:customStyle="1" w:styleId="aff3">
    <w:basedOn w:val="Tablanormal"/>
    <w:tblPr>
      <w:tblStyleRowBandSize w:val="1"/>
      <w:tblStyleColBandSize w:val="1"/>
      <w:tblCellMar>
        <w:left w:w="70" w:type="dxa"/>
        <w:right w:w="70" w:type="dxa"/>
      </w:tblCellMar>
    </w:tblPr>
  </w:style>
  <w:style w:type="table" w:customStyle="1" w:styleId="aff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5">
    <w:basedOn w:val="Tablanormal"/>
    <w:tblPr>
      <w:tblStyleRowBandSize w:val="1"/>
      <w:tblStyleColBandSize w:val="1"/>
      <w:tblCellMar>
        <w:left w:w="70" w:type="dxa"/>
        <w:right w:w="70" w:type="dxa"/>
      </w:tblCellMar>
    </w:tblPr>
  </w:style>
  <w:style w:type="table" w:customStyle="1" w:styleId="aff6">
    <w:basedOn w:val="Tablanormal"/>
    <w:tblPr>
      <w:tblStyleRowBandSize w:val="1"/>
      <w:tblStyleColBandSize w:val="1"/>
      <w:tblCellMar>
        <w:left w:w="70" w:type="dxa"/>
        <w:right w:w="70" w:type="dxa"/>
      </w:tblCellMar>
    </w:tblPr>
  </w:style>
  <w:style w:type="table" w:customStyle="1" w:styleId="aff7">
    <w:basedOn w:val="Tablanormal"/>
    <w:tblPr>
      <w:tblStyleRowBandSize w:val="1"/>
      <w:tblStyleColBandSize w:val="1"/>
      <w:tblCellMar>
        <w:top w:w="15" w:type="dxa"/>
        <w:left w:w="15" w:type="dxa"/>
        <w:bottom w:w="15" w:type="dxa"/>
        <w:right w:w="15" w:type="dxa"/>
      </w:tblCellMar>
    </w:tblPr>
  </w:style>
  <w:style w:type="table" w:customStyle="1" w:styleId="aff8">
    <w:basedOn w:val="Tablanormal"/>
    <w:tblPr>
      <w:tblStyleRowBandSize w:val="1"/>
      <w:tblStyleColBandSize w:val="1"/>
      <w:tblCellMar>
        <w:top w:w="15" w:type="dxa"/>
        <w:left w:w="15" w:type="dxa"/>
        <w:bottom w:w="15" w:type="dxa"/>
        <w:right w:w="15" w:type="dxa"/>
      </w:tblCellMar>
    </w:tblPr>
  </w:style>
  <w:style w:type="table" w:customStyle="1" w:styleId="aff9">
    <w:basedOn w:val="Tablanormal"/>
    <w:tblPr>
      <w:tblStyleRowBandSize w:val="1"/>
      <w:tblStyleColBandSize w:val="1"/>
      <w:tblCellMar>
        <w:top w:w="15" w:type="dxa"/>
        <w:left w:w="15" w:type="dxa"/>
        <w:bottom w:w="15" w:type="dxa"/>
        <w:right w:w="15" w:type="dxa"/>
      </w:tblCellMar>
    </w:tblPr>
  </w:style>
  <w:style w:type="table" w:customStyle="1" w:styleId="affa">
    <w:basedOn w:val="Tablanormal"/>
    <w:tblPr>
      <w:tblStyleRowBandSize w:val="1"/>
      <w:tblStyleColBandSize w:val="1"/>
      <w:tblCellMar>
        <w:left w:w="70" w:type="dxa"/>
        <w:right w:w="70" w:type="dxa"/>
      </w:tblCellMar>
    </w:tblPr>
  </w:style>
  <w:style w:type="table" w:customStyle="1" w:styleId="affb">
    <w:basedOn w:val="Tablanormal"/>
    <w:tblPr>
      <w:tblStyleRowBandSize w:val="1"/>
      <w:tblStyleColBandSize w:val="1"/>
      <w:tblCellMar>
        <w:left w:w="70" w:type="dxa"/>
        <w:right w:w="70" w:type="dxa"/>
      </w:tblCellMar>
    </w:tblPr>
  </w:style>
  <w:style w:type="table" w:customStyle="1" w:styleId="affc">
    <w:basedOn w:val="Tablanormal"/>
    <w:tblPr>
      <w:tblStyleRowBandSize w:val="1"/>
      <w:tblStyleColBandSize w:val="1"/>
      <w:tblCellMar>
        <w:top w:w="15" w:type="dxa"/>
        <w:left w:w="15" w:type="dxa"/>
        <w:bottom w:w="15" w:type="dxa"/>
        <w:right w:w="15" w:type="dxa"/>
      </w:tblCellMar>
    </w:tblPr>
  </w:style>
  <w:style w:type="table" w:customStyle="1" w:styleId="affd">
    <w:basedOn w:val="Tablanormal"/>
    <w:tblPr>
      <w:tblStyleRowBandSize w:val="1"/>
      <w:tblStyleColBandSize w:val="1"/>
      <w:tblCellMar>
        <w:top w:w="15" w:type="dxa"/>
        <w:left w:w="15" w:type="dxa"/>
        <w:bottom w:w="15" w:type="dxa"/>
        <w:right w:w="15" w:type="dxa"/>
      </w:tblCellMar>
    </w:tblPr>
  </w:style>
  <w:style w:type="table" w:customStyle="1" w:styleId="affe">
    <w:basedOn w:val="Tablanormal"/>
    <w:tblPr>
      <w:tblStyleRowBandSize w:val="1"/>
      <w:tblStyleColBandSize w:val="1"/>
      <w:tblCellMar>
        <w:top w:w="15" w:type="dxa"/>
        <w:left w:w="15" w:type="dxa"/>
        <w:bottom w:w="15" w:type="dxa"/>
        <w:right w:w="15" w:type="dxa"/>
      </w:tblCellMar>
    </w:tblPr>
  </w:style>
  <w:style w:type="table" w:customStyle="1" w:styleId="afff">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0">
    <w:basedOn w:val="Tablanormal"/>
    <w:tblPr>
      <w:tblStyleRowBandSize w:val="1"/>
      <w:tblStyleColBandSize w:val="1"/>
      <w:tblCellMar>
        <w:left w:w="70" w:type="dxa"/>
        <w:right w:w="70" w:type="dxa"/>
      </w:tblCellMar>
    </w:tblPr>
  </w:style>
  <w:style w:type="table" w:customStyle="1" w:styleId="afff1">
    <w:basedOn w:val="Tablanormal"/>
    <w:tblPr>
      <w:tblStyleRowBandSize w:val="1"/>
      <w:tblStyleColBandSize w:val="1"/>
      <w:tblCellMar>
        <w:left w:w="70" w:type="dxa"/>
        <w:right w:w="70" w:type="dxa"/>
      </w:tblCellMar>
    </w:tblPr>
  </w:style>
  <w:style w:type="table" w:customStyle="1" w:styleId="afff2">
    <w:basedOn w:val="Tablanormal"/>
    <w:tblPr>
      <w:tblStyleRowBandSize w:val="1"/>
      <w:tblStyleColBandSize w:val="1"/>
      <w:tblCellMar>
        <w:left w:w="70" w:type="dxa"/>
        <w:right w:w="70" w:type="dxa"/>
      </w:tblCellMar>
    </w:tblPr>
  </w:style>
  <w:style w:type="table" w:customStyle="1" w:styleId="afff3">
    <w:basedOn w:val="Tablanormal"/>
    <w:tblPr>
      <w:tblStyleRowBandSize w:val="1"/>
      <w:tblStyleColBandSize w:val="1"/>
      <w:tblCellMar>
        <w:left w:w="70" w:type="dxa"/>
        <w:right w:w="70" w:type="dxa"/>
      </w:tblCellMar>
    </w:tblPr>
  </w:style>
  <w:style w:type="table" w:customStyle="1" w:styleId="afff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5">
    <w:basedOn w:val="Tablanormal"/>
    <w:tblPr>
      <w:tblStyleRowBandSize w:val="1"/>
      <w:tblStyleColBandSize w:val="1"/>
      <w:tblCellMar>
        <w:left w:w="115" w:type="dxa"/>
        <w:right w:w="115" w:type="dxa"/>
      </w:tblCellMar>
    </w:tblPr>
  </w:style>
  <w:style w:type="table" w:customStyle="1" w:styleId="afff6">
    <w:basedOn w:val="Tabla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6709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67099"/>
    <w:rPr>
      <w:rFonts w:ascii="Times New Roman" w:hAnsi="Times New Roman" w:cs="Times New Roman"/>
      <w:sz w:val="18"/>
      <w:szCs w:val="18"/>
    </w:rPr>
  </w:style>
  <w:style w:type="table" w:styleId="Tabladecuadrcula5oscura">
    <w:name w:val="Grid Table 5 Dark"/>
    <w:basedOn w:val="Tablanormal"/>
    <w:uiPriority w:val="50"/>
    <w:rsid w:val="00387C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6concolores">
    <w:name w:val="Grid Table 6 Colorful"/>
    <w:basedOn w:val="Tablanormal"/>
    <w:uiPriority w:val="51"/>
    <w:rsid w:val="00387C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CE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CE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
    <w:name w:val="Table Grid"/>
    <w:basedOn w:val="Tablanormal"/>
    <w:uiPriority w:val="39"/>
    <w:rsid w:val="00CE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7concolores">
    <w:name w:val="Grid Table 7 Colorful"/>
    <w:basedOn w:val="Tablanormal"/>
    <w:uiPriority w:val="52"/>
    <w:rsid w:val="00CE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4">
    <w:name w:val="List Table 4"/>
    <w:basedOn w:val="Tablanormal"/>
    <w:uiPriority w:val="49"/>
    <w:rsid w:val="00BC0D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0A6AD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A6ADD"/>
  </w:style>
  <w:style w:type="paragraph" w:styleId="Piedepgina">
    <w:name w:val="footer"/>
    <w:basedOn w:val="Normal"/>
    <w:link w:val="PiedepginaCar"/>
    <w:uiPriority w:val="99"/>
    <w:unhideWhenUsed/>
    <w:rsid w:val="000A6AD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A6ADD"/>
  </w:style>
  <w:style w:type="paragraph" w:styleId="Prrafodelista">
    <w:name w:val="List Paragraph"/>
    <w:basedOn w:val="Normal"/>
    <w:uiPriority w:val="34"/>
    <w:qFormat/>
    <w:rsid w:val="00153068"/>
    <w:pPr>
      <w:spacing w:after="0" w:line="240" w:lineRule="auto"/>
      <w:ind w:left="720"/>
      <w:contextualSpacing/>
    </w:pPr>
    <w:rPr>
      <w:rFonts w:asciiTheme="minorHAnsi" w:eastAsiaTheme="minorEastAsia" w:hAnsiTheme="minorHAnsi" w:cstheme="minorBidi"/>
      <w:sz w:val="24"/>
      <w:szCs w:val="24"/>
      <w:lang w:val="es-ES_tradnl" w:eastAsia="es-ES"/>
    </w:rPr>
  </w:style>
  <w:style w:type="table" w:customStyle="1" w:styleId="afff7">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8">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9">
    <w:basedOn w:val="NormalTable1"/>
    <w:tblPr>
      <w:tblStyleRowBandSize w:val="1"/>
      <w:tblStyleColBandSize w:val="1"/>
      <w:tblCellMar>
        <w:top w:w="100" w:type="dxa"/>
        <w:left w:w="100" w:type="dxa"/>
        <w:bottom w:w="100" w:type="dxa"/>
        <w:right w:w="100" w:type="dxa"/>
      </w:tblCellMar>
    </w:tblPr>
  </w:style>
  <w:style w:type="table" w:customStyle="1" w:styleId="afffa">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b">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c">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d">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e">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0">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1">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2">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3">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4">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5">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6">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7">
    <w:basedOn w:val="NormalTable1"/>
    <w:tblPr>
      <w:tblStyleRowBandSize w:val="1"/>
      <w:tblStyleColBandSize w:val="1"/>
      <w:tblCellMar>
        <w:top w:w="100" w:type="dxa"/>
        <w:left w:w="100" w:type="dxa"/>
        <w:bottom w:w="100" w:type="dxa"/>
        <w:right w:w="100" w:type="dxa"/>
      </w:tblCellMar>
    </w:tblPr>
  </w:style>
  <w:style w:type="table" w:customStyle="1" w:styleId="affff8">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9">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a">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b">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c">
    <w:basedOn w:val="NormalTable1"/>
    <w:tblPr>
      <w:tblStyleRowBandSize w:val="1"/>
      <w:tblStyleColBandSize w:val="1"/>
      <w:tblCellMar>
        <w:top w:w="100" w:type="dxa"/>
        <w:left w:w="100" w:type="dxa"/>
        <w:bottom w:w="100" w:type="dxa"/>
        <w:right w:w="100" w:type="dxa"/>
      </w:tblCellMar>
    </w:tblPr>
  </w:style>
  <w:style w:type="table" w:customStyle="1" w:styleId="affffd">
    <w:basedOn w:val="NormalTable1"/>
    <w:pPr>
      <w:spacing w:after="0" w:line="240" w:lineRule="auto"/>
    </w:pPr>
    <w:tblPr>
      <w:tblStyleRowBandSize w:val="1"/>
      <w:tblStyleColBandSize w:val="1"/>
      <w:tblCellMar>
        <w:left w:w="108" w:type="dxa"/>
        <w:right w:w="108" w:type="dxa"/>
      </w:tblCellMar>
    </w:tblPr>
  </w:style>
  <w:style w:type="table" w:customStyle="1" w:styleId="affffe">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0">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1">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2">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3">
    <w:basedOn w:val="NormalTable1"/>
    <w:tblPr>
      <w:tblStyleRowBandSize w:val="1"/>
      <w:tblStyleColBandSize w:val="1"/>
      <w:tblCellMar>
        <w:top w:w="100" w:type="dxa"/>
        <w:left w:w="100" w:type="dxa"/>
        <w:bottom w:w="100" w:type="dxa"/>
        <w:right w:w="100" w:type="dxa"/>
      </w:tblCellMar>
    </w:tblPr>
  </w:style>
  <w:style w:type="table" w:customStyle="1" w:styleId="afffff4">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5">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6">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7">
    <w:basedOn w:val="NormalTable1"/>
    <w:tblPr>
      <w:tblStyleRowBandSize w:val="1"/>
      <w:tblStyleColBandSize w:val="1"/>
      <w:tblCellMar>
        <w:top w:w="100" w:type="dxa"/>
        <w:left w:w="100" w:type="dxa"/>
        <w:bottom w:w="100" w:type="dxa"/>
        <w:right w:w="100" w:type="dxa"/>
      </w:tblCellMar>
    </w:tblPr>
  </w:style>
  <w:style w:type="table" w:customStyle="1" w:styleId="afffff8">
    <w:basedOn w:val="NormalTable1"/>
    <w:tblPr>
      <w:tblStyleRowBandSize w:val="1"/>
      <w:tblStyleColBandSize w:val="1"/>
      <w:tblCellMar>
        <w:top w:w="100" w:type="dxa"/>
        <w:left w:w="100" w:type="dxa"/>
        <w:bottom w:w="100" w:type="dxa"/>
        <w:right w:w="100" w:type="dxa"/>
      </w:tblCellMar>
    </w:tblPr>
  </w:style>
  <w:style w:type="table" w:customStyle="1" w:styleId="afffff9">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a">
    <w:basedOn w:val="NormalTable1"/>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paragraph" w:styleId="NormalWeb">
    <w:name w:val="Normal (Web)"/>
    <w:basedOn w:val="Normal"/>
    <w:uiPriority w:val="99"/>
    <w:unhideWhenUsed/>
    <w:rsid w:val="00B355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n">
    <w:name w:val="Revision"/>
    <w:hidden/>
    <w:uiPriority w:val="99"/>
    <w:semiHidden/>
    <w:rsid w:val="005D3E67"/>
    <w:pPr>
      <w:spacing w:after="0" w:line="240" w:lineRule="auto"/>
    </w:p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000FF" w:themeColor="hyperlink"/>
      <w:u w:val="single"/>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UnresolvedMention">
    <w:name w:val="Unresolved Mention"/>
    <w:basedOn w:val="Fuentedeprrafopredeter"/>
    <w:uiPriority w:val="99"/>
    <w:semiHidden/>
    <w:unhideWhenUsed/>
    <w:rsid w:val="0036280C"/>
    <w:rPr>
      <w:color w:val="605E5C"/>
      <w:shd w:val="clear" w:color="auto" w:fill="E1DFDD"/>
    </w:rPr>
  </w:style>
  <w:style w:type="character" w:customStyle="1" w:styleId="Ttulo1Car">
    <w:name w:val="Título 1 Car"/>
    <w:basedOn w:val="Fuentedeprrafopredeter"/>
    <w:link w:val="Ttulo1"/>
    <w:uiPriority w:val="9"/>
    <w:rsid w:val="002931C7"/>
    <w:rPr>
      <w:color w:val="2E75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2317">
      <w:bodyDiv w:val="1"/>
      <w:marLeft w:val="0"/>
      <w:marRight w:val="0"/>
      <w:marTop w:val="0"/>
      <w:marBottom w:val="0"/>
      <w:divBdr>
        <w:top w:val="none" w:sz="0" w:space="0" w:color="auto"/>
        <w:left w:val="none" w:sz="0" w:space="0" w:color="auto"/>
        <w:bottom w:val="none" w:sz="0" w:space="0" w:color="auto"/>
        <w:right w:val="none" w:sz="0" w:space="0" w:color="auto"/>
      </w:divBdr>
    </w:div>
    <w:div w:id="295262453">
      <w:bodyDiv w:val="1"/>
      <w:marLeft w:val="0"/>
      <w:marRight w:val="0"/>
      <w:marTop w:val="0"/>
      <w:marBottom w:val="0"/>
      <w:divBdr>
        <w:top w:val="none" w:sz="0" w:space="0" w:color="auto"/>
        <w:left w:val="none" w:sz="0" w:space="0" w:color="auto"/>
        <w:bottom w:val="none" w:sz="0" w:space="0" w:color="auto"/>
        <w:right w:val="none" w:sz="0" w:space="0" w:color="auto"/>
      </w:divBdr>
    </w:div>
    <w:div w:id="452558604">
      <w:bodyDiv w:val="1"/>
      <w:marLeft w:val="0"/>
      <w:marRight w:val="0"/>
      <w:marTop w:val="0"/>
      <w:marBottom w:val="0"/>
      <w:divBdr>
        <w:top w:val="none" w:sz="0" w:space="0" w:color="auto"/>
        <w:left w:val="none" w:sz="0" w:space="0" w:color="auto"/>
        <w:bottom w:val="none" w:sz="0" w:space="0" w:color="auto"/>
        <w:right w:val="none" w:sz="0" w:space="0" w:color="auto"/>
      </w:divBdr>
    </w:div>
    <w:div w:id="683476252">
      <w:bodyDiv w:val="1"/>
      <w:marLeft w:val="0"/>
      <w:marRight w:val="0"/>
      <w:marTop w:val="0"/>
      <w:marBottom w:val="0"/>
      <w:divBdr>
        <w:top w:val="none" w:sz="0" w:space="0" w:color="auto"/>
        <w:left w:val="none" w:sz="0" w:space="0" w:color="auto"/>
        <w:bottom w:val="none" w:sz="0" w:space="0" w:color="auto"/>
        <w:right w:val="none" w:sz="0" w:space="0" w:color="auto"/>
      </w:divBdr>
    </w:div>
    <w:div w:id="979960549">
      <w:bodyDiv w:val="1"/>
      <w:marLeft w:val="0"/>
      <w:marRight w:val="0"/>
      <w:marTop w:val="0"/>
      <w:marBottom w:val="0"/>
      <w:divBdr>
        <w:top w:val="none" w:sz="0" w:space="0" w:color="auto"/>
        <w:left w:val="none" w:sz="0" w:space="0" w:color="auto"/>
        <w:bottom w:val="none" w:sz="0" w:space="0" w:color="auto"/>
        <w:right w:val="none" w:sz="0" w:space="0" w:color="auto"/>
      </w:divBdr>
    </w:div>
    <w:div w:id="1315405398">
      <w:bodyDiv w:val="1"/>
      <w:marLeft w:val="0"/>
      <w:marRight w:val="0"/>
      <w:marTop w:val="0"/>
      <w:marBottom w:val="0"/>
      <w:divBdr>
        <w:top w:val="none" w:sz="0" w:space="0" w:color="auto"/>
        <w:left w:val="none" w:sz="0" w:space="0" w:color="auto"/>
        <w:bottom w:val="none" w:sz="0" w:space="0" w:color="auto"/>
        <w:right w:val="none" w:sz="0" w:space="0" w:color="auto"/>
      </w:divBdr>
    </w:div>
    <w:div w:id="1413427305">
      <w:bodyDiv w:val="1"/>
      <w:marLeft w:val="0"/>
      <w:marRight w:val="0"/>
      <w:marTop w:val="0"/>
      <w:marBottom w:val="0"/>
      <w:divBdr>
        <w:top w:val="none" w:sz="0" w:space="0" w:color="auto"/>
        <w:left w:val="none" w:sz="0" w:space="0" w:color="auto"/>
        <w:bottom w:val="none" w:sz="0" w:space="0" w:color="auto"/>
        <w:right w:val="none" w:sz="0" w:space="0" w:color="auto"/>
      </w:divBdr>
    </w:div>
    <w:div w:id="152012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f0eb57af0d444f3b"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ninterior.gov.co/wp-content/uploads/2023/11/12.-ejecucion-presupuestal-cierre-31-de-diciembre-de-2023.xlsx" TargetMode="External"/><Relationship Id="rId3" Type="http://schemas.openxmlformats.org/officeDocument/2006/relationships/hyperlink" Target="https://www.mininterior.gov.co/wp-content/uploads/2022/07/INFORME-CONGRESO-DE-LA-REPUBLICA-2021-2022.pdf" TargetMode="External"/><Relationship Id="rId7" Type="http://schemas.openxmlformats.org/officeDocument/2006/relationships/hyperlink" Target="https://www.mininterior.gov.co/wp-content/uploads/2023/11/12.-ejecucion-presupuestal-cierre-31-de-diciembre-de-2023.xlsx" TargetMode="External"/><Relationship Id="rId12" Type="http://schemas.openxmlformats.org/officeDocument/2006/relationships/hyperlink" Target="https://www.mininterior.gov.co/wp-content/uploads/2023/11/12.-ejecucion-presupuestal-cierre-31-de-diciembre-de-2023.xlsx" TargetMode="External"/><Relationship Id="rId2" Type="http://schemas.openxmlformats.org/officeDocument/2006/relationships/hyperlink" Target="https://www.mininterior.gov.co/wp-content/uploads/2023/11/12.-ejecucion-presupuestal-cierre-31-de-diciembre-de-2023.xlsx" TargetMode="External"/><Relationship Id="rId1" Type="http://schemas.openxmlformats.org/officeDocument/2006/relationships/hyperlink" Target="https://www.mininterior.gov.co/wp-content/uploads/2023/11/12.-ejecucion-presupuestal-cierre-31-de-diciembre-de-2023.xlsx" TargetMode="External"/><Relationship Id="rId6" Type="http://schemas.openxmlformats.org/officeDocument/2006/relationships/hyperlink" Target="https://www.mininterior.gov.co/wp-content/uploads/2022/07/INFORME-CONGRESO-DE-LA-REPUBLICA-2021-2022.pdf" TargetMode="External"/><Relationship Id="rId11" Type="http://schemas.openxmlformats.org/officeDocument/2006/relationships/hyperlink" Target="https://www.mininterior.gov.co/wp-content/uploads/2023/11/12.-ejecucion-presupuestal-cierre-31-de-diciembre-de-2023.xlsx" TargetMode="External"/><Relationship Id="rId5" Type="http://schemas.openxmlformats.org/officeDocument/2006/relationships/hyperlink" Target="https://www.mininterior.gov.co/wp-content/uploads/2022/07/INFORME-CONGRESO-DE-LA-REPUBLICA-2021-2022.pdf" TargetMode="External"/><Relationship Id="rId10" Type="http://schemas.openxmlformats.org/officeDocument/2006/relationships/hyperlink" Target="https://www.mininterior.gov.co/normatividad/" TargetMode="External"/><Relationship Id="rId4" Type="http://schemas.openxmlformats.org/officeDocument/2006/relationships/hyperlink" Target="https://www.mininterior.gov.co/wp-content/uploads/2022/07/%20INFORME-CONGRESO-DE-LA-REPUBLICA-2021-2022.pdf" TargetMode="External"/><Relationship Id="rId9" Type="http://schemas.openxmlformats.org/officeDocument/2006/relationships/hyperlink" Target="https://www.mininterior.gov.co/wp-content/uploads/2023/11/12.-ejecucion-presupuestal-cierre-31-de-diciembre-de-2023.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NnxLvE1zUehq0qnVr/ya2efsg==">CgMxLjAyCGguZ2pkZ3hzMg5oLnVmaDg0b2p1eGh4aTIOaC53b3dodmlhbDNyc2M4AGoxChRzdWdnZXN0LnUzbTZhMDNmNW4yahIZVXRsIEp1bGlvIFRyaWFuYSBRdWludGVyb3IhMVVyQ3Bnc1Y4ZXhUZExFeVMwVDIzNmZmejNJaDN5bjdR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213778-5BA2-412F-AE91-6AFA7072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4591</Words>
  <Characters>25252</Characters>
  <Application>Microsoft Office Word</Application>
  <DocSecurity>0</DocSecurity>
  <Lines>210</Lines>
  <Paragraphs>59</Paragraphs>
  <ScaleCrop>false</ScaleCrop>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comision1</dc:creator>
  <cp:keywords/>
  <cp:lastModifiedBy>Daniela Vargas Diaz UTL</cp:lastModifiedBy>
  <cp:revision>4</cp:revision>
  <dcterms:created xsi:type="dcterms:W3CDTF">2024-07-31T20:12:00Z</dcterms:created>
  <dcterms:modified xsi:type="dcterms:W3CDTF">2024-07-31T20:45:00Z</dcterms:modified>
</cp:coreProperties>
</file>