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drawings/drawing3.xml" ContentType="application/vnd.openxmlformats-officedocument.drawingml.chartshapes+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drawings/drawing4.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549687" w14:textId="77777777" w:rsidR="001722DD" w:rsidRPr="002F4BE6" w:rsidRDefault="001722DD" w:rsidP="001722DD">
      <w:pPr>
        <w:jc w:val="both"/>
        <w:rPr>
          <w:rFonts w:eastAsia="Calibri"/>
          <w:lang w:val="es-CO"/>
        </w:rPr>
      </w:pPr>
      <w:r w:rsidRPr="002F4BE6">
        <w:rPr>
          <w:rFonts w:eastAsia="Calibri"/>
          <w:lang w:val="es-CO"/>
        </w:rPr>
        <w:t xml:space="preserve">Doctores </w:t>
      </w:r>
    </w:p>
    <w:p w14:paraId="0E1FA7A4" w14:textId="77777777" w:rsidR="001722DD" w:rsidRPr="002F4BE6" w:rsidRDefault="001722DD" w:rsidP="001722DD">
      <w:pPr>
        <w:jc w:val="both"/>
        <w:rPr>
          <w:rFonts w:eastAsia="Calibri"/>
          <w:lang w:val="es-CO"/>
        </w:rPr>
      </w:pPr>
    </w:p>
    <w:p w14:paraId="6F6EF5F3" w14:textId="77777777" w:rsidR="001722DD" w:rsidRPr="002F4BE6" w:rsidRDefault="001722DD" w:rsidP="001722DD">
      <w:pPr>
        <w:jc w:val="both"/>
        <w:rPr>
          <w:rFonts w:eastAsia="Calibri"/>
          <w:lang w:val="es-CO"/>
        </w:rPr>
      </w:pPr>
      <w:r w:rsidRPr="002F4BE6">
        <w:rPr>
          <w:rFonts w:eastAsia="Calibri"/>
          <w:lang w:val="es-CO"/>
        </w:rPr>
        <w:t>Honorable Senador</w:t>
      </w:r>
    </w:p>
    <w:p w14:paraId="0EDE4E09" w14:textId="77777777" w:rsidR="001722DD" w:rsidRPr="00A82756" w:rsidRDefault="001722DD" w:rsidP="001722DD">
      <w:pPr>
        <w:jc w:val="both"/>
        <w:rPr>
          <w:b/>
          <w:lang w:val="es-MX"/>
        </w:rPr>
      </w:pPr>
      <w:r w:rsidRPr="00A82756">
        <w:rPr>
          <w:b/>
          <w:lang w:val="es-MX"/>
        </w:rPr>
        <w:t>JUAN PABLO GALLO</w:t>
      </w:r>
      <w:r w:rsidR="00084C75" w:rsidRPr="00A82756">
        <w:rPr>
          <w:b/>
          <w:lang w:val="es-MX"/>
        </w:rPr>
        <w:t xml:space="preserve"> MAYA</w:t>
      </w:r>
    </w:p>
    <w:p w14:paraId="01647256" w14:textId="77777777" w:rsidR="001722DD" w:rsidRPr="002F4BE6" w:rsidRDefault="001722DD" w:rsidP="001722DD">
      <w:pPr>
        <w:jc w:val="both"/>
        <w:rPr>
          <w:rFonts w:eastAsia="Calibri"/>
          <w:lang w:val="es-CO"/>
        </w:rPr>
      </w:pPr>
      <w:r w:rsidRPr="002F4BE6">
        <w:rPr>
          <w:rFonts w:eastAsia="Calibri"/>
          <w:lang w:val="es-CO"/>
        </w:rPr>
        <w:t xml:space="preserve">Presidente Comisión Tercera Constitucional Permanente </w:t>
      </w:r>
    </w:p>
    <w:p w14:paraId="0582F02A" w14:textId="77777777" w:rsidR="001722DD" w:rsidRPr="002F4BE6" w:rsidRDefault="001722DD" w:rsidP="001722DD">
      <w:pPr>
        <w:jc w:val="both"/>
        <w:rPr>
          <w:rFonts w:eastAsia="Calibri"/>
          <w:lang w:val="es-CO"/>
        </w:rPr>
      </w:pPr>
      <w:r w:rsidRPr="002F4BE6">
        <w:rPr>
          <w:rFonts w:eastAsia="Calibri"/>
          <w:lang w:val="es-CO"/>
        </w:rPr>
        <w:t>Senado de la República</w:t>
      </w:r>
    </w:p>
    <w:p w14:paraId="0B44211A" w14:textId="77777777" w:rsidR="001722DD" w:rsidRPr="002F4BE6" w:rsidRDefault="001722DD" w:rsidP="001722DD">
      <w:pPr>
        <w:jc w:val="both"/>
        <w:rPr>
          <w:rFonts w:eastAsia="Calibri"/>
          <w:lang w:val="es-CO"/>
        </w:rPr>
      </w:pPr>
    </w:p>
    <w:p w14:paraId="4FB69701" w14:textId="77777777" w:rsidR="001722DD" w:rsidRPr="002F4BE6" w:rsidRDefault="001722DD" w:rsidP="001722DD">
      <w:pPr>
        <w:jc w:val="both"/>
        <w:rPr>
          <w:rFonts w:eastAsia="Calibri"/>
          <w:lang w:val="es-CO"/>
        </w:rPr>
      </w:pPr>
      <w:r w:rsidRPr="002F4BE6">
        <w:rPr>
          <w:rFonts w:eastAsia="Calibri"/>
          <w:lang w:val="es-CO"/>
        </w:rPr>
        <w:t>Honorable Representante</w:t>
      </w:r>
    </w:p>
    <w:p w14:paraId="2ACBD08C" w14:textId="77777777" w:rsidR="001722DD" w:rsidRPr="00A82756" w:rsidRDefault="001722DD" w:rsidP="001722DD">
      <w:pPr>
        <w:jc w:val="both"/>
        <w:rPr>
          <w:b/>
          <w:lang w:val="es-MX"/>
        </w:rPr>
      </w:pPr>
      <w:r w:rsidRPr="00A82756">
        <w:rPr>
          <w:b/>
          <w:lang w:val="es-MX"/>
        </w:rPr>
        <w:t xml:space="preserve">KELYN </w:t>
      </w:r>
      <w:r w:rsidR="00084C75" w:rsidRPr="00A82756">
        <w:rPr>
          <w:b/>
          <w:lang w:val="es-MX"/>
        </w:rPr>
        <w:t>GONZÁLEZ GONZÁLEZ DUARTE</w:t>
      </w:r>
    </w:p>
    <w:p w14:paraId="680C45FA" w14:textId="77777777" w:rsidR="001722DD" w:rsidRPr="002F4BE6" w:rsidRDefault="00084C75" w:rsidP="001722DD">
      <w:pPr>
        <w:jc w:val="both"/>
        <w:rPr>
          <w:rFonts w:eastAsia="Calibri"/>
          <w:lang w:val="es-CO"/>
        </w:rPr>
      </w:pPr>
      <w:r w:rsidRPr="002F4BE6">
        <w:rPr>
          <w:rFonts w:eastAsia="Calibri"/>
          <w:lang w:val="es-CO"/>
        </w:rPr>
        <w:t>Presidenta</w:t>
      </w:r>
      <w:r w:rsidR="001722DD" w:rsidRPr="002F4BE6">
        <w:rPr>
          <w:rFonts w:eastAsia="Calibri"/>
          <w:lang w:val="es-CO"/>
        </w:rPr>
        <w:t xml:space="preserve"> Comisión Tercera Constitucional Permanente </w:t>
      </w:r>
    </w:p>
    <w:p w14:paraId="39E56DB9" w14:textId="77777777" w:rsidR="001722DD" w:rsidRPr="002F4BE6" w:rsidRDefault="001722DD" w:rsidP="001722DD">
      <w:pPr>
        <w:jc w:val="both"/>
        <w:rPr>
          <w:rFonts w:eastAsia="Calibri"/>
          <w:lang w:val="es-CO"/>
        </w:rPr>
      </w:pPr>
      <w:r w:rsidRPr="002F4BE6">
        <w:rPr>
          <w:rFonts w:eastAsia="Calibri"/>
          <w:lang w:val="es-CO"/>
        </w:rPr>
        <w:t xml:space="preserve">Cámara de Representantes </w:t>
      </w:r>
    </w:p>
    <w:p w14:paraId="31AF2D3F" w14:textId="77777777" w:rsidR="001722DD" w:rsidRPr="002F4BE6" w:rsidRDefault="001722DD" w:rsidP="001722DD">
      <w:pPr>
        <w:jc w:val="both"/>
        <w:rPr>
          <w:rFonts w:eastAsia="Calibri"/>
          <w:lang w:val="es-CO"/>
        </w:rPr>
      </w:pPr>
    </w:p>
    <w:p w14:paraId="286797F7" w14:textId="77777777" w:rsidR="001722DD" w:rsidRPr="002F4BE6" w:rsidRDefault="001722DD" w:rsidP="001722DD">
      <w:pPr>
        <w:jc w:val="both"/>
        <w:rPr>
          <w:rFonts w:eastAsia="Calibri"/>
          <w:lang w:val="es-CO"/>
        </w:rPr>
      </w:pPr>
      <w:r w:rsidRPr="002F4BE6">
        <w:rPr>
          <w:rFonts w:eastAsia="Calibri"/>
          <w:lang w:val="es-CO"/>
        </w:rPr>
        <w:t>Honorable Senador</w:t>
      </w:r>
      <w:r w:rsidR="00084C75" w:rsidRPr="002F4BE6">
        <w:rPr>
          <w:rFonts w:eastAsia="Calibri"/>
          <w:lang w:val="es-CO"/>
        </w:rPr>
        <w:t>a</w:t>
      </w:r>
    </w:p>
    <w:p w14:paraId="293D9C8C" w14:textId="77777777" w:rsidR="001722DD" w:rsidRPr="00A82756" w:rsidRDefault="001722DD" w:rsidP="001722DD">
      <w:pPr>
        <w:jc w:val="both"/>
        <w:rPr>
          <w:b/>
          <w:lang w:val="es-MX"/>
        </w:rPr>
      </w:pPr>
      <w:r w:rsidRPr="00A82756">
        <w:rPr>
          <w:b/>
          <w:lang w:val="es-MX"/>
        </w:rPr>
        <w:t>ANGÉLICA LOZANO</w:t>
      </w:r>
      <w:r w:rsidR="00084C75" w:rsidRPr="00A82756">
        <w:rPr>
          <w:b/>
          <w:lang w:val="es-MX"/>
        </w:rPr>
        <w:t xml:space="preserve"> CORREA</w:t>
      </w:r>
    </w:p>
    <w:p w14:paraId="3BAB7B14" w14:textId="77777777" w:rsidR="001722DD" w:rsidRPr="002F4BE6" w:rsidRDefault="001722DD" w:rsidP="001722DD">
      <w:pPr>
        <w:jc w:val="both"/>
        <w:rPr>
          <w:rFonts w:eastAsia="Calibri"/>
          <w:lang w:val="es-CO"/>
        </w:rPr>
      </w:pPr>
      <w:r w:rsidRPr="002F4BE6">
        <w:rPr>
          <w:rFonts w:eastAsia="Calibri"/>
          <w:lang w:val="es-CO"/>
        </w:rPr>
        <w:t xml:space="preserve">Presidenta Comisión Cuarta Constitucional Permanente </w:t>
      </w:r>
    </w:p>
    <w:p w14:paraId="3C9D8E66" w14:textId="77777777" w:rsidR="001722DD" w:rsidRPr="002F4BE6" w:rsidRDefault="001722DD" w:rsidP="001722DD">
      <w:pPr>
        <w:jc w:val="both"/>
        <w:rPr>
          <w:rFonts w:eastAsia="Calibri"/>
          <w:lang w:val="es-CO"/>
        </w:rPr>
      </w:pPr>
      <w:r w:rsidRPr="002F4BE6">
        <w:rPr>
          <w:rFonts w:eastAsia="Calibri"/>
          <w:lang w:val="es-CO"/>
        </w:rPr>
        <w:t>Senado de la República</w:t>
      </w:r>
    </w:p>
    <w:p w14:paraId="036CBA9F" w14:textId="77777777" w:rsidR="001722DD" w:rsidRPr="002F4BE6" w:rsidRDefault="001722DD" w:rsidP="001722DD">
      <w:pPr>
        <w:jc w:val="both"/>
        <w:rPr>
          <w:rFonts w:eastAsia="Calibri"/>
          <w:lang w:val="es-CO"/>
        </w:rPr>
      </w:pPr>
    </w:p>
    <w:p w14:paraId="7D4017E3" w14:textId="77777777" w:rsidR="001722DD" w:rsidRPr="002F4BE6" w:rsidRDefault="001722DD" w:rsidP="001722DD">
      <w:pPr>
        <w:jc w:val="both"/>
        <w:rPr>
          <w:rFonts w:eastAsia="Calibri"/>
          <w:lang w:val="es-CO"/>
        </w:rPr>
      </w:pPr>
      <w:r w:rsidRPr="002F4BE6">
        <w:rPr>
          <w:rFonts w:eastAsia="Calibri"/>
          <w:lang w:val="es-CO"/>
        </w:rPr>
        <w:t>Honorable Representante</w:t>
      </w:r>
    </w:p>
    <w:p w14:paraId="1EE14D2A" w14:textId="77777777" w:rsidR="00084C75" w:rsidRPr="00A82756" w:rsidRDefault="00084C75" w:rsidP="001722DD">
      <w:pPr>
        <w:jc w:val="both"/>
        <w:rPr>
          <w:b/>
          <w:lang w:val="es-MX"/>
        </w:rPr>
      </w:pPr>
      <w:r w:rsidRPr="00A82756">
        <w:rPr>
          <w:b/>
          <w:lang w:val="es-MX"/>
        </w:rPr>
        <w:t>JOSÉ ELIECER SALAZAR LÓPEZ</w:t>
      </w:r>
    </w:p>
    <w:p w14:paraId="4459F4BD" w14:textId="77777777" w:rsidR="001722DD" w:rsidRPr="002F4BE6" w:rsidRDefault="001722DD" w:rsidP="001722DD">
      <w:pPr>
        <w:jc w:val="both"/>
        <w:rPr>
          <w:rFonts w:eastAsia="Calibri"/>
          <w:lang w:val="es-CO"/>
        </w:rPr>
      </w:pPr>
      <w:r w:rsidRPr="002F4BE6">
        <w:rPr>
          <w:rFonts w:eastAsia="Calibri"/>
          <w:lang w:val="es-CO"/>
        </w:rPr>
        <w:t xml:space="preserve">Presidente Comisión </w:t>
      </w:r>
      <w:r w:rsidR="00084C75" w:rsidRPr="002F4BE6">
        <w:rPr>
          <w:rFonts w:eastAsia="Calibri"/>
          <w:lang w:val="es-CO"/>
        </w:rPr>
        <w:t>Cuarta</w:t>
      </w:r>
      <w:r w:rsidRPr="002F4BE6">
        <w:rPr>
          <w:rFonts w:eastAsia="Calibri"/>
          <w:lang w:val="es-CO"/>
        </w:rPr>
        <w:t xml:space="preserve"> Constitucional Permanente </w:t>
      </w:r>
    </w:p>
    <w:p w14:paraId="4A0EBE24" w14:textId="77777777" w:rsidR="001722DD" w:rsidRPr="002F4BE6" w:rsidRDefault="001722DD" w:rsidP="001722DD">
      <w:pPr>
        <w:jc w:val="both"/>
        <w:rPr>
          <w:rFonts w:eastAsia="Calibri"/>
          <w:lang w:val="es-CO"/>
        </w:rPr>
      </w:pPr>
      <w:r w:rsidRPr="002F4BE6">
        <w:rPr>
          <w:rFonts w:eastAsia="Calibri"/>
          <w:lang w:val="es-CO"/>
        </w:rPr>
        <w:t xml:space="preserve">Cámara de Representantes </w:t>
      </w:r>
    </w:p>
    <w:p w14:paraId="32A14FDC" w14:textId="77777777" w:rsidR="001722DD" w:rsidRPr="002F4BE6" w:rsidRDefault="001722DD" w:rsidP="001722DD">
      <w:pPr>
        <w:jc w:val="both"/>
        <w:rPr>
          <w:rFonts w:eastAsia="Calibri"/>
          <w:lang w:val="es-CO"/>
        </w:rPr>
      </w:pPr>
    </w:p>
    <w:p w14:paraId="71816A29" w14:textId="77777777" w:rsidR="001722DD" w:rsidRPr="002F4BE6" w:rsidRDefault="001722DD" w:rsidP="002F4BE6">
      <w:pPr>
        <w:jc w:val="both"/>
        <w:rPr>
          <w:lang w:val="es-CO"/>
        </w:rPr>
      </w:pPr>
    </w:p>
    <w:p w14:paraId="0CD28C6D" w14:textId="172E2E5A" w:rsidR="001722DD" w:rsidRPr="002F4BE6" w:rsidRDefault="002F4BE6" w:rsidP="00DB6EE7">
      <w:pPr>
        <w:ind w:left="851" w:hanging="851"/>
        <w:jc w:val="both"/>
        <w:rPr>
          <w:lang w:val="es-CO"/>
        </w:rPr>
      </w:pPr>
      <w:r w:rsidRPr="002F4BE6">
        <w:rPr>
          <w:lang w:val="es-CO"/>
        </w:rPr>
        <w:t>Asunto: s</w:t>
      </w:r>
      <w:r w:rsidR="00084C75" w:rsidRPr="002F4BE6">
        <w:rPr>
          <w:lang w:val="es-CO"/>
        </w:rPr>
        <w:t>olicitud devolución</w:t>
      </w:r>
      <w:r w:rsidRPr="002F4BE6">
        <w:rPr>
          <w:lang w:val="es-CO"/>
        </w:rPr>
        <w:t xml:space="preserve"> al Ministerio de Hacienda y Crédito Público</w:t>
      </w:r>
      <w:r w:rsidR="00084C75" w:rsidRPr="002F4BE6">
        <w:rPr>
          <w:lang w:val="es-CO"/>
        </w:rPr>
        <w:t xml:space="preserve"> del proyecto de ley</w:t>
      </w:r>
      <w:r w:rsidRPr="002F4BE6">
        <w:rPr>
          <w:lang w:val="es-CO"/>
        </w:rPr>
        <w:t xml:space="preserve"> No. 090 Cámara “Por la cual se decreta el presupuesto de rentas y recursos de capital y ley de apropiaciones para la vigencia fiscal del 1o. de enero al 31 de diciembre de 2025” conforme con lo dispuesto en el artículo 56 del Decreto 111 de 1996. </w:t>
      </w:r>
      <w:r w:rsidR="00084C75" w:rsidRPr="002F4BE6">
        <w:rPr>
          <w:lang w:val="es-CO"/>
        </w:rPr>
        <w:t xml:space="preserve">  </w:t>
      </w:r>
    </w:p>
    <w:p w14:paraId="0461E9DF" w14:textId="77777777" w:rsidR="002F4BE6" w:rsidRPr="002F4BE6" w:rsidRDefault="002F4BE6" w:rsidP="002F4BE6">
      <w:pPr>
        <w:jc w:val="both"/>
        <w:rPr>
          <w:lang w:val="es-CO"/>
        </w:rPr>
      </w:pPr>
    </w:p>
    <w:p w14:paraId="3B55D34C" w14:textId="77777777" w:rsidR="002F4BE6" w:rsidRPr="002F4BE6" w:rsidRDefault="002F4BE6" w:rsidP="002F4BE6">
      <w:pPr>
        <w:jc w:val="both"/>
        <w:rPr>
          <w:lang w:val="es-CO"/>
        </w:rPr>
      </w:pPr>
    </w:p>
    <w:p w14:paraId="6697E8CB" w14:textId="77777777" w:rsidR="002F4BE6" w:rsidRPr="002F4BE6" w:rsidRDefault="002F4BE6" w:rsidP="002F4BE6">
      <w:pPr>
        <w:jc w:val="both"/>
        <w:rPr>
          <w:lang w:val="es-CO"/>
        </w:rPr>
      </w:pPr>
      <w:r w:rsidRPr="002F4BE6">
        <w:rPr>
          <w:lang w:val="es-CO"/>
        </w:rPr>
        <w:t xml:space="preserve">Cordial Saludo. </w:t>
      </w:r>
    </w:p>
    <w:p w14:paraId="6CCA99F2" w14:textId="77777777" w:rsidR="002F4BE6" w:rsidRDefault="002F4BE6" w:rsidP="002F4BE6">
      <w:pPr>
        <w:jc w:val="both"/>
        <w:rPr>
          <w:lang w:val="es-CO"/>
        </w:rPr>
      </w:pPr>
    </w:p>
    <w:p w14:paraId="3380CFD4" w14:textId="77777777" w:rsidR="00BC6162" w:rsidRDefault="00A4391A" w:rsidP="002F4BE6">
      <w:pPr>
        <w:jc w:val="both"/>
        <w:rPr>
          <w:lang w:val="es-CO"/>
        </w:rPr>
      </w:pPr>
      <w:r>
        <w:rPr>
          <w:lang w:val="es-CO"/>
        </w:rPr>
        <w:t>El Gobierno Nacional radicó el día 29 de julio de 2024 el proyecto de ley 090c/2024 “Po</w:t>
      </w:r>
      <w:r w:rsidRPr="00A4391A">
        <w:rPr>
          <w:lang w:val="es-CO"/>
        </w:rPr>
        <w:t>r la cual se decreta el presupuesto de rentas y recursos de capital y ley de apropiaciones para la vigencia fiscal del 1o. de enero al 31 de diciembre de 2025</w:t>
      </w:r>
      <w:r>
        <w:rPr>
          <w:lang w:val="es-CO"/>
        </w:rPr>
        <w:t>”</w:t>
      </w:r>
      <w:r w:rsidR="00BC6162">
        <w:rPr>
          <w:lang w:val="es-CO"/>
        </w:rPr>
        <w:t xml:space="preserve">. </w:t>
      </w:r>
    </w:p>
    <w:p w14:paraId="6FB1B5AE" w14:textId="77777777" w:rsidR="00BC6162" w:rsidRDefault="00BC6162" w:rsidP="002F4BE6">
      <w:pPr>
        <w:jc w:val="both"/>
        <w:rPr>
          <w:lang w:val="es-CO"/>
        </w:rPr>
      </w:pPr>
    </w:p>
    <w:p w14:paraId="0F93C0DC" w14:textId="61B4F84D" w:rsidR="00A4391A" w:rsidRDefault="00BC6162" w:rsidP="002F4BE6">
      <w:pPr>
        <w:jc w:val="both"/>
        <w:rPr>
          <w:lang w:val="es-CO"/>
        </w:rPr>
      </w:pPr>
      <w:r>
        <w:rPr>
          <w:lang w:val="es-CO"/>
        </w:rPr>
        <w:t xml:space="preserve">Sin embargo, </w:t>
      </w:r>
      <w:r w:rsidR="00003EC7">
        <w:rPr>
          <w:lang w:val="es-CO"/>
        </w:rPr>
        <w:t>luego de un</w:t>
      </w:r>
      <w:r w:rsidR="00F66908">
        <w:rPr>
          <w:lang w:val="es-CO"/>
        </w:rPr>
        <w:t xml:space="preserve"> estudio </w:t>
      </w:r>
      <w:r w:rsidR="00D5530A">
        <w:rPr>
          <w:lang w:val="es-CO"/>
        </w:rPr>
        <w:t xml:space="preserve">minucioso </w:t>
      </w:r>
      <w:r w:rsidR="00FE36E7">
        <w:rPr>
          <w:lang w:val="es-CO"/>
        </w:rPr>
        <w:t xml:space="preserve">y basado en las recomendaciones de expertos y académicos </w:t>
      </w:r>
      <w:r w:rsidR="007A6B4F">
        <w:rPr>
          <w:lang w:val="es-CO"/>
        </w:rPr>
        <w:t>sobre la materia</w:t>
      </w:r>
      <w:r w:rsidR="00442A24">
        <w:rPr>
          <w:lang w:val="es-CO"/>
        </w:rPr>
        <w:t xml:space="preserve">, he encontrado que el proyecto de ley </w:t>
      </w:r>
      <w:r w:rsidR="00442A24" w:rsidRPr="009F7E55">
        <w:rPr>
          <w:b/>
          <w:lang w:val="es-CO"/>
        </w:rPr>
        <w:t xml:space="preserve">no </w:t>
      </w:r>
      <w:r w:rsidR="0050294B">
        <w:rPr>
          <w:b/>
          <w:lang w:val="es-CO"/>
        </w:rPr>
        <w:t xml:space="preserve">se ajusta </w:t>
      </w:r>
      <w:r w:rsidR="0050294B">
        <w:rPr>
          <w:lang w:val="es-CO"/>
        </w:rPr>
        <w:t xml:space="preserve">a los preceptos </w:t>
      </w:r>
      <w:r w:rsidR="00DB6EE7">
        <w:rPr>
          <w:lang w:val="es-CO"/>
        </w:rPr>
        <w:t>d</w:t>
      </w:r>
      <w:r w:rsidR="00055081">
        <w:rPr>
          <w:lang w:val="es-CO"/>
        </w:rPr>
        <w:t xml:space="preserve">el estatuto orgánico del presupuesto </w:t>
      </w:r>
      <w:r w:rsidR="00D568C4">
        <w:rPr>
          <w:lang w:val="es-CO"/>
        </w:rPr>
        <w:t xml:space="preserve">del país contenidos en el </w:t>
      </w:r>
      <w:r w:rsidR="00237A9B">
        <w:rPr>
          <w:lang w:val="es-CO"/>
        </w:rPr>
        <w:t xml:space="preserve">“Decreto 111 de 1996”. </w:t>
      </w:r>
    </w:p>
    <w:p w14:paraId="325A7A16" w14:textId="77777777" w:rsidR="005147D6" w:rsidRDefault="005147D6" w:rsidP="002F4BE6">
      <w:pPr>
        <w:jc w:val="both"/>
        <w:rPr>
          <w:lang w:val="es-CO"/>
        </w:rPr>
      </w:pPr>
    </w:p>
    <w:p w14:paraId="540A6061" w14:textId="77777777" w:rsidR="00667B13" w:rsidRDefault="005147D6" w:rsidP="002F4BE6">
      <w:pPr>
        <w:jc w:val="both"/>
        <w:rPr>
          <w:lang w:val="es-CO"/>
        </w:rPr>
      </w:pPr>
      <w:r>
        <w:rPr>
          <w:lang w:val="es-CO"/>
        </w:rPr>
        <w:t>Por lo anterior</w:t>
      </w:r>
      <w:r w:rsidR="00B63486">
        <w:rPr>
          <w:lang w:val="es-CO"/>
        </w:rPr>
        <w:t>,</w:t>
      </w:r>
      <w:r w:rsidR="00667B13">
        <w:rPr>
          <w:lang w:val="es-CO"/>
        </w:rPr>
        <w:t xml:space="preserve"> es necesario devolver dicho proyecto de ley al Ministerio de Hacienda y Crédito Público para que lo adecúe a los preceptos establecidos en el precitado Decreto. Así lo establece el artículo 56 al señalar que: </w:t>
      </w:r>
    </w:p>
    <w:p w14:paraId="2D204088" w14:textId="77777777" w:rsidR="00667B13" w:rsidRDefault="00667B13" w:rsidP="002F4BE6">
      <w:pPr>
        <w:jc w:val="both"/>
        <w:rPr>
          <w:lang w:val="es-CO"/>
        </w:rPr>
      </w:pPr>
    </w:p>
    <w:p w14:paraId="49586C56" w14:textId="77777777" w:rsidR="00F03555" w:rsidRDefault="00F03555" w:rsidP="002F4BE6">
      <w:pPr>
        <w:jc w:val="both"/>
        <w:rPr>
          <w:lang w:val="es-CO"/>
        </w:rPr>
      </w:pPr>
    </w:p>
    <w:p w14:paraId="6040EB4B" w14:textId="77777777" w:rsidR="00106DBD" w:rsidRPr="00106DBD" w:rsidRDefault="00106DBD" w:rsidP="00106DBD">
      <w:pPr>
        <w:pStyle w:val="NormalWeb"/>
        <w:shd w:val="clear" w:color="auto" w:fill="FFFFFF"/>
        <w:ind w:left="720"/>
        <w:jc w:val="both"/>
        <w:rPr>
          <w:rFonts w:ascii="Arial" w:eastAsia="Arial" w:hAnsi="Arial" w:cs="Arial"/>
          <w:sz w:val="22"/>
          <w:szCs w:val="22"/>
          <w:lang w:eastAsia="en-US"/>
        </w:rPr>
      </w:pPr>
      <w:r w:rsidRPr="00106DBD">
        <w:rPr>
          <w:rFonts w:ascii="Arial" w:eastAsia="Arial" w:hAnsi="Arial" w:cs="Arial"/>
          <w:sz w:val="22"/>
          <w:szCs w:val="22"/>
          <w:lang w:eastAsia="en-US"/>
        </w:rPr>
        <w:lastRenderedPageBreak/>
        <w:t>ARTICULO 56. &lt;Artículo modificado por el artículo 6 de la Ley 1985 de 2019. El nuevo texto es el siguiente:&gt; Una vez presentado el proyecto de presupuesto por el Gobierno nacional, las comisiones del Senado y Cámara de Representantes, durante su discusión, oirán al Banco de la República y a la Oficina de Asistencia Técnica Presupuestal, para conocer su opinión sobre el impacto macroeconómico y sectorial del déficit y del nivel de gasto propuesto.</w:t>
      </w:r>
    </w:p>
    <w:p w14:paraId="358F8419" w14:textId="77777777" w:rsidR="00106DBD" w:rsidRPr="00106DBD" w:rsidRDefault="00106DBD" w:rsidP="00140B02">
      <w:pPr>
        <w:pStyle w:val="NormalWeb"/>
        <w:shd w:val="clear" w:color="auto" w:fill="FFFFFF"/>
        <w:ind w:left="720"/>
        <w:jc w:val="both"/>
        <w:rPr>
          <w:rFonts w:ascii="Arial" w:eastAsia="Arial" w:hAnsi="Arial" w:cs="Arial"/>
          <w:sz w:val="22"/>
          <w:szCs w:val="22"/>
          <w:lang w:eastAsia="en-US"/>
        </w:rPr>
      </w:pPr>
      <w:r w:rsidRPr="00106DBD">
        <w:rPr>
          <w:rFonts w:ascii="Arial" w:eastAsia="Arial" w:hAnsi="Arial" w:cs="Arial"/>
          <w:sz w:val="22"/>
          <w:szCs w:val="22"/>
          <w:lang w:eastAsia="en-US"/>
        </w:rPr>
        <w:t>Antes del 15 de agosto las Comisiones del Senado y Cámara de Representantes podrán resolver que el proyecto no se ajusta a los preceptos de esta ley orgánica, en cuyo caso será devuelto al Ministerio de Hacienda y Crédito Público, que lo presentará de nuevo al Congreso antes del 30 de agosto con las enmiendas correspondientes.</w:t>
      </w:r>
    </w:p>
    <w:p w14:paraId="5DCB837B" w14:textId="77777777" w:rsidR="00106DBD" w:rsidRDefault="00106DBD" w:rsidP="00106DBD">
      <w:pPr>
        <w:pStyle w:val="NormalWeb"/>
        <w:shd w:val="clear" w:color="auto" w:fill="FFFFFF"/>
        <w:ind w:left="720"/>
        <w:jc w:val="both"/>
        <w:rPr>
          <w:rFonts w:ascii="Arial" w:eastAsia="Arial" w:hAnsi="Arial" w:cs="Arial"/>
          <w:sz w:val="22"/>
          <w:szCs w:val="22"/>
          <w:lang w:eastAsia="en-US"/>
        </w:rPr>
      </w:pPr>
      <w:r w:rsidRPr="00106DBD">
        <w:rPr>
          <w:rFonts w:ascii="Arial" w:eastAsia="Arial" w:hAnsi="Arial" w:cs="Arial"/>
          <w:sz w:val="22"/>
          <w:szCs w:val="22"/>
          <w:lang w:eastAsia="en-US"/>
        </w:rPr>
        <w:t>Antes del 15 de septiembre las comisiones del Senado y Cámara de Representantes decidirán sobre el monto definitivo del presupuesto de gastos. La aprobación del proyecto, por parte de las comisiones, se hará antes del 25 de septiembre y las plenarias iniciarán su discusión el 1 de octubre de cada año.</w:t>
      </w:r>
    </w:p>
    <w:p w14:paraId="637FDBB3" w14:textId="4AB65DDE" w:rsidR="00667B13" w:rsidRDefault="00667B13" w:rsidP="00106DBD">
      <w:pPr>
        <w:pStyle w:val="NormalWeb"/>
        <w:shd w:val="clear" w:color="auto" w:fill="FFFFFF"/>
        <w:jc w:val="both"/>
        <w:rPr>
          <w:rFonts w:ascii="Arial" w:eastAsia="Arial" w:hAnsi="Arial" w:cs="Arial"/>
          <w:sz w:val="22"/>
          <w:szCs w:val="22"/>
          <w:lang w:eastAsia="en-US"/>
        </w:rPr>
      </w:pPr>
      <w:r>
        <w:rPr>
          <w:rFonts w:ascii="Arial" w:eastAsia="Arial" w:hAnsi="Arial" w:cs="Arial"/>
          <w:sz w:val="22"/>
          <w:szCs w:val="22"/>
          <w:lang w:eastAsia="en-US"/>
        </w:rPr>
        <w:t xml:space="preserve">En mérito de lo expuesto, </w:t>
      </w:r>
      <w:r w:rsidR="00856670">
        <w:rPr>
          <w:rFonts w:ascii="Arial" w:eastAsia="Arial" w:hAnsi="Arial" w:cs="Arial"/>
          <w:sz w:val="22"/>
          <w:szCs w:val="22"/>
          <w:lang w:eastAsia="en-US"/>
        </w:rPr>
        <w:t>le solicito</w:t>
      </w:r>
      <w:r>
        <w:rPr>
          <w:rFonts w:ascii="Arial" w:eastAsia="Arial" w:hAnsi="Arial" w:cs="Arial"/>
          <w:sz w:val="22"/>
          <w:szCs w:val="22"/>
          <w:lang w:eastAsia="en-US"/>
        </w:rPr>
        <w:t xml:space="preserve"> a los presidentes de las Comisiones </w:t>
      </w:r>
      <w:r w:rsidR="00856670">
        <w:rPr>
          <w:rFonts w:ascii="Arial" w:eastAsia="Arial" w:hAnsi="Arial" w:cs="Arial"/>
          <w:sz w:val="22"/>
          <w:szCs w:val="22"/>
          <w:lang w:eastAsia="en-US"/>
        </w:rPr>
        <w:t>Económicas de Senado y Cámara que en la</w:t>
      </w:r>
      <w:r>
        <w:rPr>
          <w:rFonts w:ascii="Arial" w:eastAsia="Arial" w:hAnsi="Arial" w:cs="Arial"/>
          <w:sz w:val="22"/>
          <w:szCs w:val="22"/>
          <w:lang w:eastAsia="en-US"/>
        </w:rPr>
        <w:t xml:space="preserve"> sesión conjunta</w:t>
      </w:r>
      <w:r w:rsidR="00856670">
        <w:rPr>
          <w:rFonts w:ascii="Arial" w:eastAsia="Arial" w:hAnsi="Arial" w:cs="Arial"/>
          <w:sz w:val="22"/>
          <w:szCs w:val="22"/>
          <w:lang w:eastAsia="en-US"/>
        </w:rPr>
        <w:t xml:space="preserve"> programada para el día miércoles</w:t>
      </w:r>
      <w:r>
        <w:rPr>
          <w:rFonts w:ascii="Arial" w:eastAsia="Arial" w:hAnsi="Arial" w:cs="Arial"/>
          <w:sz w:val="22"/>
          <w:szCs w:val="22"/>
          <w:lang w:eastAsia="en-US"/>
        </w:rPr>
        <w:t xml:space="preserve"> </w:t>
      </w:r>
      <w:r w:rsidR="00856670">
        <w:rPr>
          <w:rFonts w:ascii="Arial" w:eastAsia="Arial" w:hAnsi="Arial" w:cs="Arial"/>
          <w:sz w:val="22"/>
          <w:szCs w:val="22"/>
          <w:lang w:eastAsia="en-US"/>
        </w:rPr>
        <w:t>14 de agosto de 2024 se someta</w:t>
      </w:r>
      <w:r>
        <w:rPr>
          <w:rFonts w:ascii="Arial" w:eastAsia="Arial" w:hAnsi="Arial" w:cs="Arial"/>
          <w:sz w:val="22"/>
          <w:szCs w:val="22"/>
          <w:lang w:eastAsia="en-US"/>
        </w:rPr>
        <w:t xml:space="preserve"> a discusión la proposición anexa esta comunicación que pretende devolver el proyecto de ley </w:t>
      </w:r>
      <w:r w:rsidRPr="00667B13">
        <w:rPr>
          <w:rFonts w:ascii="Arial" w:eastAsia="Arial" w:hAnsi="Arial" w:cs="Arial"/>
          <w:sz w:val="22"/>
          <w:szCs w:val="22"/>
          <w:lang w:eastAsia="en-US"/>
        </w:rPr>
        <w:t>090c/2024</w:t>
      </w:r>
      <w:r>
        <w:rPr>
          <w:rFonts w:ascii="Arial" w:eastAsia="Arial" w:hAnsi="Arial" w:cs="Arial"/>
          <w:sz w:val="22"/>
          <w:szCs w:val="22"/>
          <w:lang w:eastAsia="en-US"/>
        </w:rPr>
        <w:t xml:space="preserve">. </w:t>
      </w:r>
    </w:p>
    <w:p w14:paraId="3B1C4FF3" w14:textId="77777777" w:rsidR="00667B13" w:rsidRDefault="00667B13" w:rsidP="00667B13">
      <w:pPr>
        <w:pStyle w:val="NormalWeb"/>
        <w:shd w:val="clear" w:color="auto" w:fill="FFFFFF"/>
        <w:jc w:val="both"/>
        <w:rPr>
          <w:rFonts w:ascii="Arial" w:eastAsia="Arial" w:hAnsi="Arial" w:cs="Arial"/>
          <w:sz w:val="22"/>
          <w:szCs w:val="22"/>
          <w:lang w:eastAsia="en-US"/>
        </w:rPr>
      </w:pPr>
    </w:p>
    <w:p w14:paraId="4833E2A9" w14:textId="77777777" w:rsidR="00667B13" w:rsidRDefault="00667B13" w:rsidP="00667B13">
      <w:pPr>
        <w:pStyle w:val="NormalWeb"/>
        <w:shd w:val="clear" w:color="auto" w:fill="FFFFFF"/>
        <w:jc w:val="both"/>
        <w:rPr>
          <w:rFonts w:ascii="Arial" w:eastAsia="Arial" w:hAnsi="Arial" w:cs="Arial"/>
          <w:sz w:val="22"/>
          <w:szCs w:val="22"/>
          <w:lang w:eastAsia="en-US"/>
        </w:rPr>
      </w:pPr>
      <w:r>
        <w:rPr>
          <w:rFonts w:ascii="Arial" w:eastAsia="Arial" w:hAnsi="Arial" w:cs="Arial"/>
          <w:sz w:val="22"/>
          <w:szCs w:val="22"/>
          <w:lang w:eastAsia="en-US"/>
        </w:rPr>
        <w:t>Cordialmente,</w:t>
      </w:r>
    </w:p>
    <w:p w14:paraId="098B4EE1" w14:textId="77777777" w:rsidR="00667B13" w:rsidRDefault="00667B13" w:rsidP="00667B13">
      <w:pPr>
        <w:pStyle w:val="NormalWeb"/>
        <w:shd w:val="clear" w:color="auto" w:fill="FFFFFF"/>
        <w:jc w:val="both"/>
        <w:rPr>
          <w:rFonts w:ascii="Arial" w:eastAsia="Arial" w:hAnsi="Arial" w:cs="Arial"/>
          <w:sz w:val="22"/>
          <w:szCs w:val="22"/>
          <w:lang w:eastAsia="en-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9"/>
        <w:gridCol w:w="4510"/>
      </w:tblGrid>
      <w:tr w:rsidR="00667B13" w:rsidRPr="00A82756" w14:paraId="7B23A001" w14:textId="77777777" w:rsidTr="00667B13">
        <w:tc>
          <w:tcPr>
            <w:tcW w:w="4509" w:type="dxa"/>
          </w:tcPr>
          <w:p w14:paraId="405DCD47" w14:textId="77777777" w:rsidR="00667B13" w:rsidRPr="00A82756" w:rsidRDefault="00667B13" w:rsidP="00667B13">
            <w:pPr>
              <w:pStyle w:val="Sinespaciado"/>
              <w:rPr>
                <w:b/>
                <w:lang w:val="es-MX"/>
              </w:rPr>
            </w:pPr>
            <w:r w:rsidRPr="00A82756">
              <w:rPr>
                <w:b/>
                <w:lang w:val="es-MX"/>
              </w:rPr>
              <w:t>Miguel Uribe Turbay</w:t>
            </w:r>
          </w:p>
          <w:p w14:paraId="6998F7D4" w14:textId="77777777" w:rsidR="00667B13" w:rsidRPr="00A82756" w:rsidRDefault="00667B13" w:rsidP="00667B13">
            <w:pPr>
              <w:pStyle w:val="Sinespaciado"/>
              <w:rPr>
                <w:lang w:val="es-MX"/>
              </w:rPr>
            </w:pPr>
            <w:r w:rsidRPr="00A82756">
              <w:rPr>
                <w:lang w:val="es-MX"/>
              </w:rPr>
              <w:t>Senador de la República</w:t>
            </w:r>
          </w:p>
          <w:p w14:paraId="2C687475" w14:textId="77777777" w:rsidR="00667B13" w:rsidRPr="00A82756" w:rsidRDefault="00667B13" w:rsidP="00667B13">
            <w:pPr>
              <w:pStyle w:val="Sinespaciado"/>
              <w:rPr>
                <w:lang w:val="es-MX"/>
              </w:rPr>
            </w:pPr>
          </w:p>
        </w:tc>
        <w:tc>
          <w:tcPr>
            <w:tcW w:w="4510" w:type="dxa"/>
          </w:tcPr>
          <w:p w14:paraId="3E486A52" w14:textId="77777777" w:rsidR="00667B13" w:rsidRDefault="00667B13" w:rsidP="00667B13">
            <w:pPr>
              <w:pStyle w:val="NormalWeb"/>
              <w:jc w:val="both"/>
              <w:rPr>
                <w:rFonts w:ascii="Arial" w:eastAsia="Arial" w:hAnsi="Arial" w:cs="Arial"/>
                <w:sz w:val="22"/>
                <w:szCs w:val="22"/>
                <w:lang w:eastAsia="en-US"/>
              </w:rPr>
            </w:pPr>
          </w:p>
        </w:tc>
      </w:tr>
      <w:tr w:rsidR="00667B13" w:rsidRPr="00A82756" w14:paraId="2F9FA069" w14:textId="77777777" w:rsidTr="00667B13">
        <w:tc>
          <w:tcPr>
            <w:tcW w:w="4509" w:type="dxa"/>
          </w:tcPr>
          <w:p w14:paraId="20BE4CDD" w14:textId="77777777" w:rsidR="00667B13" w:rsidRDefault="00667B13" w:rsidP="00667B13">
            <w:pPr>
              <w:pStyle w:val="NormalWeb"/>
              <w:jc w:val="both"/>
              <w:rPr>
                <w:rFonts w:ascii="Arial" w:eastAsia="Arial" w:hAnsi="Arial" w:cs="Arial"/>
                <w:sz w:val="22"/>
                <w:szCs w:val="22"/>
                <w:lang w:eastAsia="en-US"/>
              </w:rPr>
            </w:pPr>
          </w:p>
        </w:tc>
        <w:tc>
          <w:tcPr>
            <w:tcW w:w="4510" w:type="dxa"/>
          </w:tcPr>
          <w:p w14:paraId="3F976F8F" w14:textId="77777777" w:rsidR="00667B13" w:rsidRDefault="00667B13" w:rsidP="00667B13">
            <w:pPr>
              <w:pStyle w:val="NormalWeb"/>
              <w:jc w:val="both"/>
              <w:rPr>
                <w:rFonts w:ascii="Arial" w:eastAsia="Arial" w:hAnsi="Arial" w:cs="Arial"/>
                <w:sz w:val="22"/>
                <w:szCs w:val="22"/>
                <w:lang w:eastAsia="en-US"/>
              </w:rPr>
            </w:pPr>
          </w:p>
        </w:tc>
      </w:tr>
      <w:tr w:rsidR="00667B13" w:rsidRPr="00A82756" w14:paraId="791290C0" w14:textId="77777777" w:rsidTr="00667B13">
        <w:tc>
          <w:tcPr>
            <w:tcW w:w="4509" w:type="dxa"/>
          </w:tcPr>
          <w:p w14:paraId="19D99F5C" w14:textId="77777777" w:rsidR="00667B13" w:rsidRDefault="00667B13" w:rsidP="00667B13">
            <w:pPr>
              <w:pStyle w:val="NormalWeb"/>
              <w:jc w:val="both"/>
              <w:rPr>
                <w:rFonts w:ascii="Arial" w:eastAsia="Arial" w:hAnsi="Arial" w:cs="Arial"/>
                <w:sz w:val="22"/>
                <w:szCs w:val="22"/>
                <w:lang w:eastAsia="en-US"/>
              </w:rPr>
            </w:pPr>
          </w:p>
        </w:tc>
        <w:tc>
          <w:tcPr>
            <w:tcW w:w="4510" w:type="dxa"/>
          </w:tcPr>
          <w:p w14:paraId="4CC33D46" w14:textId="77777777" w:rsidR="00667B13" w:rsidRDefault="00667B13" w:rsidP="00667B13">
            <w:pPr>
              <w:pStyle w:val="NormalWeb"/>
              <w:jc w:val="both"/>
              <w:rPr>
                <w:rFonts w:ascii="Arial" w:eastAsia="Arial" w:hAnsi="Arial" w:cs="Arial"/>
                <w:sz w:val="22"/>
                <w:szCs w:val="22"/>
                <w:lang w:eastAsia="en-US"/>
              </w:rPr>
            </w:pPr>
          </w:p>
        </w:tc>
      </w:tr>
    </w:tbl>
    <w:p w14:paraId="58480C49" w14:textId="77777777" w:rsidR="00667B13" w:rsidRPr="00F03555" w:rsidRDefault="00667B13" w:rsidP="00667B13">
      <w:pPr>
        <w:pStyle w:val="NormalWeb"/>
        <w:shd w:val="clear" w:color="auto" w:fill="FFFFFF"/>
        <w:jc w:val="both"/>
        <w:rPr>
          <w:rFonts w:ascii="Arial" w:eastAsia="Arial" w:hAnsi="Arial" w:cs="Arial"/>
          <w:sz w:val="22"/>
          <w:szCs w:val="22"/>
          <w:lang w:eastAsia="en-US"/>
        </w:rPr>
      </w:pPr>
      <w:r>
        <w:rPr>
          <w:rFonts w:ascii="Arial" w:eastAsia="Arial" w:hAnsi="Arial" w:cs="Arial"/>
          <w:sz w:val="22"/>
          <w:szCs w:val="22"/>
          <w:lang w:eastAsia="en-US"/>
        </w:rPr>
        <w:t xml:space="preserve"> </w:t>
      </w:r>
    </w:p>
    <w:p w14:paraId="5F0C3425" w14:textId="047B1EB4" w:rsidR="00F03555" w:rsidRPr="00856670" w:rsidRDefault="00667B13" w:rsidP="00856670">
      <w:pPr>
        <w:ind w:left="851" w:hanging="851"/>
        <w:jc w:val="both"/>
        <w:rPr>
          <w:sz w:val="16"/>
          <w:szCs w:val="16"/>
          <w:lang w:val="es-CO"/>
        </w:rPr>
      </w:pPr>
      <w:r w:rsidRPr="00856670">
        <w:rPr>
          <w:sz w:val="16"/>
          <w:szCs w:val="16"/>
          <w:lang w:val="es-CO"/>
        </w:rPr>
        <w:t xml:space="preserve">Anexo: </w:t>
      </w:r>
      <w:r w:rsidR="00856670">
        <w:rPr>
          <w:sz w:val="16"/>
          <w:szCs w:val="16"/>
          <w:lang w:val="es-CO"/>
        </w:rPr>
        <w:tab/>
      </w:r>
      <w:r w:rsidRPr="00856670">
        <w:rPr>
          <w:sz w:val="16"/>
          <w:szCs w:val="16"/>
          <w:lang w:val="es-CO"/>
        </w:rPr>
        <w:t>proposición</w:t>
      </w:r>
      <w:r w:rsidR="00856670" w:rsidRPr="00856670">
        <w:rPr>
          <w:sz w:val="16"/>
          <w:szCs w:val="16"/>
          <w:lang w:val="es-CO"/>
        </w:rPr>
        <w:t xml:space="preserve"> devolución del proyecto de ley No. 090 Cámara “Por la cual se decreta el presupuesto de rentas y recursos de capital y ley de apropiaciones para la vigencia fiscal del 1o. de enero al 31 de diciembre de 2025</w:t>
      </w:r>
      <w:r w:rsidR="00ED7771">
        <w:rPr>
          <w:sz w:val="16"/>
          <w:szCs w:val="16"/>
          <w:lang w:val="es-CO"/>
        </w:rPr>
        <w:t>”.</w:t>
      </w:r>
      <w:bookmarkStart w:id="0" w:name="_GoBack"/>
      <w:bookmarkEnd w:id="0"/>
    </w:p>
    <w:p w14:paraId="7239514C" w14:textId="77777777" w:rsidR="005147D6" w:rsidRPr="0050294B" w:rsidRDefault="005147D6" w:rsidP="002F4BE6">
      <w:pPr>
        <w:jc w:val="both"/>
        <w:rPr>
          <w:lang w:val="es-CO"/>
        </w:rPr>
      </w:pPr>
    </w:p>
    <w:p w14:paraId="1BF0B2FE" w14:textId="77777777" w:rsidR="00BC6162" w:rsidRDefault="00BC6162" w:rsidP="002F4BE6">
      <w:pPr>
        <w:jc w:val="both"/>
        <w:rPr>
          <w:lang w:val="es-CO"/>
        </w:rPr>
      </w:pPr>
    </w:p>
    <w:p w14:paraId="7C0F80C7" w14:textId="77777777" w:rsidR="00A4391A" w:rsidRPr="002F4BE6" w:rsidRDefault="00A4391A" w:rsidP="002F4BE6">
      <w:pPr>
        <w:jc w:val="both"/>
        <w:rPr>
          <w:lang w:val="es-CO"/>
        </w:rPr>
      </w:pPr>
    </w:p>
    <w:p w14:paraId="79CC4F92" w14:textId="77777777" w:rsidR="002F4BE6" w:rsidRDefault="002F4BE6" w:rsidP="002F4BE6">
      <w:pPr>
        <w:jc w:val="both"/>
        <w:rPr>
          <w:lang w:val="es-CO"/>
        </w:rPr>
      </w:pPr>
    </w:p>
    <w:p w14:paraId="2E1588DB" w14:textId="77777777" w:rsidR="00667B13" w:rsidRDefault="00667B13" w:rsidP="002F4BE6">
      <w:pPr>
        <w:jc w:val="both"/>
        <w:rPr>
          <w:lang w:val="es-CO"/>
        </w:rPr>
      </w:pPr>
    </w:p>
    <w:p w14:paraId="0B2FF3EE" w14:textId="77777777" w:rsidR="00667B13" w:rsidRDefault="00667B13" w:rsidP="002F4BE6">
      <w:pPr>
        <w:jc w:val="both"/>
        <w:rPr>
          <w:lang w:val="es-CO"/>
        </w:rPr>
      </w:pPr>
    </w:p>
    <w:p w14:paraId="49ADB80B" w14:textId="77777777" w:rsidR="00667B13" w:rsidRDefault="00667B13" w:rsidP="002F4BE6">
      <w:pPr>
        <w:jc w:val="both"/>
        <w:rPr>
          <w:lang w:val="es-CO"/>
        </w:rPr>
      </w:pPr>
    </w:p>
    <w:p w14:paraId="287A5BE2" w14:textId="77777777" w:rsidR="00667B13" w:rsidRDefault="00667B13" w:rsidP="002F4BE6">
      <w:pPr>
        <w:jc w:val="both"/>
        <w:rPr>
          <w:lang w:val="es-CO"/>
        </w:rPr>
      </w:pPr>
    </w:p>
    <w:p w14:paraId="7923B76D" w14:textId="77777777" w:rsidR="00667B13" w:rsidRDefault="00667B13" w:rsidP="002F4BE6">
      <w:pPr>
        <w:jc w:val="both"/>
        <w:rPr>
          <w:lang w:val="es-CO"/>
        </w:rPr>
      </w:pPr>
    </w:p>
    <w:p w14:paraId="6A40D7FE" w14:textId="77777777" w:rsidR="00667B13" w:rsidRDefault="00667B13" w:rsidP="002F4BE6">
      <w:pPr>
        <w:jc w:val="both"/>
        <w:rPr>
          <w:lang w:val="es-CO"/>
        </w:rPr>
      </w:pPr>
    </w:p>
    <w:p w14:paraId="54AB0DCE" w14:textId="77777777" w:rsidR="00667B13" w:rsidRDefault="00667B13" w:rsidP="002F4BE6">
      <w:pPr>
        <w:jc w:val="both"/>
        <w:rPr>
          <w:lang w:val="es-CO"/>
        </w:rPr>
      </w:pPr>
    </w:p>
    <w:p w14:paraId="413D6C35" w14:textId="77777777" w:rsidR="00667B13" w:rsidRDefault="00667B13" w:rsidP="002F4BE6">
      <w:pPr>
        <w:jc w:val="both"/>
        <w:rPr>
          <w:lang w:val="es-CO"/>
        </w:rPr>
      </w:pPr>
    </w:p>
    <w:p w14:paraId="6C6CF4F5" w14:textId="77777777" w:rsidR="00667B13" w:rsidRDefault="00667B13" w:rsidP="002F4BE6">
      <w:pPr>
        <w:jc w:val="both"/>
        <w:rPr>
          <w:lang w:val="es-CO"/>
        </w:rPr>
      </w:pPr>
    </w:p>
    <w:p w14:paraId="2AFE54B0" w14:textId="77777777" w:rsidR="00667B13" w:rsidRDefault="00667B13" w:rsidP="002F4BE6">
      <w:pPr>
        <w:jc w:val="both"/>
        <w:rPr>
          <w:lang w:val="es-CO"/>
        </w:rPr>
      </w:pPr>
    </w:p>
    <w:p w14:paraId="7A03BD2D" w14:textId="77777777" w:rsidR="00667B13" w:rsidRDefault="00667B13" w:rsidP="002F4BE6">
      <w:pPr>
        <w:jc w:val="both"/>
        <w:rPr>
          <w:lang w:val="es-CO"/>
        </w:rPr>
      </w:pPr>
    </w:p>
    <w:p w14:paraId="7C7D4DFF" w14:textId="77777777" w:rsidR="00667B13" w:rsidRDefault="00667B13" w:rsidP="002F4BE6">
      <w:pPr>
        <w:jc w:val="both"/>
        <w:rPr>
          <w:lang w:val="es-CO"/>
        </w:rPr>
      </w:pPr>
    </w:p>
    <w:p w14:paraId="6E262A24" w14:textId="77777777" w:rsidR="00667B13" w:rsidRDefault="00667B13" w:rsidP="00667B13">
      <w:pPr>
        <w:jc w:val="center"/>
        <w:rPr>
          <w:b/>
          <w:lang w:val="es-CO"/>
        </w:rPr>
      </w:pPr>
      <w:r w:rsidRPr="00667B13">
        <w:rPr>
          <w:b/>
          <w:lang w:val="es-CO"/>
        </w:rPr>
        <w:t>PROPOSICIÓN</w:t>
      </w:r>
    </w:p>
    <w:p w14:paraId="492BA6AE" w14:textId="77777777" w:rsidR="00667B13" w:rsidRDefault="00667B13" w:rsidP="00667B13">
      <w:pPr>
        <w:jc w:val="center"/>
        <w:rPr>
          <w:b/>
          <w:lang w:val="es-CO"/>
        </w:rPr>
      </w:pPr>
    </w:p>
    <w:p w14:paraId="2AA647F0" w14:textId="3755B5B7" w:rsidR="005D5F11" w:rsidRDefault="00667B13" w:rsidP="005D5F11">
      <w:pPr>
        <w:jc w:val="both"/>
        <w:rPr>
          <w:lang w:val="es-CO"/>
        </w:rPr>
      </w:pPr>
      <w:r w:rsidRPr="005D5F11">
        <w:rPr>
          <w:lang w:val="es-CO"/>
        </w:rPr>
        <w:t>En virtud de lo di</w:t>
      </w:r>
      <w:r w:rsidR="005D5F11" w:rsidRPr="005D5F11">
        <w:rPr>
          <w:lang w:val="es-CO"/>
        </w:rPr>
        <w:t>spuesto por el</w:t>
      </w:r>
      <w:r w:rsidR="005D5F11">
        <w:rPr>
          <w:lang w:val="es-CO"/>
        </w:rPr>
        <w:t xml:space="preserve"> 114 de la ley 5 de 1992 y el</w:t>
      </w:r>
      <w:r w:rsidR="005D5F11" w:rsidRPr="005D5F11">
        <w:rPr>
          <w:lang w:val="es-CO"/>
        </w:rPr>
        <w:t xml:space="preserve"> artículo 56 del D</w:t>
      </w:r>
      <w:r w:rsidRPr="005D5F11">
        <w:rPr>
          <w:lang w:val="es-CO"/>
        </w:rPr>
        <w:t xml:space="preserve">ecreto 111 de 1996, </w:t>
      </w:r>
      <w:r w:rsidR="005D5F11" w:rsidRPr="005D5F11">
        <w:rPr>
          <w:b/>
          <w:lang w:val="es-CO"/>
        </w:rPr>
        <w:t>devuélvase al Ministerio de Hacienda y Crédito Público</w:t>
      </w:r>
      <w:r w:rsidR="005D5F11">
        <w:rPr>
          <w:lang w:val="es-CO"/>
        </w:rPr>
        <w:t xml:space="preserve">, el proyecto de </w:t>
      </w:r>
      <w:r w:rsidR="005D5F11" w:rsidRPr="002F4BE6">
        <w:rPr>
          <w:lang w:val="es-CO"/>
        </w:rPr>
        <w:t>ley No. 090 Cámara “Por la cual se decreta el presupuesto de rentas y recursos de capital y ley de apropiaciones para la vigencia fiscal del 1o. de enero al 31 de diciembre de 2025</w:t>
      </w:r>
      <w:r w:rsidR="00226FE0">
        <w:rPr>
          <w:lang w:val="es-CO"/>
        </w:rPr>
        <w:t xml:space="preserve">” ya que </w:t>
      </w:r>
      <w:r w:rsidR="00226FE0" w:rsidRPr="00106DBD">
        <w:t xml:space="preserve">el </w:t>
      </w:r>
      <w:r w:rsidR="00226FE0" w:rsidRPr="00226FE0">
        <w:rPr>
          <w:lang w:val="es-CO"/>
        </w:rPr>
        <w:t>proyecto</w:t>
      </w:r>
      <w:r w:rsidR="00226FE0" w:rsidRPr="00226FE0">
        <w:rPr>
          <w:lang w:val="es-CO"/>
        </w:rPr>
        <w:t xml:space="preserve"> no se ajusta a los preceptos dispuestos por</w:t>
      </w:r>
      <w:r w:rsidR="00226FE0" w:rsidRPr="00226FE0">
        <w:rPr>
          <w:lang w:val="es-CO"/>
        </w:rPr>
        <w:t xml:space="preserve"> ley orgánica</w:t>
      </w:r>
      <w:r w:rsidR="00226FE0" w:rsidRPr="00226FE0">
        <w:rPr>
          <w:lang w:val="es-CO"/>
        </w:rPr>
        <w:t xml:space="preserve"> del presupuesto</w:t>
      </w:r>
      <w:r w:rsidR="005D5F11">
        <w:rPr>
          <w:lang w:val="es-CO"/>
        </w:rPr>
        <w:t>.</w:t>
      </w:r>
    </w:p>
    <w:p w14:paraId="48229D26" w14:textId="77777777" w:rsidR="005D5F11" w:rsidRDefault="005D5F11" w:rsidP="005D5F11">
      <w:pPr>
        <w:jc w:val="both"/>
        <w:rPr>
          <w:lang w:val="es-CO"/>
        </w:rPr>
      </w:pPr>
    </w:p>
    <w:p w14:paraId="72F3A846" w14:textId="77777777" w:rsidR="005D5F11" w:rsidRDefault="005D5F11" w:rsidP="005D5F11">
      <w:pPr>
        <w:jc w:val="both"/>
        <w:rPr>
          <w:lang w:val="es-CO"/>
        </w:rPr>
      </w:pPr>
    </w:p>
    <w:p w14:paraId="088B6DBC" w14:textId="77777777" w:rsidR="00667B13" w:rsidRDefault="005D5F11" w:rsidP="005D5F11">
      <w:pPr>
        <w:jc w:val="center"/>
        <w:rPr>
          <w:b/>
          <w:lang w:val="es-CO"/>
        </w:rPr>
      </w:pPr>
      <w:r w:rsidRPr="005D5F11">
        <w:rPr>
          <w:b/>
          <w:lang w:val="es-CO"/>
        </w:rPr>
        <w:t>JUSTIFICACIÓN</w:t>
      </w:r>
    </w:p>
    <w:p w14:paraId="2267BA72" w14:textId="0068611D" w:rsidR="00A82756" w:rsidRDefault="00A82756" w:rsidP="00A82756">
      <w:pPr>
        <w:rPr>
          <w:b/>
          <w:lang w:val="es-CO"/>
        </w:rPr>
      </w:pPr>
    </w:p>
    <w:p w14:paraId="743D19BC" w14:textId="77777777" w:rsidR="00CC0E47" w:rsidRDefault="00CC0E47" w:rsidP="00CC0E47">
      <w:pPr>
        <w:jc w:val="both"/>
        <w:rPr>
          <w:lang w:val="es-MX"/>
        </w:rPr>
      </w:pPr>
      <w:r w:rsidRPr="00CC0E47">
        <w:rPr>
          <w:lang w:val="es-MX"/>
        </w:rPr>
        <w:t xml:space="preserve">A continuación, se detallan las razones por las que el Presupuesto General de la Nación para 2025 no cumple con los principios de </w:t>
      </w:r>
      <w:r w:rsidRPr="00CC0E47">
        <w:rPr>
          <w:b/>
          <w:lang w:val="es-MX"/>
        </w:rPr>
        <w:t>Coherencia Macroeconómica</w:t>
      </w:r>
      <w:r w:rsidRPr="00CC0E47">
        <w:rPr>
          <w:lang w:val="es-MX"/>
        </w:rPr>
        <w:t xml:space="preserve"> y </w:t>
      </w:r>
      <w:r w:rsidRPr="00CC0E47">
        <w:rPr>
          <w:b/>
          <w:lang w:val="es-MX"/>
        </w:rPr>
        <w:t>planificación</w:t>
      </w:r>
      <w:r w:rsidRPr="00CC0E47">
        <w:rPr>
          <w:lang w:val="es-MX"/>
        </w:rPr>
        <w:t xml:space="preserve"> </w:t>
      </w:r>
      <w:r>
        <w:rPr>
          <w:lang w:val="es-MX"/>
        </w:rPr>
        <w:t>contemplados en el Decreto 111 de 1996 “</w:t>
      </w:r>
      <w:r w:rsidRPr="00CC0E47">
        <w:rPr>
          <w:lang w:val="es-MX"/>
        </w:rPr>
        <w:t>Por el cual se compilan la Ley 38 de 1989, la Ley 179 de 1994 y la Ley 225 de 1995 que conforman el estatuto orgánico del presupuesto</w:t>
      </w:r>
      <w:r>
        <w:rPr>
          <w:lang w:val="es-MX"/>
        </w:rPr>
        <w:t>”</w:t>
      </w:r>
      <w:r w:rsidRPr="00CC0E47">
        <w:rPr>
          <w:lang w:val="es-MX"/>
        </w:rPr>
        <w:t xml:space="preserve">. </w:t>
      </w:r>
    </w:p>
    <w:p w14:paraId="1BBD0C35" w14:textId="77777777" w:rsidR="00CC0E47" w:rsidRDefault="00CC0E47" w:rsidP="00CC0E47">
      <w:pPr>
        <w:jc w:val="both"/>
        <w:rPr>
          <w:lang w:val="es-MX"/>
        </w:rPr>
      </w:pPr>
    </w:p>
    <w:p w14:paraId="3F6243C4" w14:textId="67113F7A" w:rsidR="00A82756" w:rsidRDefault="00CC0E47" w:rsidP="00CC0E47">
      <w:pPr>
        <w:jc w:val="both"/>
        <w:rPr>
          <w:lang w:val="es-MX"/>
        </w:rPr>
      </w:pPr>
      <w:r w:rsidRPr="00CC0E47">
        <w:rPr>
          <w:lang w:val="es-MX"/>
        </w:rPr>
        <w:t>En primer lugar, el presupuesto es incompatible con las metas macroeconómicas establecidas por el gobierno. En segundo lugar, disminuye las asignaciones para inversión en ciertos sectores, lo que contradice los objetivos del Plan Nacional de Desarrollo.</w:t>
      </w:r>
    </w:p>
    <w:p w14:paraId="1EA99D01" w14:textId="77777777" w:rsidR="00CC0E47" w:rsidRDefault="00CC0E47" w:rsidP="00A82756">
      <w:pPr>
        <w:rPr>
          <w:b/>
          <w:lang w:val="es-MX"/>
        </w:rPr>
      </w:pPr>
    </w:p>
    <w:p w14:paraId="3F6A7044" w14:textId="5B2BE324" w:rsidR="00A82756" w:rsidRPr="00E42EA2" w:rsidRDefault="00E42EA2" w:rsidP="00A82756">
      <w:pPr>
        <w:jc w:val="both"/>
        <w:rPr>
          <w:b/>
          <w:lang w:val="es-MX"/>
        </w:rPr>
      </w:pPr>
      <w:r w:rsidRPr="00E42EA2">
        <w:rPr>
          <w:b/>
          <w:lang w:val="es-MX"/>
        </w:rPr>
        <w:t>Contexto de la actividad económica de Colombia</w:t>
      </w:r>
    </w:p>
    <w:p w14:paraId="042999CD" w14:textId="77777777" w:rsidR="00E42EA2" w:rsidRPr="00A82756" w:rsidRDefault="00E42EA2" w:rsidP="00A82756">
      <w:pPr>
        <w:jc w:val="both"/>
        <w:rPr>
          <w:lang w:val="es-MX"/>
        </w:rPr>
      </w:pPr>
    </w:p>
    <w:p w14:paraId="7F032E23" w14:textId="2A8650F4" w:rsidR="00A82756" w:rsidRPr="00A82756" w:rsidRDefault="00A82756" w:rsidP="00A82756">
      <w:pPr>
        <w:pBdr>
          <w:top w:val="nil"/>
          <w:left w:val="nil"/>
          <w:bottom w:val="nil"/>
          <w:right w:val="nil"/>
          <w:between w:val="nil"/>
        </w:pBdr>
        <w:jc w:val="both"/>
        <w:rPr>
          <w:rFonts w:eastAsia="Calibri"/>
          <w:color w:val="000000"/>
          <w:lang w:val="es-MX"/>
        </w:rPr>
      </w:pPr>
      <w:r w:rsidRPr="00A82756">
        <w:rPr>
          <w:rFonts w:eastAsia="Calibri"/>
          <w:color w:val="000000"/>
          <w:lang w:val="es-MX"/>
        </w:rPr>
        <w:t>En 2023, la economía colombiana experimentó un estancamiento. La actividad productiva apenas incrementó un 0,6% (Gráfico 1), marcando su punto más bajo en el siglo XXI, salvo por el período de la pandemia. Esta situación se dio en un entorno de contracción de la demanda interna del 4,0%, en línea con un modesto crecimiento del consumo de los hogares del 0,8% y una histórica caída de la inversión del 25,9%. Mientras tanto, el gasto gubernamental se expandió en un 1,6% y las exportaciones aumentaron un 3,4%. En contraste, las importaciones descendieron un 15,0%, reflejando claramente el lento ritmo del consumo interno.</w:t>
      </w:r>
    </w:p>
    <w:p w14:paraId="7DDC63A0" w14:textId="77777777" w:rsidR="00A82756" w:rsidRPr="00A82756" w:rsidRDefault="00A82756" w:rsidP="00A82756">
      <w:pPr>
        <w:pBdr>
          <w:top w:val="nil"/>
          <w:left w:val="nil"/>
          <w:bottom w:val="nil"/>
          <w:right w:val="nil"/>
          <w:between w:val="nil"/>
        </w:pBdr>
        <w:jc w:val="both"/>
        <w:rPr>
          <w:rFonts w:eastAsia="Calibri"/>
          <w:color w:val="000000"/>
          <w:lang w:val="es-MX"/>
        </w:rPr>
      </w:pPr>
    </w:p>
    <w:p w14:paraId="380DE08A" w14:textId="77777777" w:rsidR="00A82756" w:rsidRPr="00A82756" w:rsidRDefault="00A82756" w:rsidP="00A82756">
      <w:pPr>
        <w:pBdr>
          <w:top w:val="nil"/>
          <w:left w:val="nil"/>
          <w:bottom w:val="nil"/>
          <w:right w:val="nil"/>
          <w:between w:val="nil"/>
        </w:pBdr>
        <w:jc w:val="center"/>
        <w:rPr>
          <w:rFonts w:eastAsia="Calibri"/>
          <w:b/>
          <w:color w:val="000000"/>
          <w:lang w:val="es-MX"/>
        </w:rPr>
      </w:pPr>
      <w:r w:rsidRPr="00A82756">
        <w:rPr>
          <w:rFonts w:eastAsia="Calibri"/>
          <w:b/>
          <w:color w:val="000000"/>
          <w:lang w:val="es-MX"/>
        </w:rPr>
        <w:t>Gráfico 1. Producto Interno Bruto (PIB) de Colombia – Precios constantes</w:t>
      </w:r>
    </w:p>
    <w:p w14:paraId="076BD04C" w14:textId="77777777" w:rsidR="00A82756" w:rsidRPr="00A82756" w:rsidRDefault="00A82756" w:rsidP="00A82756">
      <w:pPr>
        <w:pBdr>
          <w:top w:val="nil"/>
          <w:left w:val="nil"/>
          <w:bottom w:val="nil"/>
          <w:right w:val="nil"/>
          <w:between w:val="nil"/>
        </w:pBdr>
        <w:jc w:val="center"/>
        <w:rPr>
          <w:rFonts w:eastAsia="Calibri"/>
          <w:color w:val="000000"/>
        </w:rPr>
      </w:pPr>
      <w:r w:rsidRPr="00A82756">
        <w:rPr>
          <w:rFonts w:eastAsia="Calibri"/>
          <w:color w:val="000000"/>
        </w:rPr>
        <w:t>(Variación anual, %)</w:t>
      </w:r>
    </w:p>
    <w:p w14:paraId="4E22B5FF" w14:textId="738BA50E" w:rsidR="00A82756" w:rsidRDefault="00A82756" w:rsidP="00A82756">
      <w:pPr>
        <w:pBdr>
          <w:top w:val="nil"/>
          <w:left w:val="nil"/>
          <w:bottom w:val="nil"/>
          <w:right w:val="nil"/>
          <w:between w:val="nil"/>
        </w:pBdr>
        <w:jc w:val="center"/>
        <w:rPr>
          <w:rFonts w:eastAsia="Calibri"/>
          <w:color w:val="000000"/>
        </w:rPr>
      </w:pPr>
      <w:r w:rsidRPr="00A82756">
        <w:rPr>
          <w:noProof/>
          <w:lang w:val="es-CO" w:eastAsia="es-CO"/>
        </w:rPr>
        <w:drawing>
          <wp:inline distT="0" distB="0" distL="0" distR="0" wp14:anchorId="59D96F3C" wp14:editId="2A2F4C37">
            <wp:extent cx="5128260" cy="1874520"/>
            <wp:effectExtent l="0" t="0" r="0" b="0"/>
            <wp:docPr id="4" name="Gráfico 4">
              <a:extLst xmlns:a="http://schemas.openxmlformats.org/drawingml/2006/main">
                <a:ext uri="{FF2B5EF4-FFF2-40B4-BE49-F238E27FC236}">
                  <a16:creationId xmlns:a16="http://schemas.microsoft.com/office/drawing/2014/main" id="{C34B1D18-0E2A-465B-9A97-0EFCB112B28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F480A70" w14:textId="77777777" w:rsidR="00A82756" w:rsidRPr="00A82756" w:rsidRDefault="00A82756" w:rsidP="00A82756">
      <w:pPr>
        <w:pBdr>
          <w:top w:val="nil"/>
          <w:left w:val="nil"/>
          <w:bottom w:val="nil"/>
          <w:right w:val="nil"/>
          <w:between w:val="nil"/>
        </w:pBdr>
        <w:jc w:val="center"/>
        <w:rPr>
          <w:rFonts w:eastAsia="Calibri"/>
          <w:color w:val="000000"/>
          <w:sz w:val="10"/>
          <w:szCs w:val="10"/>
        </w:rPr>
      </w:pPr>
    </w:p>
    <w:p w14:paraId="24ACCEEE" w14:textId="0AE6D9CE" w:rsidR="00A82756" w:rsidRPr="00A82756" w:rsidRDefault="00A82756" w:rsidP="00A82756">
      <w:pPr>
        <w:pBdr>
          <w:top w:val="nil"/>
          <w:left w:val="nil"/>
          <w:bottom w:val="nil"/>
          <w:right w:val="nil"/>
          <w:between w:val="nil"/>
        </w:pBdr>
        <w:jc w:val="center"/>
        <w:rPr>
          <w:rFonts w:eastAsia="Calibri"/>
          <w:color w:val="000000"/>
          <w:sz w:val="20"/>
          <w:szCs w:val="20"/>
          <w:lang w:val="es-MX"/>
        </w:rPr>
      </w:pPr>
      <w:r w:rsidRPr="00A82756">
        <w:rPr>
          <w:rFonts w:eastAsia="Calibri"/>
          <w:color w:val="000000"/>
          <w:sz w:val="20"/>
          <w:szCs w:val="20"/>
          <w:lang w:val="es-MX"/>
        </w:rPr>
        <w:t>Fuente: DANE (2024). Elaboración propia.</w:t>
      </w:r>
    </w:p>
    <w:p w14:paraId="553E5DDF" w14:textId="77777777" w:rsidR="00A82756" w:rsidRPr="00A82756" w:rsidRDefault="00A82756" w:rsidP="00A82756">
      <w:pPr>
        <w:pBdr>
          <w:top w:val="nil"/>
          <w:left w:val="nil"/>
          <w:bottom w:val="nil"/>
          <w:right w:val="nil"/>
          <w:between w:val="nil"/>
        </w:pBdr>
        <w:jc w:val="center"/>
        <w:rPr>
          <w:rFonts w:eastAsia="Calibri"/>
          <w:color w:val="000000"/>
          <w:lang w:val="es-MX"/>
        </w:rPr>
      </w:pPr>
    </w:p>
    <w:p w14:paraId="148B4B64" w14:textId="54A40A07" w:rsidR="00A82756" w:rsidRPr="00A82756" w:rsidRDefault="00A82756" w:rsidP="00A82756">
      <w:pPr>
        <w:pBdr>
          <w:top w:val="nil"/>
          <w:left w:val="nil"/>
          <w:bottom w:val="nil"/>
          <w:right w:val="nil"/>
          <w:between w:val="nil"/>
        </w:pBdr>
        <w:jc w:val="both"/>
        <w:rPr>
          <w:rFonts w:eastAsia="Calibri"/>
          <w:color w:val="000000"/>
          <w:lang w:val="es-MX"/>
        </w:rPr>
      </w:pPr>
      <w:r w:rsidRPr="00A82756">
        <w:rPr>
          <w:rFonts w:eastAsia="Calibri"/>
          <w:color w:val="000000"/>
          <w:lang w:val="es-MX"/>
        </w:rPr>
        <w:lastRenderedPageBreak/>
        <w:t>Los principales factores macroeconómicos que explican este bajo rendimiento fueron: 1) las elevadas tasas de interés, 2) las presiones inflacionarias que afectaron el poder adquisitivo de los hogares, 3) el aumento del endeudamiento de los hogares y su alta carga financiera, 4) el deterioro del mercado laboral, 5) la disminución de la confianza de los inversionistas, 6) el impacto de la Reforma Tributaria de 2022 y 7) la incertidumbre regulatoria generada por el Gobierno.</w:t>
      </w:r>
    </w:p>
    <w:p w14:paraId="34219C77" w14:textId="77777777" w:rsidR="00A82756" w:rsidRPr="00A82756" w:rsidRDefault="00A82756" w:rsidP="00A82756">
      <w:pPr>
        <w:pBdr>
          <w:top w:val="nil"/>
          <w:left w:val="nil"/>
          <w:bottom w:val="nil"/>
          <w:right w:val="nil"/>
          <w:between w:val="nil"/>
        </w:pBdr>
        <w:jc w:val="both"/>
        <w:rPr>
          <w:rFonts w:eastAsia="Calibri"/>
          <w:color w:val="000000"/>
          <w:lang w:val="es-MX"/>
        </w:rPr>
      </w:pPr>
    </w:p>
    <w:p w14:paraId="0166474B" w14:textId="087C469E" w:rsidR="00A82756" w:rsidRPr="00A82756" w:rsidRDefault="00A82756" w:rsidP="00A82756">
      <w:pPr>
        <w:pBdr>
          <w:top w:val="nil"/>
          <w:left w:val="nil"/>
          <w:bottom w:val="nil"/>
          <w:right w:val="nil"/>
          <w:between w:val="nil"/>
        </w:pBdr>
        <w:jc w:val="both"/>
        <w:rPr>
          <w:rFonts w:eastAsia="Calibri"/>
          <w:color w:val="000000"/>
          <w:lang w:val="es-MX"/>
        </w:rPr>
      </w:pPr>
      <w:r w:rsidRPr="00A82756">
        <w:rPr>
          <w:rFonts w:eastAsia="Calibri"/>
          <w:color w:val="000000"/>
          <w:lang w:val="es-MX"/>
        </w:rPr>
        <w:t>Particularmente preocupante dentro del PIB es el componente de la inversión, ya que representa la base para el crecimiento económico a mediano y largo plazo. La incertidumbre regulatoria, la alta carga tributaria y las elevadas tasas de interés han sido factores clave en la significativa caída de la inversión en el país. Mientras que la inversión representaba el 24% del PIB en 2015, en 2023 se redujo a un mínimo del 17% (Gráfico 2).</w:t>
      </w:r>
    </w:p>
    <w:p w14:paraId="4BC9BB0C" w14:textId="087C469E" w:rsidR="00A82756" w:rsidRPr="00A82756" w:rsidRDefault="00A82756" w:rsidP="00A82756">
      <w:pPr>
        <w:pBdr>
          <w:top w:val="nil"/>
          <w:left w:val="nil"/>
          <w:bottom w:val="nil"/>
          <w:right w:val="nil"/>
          <w:between w:val="nil"/>
        </w:pBdr>
        <w:jc w:val="both"/>
        <w:rPr>
          <w:rFonts w:eastAsia="Calibri"/>
          <w:color w:val="000000"/>
          <w:lang w:val="es-MX"/>
        </w:rPr>
      </w:pPr>
    </w:p>
    <w:p w14:paraId="15199B0C" w14:textId="77777777" w:rsidR="00A82756" w:rsidRPr="00A82756" w:rsidRDefault="00A82756" w:rsidP="00A82756">
      <w:pPr>
        <w:pBdr>
          <w:top w:val="nil"/>
          <w:left w:val="nil"/>
          <w:bottom w:val="nil"/>
          <w:right w:val="nil"/>
          <w:between w:val="nil"/>
        </w:pBdr>
        <w:jc w:val="center"/>
        <w:rPr>
          <w:rFonts w:eastAsia="Calibri"/>
          <w:b/>
          <w:color w:val="000000"/>
          <w:lang w:val="es-MX"/>
        </w:rPr>
      </w:pPr>
      <w:r w:rsidRPr="00A82756">
        <w:rPr>
          <w:rFonts w:eastAsia="Calibri"/>
          <w:b/>
          <w:color w:val="000000"/>
          <w:lang w:val="es-MX"/>
        </w:rPr>
        <w:t>Gráfico 2. Participación de la inversión en el PIB de Colombia – Precios constantes</w:t>
      </w:r>
    </w:p>
    <w:p w14:paraId="125DD894" w14:textId="77777777" w:rsidR="00A82756" w:rsidRPr="00A82756" w:rsidRDefault="00A82756" w:rsidP="00A82756">
      <w:pPr>
        <w:pBdr>
          <w:top w:val="nil"/>
          <w:left w:val="nil"/>
          <w:bottom w:val="nil"/>
          <w:right w:val="nil"/>
          <w:between w:val="nil"/>
        </w:pBdr>
        <w:jc w:val="center"/>
        <w:rPr>
          <w:rFonts w:eastAsia="Calibri"/>
          <w:color w:val="000000"/>
        </w:rPr>
      </w:pPr>
      <w:r w:rsidRPr="00A82756">
        <w:rPr>
          <w:rFonts w:eastAsia="Calibri"/>
          <w:color w:val="000000"/>
        </w:rPr>
        <w:t>(Porcentaje, %)</w:t>
      </w:r>
    </w:p>
    <w:p w14:paraId="354A689A" w14:textId="77777777" w:rsidR="00A82756" w:rsidRPr="00A82756" w:rsidRDefault="00A82756" w:rsidP="00A82756">
      <w:pPr>
        <w:pBdr>
          <w:top w:val="nil"/>
          <w:left w:val="nil"/>
          <w:bottom w:val="nil"/>
          <w:right w:val="nil"/>
          <w:between w:val="nil"/>
        </w:pBdr>
        <w:jc w:val="center"/>
        <w:rPr>
          <w:rFonts w:eastAsia="Calibri"/>
          <w:color w:val="000000"/>
        </w:rPr>
      </w:pPr>
      <w:r w:rsidRPr="00A82756">
        <w:rPr>
          <w:noProof/>
          <w:lang w:val="es-CO" w:eastAsia="es-CO"/>
        </w:rPr>
        <w:drawing>
          <wp:inline distT="0" distB="0" distL="0" distR="0" wp14:anchorId="18582AF6" wp14:editId="0974DA44">
            <wp:extent cx="5242560" cy="1653540"/>
            <wp:effectExtent l="0" t="0" r="0" b="0"/>
            <wp:docPr id="2" name="Gráfico 2">
              <a:extLst xmlns:a="http://schemas.openxmlformats.org/drawingml/2006/main">
                <a:ext uri="{FF2B5EF4-FFF2-40B4-BE49-F238E27FC236}">
                  <a16:creationId xmlns:a16="http://schemas.microsoft.com/office/drawing/2014/main" id="{52B2FFE0-360B-43D0-BFDB-4E830DE933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29BB6B0" w14:textId="77777777" w:rsidR="00A82756" w:rsidRPr="00A82756" w:rsidRDefault="00A82756" w:rsidP="00A82756">
      <w:pPr>
        <w:pBdr>
          <w:top w:val="nil"/>
          <w:left w:val="nil"/>
          <w:bottom w:val="nil"/>
          <w:right w:val="nil"/>
          <w:between w:val="nil"/>
        </w:pBdr>
        <w:jc w:val="center"/>
        <w:rPr>
          <w:rFonts w:eastAsia="Calibri"/>
          <w:color w:val="000000"/>
          <w:lang w:val="es-MX"/>
        </w:rPr>
      </w:pPr>
      <w:r w:rsidRPr="00A82756">
        <w:rPr>
          <w:rFonts w:eastAsia="Calibri"/>
          <w:color w:val="000000"/>
          <w:lang w:val="es-MX"/>
        </w:rPr>
        <w:t>Fuente: DANE (2024). Elaboración propia.</w:t>
      </w:r>
    </w:p>
    <w:p w14:paraId="74A1BF28" w14:textId="77777777" w:rsidR="00A82756" w:rsidRPr="00A82756" w:rsidRDefault="00A82756" w:rsidP="00A82756">
      <w:pPr>
        <w:pBdr>
          <w:top w:val="nil"/>
          <w:left w:val="nil"/>
          <w:bottom w:val="nil"/>
          <w:right w:val="nil"/>
          <w:between w:val="nil"/>
        </w:pBdr>
        <w:jc w:val="both"/>
        <w:rPr>
          <w:rFonts w:eastAsia="Calibri"/>
          <w:b/>
          <w:color w:val="000000"/>
          <w:lang w:val="es-MX"/>
        </w:rPr>
      </w:pPr>
    </w:p>
    <w:p w14:paraId="2ABC3024" w14:textId="4E8C3A34" w:rsidR="00A82756" w:rsidRPr="00A82756" w:rsidRDefault="00A82756" w:rsidP="00A82756">
      <w:pPr>
        <w:pBdr>
          <w:top w:val="nil"/>
          <w:left w:val="nil"/>
          <w:bottom w:val="nil"/>
          <w:right w:val="nil"/>
          <w:between w:val="nil"/>
        </w:pBdr>
        <w:jc w:val="both"/>
        <w:rPr>
          <w:rFonts w:eastAsia="Calibri"/>
          <w:b/>
          <w:color w:val="000000"/>
          <w:lang w:val="es-MX"/>
        </w:rPr>
      </w:pPr>
      <w:r w:rsidRPr="00A82756">
        <w:rPr>
          <w:rFonts w:eastAsia="Calibri"/>
          <w:b/>
          <w:color w:val="000000"/>
          <w:lang w:val="es-MX"/>
        </w:rPr>
        <w:t xml:space="preserve">Estado de las finanzas públicas en cuidados intensivos </w:t>
      </w:r>
    </w:p>
    <w:p w14:paraId="3F2A2D76" w14:textId="77777777" w:rsidR="00A82756" w:rsidRPr="00A82756" w:rsidRDefault="00A82756" w:rsidP="00A82756">
      <w:pPr>
        <w:pBdr>
          <w:top w:val="nil"/>
          <w:left w:val="nil"/>
          <w:bottom w:val="nil"/>
          <w:right w:val="nil"/>
          <w:between w:val="nil"/>
        </w:pBdr>
        <w:jc w:val="both"/>
        <w:rPr>
          <w:rFonts w:eastAsia="Calibri"/>
          <w:color w:val="000000"/>
          <w:lang w:val="es-MX"/>
        </w:rPr>
      </w:pPr>
    </w:p>
    <w:p w14:paraId="108FA362" w14:textId="4D98A95D" w:rsidR="00A82756" w:rsidRDefault="00A82756" w:rsidP="00A82756">
      <w:pPr>
        <w:pBdr>
          <w:top w:val="nil"/>
          <w:left w:val="nil"/>
          <w:bottom w:val="nil"/>
          <w:right w:val="nil"/>
          <w:between w:val="nil"/>
        </w:pBdr>
        <w:jc w:val="both"/>
        <w:rPr>
          <w:rFonts w:eastAsia="Calibri"/>
          <w:color w:val="000000"/>
          <w:lang w:val="es-MX"/>
        </w:rPr>
      </w:pPr>
      <w:r w:rsidRPr="00A82756">
        <w:rPr>
          <w:rFonts w:eastAsia="Calibri"/>
          <w:color w:val="000000"/>
          <w:lang w:val="es-MX"/>
        </w:rPr>
        <w:t>Las proyecciones fiscales del Ministerio de Hacienda y Crédito Público han empeorado progresivamente en cuanto a déficit fiscal y balance primario. De acuerdo con el Gráfico 3, el Marco Fiscal de Mediano Plazo (MFMP) de 2023 anticipaba un déficit fiscal del 3,5% y un balance primario equilibrado para 2024. No obstante, el Marco Fiscal de Mediano Plazo de 2024 presenta estimaciones más desfavorables. El déficit fiscal se incrementa hasta el 5,6%, alcanzando el límite de la regla fiscal, mientras que el balance primario se proyecta en un nivel contractivo de -0,9%.</w:t>
      </w:r>
    </w:p>
    <w:p w14:paraId="74A62B40" w14:textId="46684EB4" w:rsidR="00801625" w:rsidRDefault="00801625" w:rsidP="00A82756">
      <w:pPr>
        <w:pBdr>
          <w:top w:val="nil"/>
          <w:left w:val="nil"/>
          <w:bottom w:val="nil"/>
          <w:right w:val="nil"/>
          <w:between w:val="nil"/>
        </w:pBdr>
        <w:jc w:val="both"/>
        <w:rPr>
          <w:rFonts w:eastAsia="Calibri"/>
          <w:color w:val="000000"/>
          <w:lang w:val="es-MX"/>
        </w:rPr>
      </w:pPr>
    </w:p>
    <w:p w14:paraId="2AA0214A" w14:textId="5C29DBD0" w:rsidR="006E1478" w:rsidRDefault="006E1478" w:rsidP="00A82756">
      <w:pPr>
        <w:pBdr>
          <w:top w:val="nil"/>
          <w:left w:val="nil"/>
          <w:bottom w:val="nil"/>
          <w:right w:val="nil"/>
          <w:between w:val="nil"/>
        </w:pBdr>
        <w:jc w:val="both"/>
        <w:rPr>
          <w:rFonts w:eastAsia="Calibri"/>
          <w:color w:val="000000"/>
          <w:lang w:val="es-MX"/>
        </w:rPr>
      </w:pPr>
    </w:p>
    <w:p w14:paraId="4CE2A2CA" w14:textId="2D8BEC43" w:rsidR="006E1478" w:rsidRDefault="006E1478" w:rsidP="00A82756">
      <w:pPr>
        <w:pBdr>
          <w:top w:val="nil"/>
          <w:left w:val="nil"/>
          <w:bottom w:val="nil"/>
          <w:right w:val="nil"/>
          <w:between w:val="nil"/>
        </w:pBdr>
        <w:jc w:val="both"/>
        <w:rPr>
          <w:rFonts w:eastAsia="Calibri"/>
          <w:color w:val="000000"/>
          <w:lang w:val="es-MX"/>
        </w:rPr>
      </w:pPr>
    </w:p>
    <w:p w14:paraId="6BF387C0" w14:textId="78ABC08A" w:rsidR="006E1478" w:rsidRDefault="006E1478" w:rsidP="00A82756">
      <w:pPr>
        <w:pBdr>
          <w:top w:val="nil"/>
          <w:left w:val="nil"/>
          <w:bottom w:val="nil"/>
          <w:right w:val="nil"/>
          <w:between w:val="nil"/>
        </w:pBdr>
        <w:jc w:val="both"/>
        <w:rPr>
          <w:rFonts w:eastAsia="Calibri"/>
          <w:color w:val="000000"/>
          <w:lang w:val="es-MX"/>
        </w:rPr>
      </w:pPr>
    </w:p>
    <w:p w14:paraId="70066EA2" w14:textId="41CF2A79" w:rsidR="006E1478" w:rsidRDefault="006E1478" w:rsidP="00A82756">
      <w:pPr>
        <w:pBdr>
          <w:top w:val="nil"/>
          <w:left w:val="nil"/>
          <w:bottom w:val="nil"/>
          <w:right w:val="nil"/>
          <w:between w:val="nil"/>
        </w:pBdr>
        <w:jc w:val="both"/>
        <w:rPr>
          <w:rFonts w:eastAsia="Calibri"/>
          <w:color w:val="000000"/>
          <w:lang w:val="es-MX"/>
        </w:rPr>
      </w:pPr>
    </w:p>
    <w:p w14:paraId="439D33E8" w14:textId="00DD1DDB" w:rsidR="006E1478" w:rsidRDefault="006E1478" w:rsidP="00A82756">
      <w:pPr>
        <w:pBdr>
          <w:top w:val="nil"/>
          <w:left w:val="nil"/>
          <w:bottom w:val="nil"/>
          <w:right w:val="nil"/>
          <w:between w:val="nil"/>
        </w:pBdr>
        <w:jc w:val="both"/>
        <w:rPr>
          <w:rFonts w:eastAsia="Calibri"/>
          <w:color w:val="000000"/>
          <w:lang w:val="es-MX"/>
        </w:rPr>
      </w:pPr>
    </w:p>
    <w:p w14:paraId="3DCF147B" w14:textId="4C5175D2" w:rsidR="006E1478" w:rsidRDefault="006E1478" w:rsidP="00A82756">
      <w:pPr>
        <w:pBdr>
          <w:top w:val="nil"/>
          <w:left w:val="nil"/>
          <w:bottom w:val="nil"/>
          <w:right w:val="nil"/>
          <w:between w:val="nil"/>
        </w:pBdr>
        <w:jc w:val="both"/>
        <w:rPr>
          <w:rFonts w:eastAsia="Calibri"/>
          <w:color w:val="000000"/>
          <w:lang w:val="es-MX"/>
        </w:rPr>
      </w:pPr>
    </w:p>
    <w:p w14:paraId="6C21D500" w14:textId="68F5476D" w:rsidR="006E1478" w:rsidRDefault="006E1478" w:rsidP="00A82756">
      <w:pPr>
        <w:pBdr>
          <w:top w:val="nil"/>
          <w:left w:val="nil"/>
          <w:bottom w:val="nil"/>
          <w:right w:val="nil"/>
          <w:between w:val="nil"/>
        </w:pBdr>
        <w:jc w:val="both"/>
        <w:rPr>
          <w:rFonts w:eastAsia="Calibri"/>
          <w:color w:val="000000"/>
          <w:lang w:val="es-MX"/>
        </w:rPr>
      </w:pPr>
    </w:p>
    <w:p w14:paraId="24C20621" w14:textId="4271D82F" w:rsidR="006E1478" w:rsidRDefault="006E1478" w:rsidP="00A82756">
      <w:pPr>
        <w:pBdr>
          <w:top w:val="nil"/>
          <w:left w:val="nil"/>
          <w:bottom w:val="nil"/>
          <w:right w:val="nil"/>
          <w:between w:val="nil"/>
        </w:pBdr>
        <w:jc w:val="both"/>
        <w:rPr>
          <w:rFonts w:eastAsia="Calibri"/>
          <w:color w:val="000000"/>
          <w:lang w:val="es-MX"/>
        </w:rPr>
      </w:pPr>
    </w:p>
    <w:p w14:paraId="247F65C2" w14:textId="466F7F6B" w:rsidR="006E1478" w:rsidRDefault="006E1478" w:rsidP="00A82756">
      <w:pPr>
        <w:pBdr>
          <w:top w:val="nil"/>
          <w:left w:val="nil"/>
          <w:bottom w:val="nil"/>
          <w:right w:val="nil"/>
          <w:between w:val="nil"/>
        </w:pBdr>
        <w:jc w:val="both"/>
        <w:rPr>
          <w:rFonts w:eastAsia="Calibri"/>
          <w:color w:val="000000"/>
          <w:lang w:val="es-MX"/>
        </w:rPr>
      </w:pPr>
    </w:p>
    <w:p w14:paraId="3E7811B3" w14:textId="1F4BD419" w:rsidR="006E1478" w:rsidRDefault="006E1478" w:rsidP="00A82756">
      <w:pPr>
        <w:pBdr>
          <w:top w:val="nil"/>
          <w:left w:val="nil"/>
          <w:bottom w:val="nil"/>
          <w:right w:val="nil"/>
          <w:between w:val="nil"/>
        </w:pBdr>
        <w:jc w:val="both"/>
        <w:rPr>
          <w:rFonts w:eastAsia="Calibri"/>
          <w:color w:val="000000"/>
          <w:lang w:val="es-MX"/>
        </w:rPr>
      </w:pPr>
    </w:p>
    <w:p w14:paraId="3B149547" w14:textId="1FAFA89A" w:rsidR="006E1478" w:rsidRDefault="006E1478" w:rsidP="00A82756">
      <w:pPr>
        <w:pBdr>
          <w:top w:val="nil"/>
          <w:left w:val="nil"/>
          <w:bottom w:val="nil"/>
          <w:right w:val="nil"/>
          <w:between w:val="nil"/>
        </w:pBdr>
        <w:jc w:val="both"/>
        <w:rPr>
          <w:rFonts w:eastAsia="Calibri"/>
          <w:color w:val="000000"/>
          <w:lang w:val="es-MX"/>
        </w:rPr>
      </w:pPr>
    </w:p>
    <w:p w14:paraId="30E3CD53" w14:textId="2E48B787" w:rsidR="006E1478" w:rsidRDefault="006E1478" w:rsidP="00A82756">
      <w:pPr>
        <w:pBdr>
          <w:top w:val="nil"/>
          <w:left w:val="nil"/>
          <w:bottom w:val="nil"/>
          <w:right w:val="nil"/>
          <w:between w:val="nil"/>
        </w:pBdr>
        <w:jc w:val="both"/>
        <w:rPr>
          <w:rFonts w:eastAsia="Calibri"/>
          <w:color w:val="000000"/>
          <w:lang w:val="es-MX"/>
        </w:rPr>
      </w:pPr>
    </w:p>
    <w:p w14:paraId="36B58FBC" w14:textId="6E57E308" w:rsidR="006E1478" w:rsidRDefault="006E1478" w:rsidP="00A82756">
      <w:pPr>
        <w:pBdr>
          <w:top w:val="nil"/>
          <w:left w:val="nil"/>
          <w:bottom w:val="nil"/>
          <w:right w:val="nil"/>
          <w:between w:val="nil"/>
        </w:pBdr>
        <w:jc w:val="both"/>
        <w:rPr>
          <w:rFonts w:eastAsia="Calibri"/>
          <w:color w:val="000000"/>
          <w:lang w:val="es-MX"/>
        </w:rPr>
      </w:pPr>
    </w:p>
    <w:p w14:paraId="3CAD8B8A" w14:textId="68CEFAAE" w:rsidR="006E1478" w:rsidRDefault="006E1478" w:rsidP="00A82756">
      <w:pPr>
        <w:pBdr>
          <w:top w:val="nil"/>
          <w:left w:val="nil"/>
          <w:bottom w:val="nil"/>
          <w:right w:val="nil"/>
          <w:between w:val="nil"/>
        </w:pBdr>
        <w:jc w:val="both"/>
        <w:rPr>
          <w:rFonts w:eastAsia="Calibri"/>
          <w:color w:val="000000"/>
          <w:lang w:val="es-MX"/>
        </w:rPr>
      </w:pPr>
    </w:p>
    <w:p w14:paraId="6773E556" w14:textId="6432054F" w:rsidR="006E1478" w:rsidRDefault="006E1478" w:rsidP="00A82756">
      <w:pPr>
        <w:pBdr>
          <w:top w:val="nil"/>
          <w:left w:val="nil"/>
          <w:bottom w:val="nil"/>
          <w:right w:val="nil"/>
          <w:between w:val="nil"/>
        </w:pBdr>
        <w:jc w:val="both"/>
        <w:rPr>
          <w:rFonts w:eastAsia="Calibri"/>
          <w:color w:val="000000"/>
          <w:lang w:val="es-MX"/>
        </w:rPr>
      </w:pPr>
    </w:p>
    <w:p w14:paraId="6E028535" w14:textId="77777777" w:rsidR="006E1478" w:rsidRPr="00A82756" w:rsidRDefault="006E1478" w:rsidP="00A82756">
      <w:pPr>
        <w:pBdr>
          <w:top w:val="nil"/>
          <w:left w:val="nil"/>
          <w:bottom w:val="nil"/>
          <w:right w:val="nil"/>
          <w:between w:val="nil"/>
        </w:pBdr>
        <w:jc w:val="both"/>
        <w:rPr>
          <w:rFonts w:eastAsia="Calibri"/>
          <w:color w:val="000000"/>
          <w:lang w:val="es-MX"/>
        </w:rPr>
      </w:pPr>
    </w:p>
    <w:p w14:paraId="717BA9F6" w14:textId="501EEF31" w:rsidR="00A82756" w:rsidRPr="00A82756" w:rsidRDefault="00A82756" w:rsidP="00A82756">
      <w:pPr>
        <w:pBdr>
          <w:top w:val="nil"/>
          <w:left w:val="nil"/>
          <w:bottom w:val="nil"/>
          <w:right w:val="nil"/>
          <w:between w:val="nil"/>
        </w:pBdr>
        <w:jc w:val="center"/>
        <w:rPr>
          <w:rFonts w:eastAsia="Calibri"/>
          <w:b/>
          <w:color w:val="000000"/>
        </w:rPr>
      </w:pPr>
      <w:r w:rsidRPr="00A82756">
        <w:rPr>
          <w:rFonts w:eastAsia="Calibri"/>
          <w:b/>
          <w:color w:val="000000"/>
        </w:rPr>
        <w:t>Gráfico 3. Proyecciones de Déficit Fiscal</w:t>
      </w:r>
    </w:p>
    <w:p w14:paraId="4DCB1726" w14:textId="77777777" w:rsidR="00A82756" w:rsidRPr="00A82756" w:rsidRDefault="00A82756" w:rsidP="00A82756">
      <w:pPr>
        <w:pBdr>
          <w:top w:val="nil"/>
          <w:left w:val="nil"/>
          <w:bottom w:val="nil"/>
          <w:right w:val="nil"/>
          <w:between w:val="nil"/>
        </w:pBdr>
        <w:jc w:val="center"/>
        <w:rPr>
          <w:rFonts w:eastAsia="Calibri"/>
          <w:b/>
          <w:color w:val="000000"/>
        </w:rPr>
      </w:pPr>
    </w:p>
    <w:tbl>
      <w:tblPr>
        <w:tblW w:w="9498" w:type="dxa"/>
        <w:tblInd w:w="-147" w:type="dxa"/>
        <w:tblBorders>
          <w:top w:val="nil"/>
          <w:left w:val="nil"/>
          <w:bottom w:val="nil"/>
          <w:right w:val="nil"/>
          <w:insideH w:val="nil"/>
          <w:insideV w:val="nil"/>
        </w:tblBorders>
        <w:tblLayout w:type="fixed"/>
        <w:tblCellMar>
          <w:left w:w="70" w:type="dxa"/>
          <w:right w:w="70" w:type="dxa"/>
        </w:tblCellMar>
        <w:tblLook w:val="0400" w:firstRow="0" w:lastRow="0" w:firstColumn="0" w:lastColumn="0" w:noHBand="0" w:noVBand="1"/>
      </w:tblPr>
      <w:tblGrid>
        <w:gridCol w:w="4820"/>
        <w:gridCol w:w="4678"/>
      </w:tblGrid>
      <w:tr w:rsidR="00A82756" w:rsidRPr="00A82756" w14:paraId="7AD05217" w14:textId="77777777" w:rsidTr="002521A7">
        <w:tc>
          <w:tcPr>
            <w:tcW w:w="4820" w:type="dxa"/>
            <w:shd w:val="clear" w:color="auto" w:fill="auto"/>
          </w:tcPr>
          <w:p w14:paraId="30342786" w14:textId="77777777" w:rsidR="00A82756" w:rsidRPr="00A82756" w:rsidRDefault="00A82756" w:rsidP="002521A7">
            <w:pPr>
              <w:pBdr>
                <w:top w:val="nil"/>
                <w:left w:val="nil"/>
                <w:bottom w:val="nil"/>
                <w:right w:val="nil"/>
                <w:between w:val="nil"/>
              </w:pBdr>
              <w:jc w:val="center"/>
              <w:rPr>
                <w:rFonts w:eastAsia="Calibri"/>
                <w:b/>
                <w:color w:val="000000"/>
                <w:lang w:val="es-MX"/>
              </w:rPr>
            </w:pPr>
            <w:r w:rsidRPr="00A82756">
              <w:rPr>
                <w:rFonts w:eastAsia="Calibri"/>
                <w:b/>
                <w:color w:val="000000"/>
                <w:lang w:val="es-MX"/>
              </w:rPr>
              <w:t>A. Déficit fiscal (% del PIB)</w:t>
            </w:r>
          </w:p>
          <w:p w14:paraId="5BDCFB8C" w14:textId="77777777" w:rsidR="00A82756" w:rsidRPr="00A82756" w:rsidRDefault="00A82756" w:rsidP="002521A7">
            <w:pPr>
              <w:pBdr>
                <w:top w:val="nil"/>
                <w:left w:val="nil"/>
                <w:bottom w:val="nil"/>
                <w:right w:val="nil"/>
                <w:between w:val="nil"/>
              </w:pBdr>
              <w:jc w:val="both"/>
              <w:rPr>
                <w:rFonts w:eastAsia="Calibri"/>
                <w:color w:val="000000"/>
              </w:rPr>
            </w:pPr>
            <w:r w:rsidRPr="00A82756">
              <w:rPr>
                <w:rFonts w:eastAsia="Calibri"/>
                <w:noProof/>
                <w:color w:val="000000"/>
                <w:lang w:val="es-CO" w:eastAsia="es-CO"/>
              </w:rPr>
              <w:drawing>
                <wp:inline distT="0" distB="0" distL="0" distR="0" wp14:anchorId="62E60D56" wp14:editId="2E9A83A5">
                  <wp:extent cx="3032760" cy="2453640"/>
                  <wp:effectExtent l="0" t="0" r="0" b="0"/>
                  <wp:docPr id="11" name="Gráfico 11">
                    <a:extLst xmlns:a="http://schemas.openxmlformats.org/drawingml/2006/main">
                      <a:ext uri="{FF2B5EF4-FFF2-40B4-BE49-F238E27FC236}">
                        <a16:creationId xmlns:a16="http://schemas.microsoft.com/office/drawing/2014/main" id="{12020F42-5D3F-417E-8380-E46CF77216B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tcW w:w="4678" w:type="dxa"/>
            <w:shd w:val="clear" w:color="auto" w:fill="auto"/>
          </w:tcPr>
          <w:p w14:paraId="47AB08B8" w14:textId="77777777" w:rsidR="00A82756" w:rsidRPr="00A82756" w:rsidRDefault="00A82756" w:rsidP="002521A7">
            <w:pPr>
              <w:pBdr>
                <w:top w:val="nil"/>
                <w:left w:val="nil"/>
                <w:bottom w:val="nil"/>
                <w:right w:val="nil"/>
                <w:between w:val="nil"/>
              </w:pBdr>
              <w:jc w:val="center"/>
              <w:rPr>
                <w:rFonts w:eastAsia="Calibri"/>
                <w:b/>
                <w:color w:val="000000"/>
                <w:lang w:val="es-MX"/>
              </w:rPr>
            </w:pPr>
            <w:r w:rsidRPr="00A82756">
              <w:rPr>
                <w:rFonts w:eastAsia="Calibri"/>
                <w:b/>
                <w:color w:val="000000"/>
                <w:lang w:val="es-MX"/>
              </w:rPr>
              <w:t>B. Balance primario (% del PIB)</w:t>
            </w:r>
          </w:p>
          <w:p w14:paraId="077A530A" w14:textId="77777777" w:rsidR="00A82756" w:rsidRPr="00A82756" w:rsidRDefault="00A82756" w:rsidP="002521A7">
            <w:pPr>
              <w:pBdr>
                <w:top w:val="nil"/>
                <w:left w:val="nil"/>
                <w:bottom w:val="nil"/>
                <w:right w:val="nil"/>
                <w:between w:val="nil"/>
              </w:pBdr>
              <w:jc w:val="both"/>
              <w:rPr>
                <w:rFonts w:eastAsia="Calibri"/>
                <w:color w:val="000000"/>
              </w:rPr>
            </w:pPr>
            <w:r w:rsidRPr="00A82756">
              <w:rPr>
                <w:rFonts w:eastAsia="Calibri"/>
                <w:noProof/>
                <w:color w:val="000000"/>
                <w:lang w:val="es-CO" w:eastAsia="es-CO"/>
              </w:rPr>
              <w:drawing>
                <wp:inline distT="0" distB="0" distL="0" distR="0" wp14:anchorId="78B91DE4" wp14:editId="70BCA292">
                  <wp:extent cx="3017520" cy="2415540"/>
                  <wp:effectExtent l="0" t="0" r="0" b="0"/>
                  <wp:docPr id="12" name="Gráfico 12">
                    <a:extLst xmlns:a="http://schemas.openxmlformats.org/drawingml/2006/main">
                      <a:ext uri="{FF2B5EF4-FFF2-40B4-BE49-F238E27FC236}">
                        <a16:creationId xmlns:a16="http://schemas.microsoft.com/office/drawing/2014/main" id="{036A7B6A-B235-43A9-98D2-A366119426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14:paraId="24EA23AF" w14:textId="77777777" w:rsidR="00A82756" w:rsidRPr="00A82756" w:rsidRDefault="00A82756" w:rsidP="00A82756">
      <w:pPr>
        <w:pBdr>
          <w:top w:val="nil"/>
          <w:left w:val="nil"/>
          <w:bottom w:val="nil"/>
          <w:right w:val="nil"/>
          <w:between w:val="nil"/>
        </w:pBdr>
        <w:jc w:val="center"/>
        <w:rPr>
          <w:rFonts w:eastAsia="Calibri"/>
          <w:color w:val="000000"/>
          <w:lang w:val="es-MX"/>
        </w:rPr>
      </w:pPr>
      <w:r w:rsidRPr="00A82756">
        <w:rPr>
          <w:rFonts w:eastAsia="Calibri"/>
          <w:color w:val="000000"/>
          <w:lang w:val="es-MX"/>
        </w:rPr>
        <w:t xml:space="preserve">Fuente: Marco Fiscal de Mediano Plazo 2022, 2023 y 2024. Elaboración propia. </w:t>
      </w:r>
    </w:p>
    <w:p w14:paraId="5CF470A2" w14:textId="77777777" w:rsidR="00A82756" w:rsidRPr="00A82756" w:rsidRDefault="00A82756" w:rsidP="00A82756">
      <w:pPr>
        <w:pBdr>
          <w:top w:val="nil"/>
          <w:left w:val="nil"/>
          <w:bottom w:val="nil"/>
          <w:right w:val="nil"/>
          <w:between w:val="nil"/>
        </w:pBdr>
        <w:jc w:val="both"/>
        <w:rPr>
          <w:rFonts w:eastAsia="Calibri"/>
          <w:color w:val="000000"/>
          <w:lang w:val="es-MX"/>
        </w:rPr>
      </w:pPr>
    </w:p>
    <w:p w14:paraId="4567B6A2" w14:textId="0343D94F" w:rsidR="00A82756" w:rsidRPr="00A82756" w:rsidRDefault="00A82756" w:rsidP="00A82756">
      <w:pPr>
        <w:pBdr>
          <w:top w:val="nil"/>
          <w:left w:val="nil"/>
          <w:bottom w:val="nil"/>
          <w:right w:val="nil"/>
          <w:between w:val="nil"/>
        </w:pBdr>
        <w:jc w:val="both"/>
        <w:rPr>
          <w:rFonts w:eastAsia="Calibri"/>
          <w:color w:val="000000"/>
          <w:lang w:val="es-MX"/>
        </w:rPr>
      </w:pPr>
      <w:r w:rsidRPr="00A82756">
        <w:rPr>
          <w:rFonts w:eastAsia="Calibri"/>
          <w:color w:val="000000"/>
          <w:lang w:val="es-MX"/>
        </w:rPr>
        <w:t>Un reflejo adicional del deterioro fiscal en Colombia se observa en la recaudación tributaria. En los primeros seis meses de 2024, los ingresos fiscales fueron un 8,7% menores en comparación con el mismo período de 2023, marcando la mayor disminución anual del siglo XXI (Gráfico 4). Ni siquiera durante la pandemia de COVID-19 se registró una caída tan grande. Específicamente, los ingresos del Gobierno alcanzaron los $135 billones de pesos, $12,9 billones menos que en 2023. Además, el recaudo fue $4,8 billones inferior a la meta establecida de $140,8 billones (Gráfico 5).</w:t>
      </w:r>
    </w:p>
    <w:p w14:paraId="7DA0F7BB" w14:textId="77777777" w:rsidR="00A82756" w:rsidRPr="00A82756" w:rsidRDefault="00A82756" w:rsidP="00A82756">
      <w:pPr>
        <w:pBdr>
          <w:top w:val="nil"/>
          <w:left w:val="nil"/>
          <w:bottom w:val="nil"/>
          <w:right w:val="nil"/>
          <w:between w:val="nil"/>
        </w:pBdr>
        <w:jc w:val="center"/>
        <w:rPr>
          <w:rFonts w:eastAsia="Calibri"/>
          <w:b/>
          <w:color w:val="000000"/>
          <w:lang w:val="es-MX"/>
        </w:rPr>
      </w:pPr>
    </w:p>
    <w:p w14:paraId="36D63853" w14:textId="2891D4E4" w:rsidR="00A82756" w:rsidRPr="00A82756" w:rsidRDefault="00A82756" w:rsidP="00A82756">
      <w:pPr>
        <w:pBdr>
          <w:top w:val="nil"/>
          <w:left w:val="nil"/>
          <w:bottom w:val="nil"/>
          <w:right w:val="nil"/>
          <w:between w:val="nil"/>
        </w:pBdr>
        <w:jc w:val="center"/>
        <w:rPr>
          <w:rFonts w:eastAsia="Calibri"/>
          <w:b/>
          <w:color w:val="000000"/>
          <w:lang w:val="es-MX"/>
        </w:rPr>
      </w:pPr>
      <w:r w:rsidRPr="00A82756">
        <w:rPr>
          <w:rFonts w:eastAsia="Calibri"/>
          <w:b/>
          <w:color w:val="000000"/>
          <w:lang w:val="es-MX"/>
        </w:rPr>
        <w:t>Gráfico 4. Recaudo tributario</w:t>
      </w:r>
    </w:p>
    <w:p w14:paraId="533B88F7" w14:textId="77777777" w:rsidR="00A82756" w:rsidRPr="00A82756" w:rsidRDefault="00A82756" w:rsidP="00A82756">
      <w:pPr>
        <w:pBdr>
          <w:top w:val="nil"/>
          <w:left w:val="nil"/>
          <w:bottom w:val="nil"/>
          <w:right w:val="nil"/>
          <w:between w:val="nil"/>
        </w:pBdr>
        <w:jc w:val="center"/>
        <w:rPr>
          <w:rFonts w:eastAsia="Calibri"/>
          <w:color w:val="000000"/>
          <w:lang w:val="es-MX"/>
        </w:rPr>
      </w:pPr>
      <w:r w:rsidRPr="00A82756">
        <w:rPr>
          <w:rFonts w:eastAsia="Calibri"/>
          <w:color w:val="000000"/>
          <w:lang w:val="es-MX"/>
        </w:rPr>
        <w:t>(Variación anual, %)</w:t>
      </w:r>
    </w:p>
    <w:p w14:paraId="2E024A24" w14:textId="77777777" w:rsidR="00A82756" w:rsidRPr="00A82756" w:rsidRDefault="00A82756" w:rsidP="00A82756">
      <w:pPr>
        <w:pBdr>
          <w:top w:val="nil"/>
          <w:left w:val="nil"/>
          <w:bottom w:val="nil"/>
          <w:right w:val="nil"/>
          <w:between w:val="nil"/>
        </w:pBdr>
        <w:jc w:val="center"/>
        <w:rPr>
          <w:rFonts w:eastAsia="Calibri"/>
          <w:color w:val="000000"/>
        </w:rPr>
      </w:pPr>
      <w:r w:rsidRPr="00A82756">
        <w:rPr>
          <w:noProof/>
          <w:lang w:val="es-CO" w:eastAsia="es-CO"/>
        </w:rPr>
        <w:drawing>
          <wp:inline distT="0" distB="0" distL="0" distR="0" wp14:anchorId="0FB5A6DD" wp14:editId="03C7C9AC">
            <wp:extent cx="5478780" cy="2308860"/>
            <wp:effectExtent l="0" t="0" r="0" b="0"/>
            <wp:docPr id="13" name="Gráfico 13">
              <a:extLst xmlns:a="http://schemas.openxmlformats.org/drawingml/2006/main">
                <a:ext uri="{FF2B5EF4-FFF2-40B4-BE49-F238E27FC236}">
                  <a16:creationId xmlns:a16="http://schemas.microsoft.com/office/drawing/2014/main" id="{4586596F-5979-4978-94E1-6212828368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8E31BD3" w14:textId="77777777" w:rsidR="00A82756" w:rsidRPr="00A82756" w:rsidRDefault="00A82756" w:rsidP="00A82756">
      <w:pPr>
        <w:pBdr>
          <w:top w:val="nil"/>
          <w:left w:val="nil"/>
          <w:bottom w:val="nil"/>
          <w:right w:val="nil"/>
          <w:between w:val="nil"/>
        </w:pBdr>
        <w:jc w:val="center"/>
        <w:rPr>
          <w:rFonts w:eastAsia="Calibri"/>
          <w:color w:val="000000"/>
          <w:lang w:val="es-MX"/>
        </w:rPr>
      </w:pPr>
      <w:r w:rsidRPr="00A82756">
        <w:rPr>
          <w:rFonts w:eastAsia="Calibri"/>
          <w:color w:val="000000"/>
          <w:lang w:val="es-MX"/>
        </w:rPr>
        <w:t>Fuente: DIAN (2024). Elaboración propia.</w:t>
      </w:r>
    </w:p>
    <w:p w14:paraId="2BAF31D7" w14:textId="77777777" w:rsidR="00A82756" w:rsidRPr="00A82756" w:rsidRDefault="00A82756" w:rsidP="00A82756">
      <w:pPr>
        <w:pBdr>
          <w:top w:val="nil"/>
          <w:left w:val="nil"/>
          <w:bottom w:val="nil"/>
          <w:right w:val="nil"/>
          <w:between w:val="nil"/>
        </w:pBdr>
        <w:jc w:val="center"/>
        <w:rPr>
          <w:rFonts w:eastAsia="Calibri"/>
          <w:color w:val="000000"/>
          <w:lang w:val="es-MX"/>
        </w:rPr>
      </w:pPr>
    </w:p>
    <w:p w14:paraId="7B17C3D1" w14:textId="77777777" w:rsidR="00A82756" w:rsidRPr="00A82756" w:rsidRDefault="00A82756" w:rsidP="00A82756">
      <w:pPr>
        <w:pBdr>
          <w:top w:val="nil"/>
          <w:left w:val="nil"/>
          <w:bottom w:val="nil"/>
          <w:right w:val="nil"/>
          <w:between w:val="nil"/>
        </w:pBdr>
        <w:jc w:val="center"/>
        <w:rPr>
          <w:rFonts w:eastAsia="Calibri"/>
          <w:b/>
          <w:color w:val="000000"/>
          <w:lang w:val="es-MX"/>
        </w:rPr>
      </w:pPr>
      <w:r w:rsidRPr="00A82756">
        <w:rPr>
          <w:rFonts w:eastAsia="Calibri"/>
          <w:b/>
          <w:color w:val="000000"/>
          <w:lang w:val="es-MX"/>
        </w:rPr>
        <w:t>Gráfico 5. Recaudo tributario (observado y meta)</w:t>
      </w:r>
    </w:p>
    <w:p w14:paraId="59C02A67" w14:textId="77777777" w:rsidR="00A82756" w:rsidRPr="00A82756" w:rsidRDefault="00A82756" w:rsidP="00A82756">
      <w:pPr>
        <w:pBdr>
          <w:top w:val="nil"/>
          <w:left w:val="nil"/>
          <w:bottom w:val="nil"/>
          <w:right w:val="nil"/>
          <w:between w:val="nil"/>
        </w:pBdr>
        <w:jc w:val="center"/>
        <w:rPr>
          <w:rFonts w:eastAsia="Calibri"/>
          <w:color w:val="000000"/>
        </w:rPr>
      </w:pPr>
      <w:r w:rsidRPr="00A82756">
        <w:rPr>
          <w:rFonts w:eastAsia="Calibri"/>
          <w:color w:val="000000"/>
        </w:rPr>
        <w:t>(Billones de pesos)</w:t>
      </w:r>
    </w:p>
    <w:p w14:paraId="3C278676" w14:textId="77777777" w:rsidR="00A82756" w:rsidRPr="00A82756" w:rsidRDefault="00A82756" w:rsidP="00A82756">
      <w:pPr>
        <w:pBdr>
          <w:top w:val="nil"/>
          <w:left w:val="nil"/>
          <w:bottom w:val="nil"/>
          <w:right w:val="nil"/>
          <w:between w:val="nil"/>
        </w:pBdr>
        <w:jc w:val="center"/>
        <w:rPr>
          <w:rFonts w:eastAsia="Calibri"/>
          <w:color w:val="000000"/>
        </w:rPr>
      </w:pPr>
      <w:r w:rsidRPr="00A82756">
        <w:rPr>
          <w:noProof/>
          <w:lang w:val="es-CO" w:eastAsia="es-CO"/>
        </w:rPr>
        <w:drawing>
          <wp:inline distT="0" distB="0" distL="0" distR="0" wp14:anchorId="1535B42B" wp14:editId="536686FD">
            <wp:extent cx="5219700" cy="2072640"/>
            <wp:effectExtent l="0" t="0" r="0" b="0"/>
            <wp:docPr id="14" name="Gráfico 14">
              <a:extLst xmlns:a="http://schemas.openxmlformats.org/drawingml/2006/main">
                <a:ext uri="{FF2B5EF4-FFF2-40B4-BE49-F238E27FC236}">
                  <a16:creationId xmlns:a16="http://schemas.microsoft.com/office/drawing/2014/main" id="{C3E6F094-A150-4A36-8CB3-8E4A9E9335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35E3CED" w14:textId="77777777" w:rsidR="00A82756" w:rsidRPr="00A82756" w:rsidRDefault="00A82756" w:rsidP="00A82756">
      <w:pPr>
        <w:pBdr>
          <w:top w:val="nil"/>
          <w:left w:val="nil"/>
          <w:bottom w:val="nil"/>
          <w:right w:val="nil"/>
          <w:between w:val="nil"/>
        </w:pBdr>
        <w:jc w:val="center"/>
        <w:rPr>
          <w:rFonts w:eastAsia="Calibri"/>
          <w:color w:val="000000"/>
          <w:lang w:val="es-MX"/>
        </w:rPr>
      </w:pPr>
      <w:r w:rsidRPr="00A82756">
        <w:rPr>
          <w:rFonts w:eastAsia="Calibri"/>
          <w:color w:val="000000"/>
          <w:lang w:val="es-MX"/>
        </w:rPr>
        <w:t>Fuente: CARF (2024). Elaboración propia.</w:t>
      </w:r>
    </w:p>
    <w:p w14:paraId="51161ED8" w14:textId="77777777" w:rsidR="00A82756" w:rsidRPr="00A82756" w:rsidRDefault="00A82756" w:rsidP="00A82756">
      <w:pPr>
        <w:pBdr>
          <w:top w:val="nil"/>
          <w:left w:val="nil"/>
          <w:bottom w:val="nil"/>
          <w:right w:val="nil"/>
          <w:between w:val="nil"/>
        </w:pBdr>
        <w:jc w:val="both"/>
        <w:rPr>
          <w:rFonts w:eastAsia="Calibri"/>
          <w:color w:val="000000"/>
          <w:lang w:val="es-MX"/>
        </w:rPr>
      </w:pPr>
    </w:p>
    <w:p w14:paraId="142B0DEA" w14:textId="77777777" w:rsidR="00A82756" w:rsidRPr="00A82756" w:rsidRDefault="00A82756" w:rsidP="00A82756">
      <w:pPr>
        <w:pBdr>
          <w:top w:val="nil"/>
          <w:left w:val="nil"/>
          <w:bottom w:val="nil"/>
          <w:right w:val="nil"/>
          <w:between w:val="nil"/>
        </w:pBdr>
        <w:jc w:val="both"/>
        <w:rPr>
          <w:rFonts w:eastAsia="Calibri"/>
          <w:color w:val="000000"/>
          <w:lang w:val="es-MX"/>
        </w:rPr>
      </w:pPr>
      <w:r w:rsidRPr="00A82756">
        <w:rPr>
          <w:rFonts w:eastAsia="Calibri"/>
          <w:color w:val="000000"/>
          <w:lang w:val="es-MX"/>
        </w:rPr>
        <w:t>Por concepto de desaceleración económica y de acuerdo con estimaciones realizadas por el equipo de Investigaciones Económicas de Corficolombiana (2024), el gobierno recibirá $16 billones de pesos menos de lo esperado por ingresos tributarios en 2024. En efecto, el bajo crecimiento de la economía está impactando el recaudo. Eso es lo que muestran los datos históricos tal como se puede apreciar en el Gráfico 6.</w:t>
      </w:r>
    </w:p>
    <w:p w14:paraId="641D2E09" w14:textId="77777777" w:rsidR="00A82756" w:rsidRPr="00A82756" w:rsidRDefault="00A82756" w:rsidP="00A82756">
      <w:pPr>
        <w:pBdr>
          <w:top w:val="nil"/>
          <w:left w:val="nil"/>
          <w:bottom w:val="nil"/>
          <w:right w:val="nil"/>
          <w:between w:val="nil"/>
        </w:pBdr>
        <w:jc w:val="both"/>
        <w:rPr>
          <w:rFonts w:eastAsia="Calibri"/>
          <w:color w:val="000000"/>
          <w:lang w:val="es-MX"/>
        </w:rPr>
      </w:pPr>
    </w:p>
    <w:p w14:paraId="741076E9" w14:textId="77777777" w:rsidR="00A82756" w:rsidRPr="00A82756" w:rsidRDefault="00A82756" w:rsidP="00A82756">
      <w:pPr>
        <w:pBdr>
          <w:top w:val="nil"/>
          <w:left w:val="nil"/>
          <w:bottom w:val="nil"/>
          <w:right w:val="nil"/>
          <w:between w:val="nil"/>
        </w:pBdr>
        <w:jc w:val="center"/>
        <w:rPr>
          <w:rFonts w:eastAsia="Calibri"/>
          <w:b/>
          <w:bCs/>
          <w:color w:val="000000"/>
          <w:lang w:val="es-MX"/>
        </w:rPr>
      </w:pPr>
      <w:r w:rsidRPr="00A82756">
        <w:rPr>
          <w:rFonts w:eastAsia="Calibri"/>
          <w:b/>
          <w:bCs/>
          <w:color w:val="000000"/>
          <w:lang w:val="es-MX"/>
        </w:rPr>
        <w:t>Gráfico 6. Producto Interno Bruto (PIB) y recaudo tributario (Precios constantes, V.A %)</w:t>
      </w:r>
    </w:p>
    <w:p w14:paraId="36AEB5F7" w14:textId="77777777" w:rsidR="00A82756" w:rsidRPr="00A82756" w:rsidRDefault="00A82756" w:rsidP="00A82756">
      <w:pPr>
        <w:pBdr>
          <w:top w:val="nil"/>
          <w:left w:val="nil"/>
          <w:bottom w:val="nil"/>
          <w:right w:val="nil"/>
          <w:between w:val="nil"/>
        </w:pBdr>
        <w:jc w:val="center"/>
        <w:rPr>
          <w:rFonts w:eastAsia="Calibri"/>
          <w:color w:val="000000"/>
        </w:rPr>
      </w:pPr>
      <w:r w:rsidRPr="00A82756">
        <w:rPr>
          <w:rFonts w:eastAsia="Calibri"/>
          <w:noProof/>
          <w:color w:val="000000"/>
          <w:lang w:val="es-CO" w:eastAsia="es-CO"/>
        </w:rPr>
        <w:drawing>
          <wp:inline distT="0" distB="0" distL="0" distR="0" wp14:anchorId="612F9A26" wp14:editId="7A399638">
            <wp:extent cx="4853940" cy="2369820"/>
            <wp:effectExtent l="0" t="0" r="3810" b="0"/>
            <wp:docPr id="173" name="Google Shape;173;p28"/>
            <wp:cNvGraphicFramePr/>
            <a:graphic xmlns:a="http://schemas.openxmlformats.org/drawingml/2006/main">
              <a:graphicData uri="http://schemas.openxmlformats.org/drawingml/2006/picture">
                <pic:pic xmlns:pic="http://schemas.openxmlformats.org/drawingml/2006/picture">
                  <pic:nvPicPr>
                    <pic:cNvPr id="173" name="Google Shape;173;p28"/>
                    <pic:cNvPicPr preferRelativeResize="0"/>
                  </pic:nvPicPr>
                  <pic:blipFill rotWithShape="1">
                    <a:blip r:embed="rId13">
                      <a:alphaModFix/>
                    </a:blip>
                    <a:srcRect/>
                    <a:stretch/>
                  </pic:blipFill>
                  <pic:spPr>
                    <a:xfrm>
                      <a:off x="0" y="0"/>
                      <a:ext cx="4854696" cy="2370189"/>
                    </a:xfrm>
                    <a:prstGeom prst="rect">
                      <a:avLst/>
                    </a:prstGeom>
                    <a:noFill/>
                    <a:ln>
                      <a:noFill/>
                    </a:ln>
                  </pic:spPr>
                </pic:pic>
              </a:graphicData>
            </a:graphic>
          </wp:inline>
        </w:drawing>
      </w:r>
    </w:p>
    <w:p w14:paraId="67879F2B" w14:textId="77777777" w:rsidR="00A82756" w:rsidRPr="00A82756" w:rsidRDefault="00A82756" w:rsidP="00A82756">
      <w:pPr>
        <w:pBdr>
          <w:top w:val="nil"/>
          <w:left w:val="nil"/>
          <w:bottom w:val="nil"/>
          <w:right w:val="nil"/>
          <w:between w:val="nil"/>
        </w:pBdr>
        <w:jc w:val="center"/>
        <w:rPr>
          <w:rFonts w:eastAsia="Calibri"/>
          <w:color w:val="000000"/>
          <w:lang w:val="es-MX"/>
        </w:rPr>
      </w:pPr>
      <w:r w:rsidRPr="00A82756">
        <w:rPr>
          <w:rFonts w:eastAsia="Calibri"/>
          <w:color w:val="000000"/>
          <w:lang w:val="es-MX"/>
        </w:rPr>
        <w:t>Fuente: DANE, DIAN. Elaboración propia</w:t>
      </w:r>
    </w:p>
    <w:p w14:paraId="4D690FCE" w14:textId="77777777" w:rsidR="00A82756" w:rsidRPr="00A82756" w:rsidRDefault="00A82756" w:rsidP="00A82756">
      <w:pPr>
        <w:pBdr>
          <w:top w:val="nil"/>
          <w:left w:val="nil"/>
          <w:bottom w:val="nil"/>
          <w:right w:val="nil"/>
          <w:between w:val="nil"/>
        </w:pBdr>
        <w:jc w:val="both"/>
        <w:rPr>
          <w:rFonts w:eastAsia="Calibri"/>
          <w:color w:val="000000"/>
          <w:lang w:val="es-MX"/>
        </w:rPr>
      </w:pPr>
    </w:p>
    <w:p w14:paraId="58F217AD" w14:textId="2D26F0FF" w:rsidR="00A82756" w:rsidRDefault="00A82756" w:rsidP="00A82756">
      <w:pPr>
        <w:pBdr>
          <w:top w:val="nil"/>
          <w:left w:val="nil"/>
          <w:bottom w:val="nil"/>
          <w:right w:val="nil"/>
          <w:between w:val="nil"/>
        </w:pBdr>
        <w:jc w:val="both"/>
        <w:rPr>
          <w:rFonts w:eastAsia="Calibri"/>
          <w:color w:val="000000"/>
          <w:lang w:val="es-MX"/>
        </w:rPr>
      </w:pPr>
      <w:r w:rsidRPr="00A82756">
        <w:rPr>
          <w:rFonts w:eastAsia="Calibri"/>
          <w:color w:val="000000"/>
          <w:lang w:val="es-MX"/>
        </w:rPr>
        <w:t>Sin embargo, en 2024 y 2025 se observaron los presupuestos más elevados en la historia de Colombia (Gráfico 7). En términos reales, el presupuesto de 2025 sería 4% mayor que el de 2024, el cual superó en un 12% al de 2023. Desde la toma de posesión del actual gobierno, el gasto ha venido incrementándose de manera notable.</w:t>
      </w:r>
    </w:p>
    <w:p w14:paraId="49F82EB8" w14:textId="512518A4" w:rsidR="00801625" w:rsidRDefault="00801625" w:rsidP="00A82756">
      <w:pPr>
        <w:pBdr>
          <w:top w:val="nil"/>
          <w:left w:val="nil"/>
          <w:bottom w:val="nil"/>
          <w:right w:val="nil"/>
          <w:between w:val="nil"/>
        </w:pBdr>
        <w:jc w:val="both"/>
        <w:rPr>
          <w:rFonts w:eastAsia="Calibri"/>
          <w:color w:val="000000"/>
          <w:lang w:val="es-MX"/>
        </w:rPr>
      </w:pPr>
    </w:p>
    <w:p w14:paraId="172F3694" w14:textId="094D8DEE" w:rsidR="00801625" w:rsidRDefault="00801625" w:rsidP="00A82756">
      <w:pPr>
        <w:pBdr>
          <w:top w:val="nil"/>
          <w:left w:val="nil"/>
          <w:bottom w:val="nil"/>
          <w:right w:val="nil"/>
          <w:between w:val="nil"/>
        </w:pBdr>
        <w:jc w:val="both"/>
        <w:rPr>
          <w:rFonts w:eastAsia="Calibri"/>
          <w:color w:val="000000"/>
          <w:lang w:val="es-MX"/>
        </w:rPr>
      </w:pPr>
    </w:p>
    <w:p w14:paraId="7F4AA5D8" w14:textId="6DC94D1F" w:rsidR="00801625" w:rsidRDefault="00801625" w:rsidP="00A82756">
      <w:pPr>
        <w:pBdr>
          <w:top w:val="nil"/>
          <w:left w:val="nil"/>
          <w:bottom w:val="nil"/>
          <w:right w:val="nil"/>
          <w:between w:val="nil"/>
        </w:pBdr>
        <w:jc w:val="both"/>
        <w:rPr>
          <w:rFonts w:eastAsia="Calibri"/>
          <w:color w:val="000000"/>
          <w:lang w:val="es-MX"/>
        </w:rPr>
      </w:pPr>
    </w:p>
    <w:p w14:paraId="5EA08FA0" w14:textId="1A7F5439" w:rsidR="00801625" w:rsidRDefault="00801625" w:rsidP="00A82756">
      <w:pPr>
        <w:pBdr>
          <w:top w:val="nil"/>
          <w:left w:val="nil"/>
          <w:bottom w:val="nil"/>
          <w:right w:val="nil"/>
          <w:between w:val="nil"/>
        </w:pBdr>
        <w:jc w:val="both"/>
        <w:rPr>
          <w:rFonts w:eastAsia="Calibri"/>
          <w:color w:val="000000"/>
          <w:lang w:val="es-MX"/>
        </w:rPr>
      </w:pPr>
    </w:p>
    <w:p w14:paraId="21CEBC57" w14:textId="131C20D6" w:rsidR="006E1478" w:rsidRDefault="006E1478" w:rsidP="00A82756">
      <w:pPr>
        <w:pBdr>
          <w:top w:val="nil"/>
          <w:left w:val="nil"/>
          <w:bottom w:val="nil"/>
          <w:right w:val="nil"/>
          <w:between w:val="nil"/>
        </w:pBdr>
        <w:jc w:val="both"/>
        <w:rPr>
          <w:rFonts w:eastAsia="Calibri"/>
          <w:color w:val="000000"/>
          <w:lang w:val="es-MX"/>
        </w:rPr>
      </w:pPr>
    </w:p>
    <w:p w14:paraId="3924734E" w14:textId="77777777" w:rsidR="006E1478" w:rsidRDefault="006E1478" w:rsidP="00A82756">
      <w:pPr>
        <w:pBdr>
          <w:top w:val="nil"/>
          <w:left w:val="nil"/>
          <w:bottom w:val="nil"/>
          <w:right w:val="nil"/>
          <w:between w:val="nil"/>
        </w:pBdr>
        <w:jc w:val="both"/>
        <w:rPr>
          <w:rFonts w:eastAsia="Calibri"/>
          <w:color w:val="000000"/>
          <w:lang w:val="es-MX"/>
        </w:rPr>
      </w:pPr>
    </w:p>
    <w:p w14:paraId="7A44CCD3" w14:textId="77777777" w:rsidR="00801625" w:rsidRPr="00A82756" w:rsidRDefault="00801625" w:rsidP="00A82756">
      <w:pPr>
        <w:pBdr>
          <w:top w:val="nil"/>
          <w:left w:val="nil"/>
          <w:bottom w:val="nil"/>
          <w:right w:val="nil"/>
          <w:between w:val="nil"/>
        </w:pBdr>
        <w:jc w:val="both"/>
        <w:rPr>
          <w:rFonts w:eastAsia="Calibri"/>
          <w:color w:val="000000"/>
          <w:lang w:val="es-MX"/>
        </w:rPr>
      </w:pPr>
    </w:p>
    <w:p w14:paraId="01825712" w14:textId="77777777" w:rsidR="00A82756" w:rsidRPr="00A82756" w:rsidRDefault="00A82756" w:rsidP="00A82756">
      <w:pPr>
        <w:pBdr>
          <w:top w:val="nil"/>
          <w:left w:val="nil"/>
          <w:bottom w:val="nil"/>
          <w:right w:val="nil"/>
          <w:between w:val="nil"/>
        </w:pBdr>
        <w:jc w:val="center"/>
        <w:rPr>
          <w:rFonts w:eastAsia="Calibri"/>
          <w:b/>
          <w:color w:val="000000"/>
          <w:lang w:val="es-MX"/>
        </w:rPr>
      </w:pPr>
    </w:p>
    <w:p w14:paraId="5A8326A1" w14:textId="5290365C" w:rsidR="00A82756" w:rsidRPr="00A82756" w:rsidRDefault="00A82756" w:rsidP="00A82756">
      <w:pPr>
        <w:pBdr>
          <w:top w:val="nil"/>
          <w:left w:val="nil"/>
          <w:bottom w:val="nil"/>
          <w:right w:val="nil"/>
          <w:between w:val="nil"/>
        </w:pBdr>
        <w:jc w:val="center"/>
        <w:rPr>
          <w:rFonts w:eastAsia="Calibri"/>
          <w:b/>
          <w:color w:val="000000"/>
          <w:lang w:val="es-MX"/>
        </w:rPr>
      </w:pPr>
      <w:r w:rsidRPr="00A82756">
        <w:rPr>
          <w:rFonts w:eastAsia="Calibri"/>
          <w:b/>
          <w:color w:val="000000"/>
          <w:lang w:val="es-MX"/>
        </w:rPr>
        <w:t>Gráfico 7. Presupuesto General de la Nación (PGN) en términos reales</w:t>
      </w:r>
    </w:p>
    <w:p w14:paraId="746DE612" w14:textId="5290365C" w:rsidR="00A82756" w:rsidRPr="00A82756" w:rsidRDefault="00A82756" w:rsidP="00A82756">
      <w:pPr>
        <w:pBdr>
          <w:top w:val="nil"/>
          <w:left w:val="nil"/>
          <w:bottom w:val="nil"/>
          <w:right w:val="nil"/>
          <w:between w:val="nil"/>
        </w:pBdr>
        <w:jc w:val="center"/>
        <w:rPr>
          <w:rFonts w:eastAsia="Calibri"/>
          <w:color w:val="000000"/>
          <w:lang w:val="es-MX"/>
        </w:rPr>
      </w:pPr>
      <w:r w:rsidRPr="00A82756">
        <w:rPr>
          <w:rFonts w:eastAsia="Calibri"/>
          <w:color w:val="000000"/>
          <w:lang w:val="es-MX"/>
        </w:rPr>
        <w:t>(Billones de pesos y variación anual % eje derecho)</w:t>
      </w:r>
    </w:p>
    <w:p w14:paraId="37203CD9" w14:textId="77777777" w:rsidR="00A82756" w:rsidRPr="00A82756" w:rsidRDefault="00A82756" w:rsidP="00A82756">
      <w:pPr>
        <w:jc w:val="center"/>
        <w:rPr>
          <w:b/>
          <w:bCs/>
          <w:lang w:val="es-CO"/>
        </w:rPr>
      </w:pPr>
      <w:r w:rsidRPr="00A82756">
        <w:rPr>
          <w:noProof/>
          <w:lang w:val="es-CO" w:eastAsia="es-CO"/>
        </w:rPr>
        <w:drawing>
          <wp:inline distT="0" distB="0" distL="0" distR="0" wp14:anchorId="0E44CA33" wp14:editId="000DB0B7">
            <wp:extent cx="5612130" cy="2082800"/>
            <wp:effectExtent l="0" t="0" r="7620" b="0"/>
            <wp:docPr id="7" name="Gráfico 7">
              <a:extLst xmlns:a="http://schemas.openxmlformats.org/drawingml/2006/main">
                <a:ext uri="{FF2B5EF4-FFF2-40B4-BE49-F238E27FC236}">
                  <a16:creationId xmlns:a16="http://schemas.microsoft.com/office/drawing/2014/main" id="{BA0B50EC-CC7F-4EA8-85BA-42880ACC638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ACB117E" w14:textId="77777777" w:rsidR="00A82756" w:rsidRPr="00A82756" w:rsidRDefault="00A82756" w:rsidP="00A82756">
      <w:pPr>
        <w:spacing w:line="259" w:lineRule="auto"/>
        <w:jc w:val="center"/>
        <w:rPr>
          <w:rFonts w:eastAsiaTheme="minorHAnsi"/>
          <w:lang w:val="es-CO"/>
        </w:rPr>
      </w:pPr>
      <w:r w:rsidRPr="00A82756">
        <w:rPr>
          <w:lang w:val="es-CO"/>
        </w:rPr>
        <w:t>Fuente: Ministerio de Hacienda, DANE</w:t>
      </w:r>
    </w:p>
    <w:p w14:paraId="094F9FAB" w14:textId="77777777" w:rsidR="00A82756" w:rsidRPr="00A82756" w:rsidRDefault="00A82756" w:rsidP="00A82756">
      <w:pPr>
        <w:pBdr>
          <w:top w:val="nil"/>
          <w:left w:val="nil"/>
          <w:bottom w:val="nil"/>
          <w:right w:val="nil"/>
          <w:between w:val="nil"/>
        </w:pBdr>
        <w:jc w:val="both"/>
        <w:rPr>
          <w:rFonts w:eastAsia="Calibri"/>
          <w:color w:val="000000"/>
          <w:lang w:val="es-MX"/>
        </w:rPr>
      </w:pPr>
    </w:p>
    <w:p w14:paraId="5A584F1C" w14:textId="16B64016" w:rsidR="00A82756" w:rsidRDefault="00A82756" w:rsidP="00A82756">
      <w:pPr>
        <w:pBdr>
          <w:top w:val="nil"/>
          <w:left w:val="nil"/>
          <w:bottom w:val="nil"/>
          <w:right w:val="nil"/>
          <w:between w:val="nil"/>
        </w:pBdr>
        <w:jc w:val="both"/>
        <w:rPr>
          <w:rFonts w:eastAsia="Calibri"/>
          <w:color w:val="000000"/>
          <w:lang w:val="es-MX"/>
        </w:rPr>
      </w:pPr>
      <w:r w:rsidRPr="00A82756">
        <w:rPr>
          <w:rFonts w:eastAsia="Calibri"/>
          <w:color w:val="000000"/>
          <w:lang w:val="es-MX"/>
        </w:rPr>
        <w:t xml:space="preserve">En respuesta a la desaceleración económica del país, el Congreso de la República aprobó presupuestos de inversión sin precedentes para 2023 y 2024 con el objetivo de impulsar la recuperación económica. No obstante, la gestión de estos recursos por parte del Gobierno ha sido deficiente. Al analizar la ejecución presupuestaria histórica, se observa que 2023 registró el peor desempeño desde 2007, exceptuando los años de la pandemia (2020 y 2021), con una ejecución del 87,6% (Gráfico 8). </w:t>
      </w:r>
    </w:p>
    <w:p w14:paraId="68C537C0" w14:textId="77777777" w:rsidR="00801625" w:rsidRPr="00A82756" w:rsidRDefault="00801625" w:rsidP="00A82756">
      <w:pPr>
        <w:pBdr>
          <w:top w:val="nil"/>
          <w:left w:val="nil"/>
          <w:bottom w:val="nil"/>
          <w:right w:val="nil"/>
          <w:between w:val="nil"/>
        </w:pBdr>
        <w:jc w:val="both"/>
        <w:rPr>
          <w:rFonts w:eastAsia="Calibri"/>
          <w:color w:val="000000"/>
          <w:lang w:val="es-MX"/>
        </w:rPr>
      </w:pPr>
    </w:p>
    <w:p w14:paraId="23C30ECF" w14:textId="77777777" w:rsidR="00A82756" w:rsidRPr="00A82756" w:rsidRDefault="00A82756" w:rsidP="00A82756">
      <w:pPr>
        <w:pBdr>
          <w:top w:val="nil"/>
          <w:left w:val="nil"/>
          <w:bottom w:val="nil"/>
          <w:right w:val="nil"/>
          <w:between w:val="nil"/>
        </w:pBdr>
        <w:jc w:val="center"/>
        <w:rPr>
          <w:rFonts w:eastAsia="Calibri"/>
          <w:b/>
          <w:bCs/>
          <w:color w:val="000000"/>
          <w:lang w:val="es-CO"/>
        </w:rPr>
      </w:pPr>
      <w:r w:rsidRPr="00A82756">
        <w:rPr>
          <w:rFonts w:eastAsia="Calibri"/>
          <w:b/>
          <w:bCs/>
          <w:color w:val="000000"/>
          <w:lang w:val="es-CO"/>
        </w:rPr>
        <w:t>Gráfico 8. Ejecución presupuestal PGN histórica (%)</w:t>
      </w:r>
    </w:p>
    <w:p w14:paraId="0D1BEC93" w14:textId="77777777" w:rsidR="00A82756" w:rsidRPr="00A82756" w:rsidRDefault="00A82756" w:rsidP="00A82756">
      <w:pPr>
        <w:pBdr>
          <w:top w:val="nil"/>
          <w:left w:val="nil"/>
          <w:bottom w:val="nil"/>
          <w:right w:val="nil"/>
          <w:between w:val="nil"/>
        </w:pBdr>
        <w:jc w:val="center"/>
        <w:rPr>
          <w:rFonts w:eastAsia="Calibri"/>
          <w:color w:val="000000"/>
        </w:rPr>
      </w:pPr>
      <w:r w:rsidRPr="00A82756">
        <w:rPr>
          <w:noProof/>
          <w:lang w:val="es-CO" w:eastAsia="es-CO"/>
        </w:rPr>
        <w:drawing>
          <wp:inline distT="0" distB="0" distL="0" distR="0" wp14:anchorId="28411A13" wp14:editId="64920A37">
            <wp:extent cx="5113020" cy="2186940"/>
            <wp:effectExtent l="0" t="0" r="0" b="3810"/>
            <wp:docPr id="104616768" name="Gráfico 1">
              <a:extLst xmlns:a="http://schemas.openxmlformats.org/drawingml/2006/main">
                <a:ext uri="{FF2B5EF4-FFF2-40B4-BE49-F238E27FC236}">
                  <a16:creationId xmlns:a16="http://schemas.microsoft.com/office/drawing/2014/main" id="{2BEEE74D-E28D-6746-3C92-B294390A9F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34F80EC" w14:textId="77777777" w:rsidR="00A82756" w:rsidRPr="00A82756" w:rsidRDefault="00A82756" w:rsidP="00A82756">
      <w:pPr>
        <w:pBdr>
          <w:top w:val="nil"/>
          <w:left w:val="nil"/>
          <w:bottom w:val="nil"/>
          <w:right w:val="nil"/>
          <w:between w:val="nil"/>
        </w:pBdr>
        <w:jc w:val="center"/>
        <w:rPr>
          <w:rFonts w:eastAsia="Calibri"/>
          <w:color w:val="000000"/>
          <w:lang w:val="es-MX"/>
        </w:rPr>
      </w:pPr>
      <w:r w:rsidRPr="00A82756">
        <w:rPr>
          <w:rFonts w:eastAsia="Calibri"/>
          <w:color w:val="000000"/>
          <w:lang w:val="es-MX"/>
        </w:rPr>
        <w:t>Fuente: Ministerio de Hacienda (2024). Elaboración propia.</w:t>
      </w:r>
    </w:p>
    <w:p w14:paraId="2DC16FF6" w14:textId="77777777" w:rsidR="00A82756" w:rsidRPr="00A82756" w:rsidRDefault="00A82756" w:rsidP="00A82756">
      <w:pPr>
        <w:pBdr>
          <w:top w:val="nil"/>
          <w:left w:val="nil"/>
          <w:bottom w:val="nil"/>
          <w:right w:val="nil"/>
          <w:between w:val="nil"/>
        </w:pBdr>
        <w:jc w:val="both"/>
        <w:rPr>
          <w:rFonts w:eastAsia="Calibri"/>
          <w:color w:val="000000"/>
          <w:lang w:val="es-MX"/>
        </w:rPr>
      </w:pPr>
    </w:p>
    <w:p w14:paraId="1C119615" w14:textId="70F89D95" w:rsidR="00A82756" w:rsidRDefault="00A82756" w:rsidP="00A82756">
      <w:pPr>
        <w:pBdr>
          <w:top w:val="nil"/>
          <w:left w:val="nil"/>
          <w:bottom w:val="nil"/>
          <w:right w:val="nil"/>
          <w:between w:val="nil"/>
        </w:pBdr>
        <w:jc w:val="both"/>
        <w:rPr>
          <w:rFonts w:eastAsia="Calibri"/>
          <w:color w:val="000000"/>
          <w:lang w:val="es-MX"/>
        </w:rPr>
      </w:pPr>
      <w:r w:rsidRPr="00A82756">
        <w:rPr>
          <w:rFonts w:eastAsia="Calibri"/>
          <w:color w:val="000000"/>
          <w:lang w:val="es-MX"/>
        </w:rPr>
        <w:t xml:space="preserve">La ineficacia en la administración de los recursos se debió principalmente a la baja ejecución de los fondos destinados a la inversión, que son fundamentales para impulsar la economía nacional. Según el Gráfico 9, en 2023 la ejecución de estos recursos alcanzó apenas el 71,3%, significativamente por debajo del promedio histórico del 78% registrado entre 2000 y 2022, y marcando el nivel más bajo desde 2006. </w:t>
      </w:r>
    </w:p>
    <w:p w14:paraId="0CC25F5C" w14:textId="17D0F436" w:rsidR="00801625" w:rsidRDefault="00801625" w:rsidP="00A82756">
      <w:pPr>
        <w:pBdr>
          <w:top w:val="nil"/>
          <w:left w:val="nil"/>
          <w:bottom w:val="nil"/>
          <w:right w:val="nil"/>
          <w:between w:val="nil"/>
        </w:pBdr>
        <w:jc w:val="both"/>
        <w:rPr>
          <w:rFonts w:eastAsia="Calibri"/>
          <w:color w:val="000000"/>
          <w:lang w:val="es-MX"/>
        </w:rPr>
      </w:pPr>
    </w:p>
    <w:p w14:paraId="46358067" w14:textId="0D8BBF85" w:rsidR="00801625" w:rsidRDefault="00801625" w:rsidP="00A82756">
      <w:pPr>
        <w:pBdr>
          <w:top w:val="nil"/>
          <w:left w:val="nil"/>
          <w:bottom w:val="nil"/>
          <w:right w:val="nil"/>
          <w:between w:val="nil"/>
        </w:pBdr>
        <w:jc w:val="both"/>
        <w:rPr>
          <w:rFonts w:eastAsia="Calibri"/>
          <w:color w:val="000000"/>
          <w:lang w:val="es-MX"/>
        </w:rPr>
      </w:pPr>
    </w:p>
    <w:p w14:paraId="453F0B76" w14:textId="1EA785E9" w:rsidR="00801625" w:rsidRDefault="00801625" w:rsidP="00A82756">
      <w:pPr>
        <w:pBdr>
          <w:top w:val="nil"/>
          <w:left w:val="nil"/>
          <w:bottom w:val="nil"/>
          <w:right w:val="nil"/>
          <w:between w:val="nil"/>
        </w:pBdr>
        <w:jc w:val="both"/>
        <w:rPr>
          <w:rFonts w:eastAsia="Calibri"/>
          <w:color w:val="000000"/>
          <w:lang w:val="es-MX"/>
        </w:rPr>
      </w:pPr>
    </w:p>
    <w:p w14:paraId="1BC8FF88" w14:textId="77777777" w:rsidR="00801625" w:rsidRPr="00A82756" w:rsidRDefault="00801625" w:rsidP="00A82756">
      <w:pPr>
        <w:pBdr>
          <w:top w:val="nil"/>
          <w:left w:val="nil"/>
          <w:bottom w:val="nil"/>
          <w:right w:val="nil"/>
          <w:between w:val="nil"/>
        </w:pBdr>
        <w:jc w:val="both"/>
        <w:rPr>
          <w:rFonts w:eastAsia="Calibri"/>
          <w:color w:val="000000"/>
          <w:lang w:val="es-MX"/>
        </w:rPr>
      </w:pPr>
    </w:p>
    <w:p w14:paraId="662AB293" w14:textId="77777777" w:rsidR="00A82756" w:rsidRPr="00A82756" w:rsidRDefault="00A82756" w:rsidP="00A82756">
      <w:pPr>
        <w:pBdr>
          <w:top w:val="nil"/>
          <w:left w:val="nil"/>
          <w:bottom w:val="nil"/>
          <w:right w:val="nil"/>
          <w:between w:val="nil"/>
        </w:pBdr>
        <w:jc w:val="center"/>
        <w:rPr>
          <w:rFonts w:eastAsia="Calibri"/>
          <w:b/>
          <w:bCs/>
          <w:color w:val="000000"/>
          <w:lang w:val="es-CO"/>
        </w:rPr>
      </w:pPr>
    </w:p>
    <w:p w14:paraId="69B76DE2" w14:textId="70F0EFC1" w:rsidR="00A82756" w:rsidRPr="00A82756" w:rsidRDefault="00A82756" w:rsidP="00A82756">
      <w:pPr>
        <w:pBdr>
          <w:top w:val="nil"/>
          <w:left w:val="nil"/>
          <w:bottom w:val="nil"/>
          <w:right w:val="nil"/>
          <w:between w:val="nil"/>
        </w:pBdr>
        <w:jc w:val="center"/>
        <w:rPr>
          <w:rFonts w:eastAsia="Calibri"/>
          <w:b/>
          <w:bCs/>
          <w:color w:val="000000"/>
          <w:lang w:val="es-CO"/>
        </w:rPr>
      </w:pPr>
      <w:r w:rsidRPr="00A82756">
        <w:rPr>
          <w:rFonts w:eastAsia="Calibri"/>
          <w:b/>
          <w:bCs/>
          <w:color w:val="000000"/>
          <w:lang w:val="es-CO"/>
        </w:rPr>
        <w:t>Gráfico 9. Ejecución presupuestal PGN histórica en inversión (%)</w:t>
      </w:r>
    </w:p>
    <w:p w14:paraId="3CFF682B" w14:textId="77777777" w:rsidR="00A82756" w:rsidRPr="00A82756" w:rsidRDefault="00A82756" w:rsidP="00A82756">
      <w:pPr>
        <w:pBdr>
          <w:top w:val="nil"/>
          <w:left w:val="nil"/>
          <w:bottom w:val="nil"/>
          <w:right w:val="nil"/>
          <w:between w:val="nil"/>
        </w:pBdr>
        <w:jc w:val="center"/>
        <w:rPr>
          <w:rFonts w:eastAsia="Calibri"/>
          <w:color w:val="000000"/>
        </w:rPr>
      </w:pPr>
      <w:r w:rsidRPr="00A82756">
        <w:rPr>
          <w:noProof/>
          <w:lang w:val="es-CO" w:eastAsia="es-CO"/>
        </w:rPr>
        <w:drawing>
          <wp:inline distT="0" distB="0" distL="0" distR="0" wp14:anchorId="519EDA1D" wp14:editId="56226738">
            <wp:extent cx="4899660" cy="2374900"/>
            <wp:effectExtent l="0" t="0" r="0" b="6350"/>
            <wp:docPr id="215144905" name="Gráfico 1">
              <a:extLst xmlns:a="http://schemas.openxmlformats.org/drawingml/2006/main">
                <a:ext uri="{FF2B5EF4-FFF2-40B4-BE49-F238E27FC236}">
                  <a16:creationId xmlns:a16="http://schemas.microsoft.com/office/drawing/2014/main" id="{804DF43B-AE67-4B92-85D2-11E5039CAED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4531EEE" w14:textId="77777777" w:rsidR="00A82756" w:rsidRPr="00A82756" w:rsidRDefault="00A82756" w:rsidP="00A82756">
      <w:pPr>
        <w:pBdr>
          <w:top w:val="nil"/>
          <w:left w:val="nil"/>
          <w:bottom w:val="nil"/>
          <w:right w:val="nil"/>
          <w:between w:val="nil"/>
        </w:pBdr>
        <w:jc w:val="center"/>
        <w:rPr>
          <w:rFonts w:eastAsia="Calibri"/>
          <w:color w:val="000000"/>
          <w:lang w:val="es-MX"/>
        </w:rPr>
      </w:pPr>
    </w:p>
    <w:p w14:paraId="2D4C1722" w14:textId="0F11AE29" w:rsidR="00A82756" w:rsidRPr="00A82756" w:rsidRDefault="00A82756" w:rsidP="00A82756">
      <w:pPr>
        <w:pBdr>
          <w:top w:val="nil"/>
          <w:left w:val="nil"/>
          <w:bottom w:val="nil"/>
          <w:right w:val="nil"/>
          <w:between w:val="nil"/>
        </w:pBdr>
        <w:jc w:val="center"/>
        <w:rPr>
          <w:rFonts w:eastAsia="Calibri"/>
          <w:color w:val="000000"/>
          <w:lang w:val="es-MX"/>
        </w:rPr>
      </w:pPr>
      <w:r w:rsidRPr="00A82756">
        <w:rPr>
          <w:rFonts w:eastAsia="Calibri"/>
          <w:color w:val="000000"/>
          <w:lang w:val="es-MX"/>
        </w:rPr>
        <w:t>Fuente: Ministerio de Hacienda (2024). Elaboración propia.</w:t>
      </w:r>
    </w:p>
    <w:p w14:paraId="5B204133" w14:textId="77777777" w:rsidR="00A82756" w:rsidRPr="00A82756" w:rsidRDefault="00A82756" w:rsidP="00A82756">
      <w:pPr>
        <w:pBdr>
          <w:top w:val="nil"/>
          <w:left w:val="nil"/>
          <w:bottom w:val="nil"/>
          <w:right w:val="nil"/>
          <w:between w:val="nil"/>
        </w:pBdr>
        <w:rPr>
          <w:rFonts w:eastAsia="Calibri"/>
          <w:color w:val="000000"/>
          <w:lang w:val="es-MX"/>
        </w:rPr>
      </w:pPr>
    </w:p>
    <w:p w14:paraId="7F723729" w14:textId="77777777" w:rsidR="00A82756" w:rsidRPr="006A1F39" w:rsidRDefault="00A82756" w:rsidP="00A82756">
      <w:pPr>
        <w:pBdr>
          <w:top w:val="nil"/>
          <w:left w:val="nil"/>
          <w:bottom w:val="nil"/>
          <w:right w:val="nil"/>
          <w:between w:val="nil"/>
        </w:pBdr>
        <w:spacing w:after="160"/>
        <w:jc w:val="both"/>
        <w:rPr>
          <w:rFonts w:eastAsia="Calibri"/>
          <w:color w:val="000000"/>
          <w:lang w:val="es-MX"/>
        </w:rPr>
      </w:pPr>
      <w:r w:rsidRPr="006A1F39">
        <w:rPr>
          <w:rFonts w:eastAsia="Calibri"/>
          <w:color w:val="000000"/>
          <w:lang w:val="es-MX"/>
        </w:rPr>
        <w:t>Durante los primeros siete meses de 2024, la ejecución presupuestal ha alcanzado el 42,9%, alineándose con las tendencias históricas. En términos absolutos, el gasto gubernamental continúa en aumento. Sin embargo, este incremento se debe principalmente a la ejecución en el rubro de funcionamiento. La ejecución en funcionamiento ha superado los niveles históricos para el período de enero a julio en los últimos ocho años, alcanzando un 48,2%. Por otro lado, los datos hasta julio revelan que la tendencia observada en 2023 persiste, mostrando una utilización ineficiente de los recursos: la ejecución en inversión fue del 26,3%, la más baja de la última década. Esto indica que, aunque el gobierno gasta mucho, no lo hace en áreas prioritarias.</w:t>
      </w:r>
    </w:p>
    <w:p w14:paraId="35CDE531" w14:textId="45167A0D" w:rsidR="00A82756" w:rsidRPr="00A82756" w:rsidRDefault="00A82756" w:rsidP="00A82756">
      <w:pPr>
        <w:pBdr>
          <w:top w:val="nil"/>
          <w:left w:val="nil"/>
          <w:bottom w:val="nil"/>
          <w:right w:val="nil"/>
          <w:between w:val="nil"/>
        </w:pBdr>
        <w:jc w:val="both"/>
        <w:rPr>
          <w:rFonts w:eastAsia="Calibri"/>
          <w:color w:val="000000"/>
          <w:lang w:val="es-MX"/>
        </w:rPr>
      </w:pPr>
      <w:r w:rsidRPr="00A82756">
        <w:rPr>
          <w:rFonts w:eastAsia="Calibri"/>
          <w:color w:val="000000"/>
          <w:lang w:val="es-MX"/>
        </w:rPr>
        <w:t xml:space="preserve">En este contexto, es crucial limitar el gasto y utilizar los recursos de manera más eficiente, algo que no se refleja en los datos actuales. Por ejemplo, el Gobierno debería enfocarse en reducir los gastos administrativos, que han crecido de manera desproporcionada. El Ministerio de la Igualdad tiene un presupuesto asignado de $1,3 billones en 2025. </w:t>
      </w:r>
    </w:p>
    <w:p w14:paraId="77F10B8D" w14:textId="77777777" w:rsidR="00A82756" w:rsidRPr="00A82756" w:rsidRDefault="00A82756" w:rsidP="00A82756">
      <w:pPr>
        <w:pBdr>
          <w:top w:val="nil"/>
          <w:left w:val="nil"/>
          <w:bottom w:val="nil"/>
          <w:right w:val="nil"/>
          <w:between w:val="nil"/>
        </w:pBdr>
        <w:jc w:val="both"/>
        <w:rPr>
          <w:rFonts w:eastAsia="Calibri"/>
          <w:b/>
          <w:color w:val="000000"/>
          <w:lang w:val="es-MX"/>
        </w:rPr>
      </w:pPr>
    </w:p>
    <w:p w14:paraId="36DE4F89" w14:textId="44EA9F60" w:rsidR="00A82756" w:rsidRPr="00A82756" w:rsidRDefault="00A82756" w:rsidP="00A82756">
      <w:pPr>
        <w:pBdr>
          <w:top w:val="nil"/>
          <w:left w:val="nil"/>
          <w:bottom w:val="nil"/>
          <w:right w:val="nil"/>
          <w:between w:val="nil"/>
        </w:pBdr>
        <w:jc w:val="both"/>
        <w:rPr>
          <w:rFonts w:eastAsia="Calibri"/>
          <w:b/>
          <w:color w:val="000000"/>
          <w:lang w:val="es-MX"/>
        </w:rPr>
      </w:pPr>
      <w:r w:rsidRPr="00A82756">
        <w:rPr>
          <w:rFonts w:eastAsia="Calibri"/>
          <w:b/>
          <w:color w:val="000000"/>
          <w:lang w:val="es-MX"/>
        </w:rPr>
        <w:t>Incertidumbre elevada</w:t>
      </w:r>
    </w:p>
    <w:p w14:paraId="39EC9A5C" w14:textId="77777777" w:rsidR="00A82756" w:rsidRPr="00A82756" w:rsidRDefault="00A82756" w:rsidP="00A82756">
      <w:pPr>
        <w:pBdr>
          <w:top w:val="nil"/>
          <w:left w:val="nil"/>
          <w:bottom w:val="nil"/>
          <w:right w:val="nil"/>
          <w:between w:val="nil"/>
        </w:pBdr>
        <w:jc w:val="both"/>
        <w:rPr>
          <w:rFonts w:eastAsia="Calibri"/>
          <w:b/>
          <w:color w:val="000000"/>
          <w:sz w:val="10"/>
          <w:szCs w:val="10"/>
          <w:lang w:val="es-MX"/>
        </w:rPr>
      </w:pPr>
    </w:p>
    <w:p w14:paraId="099E003B" w14:textId="08FFCD9D" w:rsidR="00A82756" w:rsidRDefault="00A82756" w:rsidP="00A82756">
      <w:pPr>
        <w:pBdr>
          <w:top w:val="nil"/>
          <w:left w:val="nil"/>
          <w:bottom w:val="nil"/>
          <w:right w:val="nil"/>
          <w:between w:val="nil"/>
        </w:pBdr>
        <w:spacing w:after="160"/>
        <w:jc w:val="both"/>
        <w:rPr>
          <w:rFonts w:eastAsia="Calibri"/>
          <w:lang w:val="es-MX"/>
        </w:rPr>
      </w:pPr>
      <w:r w:rsidRPr="001F467C">
        <w:rPr>
          <w:rFonts w:eastAsia="Calibri"/>
          <w:lang w:val="es-MX"/>
        </w:rPr>
        <w:t xml:space="preserve">La incertidumbre en la política económica ha alcanzado niveles históricos, atribuible en gran parte a la gestión macroeconómica irresponsable por parte del Gobierno. Según </w:t>
      </w:r>
      <w:r w:rsidRPr="00A82756">
        <w:rPr>
          <w:rFonts w:eastAsia="Calibri"/>
          <w:lang w:val="es-MX"/>
        </w:rPr>
        <w:t xml:space="preserve">el indicador de incertidumbre de la Política Económica colombiana </w:t>
      </w:r>
      <w:r w:rsidRPr="001F467C">
        <w:rPr>
          <w:rFonts w:eastAsia="Calibri"/>
          <w:lang w:val="es-MX"/>
        </w:rPr>
        <w:t>de Fedesarrollo (2024), la incertidumbre se incrementó en julio de 2024, alcanzando un índice de 249. Este valor representa un aumento de 2,4 veces en comparación con el promedio registrado entre 2000 y 2019. La medición de esta incertidumbre es crucial, ya que un aumento en esta variable actúa como un obstáculo significativo para el crecimiento económico, la inversión y la creación de empleo (ver Gráfico 10).</w:t>
      </w:r>
    </w:p>
    <w:p w14:paraId="587FC545" w14:textId="38BFBB9D" w:rsidR="00801625" w:rsidRDefault="00801625" w:rsidP="00A82756">
      <w:pPr>
        <w:pBdr>
          <w:top w:val="nil"/>
          <w:left w:val="nil"/>
          <w:bottom w:val="nil"/>
          <w:right w:val="nil"/>
          <w:between w:val="nil"/>
        </w:pBdr>
        <w:spacing w:after="160"/>
        <w:jc w:val="both"/>
        <w:rPr>
          <w:rFonts w:eastAsia="Calibri"/>
          <w:lang w:val="es-MX"/>
        </w:rPr>
      </w:pPr>
    </w:p>
    <w:p w14:paraId="2E8D3DD1" w14:textId="7B895536" w:rsidR="00801625" w:rsidRDefault="00801625" w:rsidP="00A82756">
      <w:pPr>
        <w:pBdr>
          <w:top w:val="nil"/>
          <w:left w:val="nil"/>
          <w:bottom w:val="nil"/>
          <w:right w:val="nil"/>
          <w:between w:val="nil"/>
        </w:pBdr>
        <w:spacing w:after="160"/>
        <w:jc w:val="both"/>
        <w:rPr>
          <w:rFonts w:eastAsia="Calibri"/>
          <w:lang w:val="es-MX"/>
        </w:rPr>
      </w:pPr>
    </w:p>
    <w:p w14:paraId="5E96F419" w14:textId="601F4A1B" w:rsidR="00801625" w:rsidRDefault="00801625" w:rsidP="00A82756">
      <w:pPr>
        <w:pBdr>
          <w:top w:val="nil"/>
          <w:left w:val="nil"/>
          <w:bottom w:val="nil"/>
          <w:right w:val="nil"/>
          <w:between w:val="nil"/>
        </w:pBdr>
        <w:spacing w:after="160"/>
        <w:jc w:val="both"/>
        <w:rPr>
          <w:rFonts w:eastAsia="Calibri"/>
          <w:lang w:val="es-MX"/>
        </w:rPr>
      </w:pPr>
    </w:p>
    <w:p w14:paraId="2B6AE4A5" w14:textId="77777777" w:rsidR="00801625" w:rsidRPr="001F467C" w:rsidRDefault="00801625" w:rsidP="00A82756">
      <w:pPr>
        <w:pBdr>
          <w:top w:val="nil"/>
          <w:left w:val="nil"/>
          <w:bottom w:val="nil"/>
          <w:right w:val="nil"/>
          <w:between w:val="nil"/>
        </w:pBdr>
        <w:spacing w:after="160"/>
        <w:jc w:val="both"/>
        <w:rPr>
          <w:rFonts w:eastAsia="Calibri"/>
          <w:lang w:val="es-MX"/>
        </w:rPr>
      </w:pPr>
    </w:p>
    <w:p w14:paraId="0D7B9986" w14:textId="77777777" w:rsidR="00A82756" w:rsidRPr="00A82756" w:rsidRDefault="00A82756" w:rsidP="00A82756">
      <w:pPr>
        <w:pBdr>
          <w:top w:val="nil"/>
          <w:left w:val="nil"/>
          <w:bottom w:val="nil"/>
          <w:right w:val="nil"/>
          <w:between w:val="nil"/>
        </w:pBdr>
        <w:jc w:val="center"/>
        <w:rPr>
          <w:rFonts w:eastAsia="Calibri"/>
          <w:b/>
          <w:bCs/>
          <w:color w:val="000000"/>
          <w:lang w:val="es-CO"/>
        </w:rPr>
      </w:pPr>
      <w:r w:rsidRPr="00A82756">
        <w:rPr>
          <w:rFonts w:eastAsia="Calibri"/>
          <w:b/>
          <w:bCs/>
          <w:color w:val="000000"/>
          <w:lang w:val="es-CO"/>
        </w:rPr>
        <w:t>Gráfico 10. Indicador de incertidumbre de la Política Económica Colombiana</w:t>
      </w:r>
    </w:p>
    <w:p w14:paraId="59BD6519" w14:textId="77777777" w:rsidR="00A82756" w:rsidRPr="00A82756" w:rsidRDefault="00A82756" w:rsidP="00A82756">
      <w:pPr>
        <w:jc w:val="center"/>
        <w:rPr>
          <w:b/>
          <w:bCs/>
          <w:u w:val="single"/>
        </w:rPr>
      </w:pPr>
      <w:r w:rsidRPr="00A82756">
        <w:rPr>
          <w:b/>
          <w:bCs/>
          <w:noProof/>
          <w:lang w:val="es-CO" w:eastAsia="es-CO"/>
        </w:rPr>
        <w:drawing>
          <wp:inline distT="0" distB="0" distL="0" distR="0" wp14:anchorId="00DEC3A3" wp14:editId="7D03F417">
            <wp:extent cx="4038600" cy="2743050"/>
            <wp:effectExtent l="0" t="0" r="0" b="6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063155" cy="2759728"/>
                    </a:xfrm>
                    <a:prstGeom prst="rect">
                      <a:avLst/>
                    </a:prstGeom>
                  </pic:spPr>
                </pic:pic>
              </a:graphicData>
            </a:graphic>
          </wp:inline>
        </w:drawing>
      </w:r>
    </w:p>
    <w:p w14:paraId="51DC4B7E" w14:textId="77777777" w:rsidR="00A82756" w:rsidRPr="00A82756" w:rsidRDefault="00A82756" w:rsidP="00A82756">
      <w:pPr>
        <w:pBdr>
          <w:top w:val="nil"/>
          <w:left w:val="nil"/>
          <w:bottom w:val="nil"/>
          <w:right w:val="nil"/>
          <w:between w:val="nil"/>
        </w:pBdr>
        <w:jc w:val="center"/>
        <w:rPr>
          <w:rFonts w:eastAsia="Calibri"/>
          <w:color w:val="000000"/>
          <w:lang w:val="es-MX"/>
        </w:rPr>
      </w:pPr>
      <w:r w:rsidRPr="00A82756">
        <w:rPr>
          <w:rFonts w:eastAsia="Calibri"/>
          <w:color w:val="000000"/>
          <w:lang w:val="es-MX"/>
        </w:rPr>
        <w:t xml:space="preserve">Fuente: Fedesarrollo. </w:t>
      </w:r>
    </w:p>
    <w:p w14:paraId="0B4911B2" w14:textId="77777777" w:rsidR="00A82756" w:rsidRPr="00A82756" w:rsidRDefault="00A82756" w:rsidP="00A82756">
      <w:pPr>
        <w:pBdr>
          <w:top w:val="nil"/>
          <w:left w:val="nil"/>
          <w:bottom w:val="nil"/>
          <w:right w:val="nil"/>
          <w:between w:val="nil"/>
        </w:pBdr>
        <w:jc w:val="both"/>
        <w:rPr>
          <w:rFonts w:eastAsia="Calibri"/>
          <w:b/>
          <w:color w:val="000000"/>
          <w:lang w:val="es-MX"/>
        </w:rPr>
      </w:pPr>
    </w:p>
    <w:p w14:paraId="16451EF1" w14:textId="3ED26AEE" w:rsidR="00A82756" w:rsidRPr="001F467C" w:rsidRDefault="00A82756" w:rsidP="00A82756">
      <w:pPr>
        <w:pBdr>
          <w:top w:val="nil"/>
          <w:left w:val="nil"/>
          <w:bottom w:val="nil"/>
          <w:right w:val="nil"/>
          <w:between w:val="nil"/>
        </w:pBdr>
        <w:spacing w:after="160"/>
        <w:jc w:val="both"/>
        <w:rPr>
          <w:rFonts w:eastAsia="Calibri"/>
          <w:lang w:val="es-MX"/>
        </w:rPr>
      </w:pPr>
      <w:r w:rsidRPr="001F467C">
        <w:rPr>
          <w:rFonts w:eastAsia="Calibri"/>
          <w:lang w:val="es-MX"/>
        </w:rPr>
        <w:t xml:space="preserve">Esto se evidencia claramente en el aumento de la tasa de interés de la deuda pública. Altas tasas de interés combinadas con un crecimiento potencial reducido de la economía colombiana </w:t>
      </w:r>
      <w:r w:rsidRPr="00A82756">
        <w:rPr>
          <w:rFonts w:eastAsia="Calibri"/>
          <w:lang w:val="es-MX"/>
        </w:rPr>
        <w:t xml:space="preserve">pueden resultar </w:t>
      </w:r>
      <w:r w:rsidRPr="001F467C">
        <w:rPr>
          <w:rFonts w:eastAsia="Calibri"/>
          <w:lang w:val="es-MX"/>
        </w:rPr>
        <w:t xml:space="preserve">en una escalada continua de la deuda en relación con el PIB. Como ilustra el Gráfico 11, las tasas de interés aplicadas a la deuda gubernamental, de acuerdo con la curva de rendimientos de TES a tasa fija, superan el </w:t>
      </w:r>
      <w:r w:rsidRPr="00A82756">
        <w:rPr>
          <w:rFonts w:eastAsia="Calibri"/>
          <w:lang w:val="es-MX"/>
        </w:rPr>
        <w:t>8</w:t>
      </w:r>
      <w:r w:rsidRPr="001F467C">
        <w:rPr>
          <w:rFonts w:eastAsia="Calibri"/>
          <w:lang w:val="es-MX"/>
        </w:rPr>
        <w:t>%.</w:t>
      </w:r>
    </w:p>
    <w:p w14:paraId="4C01A178" w14:textId="77777777" w:rsidR="00A82756" w:rsidRPr="001F467C" w:rsidRDefault="00A82756" w:rsidP="00A82756">
      <w:pPr>
        <w:pBdr>
          <w:top w:val="nil"/>
          <w:left w:val="nil"/>
          <w:bottom w:val="nil"/>
          <w:right w:val="nil"/>
          <w:between w:val="nil"/>
        </w:pBdr>
        <w:spacing w:after="160"/>
        <w:jc w:val="center"/>
        <w:rPr>
          <w:rFonts w:eastAsia="Calibri"/>
          <w:vanish/>
        </w:rPr>
      </w:pPr>
      <w:r w:rsidRPr="001F467C">
        <w:rPr>
          <w:rFonts w:eastAsia="Calibri"/>
          <w:vanish/>
        </w:rPr>
        <w:t>Principio del formulario</w:t>
      </w:r>
    </w:p>
    <w:p w14:paraId="759C471E" w14:textId="77777777" w:rsidR="00A82756" w:rsidRPr="001F467C" w:rsidRDefault="00A82756" w:rsidP="00A82756">
      <w:pPr>
        <w:pBdr>
          <w:top w:val="nil"/>
          <w:left w:val="nil"/>
          <w:bottom w:val="nil"/>
          <w:right w:val="nil"/>
          <w:between w:val="nil"/>
        </w:pBdr>
        <w:spacing w:after="160"/>
        <w:jc w:val="center"/>
        <w:rPr>
          <w:rFonts w:eastAsia="Calibri"/>
          <w:vanish/>
        </w:rPr>
      </w:pPr>
      <w:r w:rsidRPr="001F467C">
        <w:rPr>
          <w:rFonts w:eastAsia="Calibri"/>
          <w:vanish/>
        </w:rPr>
        <w:t>Final del formulario</w:t>
      </w:r>
    </w:p>
    <w:p w14:paraId="07613187" w14:textId="77777777" w:rsidR="00A82756" w:rsidRPr="00A82756" w:rsidRDefault="00A82756" w:rsidP="00A82756">
      <w:pPr>
        <w:pBdr>
          <w:top w:val="nil"/>
          <w:left w:val="nil"/>
          <w:bottom w:val="nil"/>
          <w:right w:val="nil"/>
          <w:between w:val="nil"/>
        </w:pBdr>
        <w:jc w:val="center"/>
        <w:rPr>
          <w:rFonts w:eastAsia="Calibri"/>
          <w:b/>
          <w:color w:val="000000"/>
          <w:lang w:val="es-MX"/>
        </w:rPr>
      </w:pPr>
      <w:r w:rsidRPr="00A82756">
        <w:rPr>
          <w:rFonts w:eastAsia="Calibri"/>
          <w:b/>
          <w:color w:val="000000"/>
          <w:lang w:val="es-MX"/>
        </w:rPr>
        <w:t>Gráfico 11. Curva de rendimientos TES tasa fija</w:t>
      </w:r>
    </w:p>
    <w:p w14:paraId="36B5C39D" w14:textId="77777777" w:rsidR="00A82756" w:rsidRPr="00A82756" w:rsidRDefault="00A82756" w:rsidP="00A82756">
      <w:pPr>
        <w:pBdr>
          <w:top w:val="nil"/>
          <w:left w:val="nil"/>
          <w:bottom w:val="nil"/>
          <w:right w:val="nil"/>
          <w:between w:val="nil"/>
        </w:pBdr>
        <w:jc w:val="center"/>
        <w:rPr>
          <w:rFonts w:eastAsia="Calibri"/>
          <w:color w:val="000000"/>
        </w:rPr>
      </w:pPr>
      <w:r w:rsidRPr="00A82756">
        <w:rPr>
          <w:rFonts w:eastAsia="Calibri"/>
          <w:color w:val="000000"/>
        </w:rPr>
        <w:t>(Tasa, %)</w:t>
      </w:r>
    </w:p>
    <w:p w14:paraId="761E2105" w14:textId="77777777" w:rsidR="00A82756" w:rsidRPr="00A82756" w:rsidRDefault="00A82756" w:rsidP="00A82756">
      <w:pPr>
        <w:pBdr>
          <w:top w:val="nil"/>
          <w:left w:val="nil"/>
          <w:bottom w:val="nil"/>
          <w:right w:val="nil"/>
          <w:between w:val="nil"/>
        </w:pBdr>
        <w:jc w:val="center"/>
        <w:rPr>
          <w:rFonts w:eastAsia="Calibri"/>
          <w:color w:val="000000"/>
        </w:rPr>
      </w:pPr>
      <w:r w:rsidRPr="00A82756">
        <w:rPr>
          <w:rFonts w:eastAsia="Calibri"/>
          <w:noProof/>
          <w:color w:val="000000"/>
          <w:lang w:val="es-CO" w:eastAsia="es-CO"/>
        </w:rPr>
        <mc:AlternateContent>
          <mc:Choice Requires="wps">
            <w:drawing>
              <wp:anchor distT="0" distB="0" distL="114300" distR="114300" simplePos="0" relativeHeight="251660288" behindDoc="0" locked="0" layoutInCell="1" allowOverlap="1" wp14:anchorId="1BB8192F" wp14:editId="199FDEE9">
                <wp:simplePos x="0" y="0"/>
                <wp:positionH relativeFrom="margin">
                  <wp:posOffset>1155700</wp:posOffset>
                </wp:positionH>
                <wp:positionV relativeFrom="paragraph">
                  <wp:posOffset>6350</wp:posOffset>
                </wp:positionV>
                <wp:extent cx="1607127" cy="921327"/>
                <wp:effectExtent l="0" t="0" r="0" b="0"/>
                <wp:wrapNone/>
                <wp:docPr id="1" name="Rectángulo 1"/>
                <wp:cNvGraphicFramePr/>
                <a:graphic xmlns:a="http://schemas.openxmlformats.org/drawingml/2006/main">
                  <a:graphicData uri="http://schemas.microsoft.com/office/word/2010/wordprocessingShape">
                    <wps:wsp>
                      <wps:cNvSpPr/>
                      <wps:spPr>
                        <a:xfrm>
                          <a:off x="0" y="0"/>
                          <a:ext cx="1607127" cy="92132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5063B81E" id="Rectángulo 1" o:spid="_x0000_s1026" style="position:absolute;margin-left:91pt;margin-top:.5pt;width:126.55pt;height:72.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" fillcolor="white [3212]" stroked="f" strokeweight="2pt">
                <w10:wrap anchorx="margin"/>
              </v:rect>
            </w:pict>
          </mc:Fallback>
        </mc:AlternateContent>
      </w:r>
      <w:r w:rsidRPr="00A82756">
        <w:rPr>
          <w:rFonts w:eastAsia="Calibri"/>
          <w:noProof/>
          <w:color w:val="000000"/>
          <w:lang w:val="es-CO" w:eastAsia="es-CO"/>
        </w:rPr>
        <mc:AlternateContent>
          <mc:Choice Requires="wps">
            <w:drawing>
              <wp:anchor distT="45720" distB="45720" distL="114300" distR="114300" simplePos="0" relativeHeight="251659264" behindDoc="0" locked="0" layoutInCell="1" allowOverlap="1" wp14:anchorId="3711FC69" wp14:editId="480D0EA7">
                <wp:simplePos x="0" y="0"/>
                <wp:positionH relativeFrom="margin">
                  <wp:posOffset>181091</wp:posOffset>
                </wp:positionH>
                <wp:positionV relativeFrom="paragraph">
                  <wp:posOffset>804372</wp:posOffset>
                </wp:positionV>
                <wp:extent cx="723900" cy="236220"/>
                <wp:effectExtent l="0" t="381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723900" cy="236220"/>
                        </a:xfrm>
                        <a:prstGeom prst="rect">
                          <a:avLst/>
                        </a:prstGeom>
                        <a:solidFill>
                          <a:srgbClr val="FFFFFF"/>
                        </a:solidFill>
                        <a:ln w="9525">
                          <a:noFill/>
                          <a:miter lim="800000"/>
                          <a:headEnd/>
                          <a:tailEnd/>
                        </a:ln>
                      </wps:spPr>
                      <wps:txbx>
                        <w:txbxContent>
                          <w:p w14:paraId="5BEC1638" w14:textId="77777777" w:rsidR="00A82756" w:rsidRPr="0014432A" w:rsidRDefault="00A82756" w:rsidP="00A82756">
                            <w:pPr>
                              <w:rPr>
                                <w:rFonts w:asciiTheme="minorHAnsi" w:hAnsiTheme="minorHAnsi" w:cstheme="minorHAnsi"/>
                                <w:sz w:val="18"/>
                                <w:szCs w:val="18"/>
                              </w:rPr>
                            </w:pPr>
                            <w:r w:rsidRPr="0014432A">
                              <w:rPr>
                                <w:rFonts w:asciiTheme="minorHAnsi" w:hAnsiTheme="minorHAnsi" w:cstheme="minorHAnsi"/>
                                <w:sz w:val="18"/>
                                <w:szCs w:val="18"/>
                              </w:rPr>
                              <w:t>Tasa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3711FC69" id="_x0000_t202" coordsize="21600,21600" o:spt="202" path="m,l,21600r21600,l21600,xe">
                <v:stroke joinstyle="miter"/>
                <v:path gradientshapeok="t" o:connecttype="rect"/>
              </v:shapetype>
              <v:shape id="Cuadro de texto 2" o:spid="_x0000_s1026" type="#_x0000_t202" style="position:absolute;left:0;text-align:left;margin-left:14.25pt;margin-top:63.35pt;width:57pt;height:18.6pt;rotation:-90;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" stroked="f">
                <v:textbox>
                  <w:txbxContent>
                    <w:p w14:paraId="5BEC1638" w14:textId="77777777" w:rsidR="00A82756" w:rsidRPr="0014432A" w:rsidRDefault="00A82756" w:rsidP="00A82756">
                      <w:pPr>
                        <w:rPr>
                          <w:rFonts w:asciiTheme="minorHAnsi" w:hAnsiTheme="minorHAnsi" w:cstheme="minorHAnsi"/>
                          <w:sz w:val="18"/>
                          <w:szCs w:val="18"/>
                        </w:rPr>
                      </w:pPr>
                      <w:r w:rsidRPr="0014432A">
                        <w:rPr>
                          <w:rFonts w:asciiTheme="minorHAnsi" w:hAnsiTheme="minorHAnsi" w:cstheme="minorHAnsi"/>
                          <w:sz w:val="18"/>
                          <w:szCs w:val="18"/>
                        </w:rPr>
                        <w:t>Tasa (%)</w:t>
                      </w:r>
                    </w:p>
                  </w:txbxContent>
                </v:textbox>
                <w10:wrap anchorx="margin"/>
              </v:shape>
            </w:pict>
          </mc:Fallback>
        </mc:AlternateContent>
      </w:r>
      <w:r w:rsidRPr="00A82756">
        <w:rPr>
          <w:rFonts w:eastAsia="Calibri"/>
          <w:noProof/>
          <w:color w:val="000000"/>
          <w:lang w:val="es-CO" w:eastAsia="es-CO"/>
        </w:rPr>
        <w:drawing>
          <wp:inline distT="0" distB="0" distL="0" distR="0" wp14:anchorId="37F7FF0D" wp14:editId="40005C28">
            <wp:extent cx="4454236" cy="2156055"/>
            <wp:effectExtent l="0" t="0" r="381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496573" cy="2176548"/>
                    </a:xfrm>
                    <a:prstGeom prst="rect">
                      <a:avLst/>
                    </a:prstGeom>
                  </pic:spPr>
                </pic:pic>
              </a:graphicData>
            </a:graphic>
          </wp:inline>
        </w:drawing>
      </w:r>
    </w:p>
    <w:p w14:paraId="06486233" w14:textId="77777777" w:rsidR="00A82756" w:rsidRPr="00A82756" w:rsidRDefault="00A82756" w:rsidP="00A82756">
      <w:pPr>
        <w:pBdr>
          <w:top w:val="nil"/>
          <w:left w:val="nil"/>
          <w:bottom w:val="nil"/>
          <w:right w:val="nil"/>
          <w:between w:val="nil"/>
        </w:pBdr>
        <w:jc w:val="center"/>
        <w:rPr>
          <w:rFonts w:eastAsia="Calibri"/>
          <w:color w:val="000000"/>
          <w:sz w:val="10"/>
          <w:szCs w:val="10"/>
          <w:lang w:val="es-MX"/>
        </w:rPr>
      </w:pPr>
    </w:p>
    <w:p w14:paraId="7CE5A57D" w14:textId="7C4F38F1" w:rsidR="00A82756" w:rsidRPr="00A82756" w:rsidRDefault="00A82756" w:rsidP="00A82756">
      <w:pPr>
        <w:pBdr>
          <w:top w:val="nil"/>
          <w:left w:val="nil"/>
          <w:bottom w:val="nil"/>
          <w:right w:val="nil"/>
          <w:between w:val="nil"/>
        </w:pBdr>
        <w:jc w:val="center"/>
        <w:rPr>
          <w:rFonts w:eastAsia="Calibri"/>
          <w:color w:val="000000"/>
          <w:lang w:val="es-MX"/>
        </w:rPr>
      </w:pPr>
      <w:r w:rsidRPr="00A82756">
        <w:rPr>
          <w:rFonts w:eastAsia="Calibri"/>
          <w:color w:val="000000"/>
          <w:lang w:val="es-MX"/>
        </w:rPr>
        <w:t>Fuente: Banco de la República (2024)</w:t>
      </w:r>
    </w:p>
    <w:p w14:paraId="577345F2" w14:textId="77777777" w:rsidR="00A82756" w:rsidRDefault="00A82756" w:rsidP="00A82756">
      <w:pPr>
        <w:pBdr>
          <w:top w:val="nil"/>
          <w:left w:val="nil"/>
          <w:bottom w:val="nil"/>
          <w:right w:val="nil"/>
          <w:between w:val="nil"/>
        </w:pBdr>
        <w:spacing w:after="160"/>
        <w:jc w:val="both"/>
        <w:rPr>
          <w:rFonts w:eastAsia="Calibri"/>
          <w:lang w:val="es-MX"/>
        </w:rPr>
      </w:pPr>
    </w:p>
    <w:p w14:paraId="110AA32D" w14:textId="2537598D" w:rsidR="00A82756" w:rsidRPr="001F467C" w:rsidRDefault="00A82756" w:rsidP="00A82756">
      <w:pPr>
        <w:pBdr>
          <w:top w:val="nil"/>
          <w:left w:val="nil"/>
          <w:bottom w:val="nil"/>
          <w:right w:val="nil"/>
          <w:between w:val="nil"/>
        </w:pBdr>
        <w:spacing w:after="160"/>
        <w:jc w:val="both"/>
        <w:rPr>
          <w:rFonts w:eastAsia="Calibri"/>
          <w:lang w:val="es-MX"/>
        </w:rPr>
      </w:pPr>
      <w:r w:rsidRPr="001F467C">
        <w:rPr>
          <w:rFonts w:eastAsia="Calibri"/>
          <w:lang w:val="es-MX"/>
        </w:rPr>
        <w:t xml:space="preserve">A pesar de haber disminuido desde su punto más alto a finales de 2022, los niveles actuales siguen siendo elevados. Esta situación se atribuye en parte a la tasa de política monetaria, </w:t>
      </w:r>
      <w:r w:rsidRPr="001F467C">
        <w:rPr>
          <w:rFonts w:eastAsia="Calibri"/>
          <w:lang w:val="es-MX"/>
        </w:rPr>
        <w:lastRenderedPageBreak/>
        <w:t>así como al aumento en la prima de riesgo país de Colombia, que ha elevado el costo de financiamiento. En la actualidad, la prima de riesgo país supera notablemente los niveles de 2019, evidenciando la pérdida del grado de inversión y el deterioro fiscal provocados por la incertidumbre regulatoria y política. Los Credit Default Swaps (CDS) a 5 años de Colombia están por encima de los de otros países latinoamericanos comparables, incluso superando a los de Brasil, a pesar de que la calificación soberana de Brasil es inferior a la de Colombia (Gráfico 1</w:t>
      </w:r>
      <w:r w:rsidRPr="00A82756">
        <w:rPr>
          <w:rFonts w:eastAsia="Calibri"/>
          <w:lang w:val="es-MX"/>
        </w:rPr>
        <w:t>2).</w:t>
      </w:r>
    </w:p>
    <w:p w14:paraId="6022A513" w14:textId="77777777" w:rsidR="00A82756" w:rsidRPr="00A82756" w:rsidRDefault="00A82756" w:rsidP="00A82756">
      <w:pPr>
        <w:pBdr>
          <w:top w:val="nil"/>
          <w:left w:val="nil"/>
          <w:bottom w:val="nil"/>
          <w:right w:val="nil"/>
          <w:between w:val="nil"/>
        </w:pBdr>
        <w:jc w:val="center"/>
        <w:rPr>
          <w:rFonts w:eastAsia="Calibri"/>
          <w:b/>
          <w:color w:val="000000"/>
          <w:lang w:val="es-MX"/>
        </w:rPr>
      </w:pPr>
      <w:r w:rsidRPr="00A82756">
        <w:rPr>
          <w:rFonts w:eastAsia="Calibri"/>
          <w:b/>
          <w:color w:val="000000"/>
          <w:lang w:val="es-MX"/>
        </w:rPr>
        <w:t>Gráfico 12. Credit Default Swaps (5 años)</w:t>
      </w:r>
    </w:p>
    <w:p w14:paraId="2C23BECB" w14:textId="77777777" w:rsidR="00A82756" w:rsidRPr="00A82756" w:rsidRDefault="00A82756" w:rsidP="00A82756">
      <w:pPr>
        <w:pBdr>
          <w:top w:val="nil"/>
          <w:left w:val="nil"/>
          <w:bottom w:val="nil"/>
          <w:right w:val="nil"/>
          <w:between w:val="nil"/>
        </w:pBdr>
        <w:jc w:val="center"/>
        <w:rPr>
          <w:rFonts w:eastAsia="Calibri"/>
          <w:color w:val="000000"/>
        </w:rPr>
      </w:pPr>
      <w:r w:rsidRPr="00A82756">
        <w:rPr>
          <w:rFonts w:eastAsia="Calibri"/>
          <w:color w:val="000000"/>
        </w:rPr>
        <w:t>(Puntos básicos)</w:t>
      </w:r>
    </w:p>
    <w:p w14:paraId="725B3302" w14:textId="77777777" w:rsidR="00A82756" w:rsidRPr="00A82756" w:rsidRDefault="00A82756" w:rsidP="00A82756">
      <w:pPr>
        <w:pBdr>
          <w:top w:val="nil"/>
          <w:left w:val="nil"/>
          <w:bottom w:val="nil"/>
          <w:right w:val="nil"/>
          <w:between w:val="nil"/>
        </w:pBdr>
        <w:jc w:val="center"/>
        <w:rPr>
          <w:rFonts w:eastAsia="Calibri"/>
          <w:color w:val="000000"/>
        </w:rPr>
      </w:pPr>
      <w:r w:rsidRPr="00A82756">
        <w:rPr>
          <w:rFonts w:eastAsia="Calibri"/>
          <w:noProof/>
          <w:color w:val="000000"/>
          <w:lang w:val="es-CO" w:eastAsia="es-CO"/>
        </w:rPr>
        <w:drawing>
          <wp:inline distT="0" distB="0" distL="0" distR="0" wp14:anchorId="68DC3A7A" wp14:editId="63BC5341">
            <wp:extent cx="5612130" cy="2251075"/>
            <wp:effectExtent l="0" t="0" r="762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612130" cy="2251075"/>
                    </a:xfrm>
                    <a:prstGeom prst="rect">
                      <a:avLst/>
                    </a:prstGeom>
                  </pic:spPr>
                </pic:pic>
              </a:graphicData>
            </a:graphic>
          </wp:inline>
        </w:drawing>
      </w:r>
      <w:r w:rsidRPr="00A82756">
        <w:rPr>
          <w:rFonts w:eastAsia="Calibri"/>
          <w:noProof/>
          <w:color w:val="000000"/>
          <w:lang w:val="es-CO" w:eastAsia="es-CO"/>
        </w:rPr>
        <mc:AlternateContent>
          <mc:Choice Requires="wps">
            <w:drawing>
              <wp:anchor distT="0" distB="0" distL="114300" distR="114300" simplePos="0" relativeHeight="251661312" behindDoc="0" locked="0" layoutInCell="1" allowOverlap="1" wp14:anchorId="4AD2C4E5" wp14:editId="12D86EB2">
                <wp:simplePos x="0" y="0"/>
                <wp:positionH relativeFrom="margin">
                  <wp:align>left</wp:align>
                </wp:positionH>
                <wp:positionV relativeFrom="paragraph">
                  <wp:posOffset>2120322</wp:posOffset>
                </wp:positionV>
                <wp:extent cx="1115290" cy="138545"/>
                <wp:effectExtent l="0" t="0" r="8890" b="0"/>
                <wp:wrapNone/>
                <wp:docPr id="21" name="Rectángulo 21"/>
                <wp:cNvGraphicFramePr/>
                <a:graphic xmlns:a="http://schemas.openxmlformats.org/drawingml/2006/main">
                  <a:graphicData uri="http://schemas.microsoft.com/office/word/2010/wordprocessingShape">
                    <wps:wsp>
                      <wps:cNvSpPr/>
                      <wps:spPr>
                        <a:xfrm>
                          <a:off x="0" y="0"/>
                          <a:ext cx="1115290" cy="13854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50E4EC4C" id="Rectángulo 21" o:spid="_x0000_s1026" style="position:absolute;margin-left:0;margin-top:166.95pt;width:87.8pt;height:10.9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" fillcolor="white [3212]" stroked="f" strokeweight="2pt">
                <w10:wrap anchorx="margin"/>
              </v:rect>
            </w:pict>
          </mc:Fallback>
        </mc:AlternateContent>
      </w:r>
    </w:p>
    <w:p w14:paraId="5E1A256F" w14:textId="77777777" w:rsidR="00A82756" w:rsidRPr="00A82756" w:rsidRDefault="00A82756" w:rsidP="00A82756">
      <w:pPr>
        <w:pBdr>
          <w:top w:val="nil"/>
          <w:left w:val="nil"/>
          <w:bottom w:val="nil"/>
          <w:right w:val="nil"/>
          <w:between w:val="nil"/>
        </w:pBdr>
        <w:jc w:val="center"/>
        <w:rPr>
          <w:rFonts w:eastAsia="Calibri"/>
          <w:color w:val="000000"/>
          <w:sz w:val="10"/>
          <w:szCs w:val="10"/>
          <w:lang w:val="es-MX"/>
        </w:rPr>
      </w:pPr>
    </w:p>
    <w:p w14:paraId="2FC0B596" w14:textId="2B685F3B" w:rsidR="00A82756" w:rsidRPr="00A82756" w:rsidRDefault="00A82756" w:rsidP="00A82756">
      <w:pPr>
        <w:pBdr>
          <w:top w:val="nil"/>
          <w:left w:val="nil"/>
          <w:bottom w:val="nil"/>
          <w:right w:val="nil"/>
          <w:between w:val="nil"/>
        </w:pBdr>
        <w:jc w:val="center"/>
        <w:rPr>
          <w:rFonts w:eastAsia="Calibri"/>
          <w:color w:val="000000"/>
          <w:lang w:val="es-MX"/>
        </w:rPr>
      </w:pPr>
      <w:r w:rsidRPr="00A82756">
        <w:rPr>
          <w:rFonts w:eastAsia="Calibri"/>
          <w:color w:val="000000"/>
          <w:lang w:val="es-MX"/>
        </w:rPr>
        <w:t>Fuente: Banco de la República (2024)</w:t>
      </w:r>
    </w:p>
    <w:p w14:paraId="75E348AF" w14:textId="77777777" w:rsidR="00A82756" w:rsidRDefault="00A82756" w:rsidP="00A82756">
      <w:pPr>
        <w:pBdr>
          <w:top w:val="nil"/>
          <w:left w:val="nil"/>
          <w:bottom w:val="nil"/>
          <w:right w:val="nil"/>
          <w:between w:val="nil"/>
        </w:pBdr>
        <w:jc w:val="both"/>
        <w:rPr>
          <w:rFonts w:eastAsia="Calibri"/>
          <w:lang w:val="es-MX"/>
        </w:rPr>
      </w:pPr>
    </w:p>
    <w:p w14:paraId="0F02F7AA" w14:textId="2C1B0CB6" w:rsidR="00A82756" w:rsidRDefault="00A82756" w:rsidP="00A82756">
      <w:pPr>
        <w:pBdr>
          <w:top w:val="nil"/>
          <w:left w:val="nil"/>
          <w:bottom w:val="nil"/>
          <w:right w:val="nil"/>
          <w:between w:val="nil"/>
        </w:pBdr>
        <w:jc w:val="both"/>
        <w:rPr>
          <w:rFonts w:eastAsia="Calibri"/>
          <w:bCs/>
          <w:color w:val="000000"/>
          <w:lang w:val="es-MX"/>
        </w:rPr>
      </w:pPr>
      <w:r w:rsidRPr="00A82756">
        <w:rPr>
          <w:rFonts w:eastAsia="Calibri"/>
          <w:lang w:val="es-MX"/>
        </w:rPr>
        <w:t xml:space="preserve">En este sentido, en </w:t>
      </w:r>
      <w:r w:rsidRPr="006A1F39">
        <w:rPr>
          <w:rFonts w:eastAsia="Calibri"/>
          <w:bCs/>
          <w:color w:val="000000"/>
          <w:lang w:val="es-MX"/>
        </w:rPr>
        <w:t>lugar de aument</w:t>
      </w:r>
      <w:r w:rsidRPr="00A82756">
        <w:rPr>
          <w:rFonts w:eastAsia="Calibri"/>
          <w:bCs/>
          <w:color w:val="000000"/>
          <w:lang w:val="es-MX"/>
        </w:rPr>
        <w:t xml:space="preserve">ar el </w:t>
      </w:r>
      <w:r w:rsidRPr="006A1F39">
        <w:rPr>
          <w:rFonts w:eastAsia="Calibri"/>
          <w:bCs/>
          <w:color w:val="000000"/>
          <w:lang w:val="es-MX"/>
        </w:rPr>
        <w:t>gasto, es imperativo que el gobierno fomente la economía y genere fuentes adicionales ingresos. Las políticas actuales han generado un clima de incertidumbre que desmotiva la inversión, mientras que la persecución del sector privado y la insistencia en una economía centralizada e intervencionista han exacerbado la situación. La ineficiencia y el sesgo ideológico del gobierno son responsables directos del actual estancamiento económico.</w:t>
      </w:r>
    </w:p>
    <w:p w14:paraId="24C35F7C" w14:textId="77777777" w:rsidR="00A82756" w:rsidRPr="00A82756" w:rsidRDefault="00A82756" w:rsidP="00A82756">
      <w:pPr>
        <w:pBdr>
          <w:top w:val="nil"/>
          <w:left w:val="nil"/>
          <w:bottom w:val="nil"/>
          <w:right w:val="nil"/>
          <w:between w:val="nil"/>
        </w:pBdr>
        <w:jc w:val="both"/>
        <w:rPr>
          <w:rFonts w:eastAsia="Calibri"/>
          <w:bCs/>
          <w:color w:val="000000"/>
          <w:lang w:val="es-MX"/>
        </w:rPr>
      </w:pPr>
    </w:p>
    <w:p w14:paraId="51119121" w14:textId="77777777" w:rsidR="00A82756" w:rsidRPr="00A82756" w:rsidRDefault="00A82756" w:rsidP="00A82756">
      <w:pPr>
        <w:rPr>
          <w:lang w:val="es-CO"/>
        </w:rPr>
      </w:pPr>
    </w:p>
    <w:p w14:paraId="29F97E4C" w14:textId="242C50E0" w:rsidR="00A82756" w:rsidRDefault="00A82756" w:rsidP="00A82756">
      <w:pPr>
        <w:jc w:val="both"/>
        <w:rPr>
          <w:rFonts w:eastAsia="Calibri"/>
          <w:b/>
          <w:color w:val="000000"/>
          <w:lang w:val="es-MX"/>
        </w:rPr>
      </w:pPr>
      <w:r w:rsidRPr="00A82756">
        <w:rPr>
          <w:rFonts w:eastAsia="Calibri"/>
          <w:b/>
          <w:color w:val="000000"/>
          <w:lang w:val="es-MX"/>
        </w:rPr>
        <w:t>PGN 2025 está desfinanciado y no cumple con los principios del sistema presupuestal</w:t>
      </w:r>
    </w:p>
    <w:p w14:paraId="4E973931" w14:textId="77777777" w:rsidR="00A82756" w:rsidRPr="00A82756" w:rsidRDefault="00A82756" w:rsidP="00A82756">
      <w:pPr>
        <w:rPr>
          <w:lang w:val="es-CO"/>
        </w:rPr>
      </w:pPr>
    </w:p>
    <w:p w14:paraId="59330CB5" w14:textId="77777777" w:rsidR="00E42EA2" w:rsidRDefault="00E42EA2" w:rsidP="00E42EA2">
      <w:pPr>
        <w:jc w:val="both"/>
        <w:rPr>
          <w:b/>
          <w:lang w:val="es-MX"/>
        </w:rPr>
      </w:pPr>
      <w:r w:rsidRPr="001B3D06">
        <w:rPr>
          <w:lang w:val="es-MX"/>
        </w:rPr>
        <w:t xml:space="preserve">El estatuto orgánico del Presupuesto estableció como principios el de </w:t>
      </w:r>
      <w:r w:rsidRPr="00A82756">
        <w:rPr>
          <w:lang w:val="es-MX"/>
        </w:rPr>
        <w:t>planificación, la anualidad, la universalidad, la unidad de caja, la programación integral, la especialización, inembargabilidad, la coherencia macroeconómica y la homeostasis</w:t>
      </w:r>
      <w:r>
        <w:rPr>
          <w:lang w:val="es-MX"/>
        </w:rPr>
        <w:t>.</w:t>
      </w:r>
    </w:p>
    <w:p w14:paraId="167B61D0" w14:textId="77777777" w:rsidR="00E42EA2" w:rsidRDefault="00E42EA2" w:rsidP="00E42EA2">
      <w:pPr>
        <w:jc w:val="both"/>
        <w:rPr>
          <w:b/>
          <w:lang w:val="es-MX"/>
        </w:rPr>
      </w:pPr>
    </w:p>
    <w:p w14:paraId="16641333" w14:textId="77777777" w:rsidR="00E42EA2" w:rsidRDefault="00E42EA2" w:rsidP="00E42EA2">
      <w:pPr>
        <w:jc w:val="both"/>
        <w:rPr>
          <w:b/>
          <w:lang w:val="es-MX"/>
        </w:rPr>
      </w:pPr>
      <w:r>
        <w:rPr>
          <w:b/>
          <w:lang w:val="es-MX"/>
        </w:rPr>
        <w:t xml:space="preserve">Ahora bien, de manera específica definió los principios de planificación y coherencia macroeconómica así:  </w:t>
      </w:r>
    </w:p>
    <w:p w14:paraId="18414C91" w14:textId="77777777" w:rsidR="00E42EA2" w:rsidRDefault="00E42EA2" w:rsidP="00E42EA2">
      <w:pPr>
        <w:jc w:val="both"/>
        <w:rPr>
          <w:lang w:val="es-MX"/>
        </w:rPr>
      </w:pPr>
    </w:p>
    <w:p w14:paraId="1C2323A1" w14:textId="77777777" w:rsidR="00E42EA2" w:rsidRPr="00A82756" w:rsidRDefault="00E42EA2" w:rsidP="00E42EA2">
      <w:pPr>
        <w:ind w:left="720"/>
        <w:jc w:val="both"/>
        <w:rPr>
          <w:lang w:val="es-MX"/>
        </w:rPr>
      </w:pPr>
      <w:bookmarkStart w:id="1" w:name="13"/>
      <w:r w:rsidRPr="00A82756">
        <w:rPr>
          <w:lang w:val="es-MX"/>
        </w:rPr>
        <w:t>“ARTÍCULO 13. PLANIFICACION.</w:t>
      </w:r>
      <w:bookmarkEnd w:id="1"/>
      <w:r w:rsidRPr="00A82756">
        <w:rPr>
          <w:lang w:val="es-MX"/>
        </w:rPr>
        <w:t> El Presupuesto General de la Nación deberá guardar concordancia con los contenidos del Plan Nacional de Desarrollo, del Plan Nacional de Inversiones, del Plan Financiero y del Plan Operativo Anual de Inversiones (Ley 38/89, artículo 9o. Ley 179/94, artículo </w:t>
      </w:r>
      <w:hyperlink r:id="rId20" w:anchor="5" w:history="1">
        <w:r w:rsidRPr="00A82756">
          <w:rPr>
            <w:lang w:val="es-MX"/>
          </w:rPr>
          <w:t>5</w:t>
        </w:r>
      </w:hyperlink>
      <w:r w:rsidRPr="00A82756">
        <w:rPr>
          <w:lang w:val="es-MX"/>
        </w:rPr>
        <w:t>o.).”</w:t>
      </w:r>
    </w:p>
    <w:p w14:paraId="0B1A9FDF" w14:textId="77777777" w:rsidR="00E42EA2" w:rsidRDefault="00E42EA2" w:rsidP="00E42EA2">
      <w:pPr>
        <w:ind w:left="720"/>
        <w:jc w:val="both"/>
        <w:rPr>
          <w:lang w:val="es-MX"/>
        </w:rPr>
      </w:pPr>
    </w:p>
    <w:p w14:paraId="1773F353" w14:textId="77777777" w:rsidR="00E42EA2" w:rsidRPr="00A82756" w:rsidRDefault="00E42EA2" w:rsidP="00E42EA2">
      <w:pPr>
        <w:ind w:left="720"/>
        <w:jc w:val="both"/>
        <w:rPr>
          <w:lang w:val="es-MX"/>
        </w:rPr>
      </w:pPr>
      <w:bookmarkStart w:id="2" w:name="20"/>
      <w:r>
        <w:rPr>
          <w:lang w:val="es-MX"/>
        </w:rPr>
        <w:lastRenderedPageBreak/>
        <w:t>“</w:t>
      </w:r>
      <w:r w:rsidRPr="00A82756">
        <w:rPr>
          <w:lang w:val="es-MX"/>
        </w:rPr>
        <w:t>ARTICULO 20. COHERENCIA MACROECONOMICA.</w:t>
      </w:r>
      <w:bookmarkEnd w:id="2"/>
      <w:r w:rsidRPr="00A82756">
        <w:rPr>
          <w:lang w:val="es-MX"/>
        </w:rPr>
        <w:t> El presupuesto debe ser compatible con las metas macroeconómicas fijadas por el Gobierno en coordinación con la Junta Directiva del Banco de la República (Ley 179/94, artículo </w:t>
      </w:r>
      <w:hyperlink r:id="rId21" w:anchor="7" w:history="1">
        <w:r w:rsidRPr="00A82756">
          <w:rPr>
            <w:lang w:val="es-MX"/>
          </w:rPr>
          <w:t>7</w:t>
        </w:r>
      </w:hyperlink>
      <w:r w:rsidRPr="00A82756">
        <w:rPr>
          <w:lang w:val="es-MX"/>
        </w:rPr>
        <w:t>o.).</w:t>
      </w:r>
      <w:r>
        <w:rPr>
          <w:lang w:val="es-MX"/>
        </w:rPr>
        <w:t>”</w:t>
      </w:r>
    </w:p>
    <w:p w14:paraId="452C3C35" w14:textId="77777777" w:rsidR="00E42EA2" w:rsidRDefault="00E42EA2" w:rsidP="00A82756">
      <w:pPr>
        <w:pBdr>
          <w:top w:val="nil"/>
          <w:left w:val="nil"/>
          <w:bottom w:val="nil"/>
          <w:right w:val="nil"/>
          <w:between w:val="nil"/>
        </w:pBdr>
        <w:jc w:val="both"/>
        <w:rPr>
          <w:rFonts w:eastAsia="Calibri"/>
          <w:color w:val="000000"/>
          <w:lang w:val="es-CO"/>
        </w:rPr>
      </w:pPr>
    </w:p>
    <w:p w14:paraId="3550EA92" w14:textId="2F0317BC" w:rsidR="00E42EA2" w:rsidRPr="00E42EA2" w:rsidRDefault="00E42EA2" w:rsidP="00A82756">
      <w:pPr>
        <w:pBdr>
          <w:top w:val="nil"/>
          <w:left w:val="nil"/>
          <w:bottom w:val="nil"/>
          <w:right w:val="nil"/>
          <w:between w:val="nil"/>
        </w:pBdr>
        <w:jc w:val="both"/>
        <w:rPr>
          <w:rFonts w:eastAsia="Calibri"/>
          <w:b/>
          <w:color w:val="000000"/>
          <w:lang w:val="es-CO"/>
        </w:rPr>
      </w:pPr>
      <w:r w:rsidRPr="00E42EA2">
        <w:rPr>
          <w:rFonts w:eastAsia="Calibri"/>
          <w:b/>
          <w:color w:val="000000"/>
          <w:lang w:val="es-CO"/>
        </w:rPr>
        <w:t>Razones de vulneración del principio de Coherencia Macroeconómica</w:t>
      </w:r>
    </w:p>
    <w:p w14:paraId="4EA79A5A" w14:textId="77777777" w:rsidR="00E42EA2" w:rsidRDefault="00E42EA2" w:rsidP="00A82756">
      <w:pPr>
        <w:pBdr>
          <w:top w:val="nil"/>
          <w:left w:val="nil"/>
          <w:bottom w:val="nil"/>
          <w:right w:val="nil"/>
          <w:between w:val="nil"/>
        </w:pBdr>
        <w:jc w:val="both"/>
        <w:rPr>
          <w:rFonts w:eastAsia="Calibri"/>
          <w:color w:val="000000"/>
          <w:lang w:val="es-CO"/>
        </w:rPr>
      </w:pPr>
    </w:p>
    <w:p w14:paraId="636F053F" w14:textId="7C43C348" w:rsidR="00A82756" w:rsidRDefault="00A82756" w:rsidP="00A82756">
      <w:pPr>
        <w:pBdr>
          <w:top w:val="nil"/>
          <w:left w:val="nil"/>
          <w:bottom w:val="nil"/>
          <w:right w:val="nil"/>
          <w:between w:val="nil"/>
        </w:pBdr>
        <w:jc w:val="both"/>
        <w:rPr>
          <w:rFonts w:eastAsia="Calibri"/>
          <w:color w:val="000000"/>
          <w:lang w:val="es-CO"/>
        </w:rPr>
      </w:pPr>
      <w:r w:rsidRPr="00A82756">
        <w:rPr>
          <w:rFonts w:eastAsia="Calibri"/>
          <w:color w:val="000000"/>
          <w:lang w:val="es-CO"/>
        </w:rPr>
        <w:t xml:space="preserve">De acuerdo con Fedesarrollo (2024) y su director ejecutivo Luis Fernando Mejía “hay un alto riesgo de que estos ingresos adicionales no se materialicen, ya que $12 billones de pesos tendrían que provenir de una reforma tributaria que podría afectar aún más la recuperación económica, y los restantes $14,6 billones no parecen tener una fuente confiable”. </w:t>
      </w:r>
    </w:p>
    <w:p w14:paraId="00035300" w14:textId="77777777" w:rsidR="00E42EA2" w:rsidRPr="00A82756" w:rsidRDefault="00E42EA2" w:rsidP="00A82756">
      <w:pPr>
        <w:pBdr>
          <w:top w:val="nil"/>
          <w:left w:val="nil"/>
          <w:bottom w:val="nil"/>
          <w:right w:val="nil"/>
          <w:between w:val="nil"/>
        </w:pBdr>
        <w:jc w:val="both"/>
        <w:rPr>
          <w:rFonts w:eastAsia="Calibri"/>
          <w:color w:val="000000"/>
          <w:lang w:val="es-CO"/>
        </w:rPr>
      </w:pPr>
    </w:p>
    <w:p w14:paraId="35292159" w14:textId="1A79FA46" w:rsidR="00A82756" w:rsidRDefault="00A82756" w:rsidP="00A82756">
      <w:pPr>
        <w:pBdr>
          <w:top w:val="nil"/>
          <w:left w:val="nil"/>
          <w:bottom w:val="nil"/>
          <w:right w:val="nil"/>
          <w:between w:val="nil"/>
        </w:pBdr>
        <w:jc w:val="both"/>
        <w:rPr>
          <w:rFonts w:eastAsia="Calibri"/>
          <w:color w:val="000000"/>
          <w:lang w:val="es-CO"/>
        </w:rPr>
      </w:pPr>
      <w:r w:rsidRPr="00A82756">
        <w:rPr>
          <w:rFonts w:eastAsia="Calibri"/>
          <w:color w:val="000000"/>
          <w:lang w:val="es-CO"/>
        </w:rPr>
        <w:t xml:space="preserve">Continua: “lo prudente desde el punto de vista fiscal y de recuperación de la actividad productiva sería reducir el monto del presupuesto en 26,6 billones”. Por supuesto, estas recomendaciones se presentan en aras de garantizar la estabilidad de las finanzas públicas y aumentar la confianza de los inversionistas en Colombia. </w:t>
      </w:r>
    </w:p>
    <w:p w14:paraId="5483115E" w14:textId="77777777" w:rsidR="00A82756" w:rsidRPr="00A82756" w:rsidRDefault="00A82756" w:rsidP="00A82756">
      <w:pPr>
        <w:pBdr>
          <w:top w:val="nil"/>
          <w:left w:val="nil"/>
          <w:bottom w:val="nil"/>
          <w:right w:val="nil"/>
          <w:between w:val="nil"/>
        </w:pBdr>
        <w:jc w:val="both"/>
        <w:rPr>
          <w:rFonts w:eastAsia="Calibri"/>
          <w:color w:val="000000"/>
          <w:lang w:val="es-CO"/>
        </w:rPr>
      </w:pPr>
    </w:p>
    <w:p w14:paraId="05F1168C" w14:textId="6759EF02" w:rsidR="00A82756" w:rsidRDefault="00A82756" w:rsidP="00A82756">
      <w:pPr>
        <w:jc w:val="both"/>
        <w:rPr>
          <w:lang w:val="es-MX"/>
        </w:rPr>
      </w:pPr>
      <w:r w:rsidRPr="0014432A">
        <w:rPr>
          <w:lang w:val="es-MX"/>
        </w:rPr>
        <w:t>Otro aspecto preocupante es que los ingresos tributarios podrían verse afectados por un posible incumplimiento de la DIAN en cuanto a sus metas de recaudación. Esto podría deberse a una menor eficiencia administrativa de la proyectada y a una recaudación de impuestos menos efectiva si el crecimiento económico resulta ser más bajo de lo anticipado.</w:t>
      </w:r>
    </w:p>
    <w:p w14:paraId="00331CC9" w14:textId="43E40491" w:rsidR="006E1478" w:rsidRDefault="006E1478" w:rsidP="00A82756">
      <w:pPr>
        <w:jc w:val="both"/>
        <w:rPr>
          <w:lang w:val="es-MX"/>
        </w:rPr>
      </w:pPr>
    </w:p>
    <w:p w14:paraId="620B6601" w14:textId="77777777" w:rsidR="006E1478" w:rsidRDefault="006E1478" w:rsidP="006E1478">
      <w:pPr>
        <w:pBdr>
          <w:top w:val="nil"/>
          <w:left w:val="nil"/>
          <w:bottom w:val="nil"/>
          <w:right w:val="nil"/>
          <w:between w:val="nil"/>
        </w:pBdr>
        <w:jc w:val="both"/>
        <w:rPr>
          <w:rFonts w:eastAsia="Calibri"/>
          <w:bCs/>
          <w:color w:val="000000"/>
          <w:lang w:val="es-MX"/>
        </w:rPr>
      </w:pPr>
      <w:r w:rsidRPr="00A82756">
        <w:rPr>
          <w:rFonts w:eastAsia="Calibri"/>
          <w:bCs/>
          <w:color w:val="000000"/>
          <w:lang w:val="es-MX"/>
        </w:rPr>
        <w:t xml:space="preserve">En el proyecto de Ley del Presupuesto General de la Nación 2025, se estiman 316 billones de ingresos tributarios, 26,6 billones de pesos por encima de los 289 billones que estimó en el Marco Fiscal de Mediano Plazo 2024. Esto es equivalente a un aumento de 9% (Gráfico 13). </w:t>
      </w:r>
    </w:p>
    <w:p w14:paraId="6A5523A1" w14:textId="77777777" w:rsidR="006E1478" w:rsidRPr="00A82756" w:rsidRDefault="006E1478" w:rsidP="006E1478">
      <w:pPr>
        <w:pBdr>
          <w:top w:val="nil"/>
          <w:left w:val="nil"/>
          <w:bottom w:val="nil"/>
          <w:right w:val="nil"/>
          <w:between w:val="nil"/>
        </w:pBdr>
        <w:jc w:val="both"/>
        <w:rPr>
          <w:rFonts w:eastAsia="Calibri"/>
          <w:bCs/>
          <w:color w:val="000000"/>
          <w:lang w:val="es-MX"/>
        </w:rPr>
      </w:pPr>
    </w:p>
    <w:p w14:paraId="5F44CD93" w14:textId="77777777" w:rsidR="006E1478" w:rsidRDefault="006E1478" w:rsidP="006E1478">
      <w:pPr>
        <w:pBdr>
          <w:top w:val="nil"/>
          <w:left w:val="nil"/>
          <w:bottom w:val="nil"/>
          <w:right w:val="nil"/>
          <w:between w:val="nil"/>
        </w:pBdr>
        <w:jc w:val="both"/>
        <w:rPr>
          <w:rFonts w:eastAsia="Calibri"/>
          <w:bCs/>
          <w:color w:val="000000"/>
          <w:lang w:val="es-MX"/>
        </w:rPr>
      </w:pPr>
      <w:r w:rsidRPr="00A82756">
        <w:rPr>
          <w:rFonts w:eastAsia="Calibri"/>
          <w:bCs/>
          <w:color w:val="000000"/>
          <w:lang w:val="es-MX"/>
        </w:rPr>
        <w:t xml:space="preserve">Los 26,6 billones de pesos adicionales provendrán de las siguientes fuentes: 1) 12 billones de pesos de una reforma tributaria que podría afectar aún más a la economía estancada en la que se encuentra el país, y 2) 14 billones de pesos restantes de mayor eficiencia por parte de la DIAN. Esto implica un incremento del 22% frente a la meta de 2024. Esto no tiene sentido en un contexto en el que el recaudo tributario ha caído 8,7% en los primeros seis meses de este año. </w:t>
      </w:r>
    </w:p>
    <w:p w14:paraId="6D8F646E" w14:textId="77777777" w:rsidR="006E1478" w:rsidRDefault="006E1478" w:rsidP="006E1478">
      <w:pPr>
        <w:pBdr>
          <w:top w:val="nil"/>
          <w:left w:val="nil"/>
          <w:bottom w:val="nil"/>
          <w:right w:val="nil"/>
          <w:between w:val="nil"/>
        </w:pBdr>
        <w:jc w:val="both"/>
        <w:rPr>
          <w:rFonts w:eastAsia="Calibri"/>
          <w:bCs/>
          <w:color w:val="000000"/>
          <w:lang w:val="es-MX"/>
        </w:rPr>
      </w:pPr>
    </w:p>
    <w:p w14:paraId="151E9226" w14:textId="77777777" w:rsidR="006E1478" w:rsidRPr="00A82756" w:rsidRDefault="006E1478" w:rsidP="006E1478">
      <w:pPr>
        <w:pBdr>
          <w:top w:val="nil"/>
          <w:left w:val="nil"/>
          <w:bottom w:val="nil"/>
          <w:right w:val="nil"/>
          <w:between w:val="nil"/>
        </w:pBdr>
        <w:jc w:val="center"/>
        <w:rPr>
          <w:rFonts w:eastAsia="Calibri"/>
          <w:b/>
          <w:color w:val="000000"/>
          <w:lang w:val="es-MX"/>
        </w:rPr>
      </w:pPr>
      <w:r w:rsidRPr="00A82756">
        <w:rPr>
          <w:rFonts w:eastAsia="Calibri"/>
          <w:b/>
          <w:color w:val="000000"/>
          <w:lang w:val="es-MX"/>
        </w:rPr>
        <w:t>Gráfico 13. Ingresos tributarios – Proyecto de Ley Presupuesto General de la Nación 2025</w:t>
      </w:r>
    </w:p>
    <w:p w14:paraId="50D966AA" w14:textId="77777777" w:rsidR="006E1478" w:rsidRPr="00A82756" w:rsidRDefault="006E1478" w:rsidP="006E1478">
      <w:pPr>
        <w:jc w:val="center"/>
        <w:rPr>
          <w:lang w:val="es-CO"/>
        </w:rPr>
      </w:pPr>
      <w:r w:rsidRPr="00A82756">
        <w:rPr>
          <w:noProof/>
          <w:lang w:val="es-CO" w:eastAsia="es-CO"/>
        </w:rPr>
        <w:drawing>
          <wp:inline distT="0" distB="0" distL="0" distR="0" wp14:anchorId="58B62082" wp14:editId="5E0A1236">
            <wp:extent cx="5204460" cy="1638300"/>
            <wp:effectExtent l="0" t="0" r="0" b="0"/>
            <wp:docPr id="6" name="Gráfico 6">
              <a:extLst xmlns:a="http://schemas.openxmlformats.org/drawingml/2006/main">
                <a:ext uri="{FF2B5EF4-FFF2-40B4-BE49-F238E27FC236}">
                  <a16:creationId xmlns:a16="http://schemas.microsoft.com/office/drawing/2014/main" id="{6C187CB5-C051-47DE-9CA3-8666AAB77C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F445DB3" w14:textId="77777777" w:rsidR="006E1478" w:rsidRPr="00A82756" w:rsidRDefault="006E1478" w:rsidP="006E1478">
      <w:pPr>
        <w:pBdr>
          <w:top w:val="nil"/>
          <w:left w:val="nil"/>
          <w:bottom w:val="nil"/>
          <w:right w:val="nil"/>
          <w:between w:val="nil"/>
        </w:pBdr>
        <w:jc w:val="center"/>
        <w:rPr>
          <w:rFonts w:eastAsia="Calibri"/>
          <w:color w:val="000000"/>
          <w:lang w:val="es-MX"/>
        </w:rPr>
      </w:pPr>
      <w:r w:rsidRPr="00A82756">
        <w:rPr>
          <w:rFonts w:eastAsia="Calibri"/>
          <w:color w:val="000000"/>
          <w:lang w:val="es-MX"/>
        </w:rPr>
        <w:t>Fuente: Ministerio de Hacienda. Elaboración propia</w:t>
      </w:r>
    </w:p>
    <w:p w14:paraId="3CCB82FB" w14:textId="77777777" w:rsidR="006E1478" w:rsidRPr="00A82756" w:rsidRDefault="006E1478" w:rsidP="006E1478">
      <w:pPr>
        <w:pBdr>
          <w:top w:val="nil"/>
          <w:left w:val="nil"/>
          <w:bottom w:val="nil"/>
          <w:right w:val="nil"/>
          <w:between w:val="nil"/>
        </w:pBdr>
        <w:rPr>
          <w:rFonts w:eastAsia="Calibri"/>
          <w:color w:val="000000"/>
          <w:lang w:val="es-MX"/>
        </w:rPr>
      </w:pPr>
    </w:p>
    <w:p w14:paraId="666CA0B0" w14:textId="77777777" w:rsidR="006E1478" w:rsidRDefault="006E1478" w:rsidP="006E1478">
      <w:pPr>
        <w:jc w:val="both"/>
        <w:rPr>
          <w:lang w:val="es-CO"/>
        </w:rPr>
      </w:pPr>
      <w:r w:rsidRPr="00A82756">
        <w:rPr>
          <w:lang w:val="es-CO"/>
        </w:rPr>
        <w:lastRenderedPageBreak/>
        <w:t xml:space="preserve">Según el Proyecto de Ley del Presupuesto General de la Nación 2025 el próximo año se destinarán de la siguiente forma: $328 billones a funcionamiento (63%), $113 billones al servicio a la deuda (22%) y 82 billones para inversión (16%) (Gráfico 14). </w:t>
      </w:r>
    </w:p>
    <w:p w14:paraId="705D610B" w14:textId="77777777" w:rsidR="006E1478" w:rsidRPr="00A82756" w:rsidRDefault="006E1478" w:rsidP="006E1478">
      <w:pPr>
        <w:jc w:val="both"/>
        <w:rPr>
          <w:lang w:val="es-CO"/>
        </w:rPr>
      </w:pPr>
    </w:p>
    <w:p w14:paraId="4960CC6C" w14:textId="77777777" w:rsidR="006E1478" w:rsidRPr="00A82756" w:rsidRDefault="006E1478" w:rsidP="006E1478">
      <w:pPr>
        <w:jc w:val="center"/>
        <w:rPr>
          <w:b/>
          <w:bCs/>
          <w:lang w:val="es-CO"/>
        </w:rPr>
      </w:pPr>
      <w:r w:rsidRPr="00A82756">
        <w:rPr>
          <w:b/>
          <w:bCs/>
          <w:lang w:val="es-CO"/>
        </w:rPr>
        <w:t>Gráfico 14. Presupuesto General de la Nación por destino (2025)</w:t>
      </w:r>
    </w:p>
    <w:p w14:paraId="218F1497" w14:textId="77777777" w:rsidR="006E1478" w:rsidRPr="00A82756" w:rsidRDefault="006E1478" w:rsidP="006E1478">
      <w:pPr>
        <w:jc w:val="center"/>
        <w:rPr>
          <w:lang w:val="es-CO"/>
        </w:rPr>
      </w:pPr>
      <w:r w:rsidRPr="00A82756">
        <w:rPr>
          <w:noProof/>
          <w:lang w:val="es-CO" w:eastAsia="es-CO"/>
        </w:rPr>
        <w:drawing>
          <wp:inline distT="0" distB="0" distL="0" distR="0" wp14:anchorId="43698C8A" wp14:editId="43416BB1">
            <wp:extent cx="4648200" cy="2118360"/>
            <wp:effectExtent l="0" t="0" r="0" b="0"/>
            <wp:docPr id="15" name="Gráfico 15">
              <a:extLst xmlns:a="http://schemas.openxmlformats.org/drawingml/2006/main">
                <a:ext uri="{FF2B5EF4-FFF2-40B4-BE49-F238E27FC236}">
                  <a16:creationId xmlns:a16="http://schemas.microsoft.com/office/drawing/2014/main" id="{BC9BBBE9-9DC0-4C01-8F15-831A743E41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915B808" w14:textId="77777777" w:rsidR="006E1478" w:rsidRDefault="006E1478" w:rsidP="006E1478">
      <w:pPr>
        <w:jc w:val="center"/>
        <w:rPr>
          <w:lang w:val="es-CO"/>
        </w:rPr>
      </w:pPr>
      <w:r w:rsidRPr="00A82756">
        <w:rPr>
          <w:lang w:val="es-CO"/>
        </w:rPr>
        <w:t>Fuente: Ministerio de Hacienda</w:t>
      </w:r>
    </w:p>
    <w:p w14:paraId="2141AFD9" w14:textId="77777777" w:rsidR="006E1478" w:rsidRDefault="006E1478" w:rsidP="006E1478">
      <w:pPr>
        <w:jc w:val="both"/>
        <w:rPr>
          <w:lang w:val="es-CO"/>
        </w:rPr>
      </w:pPr>
    </w:p>
    <w:p w14:paraId="7003E05C" w14:textId="77777777" w:rsidR="006E1478" w:rsidRDefault="006E1478" w:rsidP="006E1478">
      <w:pPr>
        <w:jc w:val="both"/>
        <w:rPr>
          <w:lang w:val="es-CO"/>
        </w:rPr>
      </w:pPr>
      <w:r w:rsidRPr="00A82756">
        <w:rPr>
          <w:lang w:val="es-CO"/>
        </w:rPr>
        <w:t>En efecto, para el 2025 es preocupante la caída de 17% en el presupuesto destinado a inversión. Este resultado representa la caída más grande de este siglo, desde 100 billones de pesos en 2024 a 82 billones en 2025. En particular, desde que Petro es presidente, el presupuesto destinado a inversión ha caído un 2%.</w:t>
      </w:r>
    </w:p>
    <w:p w14:paraId="5FC32307" w14:textId="77777777" w:rsidR="006E1478" w:rsidRPr="00A82756" w:rsidRDefault="006E1478" w:rsidP="006E1478">
      <w:pPr>
        <w:jc w:val="both"/>
        <w:rPr>
          <w:lang w:val="es-CO"/>
        </w:rPr>
      </w:pPr>
    </w:p>
    <w:p w14:paraId="5C23BC40" w14:textId="77777777" w:rsidR="006E1478" w:rsidRPr="00A82756" w:rsidRDefault="006E1478" w:rsidP="006E1478">
      <w:pPr>
        <w:jc w:val="both"/>
        <w:rPr>
          <w:lang w:val="es-CO"/>
        </w:rPr>
      </w:pPr>
      <w:r w:rsidRPr="00A82756">
        <w:rPr>
          <w:lang w:val="es-CO"/>
        </w:rPr>
        <w:t xml:space="preserve">Lo preocupante de esta medida es que, existe una correlación directa entre inversión del Gobierno y el PIB de inversión. Menor inversión del gobierno es menor crecimiento económico, menores ingresos para los hogares y menor reducción de la pobreza (Gráfico 15). Esta contracción se presenta en un contexto en el que la participación de la inversión en el PIB se encuentra en el menor nivel desde hace una década, como ya se expuso previamente. </w:t>
      </w:r>
    </w:p>
    <w:p w14:paraId="61F9D4FD" w14:textId="77777777" w:rsidR="006E1478" w:rsidRDefault="006E1478" w:rsidP="006E1478">
      <w:pPr>
        <w:jc w:val="both"/>
        <w:rPr>
          <w:lang w:val="es-CO"/>
        </w:rPr>
      </w:pPr>
      <w:r w:rsidRPr="00A82756">
        <w:rPr>
          <w:lang w:val="es-CO"/>
        </w:rPr>
        <w:t xml:space="preserve">Ante lo anterior, se puede anticipar que, en los próximos años tendremos un menor crecimiento económico a raíz de la irresponsabilidad fiscal del gobierno de Gustavo Petro. </w:t>
      </w:r>
    </w:p>
    <w:p w14:paraId="486CE3C6" w14:textId="77777777" w:rsidR="006E1478" w:rsidRDefault="006E1478" w:rsidP="006E1478">
      <w:pPr>
        <w:jc w:val="both"/>
        <w:rPr>
          <w:lang w:val="es-CO"/>
        </w:rPr>
      </w:pPr>
    </w:p>
    <w:p w14:paraId="0C7C4675" w14:textId="77777777" w:rsidR="006E1478" w:rsidRPr="00A82756" w:rsidRDefault="006E1478" w:rsidP="006E1478">
      <w:pPr>
        <w:jc w:val="center"/>
        <w:rPr>
          <w:b/>
          <w:bCs/>
          <w:lang w:val="es-CO"/>
        </w:rPr>
      </w:pPr>
      <w:r w:rsidRPr="00A82756">
        <w:rPr>
          <w:b/>
          <w:bCs/>
          <w:lang w:val="es-CO"/>
        </w:rPr>
        <w:t>Gráfico 15. Relación entre el presupuesto en inversión (PGN) y el PIB de inversión (Billones de pesos constantes)</w:t>
      </w:r>
    </w:p>
    <w:p w14:paraId="16A7A0C4" w14:textId="77777777" w:rsidR="006E1478" w:rsidRPr="00A82756" w:rsidRDefault="006E1478" w:rsidP="006E1478">
      <w:pPr>
        <w:jc w:val="center"/>
        <w:rPr>
          <w:lang w:val="es-CO"/>
        </w:rPr>
      </w:pPr>
      <w:r w:rsidRPr="00A82756">
        <w:rPr>
          <w:noProof/>
          <w:lang w:val="es-CO" w:eastAsia="es-CO"/>
        </w:rPr>
        <w:drawing>
          <wp:inline distT="0" distB="0" distL="0" distR="0" wp14:anchorId="3FCD2BCF" wp14:editId="3D167B1E">
            <wp:extent cx="4635500" cy="1943100"/>
            <wp:effectExtent l="0" t="0" r="0" b="0"/>
            <wp:docPr id="16" name="Gráfico 16">
              <a:extLst xmlns:a="http://schemas.openxmlformats.org/drawingml/2006/main">
                <a:ext uri="{FF2B5EF4-FFF2-40B4-BE49-F238E27FC236}">
                  <a16:creationId xmlns:a16="http://schemas.microsoft.com/office/drawing/2014/main" id="{A2B40F8A-6BB1-47C1-B273-673A078FD99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7CF43C3" w14:textId="77777777" w:rsidR="006E1478" w:rsidRDefault="006E1478" w:rsidP="006E1478">
      <w:pPr>
        <w:jc w:val="center"/>
        <w:rPr>
          <w:lang w:val="es-CO"/>
        </w:rPr>
      </w:pPr>
      <w:r w:rsidRPr="00A82756">
        <w:rPr>
          <w:lang w:val="es-CO"/>
        </w:rPr>
        <w:t>Fuente: Ministerio de Hacienda, DANE</w:t>
      </w:r>
    </w:p>
    <w:p w14:paraId="25677166" w14:textId="77777777" w:rsidR="006E1478" w:rsidRPr="00A82756" w:rsidRDefault="006E1478" w:rsidP="006E1478">
      <w:pPr>
        <w:jc w:val="center"/>
        <w:rPr>
          <w:lang w:val="es-CO"/>
        </w:rPr>
      </w:pPr>
    </w:p>
    <w:p w14:paraId="0C761C91" w14:textId="77777777" w:rsidR="006E1478" w:rsidRDefault="006E1478" w:rsidP="006E1478">
      <w:pPr>
        <w:jc w:val="both"/>
        <w:rPr>
          <w:lang w:val="es-CO"/>
        </w:rPr>
      </w:pPr>
      <w:r w:rsidRPr="00A82756">
        <w:rPr>
          <w:lang w:val="es-CO"/>
        </w:rPr>
        <w:lastRenderedPageBreak/>
        <w:t xml:space="preserve">Por su parte, el presupuesto destinado a funcionamiento continúa aumentando y registra un incremento de 6,2%. A costa de disminuir la inversión e impedir la prosperidad del país, se sigue alimentando el aparato burocrático del Gobierno. El aumento es de 308 billones de pesos en 2024 a 328 billones de pesos en 2025. Desde que Petro es presidente, el gasto en funcionamiento ha aumentado un 26% (Gráfico 16. Esto es inaceptable. </w:t>
      </w:r>
    </w:p>
    <w:p w14:paraId="2A32973B" w14:textId="77777777" w:rsidR="006E1478" w:rsidRPr="00A82756" w:rsidRDefault="006E1478" w:rsidP="006E1478">
      <w:pPr>
        <w:jc w:val="both"/>
        <w:rPr>
          <w:lang w:val="es-CO"/>
        </w:rPr>
      </w:pPr>
    </w:p>
    <w:p w14:paraId="71E080E1" w14:textId="77777777" w:rsidR="006E1478" w:rsidRPr="00A82756" w:rsidRDefault="006E1478" w:rsidP="006E1478">
      <w:pPr>
        <w:jc w:val="center"/>
        <w:rPr>
          <w:b/>
          <w:bCs/>
          <w:lang w:val="es-CO"/>
        </w:rPr>
      </w:pPr>
      <w:r w:rsidRPr="00A82756">
        <w:rPr>
          <w:b/>
          <w:bCs/>
          <w:lang w:val="es-CO"/>
        </w:rPr>
        <w:t>Gráfico 16. Presupuesto General de la Nación asignado a funcionamiento– Precios constantes 2024</w:t>
      </w:r>
    </w:p>
    <w:p w14:paraId="4CBD3EC2" w14:textId="77777777" w:rsidR="006E1478" w:rsidRDefault="006E1478" w:rsidP="006E1478">
      <w:pPr>
        <w:jc w:val="center"/>
        <w:rPr>
          <w:lang w:val="es-CO"/>
        </w:rPr>
      </w:pPr>
      <w:r w:rsidRPr="00A82756">
        <w:rPr>
          <w:noProof/>
          <w:lang w:val="es-CO" w:eastAsia="es-CO"/>
        </w:rPr>
        <w:drawing>
          <wp:inline distT="0" distB="0" distL="0" distR="0" wp14:anchorId="227DFC5A" wp14:editId="5646C2FD">
            <wp:extent cx="4996180" cy="1409700"/>
            <wp:effectExtent l="0" t="0" r="0" b="0"/>
            <wp:docPr id="8" name="Gráfico 8">
              <a:extLst xmlns:a="http://schemas.openxmlformats.org/drawingml/2006/main">
                <a:ext uri="{FF2B5EF4-FFF2-40B4-BE49-F238E27FC236}">
                  <a16:creationId xmlns:a16="http://schemas.microsoft.com/office/drawing/2014/main" id="{C5F4A88C-1C6E-4F7C-93E7-F7D32B56897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31D7E9B" w14:textId="77777777" w:rsidR="006E1478" w:rsidRPr="00A82756" w:rsidRDefault="006E1478" w:rsidP="006E1478">
      <w:pPr>
        <w:jc w:val="center"/>
        <w:rPr>
          <w:sz w:val="10"/>
          <w:szCs w:val="10"/>
          <w:lang w:val="es-CO"/>
        </w:rPr>
      </w:pPr>
    </w:p>
    <w:p w14:paraId="6D8EC9E3" w14:textId="77777777" w:rsidR="006E1478" w:rsidRPr="00A82756" w:rsidRDefault="006E1478" w:rsidP="006E1478">
      <w:pPr>
        <w:jc w:val="center"/>
        <w:rPr>
          <w:lang w:val="es-CO"/>
        </w:rPr>
      </w:pPr>
      <w:r w:rsidRPr="00A82756">
        <w:rPr>
          <w:lang w:val="es-CO"/>
        </w:rPr>
        <w:t>Fuente: Ministerio de Hacienda</w:t>
      </w:r>
    </w:p>
    <w:p w14:paraId="19E3F18B" w14:textId="77777777" w:rsidR="006E1478" w:rsidRDefault="006E1478" w:rsidP="006E1478">
      <w:pPr>
        <w:jc w:val="both"/>
        <w:rPr>
          <w:lang w:val="es-CO"/>
        </w:rPr>
      </w:pPr>
    </w:p>
    <w:p w14:paraId="7E8E0ED0" w14:textId="5CAE0332" w:rsidR="00E42EA2" w:rsidRDefault="00E42EA2" w:rsidP="00E42EA2">
      <w:pPr>
        <w:pBdr>
          <w:top w:val="nil"/>
          <w:left w:val="nil"/>
          <w:bottom w:val="nil"/>
          <w:right w:val="nil"/>
          <w:between w:val="nil"/>
        </w:pBdr>
        <w:jc w:val="both"/>
        <w:rPr>
          <w:rFonts w:eastAsia="Calibri"/>
          <w:b/>
          <w:color w:val="000000"/>
          <w:lang w:val="es-CO"/>
        </w:rPr>
      </w:pPr>
      <w:r w:rsidRPr="00E42EA2">
        <w:rPr>
          <w:rFonts w:eastAsia="Calibri"/>
          <w:b/>
          <w:color w:val="000000"/>
          <w:lang w:val="es-CO"/>
        </w:rPr>
        <w:t xml:space="preserve">Razones de vulneración del principio de </w:t>
      </w:r>
      <w:r>
        <w:rPr>
          <w:rFonts w:eastAsia="Calibri"/>
          <w:b/>
          <w:color w:val="000000"/>
          <w:lang w:val="es-CO"/>
        </w:rPr>
        <w:t>planificación</w:t>
      </w:r>
    </w:p>
    <w:p w14:paraId="1ABD8064" w14:textId="72F32D07" w:rsidR="00E42EA2" w:rsidRDefault="00E42EA2" w:rsidP="00E42EA2">
      <w:pPr>
        <w:pBdr>
          <w:top w:val="nil"/>
          <w:left w:val="nil"/>
          <w:bottom w:val="nil"/>
          <w:right w:val="nil"/>
          <w:between w:val="nil"/>
        </w:pBdr>
        <w:jc w:val="both"/>
        <w:rPr>
          <w:rFonts w:eastAsia="Calibri"/>
          <w:b/>
          <w:color w:val="000000"/>
          <w:lang w:val="es-CO"/>
        </w:rPr>
      </w:pPr>
    </w:p>
    <w:p w14:paraId="04198B8A" w14:textId="77777777" w:rsidR="006E1478" w:rsidRDefault="006E1478" w:rsidP="006E1478">
      <w:pPr>
        <w:jc w:val="both"/>
        <w:rPr>
          <w:lang w:val="es-CO"/>
        </w:rPr>
      </w:pPr>
      <w:r>
        <w:rPr>
          <w:lang w:val="es-CO"/>
        </w:rPr>
        <w:t>E</w:t>
      </w:r>
      <w:r w:rsidRPr="00A82756">
        <w:rPr>
          <w:lang w:val="es-CO"/>
        </w:rPr>
        <w:t>l Gobierno Petro afectará el panorama social (educación), la defensa y la inseguridad, dos sectores claves en la inversión del país (vivienda e infraestructura), un motor de generación de empleos relevante (minas y energía) mientras continúa asignando más recursos a burocracia (Ministerio de la igualdad) (Gráfico 17).  Ante lo anterior, se puede decir lo siguiente por cada componente:</w:t>
      </w:r>
    </w:p>
    <w:p w14:paraId="630AF117" w14:textId="77777777" w:rsidR="006E1478" w:rsidRPr="00A82756" w:rsidRDefault="006E1478" w:rsidP="006E1478">
      <w:pPr>
        <w:jc w:val="both"/>
        <w:rPr>
          <w:lang w:val="es-CO"/>
        </w:rPr>
      </w:pPr>
    </w:p>
    <w:p w14:paraId="35CFF5E5" w14:textId="77777777" w:rsidR="006E1478" w:rsidRPr="00A82756" w:rsidRDefault="006E1478" w:rsidP="006E1478">
      <w:pPr>
        <w:pStyle w:val="Prrafodelista"/>
        <w:numPr>
          <w:ilvl w:val="0"/>
          <w:numId w:val="6"/>
        </w:numPr>
        <w:spacing w:after="160" w:line="259" w:lineRule="auto"/>
        <w:jc w:val="both"/>
        <w:rPr>
          <w:b/>
          <w:bCs/>
          <w:lang w:val="es-CO"/>
        </w:rPr>
      </w:pPr>
      <w:r w:rsidRPr="00A82756">
        <w:rPr>
          <w:b/>
          <w:bCs/>
          <w:lang w:val="es-CO"/>
        </w:rPr>
        <w:t>Seguridad</w:t>
      </w:r>
      <w:r w:rsidRPr="00A82756">
        <w:rPr>
          <w:lang w:val="es-CO"/>
        </w:rPr>
        <w:t xml:space="preserve">. El país está atravesando por una crisis de violencia y el gobierno decide disminuir su presupuesto en inversión en un 25%. </w:t>
      </w:r>
    </w:p>
    <w:p w14:paraId="0619134F" w14:textId="77777777" w:rsidR="006E1478" w:rsidRPr="00A82756" w:rsidRDefault="006E1478" w:rsidP="006E1478">
      <w:pPr>
        <w:pStyle w:val="Prrafodelista"/>
        <w:numPr>
          <w:ilvl w:val="0"/>
          <w:numId w:val="6"/>
        </w:numPr>
        <w:spacing w:after="160" w:line="259" w:lineRule="auto"/>
        <w:jc w:val="both"/>
        <w:rPr>
          <w:b/>
          <w:bCs/>
          <w:lang w:val="es-CO"/>
        </w:rPr>
      </w:pPr>
      <w:r w:rsidRPr="00A82756">
        <w:rPr>
          <w:b/>
          <w:bCs/>
          <w:lang w:val="es-CO"/>
        </w:rPr>
        <w:t>Educación</w:t>
      </w:r>
      <w:r w:rsidRPr="00A82756">
        <w:rPr>
          <w:lang w:val="es-CO"/>
        </w:rPr>
        <w:t xml:space="preserve">. La apropiación en inversión al sector de Educación, componente clave para el desarrollo social, cae un 4%. </w:t>
      </w:r>
    </w:p>
    <w:p w14:paraId="0B066B42" w14:textId="77777777" w:rsidR="006E1478" w:rsidRPr="00A82756" w:rsidRDefault="006E1478" w:rsidP="006E1478">
      <w:pPr>
        <w:pStyle w:val="Prrafodelista"/>
        <w:numPr>
          <w:ilvl w:val="0"/>
          <w:numId w:val="6"/>
        </w:numPr>
        <w:spacing w:after="160" w:line="259" w:lineRule="auto"/>
        <w:jc w:val="both"/>
        <w:rPr>
          <w:b/>
          <w:bCs/>
          <w:lang w:val="es-CO"/>
        </w:rPr>
      </w:pPr>
      <w:r w:rsidRPr="00A82756">
        <w:rPr>
          <w:b/>
          <w:bCs/>
          <w:lang w:val="es-CO"/>
        </w:rPr>
        <w:t>Vivienda e infraestructura</w:t>
      </w:r>
      <w:r w:rsidRPr="00A82756">
        <w:rPr>
          <w:lang w:val="es-CO"/>
        </w:rPr>
        <w:t xml:space="preserve">. La apropiación en inversión a infraestructura de transporte y vivienda, que representan un 50% de la inversión en el país, se contrae. En el primer caso un 3% y en el segundo un 29%. </w:t>
      </w:r>
    </w:p>
    <w:p w14:paraId="104D873D" w14:textId="77777777" w:rsidR="006E1478" w:rsidRPr="00A82756" w:rsidRDefault="006E1478" w:rsidP="006E1478">
      <w:pPr>
        <w:pStyle w:val="Prrafodelista"/>
        <w:numPr>
          <w:ilvl w:val="0"/>
          <w:numId w:val="6"/>
        </w:numPr>
        <w:spacing w:after="160" w:line="259" w:lineRule="auto"/>
        <w:jc w:val="both"/>
        <w:rPr>
          <w:b/>
          <w:bCs/>
          <w:lang w:val="es-CO"/>
        </w:rPr>
      </w:pPr>
      <w:r w:rsidRPr="00A82756">
        <w:rPr>
          <w:b/>
          <w:bCs/>
          <w:lang w:val="es-CO"/>
        </w:rPr>
        <w:t xml:space="preserve">Agropecuario. </w:t>
      </w:r>
      <w:r w:rsidRPr="00A82756">
        <w:rPr>
          <w:lang w:val="es-CO"/>
        </w:rPr>
        <w:t xml:space="preserve">La apropiación presupuestal en inversión al campo se contrae un 48%. Mientras este año fue de 8 billones de pesos, el gobierno espera que el próximo sea de 4,2 billones de pesos. Se supone que es una de las banderas del actual gobierno. </w:t>
      </w:r>
    </w:p>
    <w:p w14:paraId="0949F4D9" w14:textId="77777777" w:rsidR="006E1478" w:rsidRPr="00A82756" w:rsidRDefault="006E1478" w:rsidP="006E1478">
      <w:pPr>
        <w:pStyle w:val="Prrafodelista"/>
        <w:numPr>
          <w:ilvl w:val="0"/>
          <w:numId w:val="6"/>
        </w:numPr>
        <w:spacing w:after="160" w:line="259" w:lineRule="auto"/>
        <w:jc w:val="both"/>
        <w:rPr>
          <w:b/>
          <w:bCs/>
          <w:lang w:val="es-CO"/>
        </w:rPr>
      </w:pPr>
      <w:r w:rsidRPr="00A82756">
        <w:rPr>
          <w:b/>
          <w:bCs/>
          <w:lang w:val="es-CO"/>
        </w:rPr>
        <w:t xml:space="preserve">Minas y energía. </w:t>
      </w:r>
      <w:r w:rsidRPr="00A82756">
        <w:rPr>
          <w:lang w:val="es-CO"/>
        </w:rPr>
        <w:t xml:space="preserve">Este es un sector clave para la generación de empleos y encadenamientos productivos. Sin embargo, le asigna en inversión 8% menos en recursos, desde 8,1 billones de pesos a 7,4 billones de pesos. </w:t>
      </w:r>
    </w:p>
    <w:p w14:paraId="7542D975" w14:textId="77777777" w:rsidR="006E1478" w:rsidRPr="00A82756" w:rsidRDefault="006E1478" w:rsidP="006E1478">
      <w:pPr>
        <w:pStyle w:val="Prrafodelista"/>
        <w:numPr>
          <w:ilvl w:val="0"/>
          <w:numId w:val="6"/>
        </w:numPr>
        <w:spacing w:after="160" w:line="259" w:lineRule="auto"/>
        <w:jc w:val="both"/>
        <w:rPr>
          <w:b/>
          <w:bCs/>
          <w:lang w:val="es-CO"/>
        </w:rPr>
      </w:pPr>
      <w:r w:rsidRPr="00A82756">
        <w:rPr>
          <w:b/>
          <w:bCs/>
          <w:lang w:val="es-CO"/>
        </w:rPr>
        <w:t>Ministerio de Igualdad</w:t>
      </w:r>
      <w:r w:rsidRPr="00A82756">
        <w:rPr>
          <w:lang w:val="es-CO"/>
        </w:rPr>
        <w:t>. La apropiación presupuestal en inversión aumenta un 25%, lo que envía el mensaje del aumento en la burocracia.</w:t>
      </w:r>
    </w:p>
    <w:p w14:paraId="209D594A" w14:textId="77777777" w:rsidR="006E1478" w:rsidRPr="00A82756" w:rsidRDefault="006E1478" w:rsidP="006E1478">
      <w:pPr>
        <w:pStyle w:val="Prrafodelista"/>
        <w:numPr>
          <w:ilvl w:val="0"/>
          <w:numId w:val="6"/>
        </w:numPr>
        <w:spacing w:after="160" w:line="259" w:lineRule="auto"/>
        <w:jc w:val="both"/>
        <w:rPr>
          <w:rFonts w:eastAsiaTheme="minorHAnsi"/>
          <w:b/>
          <w:bCs/>
          <w:lang w:val="es-CO"/>
        </w:rPr>
      </w:pPr>
      <w:r w:rsidRPr="00A82756">
        <w:rPr>
          <w:b/>
          <w:bCs/>
          <w:lang w:val="es-CO"/>
        </w:rPr>
        <w:t xml:space="preserve">Deporte: </w:t>
      </w:r>
      <w:r w:rsidRPr="00A82756">
        <w:rPr>
          <w:lang w:val="es-CO"/>
        </w:rPr>
        <w:t xml:space="preserve">La apropiación presupuestal en inversión al sector de deporte cae un 69%, de 1,3 billones de pesos a 0,4 billones de pesos. Esto sabiendo que el deporte es una herramienta de movilidad social y de reducción de la delincuencia. </w:t>
      </w:r>
    </w:p>
    <w:p w14:paraId="6AD63539" w14:textId="77777777" w:rsidR="006E1478" w:rsidRDefault="006E1478" w:rsidP="006E1478">
      <w:pPr>
        <w:pBdr>
          <w:top w:val="nil"/>
          <w:left w:val="nil"/>
          <w:bottom w:val="nil"/>
          <w:right w:val="nil"/>
          <w:between w:val="nil"/>
        </w:pBdr>
        <w:jc w:val="center"/>
        <w:rPr>
          <w:rFonts w:eastAsia="Calibri"/>
          <w:b/>
          <w:color w:val="000000"/>
          <w:lang w:val="es-MX"/>
        </w:rPr>
      </w:pPr>
    </w:p>
    <w:p w14:paraId="36486165" w14:textId="77777777" w:rsidR="006E1478" w:rsidRDefault="006E1478" w:rsidP="006E1478">
      <w:pPr>
        <w:pBdr>
          <w:top w:val="nil"/>
          <w:left w:val="nil"/>
          <w:bottom w:val="nil"/>
          <w:right w:val="nil"/>
          <w:between w:val="nil"/>
        </w:pBdr>
        <w:jc w:val="center"/>
        <w:rPr>
          <w:rFonts w:eastAsia="Calibri"/>
          <w:b/>
          <w:color w:val="000000"/>
          <w:lang w:val="es-MX"/>
        </w:rPr>
      </w:pPr>
    </w:p>
    <w:p w14:paraId="095B85A0" w14:textId="77777777" w:rsidR="006E1478" w:rsidRDefault="006E1478" w:rsidP="006E1478">
      <w:pPr>
        <w:pBdr>
          <w:top w:val="nil"/>
          <w:left w:val="nil"/>
          <w:bottom w:val="nil"/>
          <w:right w:val="nil"/>
          <w:between w:val="nil"/>
        </w:pBdr>
        <w:jc w:val="center"/>
        <w:rPr>
          <w:rFonts w:eastAsia="Calibri"/>
          <w:b/>
          <w:color w:val="000000"/>
          <w:lang w:val="es-MX"/>
        </w:rPr>
      </w:pPr>
    </w:p>
    <w:p w14:paraId="0DE38F1D" w14:textId="77777777" w:rsidR="006E1478" w:rsidRDefault="006E1478" w:rsidP="006E1478">
      <w:pPr>
        <w:pBdr>
          <w:top w:val="nil"/>
          <w:left w:val="nil"/>
          <w:bottom w:val="nil"/>
          <w:right w:val="nil"/>
          <w:between w:val="nil"/>
        </w:pBdr>
        <w:jc w:val="center"/>
        <w:rPr>
          <w:rFonts w:eastAsia="Calibri"/>
          <w:b/>
          <w:color w:val="000000"/>
          <w:lang w:val="es-MX"/>
        </w:rPr>
      </w:pPr>
    </w:p>
    <w:p w14:paraId="10A10F23" w14:textId="77777777" w:rsidR="006E1478" w:rsidRDefault="006E1478" w:rsidP="006E1478">
      <w:pPr>
        <w:pBdr>
          <w:top w:val="nil"/>
          <w:left w:val="nil"/>
          <w:bottom w:val="nil"/>
          <w:right w:val="nil"/>
          <w:between w:val="nil"/>
        </w:pBdr>
        <w:jc w:val="center"/>
        <w:rPr>
          <w:rFonts w:eastAsia="Calibri"/>
          <w:b/>
          <w:color w:val="000000"/>
          <w:lang w:val="es-MX"/>
        </w:rPr>
      </w:pPr>
    </w:p>
    <w:p w14:paraId="42B392F9" w14:textId="77777777" w:rsidR="006E1478" w:rsidRDefault="006E1478" w:rsidP="006E1478">
      <w:pPr>
        <w:pBdr>
          <w:top w:val="nil"/>
          <w:left w:val="nil"/>
          <w:bottom w:val="nil"/>
          <w:right w:val="nil"/>
          <w:between w:val="nil"/>
        </w:pBdr>
        <w:jc w:val="center"/>
        <w:rPr>
          <w:rFonts w:eastAsia="Calibri"/>
          <w:b/>
          <w:color w:val="000000"/>
          <w:lang w:val="es-MX"/>
        </w:rPr>
      </w:pPr>
    </w:p>
    <w:p w14:paraId="4CF0A951" w14:textId="77777777" w:rsidR="006E1478" w:rsidRDefault="006E1478" w:rsidP="006E1478">
      <w:pPr>
        <w:pBdr>
          <w:top w:val="nil"/>
          <w:left w:val="nil"/>
          <w:bottom w:val="nil"/>
          <w:right w:val="nil"/>
          <w:between w:val="nil"/>
        </w:pBdr>
        <w:jc w:val="center"/>
        <w:rPr>
          <w:rFonts w:eastAsia="Calibri"/>
          <w:b/>
          <w:color w:val="000000"/>
          <w:lang w:val="es-MX"/>
        </w:rPr>
      </w:pPr>
    </w:p>
    <w:p w14:paraId="573E87AF" w14:textId="77777777" w:rsidR="006E1478" w:rsidRDefault="006E1478" w:rsidP="006E1478">
      <w:pPr>
        <w:pBdr>
          <w:top w:val="nil"/>
          <w:left w:val="nil"/>
          <w:bottom w:val="nil"/>
          <w:right w:val="nil"/>
          <w:between w:val="nil"/>
        </w:pBdr>
        <w:jc w:val="center"/>
        <w:rPr>
          <w:rFonts w:eastAsia="Calibri"/>
          <w:b/>
          <w:color w:val="000000"/>
          <w:lang w:val="es-MX"/>
        </w:rPr>
      </w:pPr>
    </w:p>
    <w:p w14:paraId="26BE675F" w14:textId="77777777" w:rsidR="006E1478" w:rsidRDefault="006E1478" w:rsidP="006E1478">
      <w:pPr>
        <w:pBdr>
          <w:top w:val="nil"/>
          <w:left w:val="nil"/>
          <w:bottom w:val="nil"/>
          <w:right w:val="nil"/>
          <w:between w:val="nil"/>
        </w:pBdr>
        <w:jc w:val="center"/>
        <w:rPr>
          <w:rFonts w:eastAsia="Calibri"/>
          <w:b/>
          <w:color w:val="000000"/>
          <w:lang w:val="es-MX"/>
        </w:rPr>
      </w:pPr>
    </w:p>
    <w:p w14:paraId="4F6EAEFD" w14:textId="77777777" w:rsidR="006E1478" w:rsidRDefault="006E1478" w:rsidP="006E1478">
      <w:pPr>
        <w:pBdr>
          <w:top w:val="nil"/>
          <w:left w:val="nil"/>
          <w:bottom w:val="nil"/>
          <w:right w:val="nil"/>
          <w:between w:val="nil"/>
        </w:pBdr>
        <w:jc w:val="center"/>
        <w:rPr>
          <w:rFonts w:eastAsia="Calibri"/>
          <w:b/>
          <w:color w:val="000000"/>
          <w:lang w:val="es-MX"/>
        </w:rPr>
      </w:pPr>
    </w:p>
    <w:p w14:paraId="4F77220E" w14:textId="71907F40" w:rsidR="006E1478" w:rsidRPr="00A82756" w:rsidRDefault="006E1478" w:rsidP="006E1478">
      <w:pPr>
        <w:pBdr>
          <w:top w:val="nil"/>
          <w:left w:val="nil"/>
          <w:bottom w:val="nil"/>
          <w:right w:val="nil"/>
          <w:between w:val="nil"/>
        </w:pBdr>
        <w:jc w:val="center"/>
        <w:rPr>
          <w:rFonts w:eastAsia="Calibri"/>
          <w:b/>
          <w:color w:val="000000"/>
          <w:lang w:val="es-MX"/>
        </w:rPr>
      </w:pPr>
      <w:r w:rsidRPr="00A82756">
        <w:rPr>
          <w:rFonts w:eastAsia="Calibri"/>
          <w:b/>
          <w:color w:val="000000"/>
          <w:lang w:val="es-MX"/>
        </w:rPr>
        <w:t>Gráfico 17. Apropiación presupuestal en inversión. Presupuesto General de la Nación (PGN) 2025</w:t>
      </w:r>
    </w:p>
    <w:p w14:paraId="28625971" w14:textId="77777777" w:rsidR="006E1478" w:rsidRPr="00A82756" w:rsidRDefault="006E1478" w:rsidP="006E1478">
      <w:pPr>
        <w:jc w:val="center"/>
        <w:rPr>
          <w:lang w:val="es-CO"/>
        </w:rPr>
      </w:pPr>
      <w:r w:rsidRPr="00A82756">
        <w:rPr>
          <w:noProof/>
          <w:lang w:val="es-CO" w:eastAsia="es-CO"/>
        </w:rPr>
        <w:drawing>
          <wp:inline distT="0" distB="0" distL="0" distR="0" wp14:anchorId="138FFFB3" wp14:editId="16513618">
            <wp:extent cx="6057900" cy="2537460"/>
            <wp:effectExtent l="0" t="0" r="0" b="0"/>
            <wp:docPr id="5" name="Gráfico 5">
              <a:extLst xmlns:a="http://schemas.openxmlformats.org/drawingml/2006/main">
                <a:ext uri="{FF2B5EF4-FFF2-40B4-BE49-F238E27FC236}">
                  <a16:creationId xmlns:a16="http://schemas.microsoft.com/office/drawing/2014/main" id="{E3872C8F-9283-45CF-8C2A-8648126ED2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00DFC2C" w14:textId="77777777" w:rsidR="006E1478" w:rsidRPr="00A82756" w:rsidRDefault="006E1478" w:rsidP="006E1478">
      <w:pPr>
        <w:jc w:val="center"/>
        <w:rPr>
          <w:lang w:val="es-CO"/>
        </w:rPr>
      </w:pPr>
      <w:r w:rsidRPr="00A82756">
        <w:rPr>
          <w:lang w:val="es-CO"/>
        </w:rPr>
        <w:t>Fuente: Ministerio de Hacienda. Elaboración propia</w:t>
      </w:r>
    </w:p>
    <w:p w14:paraId="7613684A" w14:textId="77777777" w:rsidR="00E42EA2" w:rsidRPr="00E42EA2" w:rsidRDefault="00E42EA2" w:rsidP="00E42EA2">
      <w:pPr>
        <w:pBdr>
          <w:top w:val="nil"/>
          <w:left w:val="nil"/>
          <w:bottom w:val="nil"/>
          <w:right w:val="nil"/>
          <w:between w:val="nil"/>
        </w:pBdr>
        <w:jc w:val="both"/>
        <w:rPr>
          <w:rFonts w:eastAsia="Calibri"/>
          <w:b/>
          <w:color w:val="000000"/>
          <w:lang w:val="es-CO"/>
        </w:rPr>
      </w:pPr>
    </w:p>
    <w:p w14:paraId="2F0C1BAA" w14:textId="77777777" w:rsidR="00E42EA2" w:rsidRDefault="00E42EA2" w:rsidP="00A82756">
      <w:pPr>
        <w:jc w:val="both"/>
        <w:rPr>
          <w:lang w:val="es-MX"/>
        </w:rPr>
      </w:pPr>
    </w:p>
    <w:p w14:paraId="65B76451" w14:textId="77777777" w:rsidR="00A82756" w:rsidRPr="00A82756" w:rsidRDefault="00A82756" w:rsidP="00A82756">
      <w:pPr>
        <w:jc w:val="both"/>
        <w:rPr>
          <w:lang w:val="es-MX"/>
        </w:rPr>
      </w:pPr>
    </w:p>
    <w:p w14:paraId="4004F1EE" w14:textId="31F6FBE3" w:rsidR="00A82756" w:rsidRDefault="00E42EA2" w:rsidP="00A82756">
      <w:pPr>
        <w:jc w:val="both"/>
        <w:rPr>
          <w:lang w:val="es-MX"/>
        </w:rPr>
      </w:pPr>
      <w:r>
        <w:rPr>
          <w:lang w:val="es-MX"/>
        </w:rPr>
        <w:t xml:space="preserve">En </w:t>
      </w:r>
      <w:r w:rsidR="006E1478">
        <w:rPr>
          <w:lang w:val="es-MX"/>
        </w:rPr>
        <w:t>conclusión,</w:t>
      </w:r>
      <w:r w:rsidR="00A82756" w:rsidRPr="00A82756">
        <w:rPr>
          <w:lang w:val="es-MX"/>
        </w:rPr>
        <w:t xml:space="preserve"> el Presupuesto General de la Nación 2025 no cumple con el principio del sistema presupuestal de </w:t>
      </w:r>
      <w:r w:rsidR="00A82756" w:rsidRPr="00A82756">
        <w:rPr>
          <w:b/>
          <w:bCs/>
          <w:lang w:val="es-MX"/>
        </w:rPr>
        <w:t>Coherencia Macroeconómica</w:t>
      </w:r>
      <w:r w:rsidR="00A82756" w:rsidRPr="00A82756">
        <w:rPr>
          <w:lang w:val="es-MX"/>
        </w:rPr>
        <w:t xml:space="preserve"> en la medida en que, el presupuesto no es compatible con las metas macroeconómicas fijadas por el gobierno. Además, tampoco cumple con el principio de </w:t>
      </w:r>
      <w:r w:rsidR="00A82756" w:rsidRPr="00A82756">
        <w:rPr>
          <w:b/>
          <w:bCs/>
          <w:lang w:val="es-MX"/>
        </w:rPr>
        <w:t>Planificación</w:t>
      </w:r>
      <w:r w:rsidR="00A82756" w:rsidRPr="00A82756">
        <w:rPr>
          <w:lang w:val="es-MX"/>
        </w:rPr>
        <w:t>, en la medida en que reduce la apropiación asignada en inversión a los sectores Agropecuario y Educación, lo que va en contravía con las metas del Plan Nacional de Desarrollo.</w:t>
      </w:r>
    </w:p>
    <w:p w14:paraId="0CFAA9B7" w14:textId="433E16FE" w:rsidR="00A82756" w:rsidRPr="00A82756" w:rsidRDefault="00A82756" w:rsidP="00A82756">
      <w:pPr>
        <w:jc w:val="both"/>
        <w:rPr>
          <w:lang w:val="es-MX"/>
        </w:rPr>
      </w:pPr>
      <w:r w:rsidRPr="00A82756">
        <w:rPr>
          <w:lang w:val="es-MX"/>
        </w:rPr>
        <w:t xml:space="preserve"> </w:t>
      </w:r>
    </w:p>
    <w:p w14:paraId="466AE039" w14:textId="77777777" w:rsidR="00A82756" w:rsidRPr="00A82756" w:rsidRDefault="00A82756" w:rsidP="00A82756">
      <w:pPr>
        <w:jc w:val="both"/>
        <w:rPr>
          <w:b/>
          <w:bCs/>
          <w:lang w:val="es-MX"/>
        </w:rPr>
      </w:pPr>
    </w:p>
    <w:p w14:paraId="0D28D230" w14:textId="33E11787" w:rsidR="00A82756" w:rsidRPr="0054769E" w:rsidRDefault="00A82756" w:rsidP="00A82756">
      <w:pPr>
        <w:jc w:val="both"/>
        <w:rPr>
          <w:b/>
          <w:bCs/>
          <w:u w:val="single"/>
          <w:lang w:val="es-MX"/>
        </w:rPr>
      </w:pPr>
      <w:r w:rsidRPr="0054769E">
        <w:rPr>
          <w:b/>
          <w:bCs/>
          <w:u w:val="single"/>
          <w:lang w:val="es-MX"/>
        </w:rPr>
        <w:t>Referencias</w:t>
      </w:r>
    </w:p>
    <w:p w14:paraId="5D506C22" w14:textId="77777777" w:rsidR="00A82756" w:rsidRPr="00A82756" w:rsidRDefault="00A82756" w:rsidP="00A82756">
      <w:pPr>
        <w:jc w:val="both"/>
        <w:rPr>
          <w:b/>
          <w:bCs/>
          <w:lang w:val="es-MX"/>
        </w:rPr>
      </w:pPr>
    </w:p>
    <w:p w14:paraId="721428FE" w14:textId="4F0A7CD5" w:rsidR="00A82756" w:rsidRPr="006E1478" w:rsidRDefault="00A82756" w:rsidP="006E1478">
      <w:pPr>
        <w:pStyle w:val="Prrafodelista"/>
        <w:numPr>
          <w:ilvl w:val="0"/>
          <w:numId w:val="7"/>
        </w:numPr>
        <w:jc w:val="both"/>
        <w:rPr>
          <w:rFonts w:eastAsia="Calibri"/>
          <w:lang w:val="es-MX"/>
        </w:rPr>
      </w:pPr>
      <w:r w:rsidRPr="006E1478">
        <w:rPr>
          <w:rFonts w:eastAsia="Calibri"/>
          <w:lang w:val="es-MX"/>
        </w:rPr>
        <w:t>ANIF (2024). La institucionalidad en Colombia. ¿Qué ha funcionado y cuales retos expresa actualmente? ISSN 2745 – 0880.</w:t>
      </w:r>
    </w:p>
    <w:p w14:paraId="0A7582E6" w14:textId="723B4D8B" w:rsidR="00A82756" w:rsidRPr="006E1478" w:rsidRDefault="00A82756" w:rsidP="006E1478">
      <w:pPr>
        <w:pStyle w:val="Prrafodelista"/>
        <w:numPr>
          <w:ilvl w:val="0"/>
          <w:numId w:val="7"/>
        </w:numPr>
        <w:jc w:val="both"/>
        <w:rPr>
          <w:rFonts w:eastAsia="Calibri"/>
          <w:lang w:val="es-MX"/>
        </w:rPr>
      </w:pPr>
      <w:r w:rsidRPr="006E1478">
        <w:rPr>
          <w:rFonts w:eastAsia="Calibri"/>
          <w:lang w:val="es-MX"/>
        </w:rPr>
        <w:t>Banco de la República (2024). Informe de mercados financieros. Semana 31. Gerencia técnica. Versión pública.</w:t>
      </w:r>
    </w:p>
    <w:p w14:paraId="592B7750" w14:textId="6838136D" w:rsidR="00A82756" w:rsidRPr="006E1478" w:rsidRDefault="00A82756" w:rsidP="006E1478">
      <w:pPr>
        <w:pStyle w:val="Prrafodelista"/>
        <w:numPr>
          <w:ilvl w:val="0"/>
          <w:numId w:val="7"/>
        </w:numPr>
        <w:jc w:val="both"/>
        <w:rPr>
          <w:rFonts w:eastAsia="Calibri"/>
          <w:lang w:val="es-MX"/>
        </w:rPr>
      </w:pPr>
      <w:r w:rsidRPr="006E1478">
        <w:rPr>
          <w:rFonts w:eastAsia="Calibri"/>
          <w:lang w:val="es-MX"/>
        </w:rPr>
        <w:t>Comité Autónomo de la Regla Fiscal (2024). Seguimiento Fiscal. 30 de mayo de 2024. Obtenido de https://www.carf.gov.co/webcenter/ShowProperty?nodeId=%2FConexionContent%2FWCC_CLUSTER-246637%2F%2FidcPrimaryFile&amp;revision=latestreleased</w:t>
      </w:r>
    </w:p>
    <w:p w14:paraId="738D1605" w14:textId="7FE1294D" w:rsidR="00A82756" w:rsidRPr="006E1478" w:rsidRDefault="00A82756" w:rsidP="006E1478">
      <w:pPr>
        <w:pStyle w:val="Prrafodelista"/>
        <w:numPr>
          <w:ilvl w:val="0"/>
          <w:numId w:val="7"/>
        </w:numPr>
        <w:jc w:val="both"/>
        <w:rPr>
          <w:rFonts w:eastAsia="Calibri"/>
          <w:lang w:val="es-MX"/>
        </w:rPr>
      </w:pPr>
      <w:r w:rsidRPr="006E1478">
        <w:rPr>
          <w:rFonts w:eastAsia="Calibri"/>
          <w:lang w:val="es-MX"/>
        </w:rPr>
        <w:t>Corficolombiana (2024). Situación fiscal en Colombia: riesgos en aumento. https://investigaciones.corfi.com/macroeconomia-y-mercados/informe-semanal/situacion-fiscal-de-colombia-riesgos-en-aumento/informe_1492824</w:t>
      </w:r>
    </w:p>
    <w:p w14:paraId="0692B57B" w14:textId="485A2AEB" w:rsidR="00A82756" w:rsidRPr="006E1478" w:rsidRDefault="00A82756" w:rsidP="006E1478">
      <w:pPr>
        <w:pStyle w:val="Prrafodelista"/>
        <w:numPr>
          <w:ilvl w:val="0"/>
          <w:numId w:val="7"/>
        </w:numPr>
        <w:jc w:val="both"/>
        <w:rPr>
          <w:rFonts w:eastAsia="Calibri"/>
          <w:lang w:val="es-MX"/>
        </w:rPr>
      </w:pPr>
      <w:r w:rsidRPr="006E1478">
        <w:rPr>
          <w:rFonts w:eastAsia="Calibri"/>
          <w:lang w:val="es-MX"/>
        </w:rPr>
        <w:lastRenderedPageBreak/>
        <w:t>DANE (2024). Producto Interno Bruto (PIB) trimestral. Obtenido de la página https://www.dane.gov.co/index.php/estadisticas-por-tema/cuentas-nacionales</w:t>
      </w:r>
    </w:p>
    <w:p w14:paraId="4548E64E" w14:textId="17F26B83" w:rsidR="00A82756" w:rsidRPr="006E1478" w:rsidRDefault="00A82756" w:rsidP="006E1478">
      <w:pPr>
        <w:pStyle w:val="Prrafodelista"/>
        <w:numPr>
          <w:ilvl w:val="0"/>
          <w:numId w:val="7"/>
        </w:numPr>
        <w:jc w:val="both"/>
        <w:rPr>
          <w:rFonts w:eastAsia="Calibri"/>
          <w:lang w:val="es-MX"/>
        </w:rPr>
      </w:pPr>
      <w:r w:rsidRPr="006E1478">
        <w:rPr>
          <w:rFonts w:eastAsia="Calibri"/>
          <w:lang w:val="es-MX"/>
        </w:rPr>
        <w:t>DIAN (2024). Informe mensual de recaudo. Obtenido de https://www.dian.gov.co/dian/cifras/Paginas/EstadisticasRecaudo.aspx</w:t>
      </w:r>
    </w:p>
    <w:p w14:paraId="4A1349F2" w14:textId="77777777" w:rsidR="00A82756" w:rsidRPr="00A82756" w:rsidRDefault="00A82756" w:rsidP="00A82756">
      <w:pPr>
        <w:ind w:firstLine="708"/>
        <w:jc w:val="both"/>
        <w:rPr>
          <w:rFonts w:eastAsia="Calibri"/>
          <w:lang w:val="es-MX"/>
        </w:rPr>
      </w:pPr>
    </w:p>
    <w:p w14:paraId="18B82823" w14:textId="606A7787" w:rsidR="00A82756" w:rsidRPr="006E1478" w:rsidRDefault="00A82756" w:rsidP="006E1478">
      <w:pPr>
        <w:pStyle w:val="Prrafodelista"/>
        <w:numPr>
          <w:ilvl w:val="0"/>
          <w:numId w:val="7"/>
        </w:numPr>
        <w:jc w:val="both"/>
        <w:rPr>
          <w:rFonts w:eastAsia="Calibri"/>
          <w:lang w:val="es-MX"/>
        </w:rPr>
      </w:pPr>
      <w:r w:rsidRPr="006E1478">
        <w:rPr>
          <w:rFonts w:eastAsia="Calibri"/>
          <w:lang w:val="en-AU"/>
        </w:rPr>
        <w:t xml:space="preserve">Fondo Monetario Internacional (2024). World Economic Outlook. Steady but Slow: Resilience and Divergence. </w:t>
      </w:r>
      <w:r w:rsidRPr="006E1478">
        <w:rPr>
          <w:rFonts w:eastAsia="Calibri"/>
          <w:lang w:val="es-MX"/>
        </w:rPr>
        <w:t>Obtenido de https://www.imf.org/en/Publications/WEO/Issues/2024/04/16/world-economic-outlook-april-2024</w:t>
      </w:r>
      <w:r w:rsidRPr="006E1478">
        <w:rPr>
          <w:rFonts w:eastAsia="Calibri"/>
          <w:lang w:val="es-MX"/>
        </w:rPr>
        <w:tab/>
      </w:r>
    </w:p>
    <w:p w14:paraId="6BE88C79" w14:textId="3C65340A" w:rsidR="00A82756" w:rsidRPr="006E1478" w:rsidRDefault="00A82756" w:rsidP="006E1478">
      <w:pPr>
        <w:pStyle w:val="Prrafodelista"/>
        <w:numPr>
          <w:ilvl w:val="1"/>
          <w:numId w:val="7"/>
        </w:numPr>
        <w:tabs>
          <w:tab w:val="left" w:pos="936"/>
        </w:tabs>
        <w:jc w:val="both"/>
        <w:rPr>
          <w:rFonts w:eastAsia="Calibri"/>
          <w:lang w:val="es-MX"/>
        </w:rPr>
      </w:pPr>
      <w:r w:rsidRPr="006E1478">
        <w:rPr>
          <w:rFonts w:eastAsia="Calibri"/>
          <w:lang w:val="es-MX"/>
        </w:rPr>
        <w:t>Fondo Monetario Internacional (2024). IMF Data Portal. GDP and Components. Obtenido de https://data.imf.org/?sk=388dfa60-1d26-4ade-b505-a05a558d9a42</w:t>
      </w:r>
    </w:p>
    <w:p w14:paraId="5361DBEB" w14:textId="260B6B84" w:rsidR="00A82756" w:rsidRPr="006E1478" w:rsidRDefault="00A82756" w:rsidP="006E1478">
      <w:pPr>
        <w:pStyle w:val="Prrafodelista"/>
        <w:numPr>
          <w:ilvl w:val="0"/>
          <w:numId w:val="7"/>
        </w:numPr>
        <w:jc w:val="both"/>
        <w:rPr>
          <w:rFonts w:eastAsia="Calibri"/>
          <w:lang w:val="es-MX"/>
        </w:rPr>
      </w:pPr>
      <w:r w:rsidRPr="006E1478">
        <w:rPr>
          <w:rFonts w:eastAsia="Calibri"/>
          <w:lang w:val="es-MX"/>
        </w:rPr>
        <w:t>Ministerio de Hacienda y Crédito Público. (2022). Marco Fiscal de Mediano Plazo. Obtenido de https://www.minhacienda.gov.co</w:t>
      </w:r>
    </w:p>
    <w:p w14:paraId="6C3E97D1" w14:textId="2922E0F3" w:rsidR="00A82756" w:rsidRPr="006E1478" w:rsidRDefault="00A82756" w:rsidP="006E1478">
      <w:pPr>
        <w:pStyle w:val="Prrafodelista"/>
        <w:numPr>
          <w:ilvl w:val="0"/>
          <w:numId w:val="7"/>
        </w:numPr>
        <w:jc w:val="both"/>
        <w:rPr>
          <w:rFonts w:eastAsia="Calibri"/>
          <w:lang w:val="es-MX"/>
        </w:rPr>
      </w:pPr>
      <w:r w:rsidRPr="006E1478">
        <w:rPr>
          <w:rFonts w:eastAsia="Calibri"/>
          <w:lang w:val="es-MX"/>
        </w:rPr>
        <w:t>Ministerio de Hacienda y Crédito Público. (2023). Marco Fiscal de Mediano Plazo. Obtenido de https://www.minhacienda.gov.co/webcenter/portal/EntidadesFinancieras/pages_EntidadesFinancieras/marcofiscalmedianoplazo/marcofiscaldemedianoplazo2023</w:t>
      </w:r>
    </w:p>
    <w:p w14:paraId="385317C6" w14:textId="0935A33C" w:rsidR="00A82756" w:rsidRPr="006E1478" w:rsidRDefault="00A82756" w:rsidP="006E1478">
      <w:pPr>
        <w:pStyle w:val="Prrafodelista"/>
        <w:numPr>
          <w:ilvl w:val="0"/>
          <w:numId w:val="7"/>
        </w:numPr>
        <w:jc w:val="both"/>
        <w:rPr>
          <w:rFonts w:eastAsia="Calibri"/>
          <w:lang w:val="es-MX"/>
        </w:rPr>
      </w:pPr>
      <w:r w:rsidRPr="006E1478">
        <w:rPr>
          <w:rFonts w:eastAsia="Calibri"/>
          <w:lang w:val="es-MX"/>
        </w:rPr>
        <w:t>Ministerio de Hacienda y Crédito Público. (2024). Marco Fiscal de Mediano Plazo. Obtenido de https://www.minhacienda.gov.co</w:t>
      </w:r>
    </w:p>
    <w:p w14:paraId="66C3E1AA" w14:textId="709E4F38" w:rsidR="00A82756" w:rsidRPr="006E1478" w:rsidRDefault="00A82756" w:rsidP="006E1478">
      <w:pPr>
        <w:pStyle w:val="Prrafodelista"/>
        <w:numPr>
          <w:ilvl w:val="0"/>
          <w:numId w:val="7"/>
        </w:numPr>
        <w:jc w:val="both"/>
        <w:rPr>
          <w:rFonts w:eastAsia="Calibri"/>
          <w:lang w:val="es-MX"/>
        </w:rPr>
      </w:pPr>
      <w:r w:rsidRPr="006E1478">
        <w:rPr>
          <w:rFonts w:eastAsia="Calibri"/>
          <w:lang w:val="es-MX"/>
        </w:rPr>
        <w:t>Ministerio de Hacienda y Crédito Público. (2024). Presupuesto General de la Nación 2025. Obtenido de https://www.minhacienda.gov.co/webcenter/portal/EntOrdenNacional/pages_presupuestogralnacion/presupuestogeneraldelanacin2025/presupuestogeneraldelanacin2025</w:t>
      </w:r>
    </w:p>
    <w:p w14:paraId="03B535B1" w14:textId="77777777" w:rsidR="00A82756" w:rsidRPr="006E1478" w:rsidRDefault="00A82756" w:rsidP="006E1478">
      <w:pPr>
        <w:pStyle w:val="Prrafodelista"/>
        <w:numPr>
          <w:ilvl w:val="0"/>
          <w:numId w:val="7"/>
        </w:numPr>
        <w:jc w:val="both"/>
        <w:rPr>
          <w:rFonts w:eastAsia="Calibri"/>
          <w:lang w:val="es-MX"/>
        </w:rPr>
      </w:pPr>
      <w:r w:rsidRPr="006E1478">
        <w:rPr>
          <w:rFonts w:eastAsia="Calibri"/>
          <w:lang w:val="es-MX"/>
        </w:rPr>
        <w:t>Fedesarrollo (2024). Comunicado de Prensa. Fedesarrollo recomienda recortar el presupuesto de 2025 para cumplir la regla fiscal. Obtenido de chrome-extension://efaidnbmnnnibpcajpcglclefindmkaj/https://www.repository.fedesarrollo.org.co</w:t>
      </w:r>
      <w:proofErr w:type="gramStart"/>
      <w:r w:rsidRPr="006E1478">
        <w:rPr>
          <w:rFonts w:eastAsia="Calibri"/>
          <w:lang w:val="es-MX"/>
        </w:rPr>
        <w:t>/bitstream/handle/11445/4625/Comunicado_de_Prensa_Agosto_2024_%20Recortar%20el%20presupuesto%20de%202025%20para%20cumplir%20la%20regla%20fiscal.pdf?sequence</w:t>
      </w:r>
      <w:proofErr w:type="gramEnd"/>
      <w:r w:rsidRPr="006E1478">
        <w:rPr>
          <w:rFonts w:eastAsia="Calibri"/>
          <w:lang w:val="es-MX"/>
        </w:rPr>
        <w:t>=1&amp;isAllowed=y</w:t>
      </w:r>
    </w:p>
    <w:p w14:paraId="01291FF4" w14:textId="77777777" w:rsidR="005D5F11" w:rsidRPr="00A82756" w:rsidRDefault="005D5F11" w:rsidP="005D5F11">
      <w:pPr>
        <w:rPr>
          <w:b/>
          <w:lang w:val="es-CO"/>
        </w:rPr>
      </w:pPr>
    </w:p>
    <w:p w14:paraId="7B585053" w14:textId="77777777" w:rsidR="005D5F11" w:rsidRPr="00A82756" w:rsidRDefault="005D5F11" w:rsidP="005D5F11">
      <w:pPr>
        <w:rPr>
          <w:b/>
          <w:lang w:val="es-CO"/>
        </w:rPr>
      </w:pPr>
    </w:p>
    <w:p w14:paraId="060E7FF2" w14:textId="77777777" w:rsidR="005D5F11" w:rsidRPr="00A82756" w:rsidRDefault="005D5F11" w:rsidP="005D5F11">
      <w:pPr>
        <w:rPr>
          <w:b/>
          <w:lang w:val="es-CO"/>
        </w:rPr>
      </w:pPr>
      <w:r w:rsidRPr="00A82756">
        <w:rPr>
          <w:b/>
          <w:lang w:val="es-CO"/>
        </w:rPr>
        <w:t xml:space="preserve">Cordialmente, </w:t>
      </w:r>
    </w:p>
    <w:p w14:paraId="754F257A" w14:textId="77777777" w:rsidR="005D5F11" w:rsidRPr="00A82756" w:rsidRDefault="005D5F11" w:rsidP="005D5F11">
      <w:pPr>
        <w:jc w:val="center"/>
        <w:rPr>
          <w:b/>
          <w:lang w:val="es-CO"/>
        </w:rPr>
      </w:pPr>
    </w:p>
    <w:p w14:paraId="785DACDB" w14:textId="77777777" w:rsidR="005D5F11" w:rsidRPr="00A82756" w:rsidRDefault="005D5F11" w:rsidP="005D5F11">
      <w:pPr>
        <w:jc w:val="center"/>
        <w:rPr>
          <w:b/>
          <w:lang w:val="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9"/>
        <w:gridCol w:w="4510"/>
      </w:tblGrid>
      <w:tr w:rsidR="005D5F11" w:rsidRPr="00A82756" w14:paraId="047EF1D1" w14:textId="77777777" w:rsidTr="00EE20B6">
        <w:tc>
          <w:tcPr>
            <w:tcW w:w="4509" w:type="dxa"/>
          </w:tcPr>
          <w:p w14:paraId="3CBD515C" w14:textId="77777777" w:rsidR="005D5F11" w:rsidRPr="00A82756" w:rsidRDefault="005D5F11" w:rsidP="00EE20B6">
            <w:pPr>
              <w:pStyle w:val="Sinespaciado"/>
              <w:rPr>
                <w:b/>
                <w:lang w:val="es-MX"/>
              </w:rPr>
            </w:pPr>
            <w:r w:rsidRPr="00A82756">
              <w:rPr>
                <w:b/>
                <w:lang w:val="es-MX"/>
              </w:rPr>
              <w:t>Miguel Uribe Turbay</w:t>
            </w:r>
          </w:p>
          <w:p w14:paraId="45E6FD61" w14:textId="77777777" w:rsidR="005D5F11" w:rsidRPr="00A82756" w:rsidRDefault="005D5F11" w:rsidP="00EE20B6">
            <w:pPr>
              <w:pStyle w:val="Sinespaciado"/>
              <w:rPr>
                <w:lang w:val="es-MX"/>
              </w:rPr>
            </w:pPr>
            <w:r w:rsidRPr="00A82756">
              <w:rPr>
                <w:lang w:val="es-MX"/>
              </w:rPr>
              <w:t>Senador de la República</w:t>
            </w:r>
          </w:p>
          <w:p w14:paraId="49934C9A" w14:textId="77777777" w:rsidR="005D5F11" w:rsidRPr="00A82756" w:rsidRDefault="005D5F11" w:rsidP="00EE20B6">
            <w:pPr>
              <w:pStyle w:val="Sinespaciado"/>
              <w:rPr>
                <w:lang w:val="es-MX"/>
              </w:rPr>
            </w:pPr>
          </w:p>
        </w:tc>
        <w:tc>
          <w:tcPr>
            <w:tcW w:w="4510" w:type="dxa"/>
          </w:tcPr>
          <w:p w14:paraId="32EE8C09" w14:textId="77777777" w:rsidR="005D5F11" w:rsidRPr="00A82756" w:rsidRDefault="005D5F11" w:rsidP="00EE20B6">
            <w:pPr>
              <w:pStyle w:val="NormalWeb"/>
              <w:jc w:val="both"/>
              <w:rPr>
                <w:rFonts w:ascii="Arial" w:eastAsia="Arial" w:hAnsi="Arial" w:cs="Arial"/>
                <w:sz w:val="22"/>
                <w:szCs w:val="22"/>
                <w:lang w:eastAsia="en-US"/>
              </w:rPr>
            </w:pPr>
          </w:p>
        </w:tc>
      </w:tr>
      <w:tr w:rsidR="005D5F11" w:rsidRPr="00A82756" w14:paraId="6AFBE7DD" w14:textId="77777777" w:rsidTr="00EE20B6">
        <w:tc>
          <w:tcPr>
            <w:tcW w:w="4509" w:type="dxa"/>
          </w:tcPr>
          <w:p w14:paraId="150F896A" w14:textId="77777777" w:rsidR="005D5F11" w:rsidRDefault="005D5F11" w:rsidP="00EE20B6">
            <w:pPr>
              <w:pStyle w:val="NormalWeb"/>
              <w:jc w:val="both"/>
              <w:rPr>
                <w:rFonts w:ascii="Arial" w:eastAsia="Arial" w:hAnsi="Arial" w:cs="Arial"/>
                <w:sz w:val="22"/>
                <w:szCs w:val="22"/>
                <w:lang w:eastAsia="en-US"/>
              </w:rPr>
            </w:pPr>
          </w:p>
        </w:tc>
        <w:tc>
          <w:tcPr>
            <w:tcW w:w="4510" w:type="dxa"/>
          </w:tcPr>
          <w:p w14:paraId="10175A9D" w14:textId="77777777" w:rsidR="005D5F11" w:rsidRDefault="005D5F11" w:rsidP="00EE20B6">
            <w:pPr>
              <w:pStyle w:val="NormalWeb"/>
              <w:jc w:val="both"/>
              <w:rPr>
                <w:rFonts w:ascii="Arial" w:eastAsia="Arial" w:hAnsi="Arial" w:cs="Arial"/>
                <w:sz w:val="22"/>
                <w:szCs w:val="22"/>
                <w:lang w:eastAsia="en-US"/>
              </w:rPr>
            </w:pPr>
          </w:p>
        </w:tc>
      </w:tr>
      <w:tr w:rsidR="005D5F11" w:rsidRPr="00A82756" w14:paraId="055CC597" w14:textId="77777777" w:rsidTr="00EE20B6">
        <w:tc>
          <w:tcPr>
            <w:tcW w:w="4509" w:type="dxa"/>
          </w:tcPr>
          <w:p w14:paraId="5CFAF747" w14:textId="77777777" w:rsidR="005D5F11" w:rsidRDefault="005D5F11" w:rsidP="00EE20B6">
            <w:pPr>
              <w:pStyle w:val="NormalWeb"/>
              <w:jc w:val="both"/>
              <w:rPr>
                <w:rFonts w:ascii="Arial" w:eastAsia="Arial" w:hAnsi="Arial" w:cs="Arial"/>
                <w:sz w:val="22"/>
                <w:szCs w:val="22"/>
                <w:lang w:eastAsia="en-US"/>
              </w:rPr>
            </w:pPr>
          </w:p>
        </w:tc>
        <w:tc>
          <w:tcPr>
            <w:tcW w:w="4510" w:type="dxa"/>
          </w:tcPr>
          <w:p w14:paraId="22ED5183" w14:textId="77777777" w:rsidR="005D5F11" w:rsidRDefault="005D5F11" w:rsidP="00EE20B6">
            <w:pPr>
              <w:pStyle w:val="NormalWeb"/>
              <w:jc w:val="both"/>
              <w:rPr>
                <w:rFonts w:ascii="Arial" w:eastAsia="Arial" w:hAnsi="Arial" w:cs="Arial"/>
                <w:sz w:val="22"/>
                <w:szCs w:val="22"/>
                <w:lang w:eastAsia="en-US"/>
              </w:rPr>
            </w:pPr>
          </w:p>
        </w:tc>
      </w:tr>
    </w:tbl>
    <w:p w14:paraId="5314F1C5" w14:textId="77777777" w:rsidR="005D5F11" w:rsidRPr="005D5F11" w:rsidRDefault="005D5F11" w:rsidP="005D5F11">
      <w:pPr>
        <w:jc w:val="center"/>
        <w:rPr>
          <w:b/>
          <w:lang w:val="es-CO"/>
        </w:rPr>
      </w:pPr>
    </w:p>
    <w:sectPr w:rsidR="005D5F11" w:rsidRPr="005D5F11" w:rsidSect="005C44A7">
      <w:headerReference w:type="default" r:id="rId27"/>
      <w:footerReference w:type="default" r:id="rId28"/>
      <w:pgSz w:w="11909" w:h="16834"/>
      <w:pgMar w:top="1135" w:right="1440" w:bottom="1440" w:left="1440" w:header="426"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102F7D" w14:textId="77777777" w:rsidR="00F873B8" w:rsidRDefault="00F873B8">
      <w:pPr>
        <w:spacing w:line="240" w:lineRule="auto"/>
      </w:pPr>
      <w:r>
        <w:separator/>
      </w:r>
    </w:p>
  </w:endnote>
  <w:endnote w:type="continuationSeparator" w:id="0">
    <w:p w14:paraId="4D265933" w14:textId="77777777" w:rsidR="00F873B8" w:rsidRDefault="00F873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79F40" w14:textId="77777777" w:rsidR="007B3FA6" w:rsidRDefault="00924920">
    <w:pPr>
      <w:jc w:val="center"/>
    </w:pPr>
    <w:r>
      <w:rPr>
        <w:noProof/>
        <w:lang w:val="es-CO" w:eastAsia="es-CO"/>
      </w:rPr>
      <w:drawing>
        <wp:inline distT="114300" distB="114300" distL="114300" distR="114300" wp14:anchorId="69092FD1" wp14:editId="207C4B35">
          <wp:extent cx="3114675" cy="266700"/>
          <wp:effectExtent l="0" t="0" r="0" b="0"/>
          <wp:docPr id="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114675" cy="26670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ADD15D" w14:textId="77777777" w:rsidR="00F873B8" w:rsidRDefault="00F873B8">
      <w:pPr>
        <w:spacing w:line="240" w:lineRule="auto"/>
      </w:pPr>
      <w:r>
        <w:separator/>
      </w:r>
    </w:p>
  </w:footnote>
  <w:footnote w:type="continuationSeparator" w:id="0">
    <w:p w14:paraId="1F17D0DB" w14:textId="77777777" w:rsidR="00F873B8" w:rsidRDefault="00F873B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785BF" w14:textId="77777777" w:rsidR="005C44A7" w:rsidRDefault="005C44A7" w:rsidP="005C44A7">
    <w:pPr>
      <w:pStyle w:val="Encabezado"/>
      <w:jc w:val="center"/>
    </w:pPr>
    <w:r>
      <w:rPr>
        <w:noProof/>
        <w:lang w:val="es-CO" w:eastAsia="es-CO"/>
      </w:rPr>
      <w:drawing>
        <wp:inline distT="0" distB="0" distL="0" distR="0" wp14:anchorId="1265912B" wp14:editId="5D7EEAF9">
          <wp:extent cx="2400299" cy="714375"/>
          <wp:effectExtent l="0" t="0" r="635" b="0"/>
          <wp:docPr id="18" name="Imagen 18" descr="Senado de la Repúblic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nado de la República de Colomb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9102" cy="73782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03BF1"/>
    <w:multiLevelType w:val="hybridMultilevel"/>
    <w:tmpl w:val="E4F0635E"/>
    <w:lvl w:ilvl="0" w:tplc="6C66DCEA">
      <w:start w:val="1"/>
      <w:numFmt w:val="decimal"/>
      <w:lvlText w:val="%1."/>
      <w:lvlJc w:val="left"/>
      <w:pPr>
        <w:ind w:left="720" w:hanging="360"/>
      </w:pPr>
      <w:rPr>
        <w:rFonts w:hint="default"/>
      </w:rPr>
    </w:lvl>
    <w:lvl w:ilvl="1" w:tplc="167E56F8">
      <w:start w:val="1"/>
      <w:numFmt w:val="lowerLetter"/>
      <w:lvlText w:val="%2."/>
      <w:lvlJc w:val="left"/>
      <w:pPr>
        <w:ind w:left="1440" w:hanging="360"/>
      </w:pPr>
      <w:rPr>
        <w:b w:val="0"/>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7BA78F3"/>
    <w:multiLevelType w:val="hybridMultilevel"/>
    <w:tmpl w:val="B054F1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8967678"/>
    <w:multiLevelType w:val="hybridMultilevel"/>
    <w:tmpl w:val="5C2C58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63922919"/>
    <w:multiLevelType w:val="hybridMultilevel"/>
    <w:tmpl w:val="A9CEE5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643B6BE8"/>
    <w:multiLevelType w:val="hybridMultilevel"/>
    <w:tmpl w:val="CD1AFF6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665D37B6"/>
    <w:multiLevelType w:val="hybridMultilevel"/>
    <w:tmpl w:val="E390D1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69B46631"/>
    <w:multiLevelType w:val="hybridMultilevel"/>
    <w:tmpl w:val="81BA2A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1"/>
  </w:num>
  <w:num w:numId="5">
    <w:abstractNumId w:val="6"/>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en-US" w:vendorID="64" w:dllVersion="6" w:nlCheck="1" w:checkStyle="0"/>
  <w:activeWritingStyle w:appName="MSWord" w:lang="es-CO" w:vendorID="64" w:dllVersion="6" w:nlCheck="1" w:checkStyle="0"/>
  <w:activeWritingStyle w:appName="MSWord" w:lang="es-ES" w:vendorID="64" w:dllVersion="6" w:nlCheck="1" w:checkStyle="0"/>
  <w:activeWritingStyle w:appName="MSWord" w:lang="es-MX" w:vendorID="64" w:dllVersion="4096" w:nlCheck="1" w:checkStyle="0"/>
  <w:activeWritingStyle w:appName="MSWord" w:lang="es-CO" w:vendorID="64" w:dllVersion="4096" w:nlCheck="1" w:checkStyle="0"/>
  <w:activeWritingStyle w:appName="MSWord" w:lang="en-US" w:vendorID="64" w:dllVersion="4096" w:nlCheck="1" w:checkStyle="0"/>
  <w:activeWritingStyle w:appName="MSWord" w:lang="en-AU" w:vendorID="64" w:dllVersion="4096" w:nlCheck="1" w:checkStyle="0"/>
  <w:activeWritingStyle w:appName="MSWord" w:lang="es-419" w:vendorID="64" w:dllVersion="4096" w:nlCheck="1" w:checkStyle="0"/>
  <w:activeWritingStyle w:appName="MSWord" w:lang="es-CO" w:vendorID="64" w:dllVersion="131078" w:nlCheck="1" w:checkStyle="0"/>
  <w:activeWritingStyle w:appName="MSWord" w:lang="es-MX" w:vendorID="64" w:dllVersion="131078" w:nlCheck="1" w:checkStyle="0"/>
  <w:activeWritingStyle w:appName="MSWord" w:lang="en-US" w:vendorID="64" w:dllVersion="131078" w:nlCheck="1" w:checkStyle="0"/>
  <w:activeWritingStyle w:appName="MSWord" w:lang="es-419" w:vendorID="64" w:dllVersion="131078" w:nlCheck="1" w:checkStyle="0"/>
  <w:activeWritingStyle w:appName="MSWord" w:lang="en-AU" w:vendorID="64" w:dllVersion="131078" w:nlCheck="1" w:checkStyle="0"/>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FA6"/>
    <w:rsid w:val="00003EC7"/>
    <w:rsid w:val="0005069F"/>
    <w:rsid w:val="00055081"/>
    <w:rsid w:val="00084C75"/>
    <w:rsid w:val="000A4F06"/>
    <w:rsid w:val="00106DBD"/>
    <w:rsid w:val="00117BDC"/>
    <w:rsid w:val="00140B02"/>
    <w:rsid w:val="001722DD"/>
    <w:rsid w:val="001A39CD"/>
    <w:rsid w:val="001B3D06"/>
    <w:rsid w:val="00201067"/>
    <w:rsid w:val="00226FE0"/>
    <w:rsid w:val="00230380"/>
    <w:rsid w:val="00237A9B"/>
    <w:rsid w:val="002F4BE6"/>
    <w:rsid w:val="00303199"/>
    <w:rsid w:val="003037E8"/>
    <w:rsid w:val="00312556"/>
    <w:rsid w:val="00333BEB"/>
    <w:rsid w:val="00363323"/>
    <w:rsid w:val="003A070F"/>
    <w:rsid w:val="003E7DE2"/>
    <w:rsid w:val="003F6CE6"/>
    <w:rsid w:val="00406134"/>
    <w:rsid w:val="004169F6"/>
    <w:rsid w:val="00442A24"/>
    <w:rsid w:val="00451835"/>
    <w:rsid w:val="00494AF1"/>
    <w:rsid w:val="004B39A6"/>
    <w:rsid w:val="004D0BBE"/>
    <w:rsid w:val="0050294B"/>
    <w:rsid w:val="005147D6"/>
    <w:rsid w:val="005367D8"/>
    <w:rsid w:val="0054769E"/>
    <w:rsid w:val="00570095"/>
    <w:rsid w:val="005C44A7"/>
    <w:rsid w:val="005D5F11"/>
    <w:rsid w:val="00610498"/>
    <w:rsid w:val="006109A9"/>
    <w:rsid w:val="00644725"/>
    <w:rsid w:val="00667B13"/>
    <w:rsid w:val="006948FF"/>
    <w:rsid w:val="006E1478"/>
    <w:rsid w:val="00761681"/>
    <w:rsid w:val="00770B99"/>
    <w:rsid w:val="007A6B4F"/>
    <w:rsid w:val="007B05A9"/>
    <w:rsid w:val="007B3FA6"/>
    <w:rsid w:val="00800A9A"/>
    <w:rsid w:val="00801625"/>
    <w:rsid w:val="00806912"/>
    <w:rsid w:val="00842992"/>
    <w:rsid w:val="0085592B"/>
    <w:rsid w:val="00856670"/>
    <w:rsid w:val="00861D13"/>
    <w:rsid w:val="008814E8"/>
    <w:rsid w:val="00886532"/>
    <w:rsid w:val="008E16FA"/>
    <w:rsid w:val="00924920"/>
    <w:rsid w:val="00943539"/>
    <w:rsid w:val="00973B09"/>
    <w:rsid w:val="009B2849"/>
    <w:rsid w:val="009F7E55"/>
    <w:rsid w:val="00A20320"/>
    <w:rsid w:val="00A4391A"/>
    <w:rsid w:val="00A47F4F"/>
    <w:rsid w:val="00A810BB"/>
    <w:rsid w:val="00A82756"/>
    <w:rsid w:val="00AE4A71"/>
    <w:rsid w:val="00AF32E7"/>
    <w:rsid w:val="00AF5D25"/>
    <w:rsid w:val="00B63486"/>
    <w:rsid w:val="00B95AB8"/>
    <w:rsid w:val="00BA02E2"/>
    <w:rsid w:val="00BA3473"/>
    <w:rsid w:val="00BC0A6F"/>
    <w:rsid w:val="00BC6162"/>
    <w:rsid w:val="00BF545B"/>
    <w:rsid w:val="00C2050D"/>
    <w:rsid w:val="00CA113B"/>
    <w:rsid w:val="00CC0E47"/>
    <w:rsid w:val="00D35B1E"/>
    <w:rsid w:val="00D5530A"/>
    <w:rsid w:val="00D568C4"/>
    <w:rsid w:val="00DB0783"/>
    <w:rsid w:val="00DB6EE7"/>
    <w:rsid w:val="00DE3A5B"/>
    <w:rsid w:val="00E10F96"/>
    <w:rsid w:val="00E21AEB"/>
    <w:rsid w:val="00E42EA2"/>
    <w:rsid w:val="00E46064"/>
    <w:rsid w:val="00E5060D"/>
    <w:rsid w:val="00E57433"/>
    <w:rsid w:val="00E90691"/>
    <w:rsid w:val="00ED24E0"/>
    <w:rsid w:val="00ED7771"/>
    <w:rsid w:val="00F03555"/>
    <w:rsid w:val="00F66908"/>
    <w:rsid w:val="00F873B8"/>
    <w:rsid w:val="00FA309C"/>
    <w:rsid w:val="00FE0F9E"/>
    <w:rsid w:val="00FE3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9D329D"/>
  <w15:docId w15:val="{9D705375-411F-4F09-9D6B-4F1601421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Encabezado">
    <w:name w:val="header"/>
    <w:basedOn w:val="Normal"/>
    <w:link w:val="EncabezadoCar"/>
    <w:uiPriority w:val="99"/>
    <w:unhideWhenUsed/>
    <w:rsid w:val="00D35B1E"/>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D35B1E"/>
  </w:style>
  <w:style w:type="paragraph" w:styleId="Piedepgina">
    <w:name w:val="footer"/>
    <w:basedOn w:val="Normal"/>
    <w:link w:val="PiedepginaCar"/>
    <w:uiPriority w:val="99"/>
    <w:unhideWhenUsed/>
    <w:rsid w:val="00D35B1E"/>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D35B1E"/>
  </w:style>
  <w:style w:type="paragraph" w:styleId="Prrafodelista">
    <w:name w:val="List Paragraph"/>
    <w:aliases w:val="No Spacing,Bullet,titulo 3,Párrafo de lista1,HOJA,Bolita,Párrafo de lista4,BOLADEF,Párrafo de lista2,Párrafo de lista3,Párrafo de lista21,BOLA,Nivel 1 OS,Colorful List Accent 1,Colorful List - Accent 11,Dot pt,Lista vistosa - Énfasis 11"/>
    <w:basedOn w:val="Normal"/>
    <w:link w:val="PrrafodelistaCar"/>
    <w:uiPriority w:val="34"/>
    <w:qFormat/>
    <w:rsid w:val="00800A9A"/>
    <w:pPr>
      <w:ind w:left="720"/>
      <w:contextualSpacing/>
    </w:pPr>
  </w:style>
  <w:style w:type="paragraph" w:styleId="Sinespaciado">
    <w:name w:val="No Spacing"/>
    <w:uiPriority w:val="1"/>
    <w:qFormat/>
    <w:rsid w:val="00800A9A"/>
    <w:pPr>
      <w:spacing w:line="240" w:lineRule="auto"/>
    </w:pPr>
  </w:style>
  <w:style w:type="paragraph" w:styleId="NormalWeb">
    <w:name w:val="Normal (Web)"/>
    <w:basedOn w:val="Normal"/>
    <w:uiPriority w:val="99"/>
    <w:semiHidden/>
    <w:unhideWhenUsed/>
    <w:rsid w:val="00F03555"/>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table" w:styleId="Tablaconcuadrcula">
    <w:name w:val="Table Grid"/>
    <w:basedOn w:val="Tablanormal"/>
    <w:uiPriority w:val="39"/>
    <w:rsid w:val="00667B1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No Spacing Car,Bullet Car,titulo 3 Car,Párrafo de lista1 Car,HOJA Car,Bolita Car,Párrafo de lista4 Car,BOLADEF Car,Párrafo de lista2 Car,Párrafo de lista3 Car,Párrafo de lista21 Car,BOLA Car,Nivel 1 OS Car,Colorful List Accent 1 Car"/>
    <w:basedOn w:val="Fuentedeprrafopredeter"/>
    <w:link w:val="Prrafodelista"/>
    <w:uiPriority w:val="34"/>
    <w:qFormat/>
    <w:locked/>
    <w:rsid w:val="00A82756"/>
  </w:style>
  <w:style w:type="character" w:styleId="Hipervnculo">
    <w:name w:val="Hyperlink"/>
    <w:basedOn w:val="Fuentedeprrafopredeter"/>
    <w:uiPriority w:val="99"/>
    <w:unhideWhenUsed/>
    <w:rsid w:val="00A82756"/>
    <w:rPr>
      <w:color w:val="0000FF" w:themeColor="hyperlink"/>
      <w:u w:val="single"/>
    </w:rPr>
  </w:style>
  <w:style w:type="character" w:customStyle="1" w:styleId="UnresolvedMention">
    <w:name w:val="Unresolved Mention"/>
    <w:basedOn w:val="Fuentedeprrafopredeter"/>
    <w:uiPriority w:val="99"/>
    <w:semiHidden/>
    <w:unhideWhenUsed/>
    <w:rsid w:val="00A827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309024">
      <w:bodyDiv w:val="1"/>
      <w:marLeft w:val="0"/>
      <w:marRight w:val="0"/>
      <w:marTop w:val="0"/>
      <w:marBottom w:val="0"/>
      <w:divBdr>
        <w:top w:val="none" w:sz="0" w:space="0" w:color="auto"/>
        <w:left w:val="none" w:sz="0" w:space="0" w:color="auto"/>
        <w:bottom w:val="none" w:sz="0" w:space="0" w:color="auto"/>
        <w:right w:val="none" w:sz="0" w:space="0" w:color="auto"/>
      </w:divBdr>
    </w:div>
    <w:div w:id="676156810">
      <w:bodyDiv w:val="1"/>
      <w:marLeft w:val="0"/>
      <w:marRight w:val="0"/>
      <w:marTop w:val="0"/>
      <w:marBottom w:val="0"/>
      <w:divBdr>
        <w:top w:val="none" w:sz="0" w:space="0" w:color="auto"/>
        <w:left w:val="none" w:sz="0" w:space="0" w:color="auto"/>
        <w:bottom w:val="none" w:sz="0" w:space="0" w:color="auto"/>
        <w:right w:val="none" w:sz="0" w:space="0" w:color="auto"/>
      </w:divBdr>
      <w:divsChild>
        <w:div w:id="1992522248">
          <w:marLeft w:val="0"/>
          <w:marRight w:val="0"/>
          <w:marTop w:val="0"/>
          <w:marBottom w:val="0"/>
          <w:divBdr>
            <w:top w:val="none" w:sz="0" w:space="0" w:color="auto"/>
            <w:left w:val="none" w:sz="0" w:space="0" w:color="auto"/>
            <w:bottom w:val="none" w:sz="0" w:space="0" w:color="auto"/>
            <w:right w:val="none" w:sz="0" w:space="0" w:color="auto"/>
          </w:divBdr>
          <w:divsChild>
            <w:div w:id="1260985396">
              <w:marLeft w:val="0"/>
              <w:marRight w:val="0"/>
              <w:marTop w:val="0"/>
              <w:marBottom w:val="0"/>
              <w:divBdr>
                <w:top w:val="none" w:sz="0" w:space="0" w:color="auto"/>
                <w:left w:val="none" w:sz="0" w:space="0" w:color="auto"/>
                <w:bottom w:val="none" w:sz="0" w:space="0" w:color="auto"/>
                <w:right w:val="none" w:sz="0" w:space="0" w:color="auto"/>
              </w:divBdr>
              <w:divsChild>
                <w:div w:id="2125495056">
                  <w:marLeft w:val="0"/>
                  <w:marRight w:val="0"/>
                  <w:marTop w:val="0"/>
                  <w:marBottom w:val="0"/>
                  <w:divBdr>
                    <w:top w:val="none" w:sz="0" w:space="0" w:color="auto"/>
                    <w:left w:val="none" w:sz="0" w:space="0" w:color="auto"/>
                    <w:bottom w:val="none" w:sz="0" w:space="0" w:color="auto"/>
                    <w:right w:val="none" w:sz="0" w:space="0" w:color="auto"/>
                  </w:divBdr>
                  <w:divsChild>
                    <w:div w:id="100875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6395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image" Target="media/image1.png"/><Relationship Id="rId18" Type="http://schemas.openxmlformats.org/officeDocument/2006/relationships/image" Target="media/image3.png"/><Relationship Id="rId26" Type="http://schemas.openxmlformats.org/officeDocument/2006/relationships/chart" Target="charts/chart14.xml"/><Relationship Id="rId3" Type="http://schemas.openxmlformats.org/officeDocument/2006/relationships/settings" Target="settings.xml"/><Relationship Id="rId21" Type="http://schemas.openxmlformats.org/officeDocument/2006/relationships/hyperlink" Target="http://www.secretariasenado.gov.co/senado/basedoc/ley_0179_1994.html" TargetMode="Externa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image" Target="media/image2.png"/><Relationship Id="rId25" Type="http://schemas.openxmlformats.org/officeDocument/2006/relationships/chart" Target="charts/chart13.xml"/><Relationship Id="rId2" Type="http://schemas.openxmlformats.org/officeDocument/2006/relationships/styles" Target="styles.xml"/><Relationship Id="rId16" Type="http://schemas.openxmlformats.org/officeDocument/2006/relationships/chart" Target="charts/chart9.xml"/><Relationship Id="rId20" Type="http://schemas.openxmlformats.org/officeDocument/2006/relationships/hyperlink" Target="http://www.secretariasenado.gov.co/senado/basedoc/ley_0179_1994.htm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24" Type="http://schemas.openxmlformats.org/officeDocument/2006/relationships/chart" Target="charts/chart12.xml"/><Relationship Id="rId5" Type="http://schemas.openxmlformats.org/officeDocument/2006/relationships/footnotes" Target="footnotes.xml"/><Relationship Id="rId15" Type="http://schemas.openxmlformats.org/officeDocument/2006/relationships/chart" Target="charts/chart8.xml"/><Relationship Id="rId23" Type="http://schemas.openxmlformats.org/officeDocument/2006/relationships/chart" Target="charts/chart11.xml"/><Relationship Id="rId28" Type="http://schemas.openxmlformats.org/officeDocument/2006/relationships/footer" Target="footer1.xml"/><Relationship Id="rId10" Type="http://schemas.openxmlformats.org/officeDocument/2006/relationships/chart" Target="charts/chart4.xm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7.xml"/><Relationship Id="rId22" Type="http://schemas.openxmlformats.org/officeDocument/2006/relationships/chart" Target="charts/chart10.xm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charts/_rels/chart1.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10.xml.rels><?xml version="1.0" encoding="UTF-8" standalone="yes"?>
<Relationships xmlns="http://schemas.openxmlformats.org/package/2006/relationships"><Relationship Id="rId3" Type="http://schemas.openxmlformats.org/officeDocument/2006/relationships/oleObject" Target="https://uniandes-my.sharepoint.com/personal/ca_velasco10_uniandes_edu_co/Documents/0.%20UTL_MUT/Bases/Finanzas%20p&#250;blicas%20-%20Ingresos,%20gastos,%20d&#233;ficit.xlsx" TargetMode="Externa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chartUserShapes" Target="../drawings/drawing3.xml"/></Relationships>
</file>

<file path=word/charts/_rels/chart11.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jcpar\OneDrive%20-%20Universidad%20de%20los%20andes\0.%20UTL_MUT\Bases\PIB%20y%20finanzas%20p&#250;blicas.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https://uniandes-my.sharepoint.com/personal/ca_velasco10_uniandes_edu_co/Documents/0.%20UTL_MUT/Bases/0.%20Ejecuci&#243;n%20presupuestal%20hist&#243;rica.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https://uniandes-my.sharepoint.com/personal/ca_velasco10_uniandes_edu_co/Documents/0.%20UTL_MUT/Bases/Finanzas%20p&#250;blicas%20-%20Ingresos,%20gastos,%20d&#233;ficit.xlsx" TargetMode="External"/><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chartUserShapes" Target="../drawings/drawing4.xml"/></Relationships>
</file>

<file path=word/charts/_rels/chart2.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3" Type="http://schemas.openxmlformats.org/officeDocument/2006/relationships/oleObject" Target="https://uniandes-my.sharepoint.com/personal/ca_velasco10_uniandes_edu_co/Documents/0.%20UTL_MUT/Bases/Finanzas%20p&#250;blica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uniandes-my.sharepoint.com/personal/ca_velasco10_uniandes_edu_co/Documents/0.%20UTL_MUT/Bases/Finanzas%20p&#250;blica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uniandes-my.sharepoint.com/personal/ca_velasco10_uniandes_edu_co/Documents/0.%20UTL_MUT/Bases/Finanzas%20p&#250;blicas%20-%20Ingresos,%20gastos,%20d&#233;ficit.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uniandes-my.sharepoint.com/personal/ca_velasco10_uniandes_edu_co/Documents/0.%20UTL_MUT/Bases/Finanzas%20p&#250;blicas%20-%20Ingresos,%20gastos,%20d&#233;ficit.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https://uniandes-my.sharepoint.com/personal/ca_velasco10_uniandes_edu_co/Documents/0.%20UTL_MUT/Bases/0.%20Ejecuci&#243;n%20presupuestal%20hist&#243;rica.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https://uniandes-my.sharepoint.com/personal/ca_velasco10_uniandes_edu_co/Documents/Ejecuci&#243;n%20presupuestal%20hist&#243;rica.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https://uniandes-my.sharepoint.com/personal/ca_velasco10_uniandes_edu_co/Documents/Ejecuci&#243;n%20presupuestal%20hist&#243;rica.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rgbClr val="002060"/>
              </a:solidFill>
              <a:round/>
            </a:ln>
            <a:effectLst/>
          </c:spPr>
          <c:marker>
            <c:symbol val="none"/>
          </c:marker>
          <c:dLbls>
            <c:dLbl>
              <c:idx val="0"/>
              <c:layout>
                <c:manualLayout>
                  <c:x val="-6.3520792128472095E-3"/>
                  <c:y val="-4.042317787199667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038-4C1E-95C2-653DCF17C428}"/>
                </c:ext>
              </c:extLst>
            </c:dLbl>
            <c:dLbl>
              <c:idx val="2"/>
              <c:layout>
                <c:manualLayout>
                  <c:x val="-3.0121116377040548E-2"/>
                  <c:y val="-6.09359983848172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038-4C1E-95C2-653DCF17C428}"/>
                </c:ext>
              </c:extLst>
            </c:dLbl>
            <c:dLbl>
              <c:idx val="6"/>
              <c:layout>
                <c:manualLayout>
                  <c:x val="-2.7415796959029411E-2"/>
                  <c:y val="-6.09359983848172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038-4C1E-95C2-653DCF17C428}"/>
                </c:ext>
              </c:extLst>
            </c:dLbl>
            <c:dLbl>
              <c:idx val="7"/>
              <c:tx>
                <c:rich>
                  <a:bodyPr/>
                  <a:lstStyle/>
                  <a:p>
                    <a:r>
                      <a:rPr lang="en-US"/>
                      <a:t>2,2%</a:t>
                    </a:r>
                  </a:p>
                </c:rich>
              </c:tx>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038-4C1E-95C2-653DCF17C428}"/>
                </c:ext>
              </c:extLst>
            </c:dLbl>
            <c:dLbl>
              <c:idx val="8"/>
              <c:tx>
                <c:rich>
                  <a:bodyPr/>
                  <a:lstStyle/>
                  <a:p>
                    <a:r>
                      <a:rPr lang="en-US"/>
                      <a:t>2,7%</a:t>
                    </a:r>
                  </a:p>
                </c:rich>
              </c:tx>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038-4C1E-95C2-653DCF17C428}"/>
                </c:ext>
              </c:extLst>
            </c:dLbl>
            <c:dLbl>
              <c:idx val="11"/>
              <c:tx>
                <c:rich>
                  <a:bodyPr/>
                  <a:lstStyle/>
                  <a:p>
                    <a:r>
                      <a:rPr lang="en-US"/>
                      <a:t>0,3%</a:t>
                    </a:r>
                  </a:p>
                </c:rich>
              </c:tx>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038-4C1E-95C2-653DCF17C428}"/>
                </c:ext>
              </c:extLst>
            </c:dLbl>
            <c:dLbl>
              <c:idx val="12"/>
              <c:tx>
                <c:rich>
                  <a:bodyPr/>
                  <a:lstStyle/>
                  <a:p>
                    <a:r>
                      <a:rPr lang="en-US"/>
                      <a:t>0,7%</a:t>
                    </a:r>
                  </a:p>
                </c:rich>
              </c:tx>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038-4C1E-95C2-653DCF17C428}"/>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'PIB local'!$A$66:$A$78</c:f>
              <c:numCache>
                <c:formatCode>mmm\-yy</c:formatCode>
                <c:ptCount val="13"/>
                <c:pt idx="0">
                  <c:v>44256</c:v>
                </c:pt>
                <c:pt idx="1">
                  <c:v>44348</c:v>
                </c:pt>
                <c:pt idx="2">
                  <c:v>44440</c:v>
                </c:pt>
                <c:pt idx="3">
                  <c:v>44531</c:v>
                </c:pt>
                <c:pt idx="4">
                  <c:v>44621</c:v>
                </c:pt>
                <c:pt idx="5">
                  <c:v>44713</c:v>
                </c:pt>
                <c:pt idx="6">
                  <c:v>44805</c:v>
                </c:pt>
                <c:pt idx="7">
                  <c:v>44896</c:v>
                </c:pt>
                <c:pt idx="8">
                  <c:v>44986</c:v>
                </c:pt>
                <c:pt idx="9">
                  <c:v>45078</c:v>
                </c:pt>
                <c:pt idx="10">
                  <c:v>45170</c:v>
                </c:pt>
                <c:pt idx="11">
                  <c:v>45261</c:v>
                </c:pt>
                <c:pt idx="12">
                  <c:v>45352</c:v>
                </c:pt>
              </c:numCache>
            </c:numRef>
          </c:cat>
          <c:val>
            <c:numRef>
              <c:f>'PIB local'!$AN$66:$AN$78</c:f>
              <c:numCache>
                <c:formatCode>0.0%</c:formatCode>
                <c:ptCount val="13"/>
                <c:pt idx="0">
                  <c:v>1.4426445605313809E-2</c:v>
                </c:pt>
                <c:pt idx="1">
                  <c:v>0.18724454329722984</c:v>
                </c:pt>
                <c:pt idx="2">
                  <c:v>0.13451696972404426</c:v>
                </c:pt>
                <c:pt idx="3">
                  <c:v>0.11107252345726737</c:v>
                </c:pt>
                <c:pt idx="4">
                  <c:v>8.0336786102435775E-2</c:v>
                </c:pt>
                <c:pt idx="5">
                  <c:v>0.12183870579959377</c:v>
                </c:pt>
                <c:pt idx="6">
                  <c:v>7.3296626504118834E-2</c:v>
                </c:pt>
                <c:pt idx="7">
                  <c:v>2.1241173274950231E-2</c:v>
                </c:pt>
                <c:pt idx="8">
                  <c:v>2.5550709087891255E-2</c:v>
                </c:pt>
                <c:pt idx="9">
                  <c:v>2.5161164299360994E-3</c:v>
                </c:pt>
                <c:pt idx="10">
                  <c:v>-6.8070003442944893E-3</c:v>
                </c:pt>
                <c:pt idx="11">
                  <c:v>3.5347204540241428E-3</c:v>
                </c:pt>
                <c:pt idx="12">
                  <c:v>9.2698488145748215E-3</c:v>
                </c:pt>
              </c:numCache>
            </c:numRef>
          </c:val>
          <c:smooth val="1"/>
          <c:extLst>
            <c:ext xmlns:c16="http://schemas.microsoft.com/office/drawing/2014/chart" uri="{C3380CC4-5D6E-409C-BE32-E72D297353CC}">
              <c16:uniqueId val="{00000007-8038-4C1E-95C2-653DCF17C428}"/>
            </c:ext>
          </c:extLst>
        </c:ser>
        <c:dLbls>
          <c:showLegendKey val="0"/>
          <c:showVal val="0"/>
          <c:showCatName val="0"/>
          <c:showSerName val="0"/>
          <c:showPercent val="0"/>
          <c:showBubbleSize val="0"/>
        </c:dLbls>
        <c:smooth val="0"/>
        <c:axId val="1577452303"/>
        <c:axId val="1577451055"/>
      </c:lineChart>
      <c:dateAx>
        <c:axId val="1577452303"/>
        <c:scaling>
          <c:orientation val="minMax"/>
        </c:scaling>
        <c:delete val="0"/>
        <c:axPos val="b"/>
        <c:numFmt formatCode="mmm\-yy" sourceLinked="1"/>
        <c:majorTickMark val="none"/>
        <c:minorTickMark val="none"/>
        <c:tickLblPos val="low"/>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1577451055"/>
        <c:crosses val="autoZero"/>
        <c:auto val="1"/>
        <c:lblOffset val="100"/>
        <c:baseTimeUnit val="months"/>
      </c:dateAx>
      <c:valAx>
        <c:axId val="1577451055"/>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Variación anual</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1577452303"/>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CO"/>
    </a:p>
  </c:txPr>
  <c:externalData r:id="rId3">
    <c:autoUpdate val="0"/>
  </c:externalData>
  <c:userShapes r:id="rId4"/>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'Ingresos MFMP 2024'!$A$4</c:f>
              <c:strCache>
                <c:ptCount val="1"/>
                <c:pt idx="0">
                  <c:v>2024</c:v>
                </c:pt>
              </c:strCache>
            </c:strRef>
          </c:tx>
          <c:spPr>
            <a:solidFill>
              <a:srgbClr val="00206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'Ingresos MFMP 2024'!$D$3:$E$3</c:f>
              <c:strCache>
                <c:ptCount val="2"/>
                <c:pt idx="0">
                  <c:v>MFMP 2024</c:v>
                </c:pt>
                <c:pt idx="1">
                  <c:v>PL Presupuesto 2025</c:v>
                </c:pt>
              </c:strCache>
            </c:strRef>
          </c:cat>
          <c:val>
            <c:numRef>
              <c:f>'Ingresos MFMP 2024'!$D$4:$E$4</c:f>
              <c:numCache>
                <c:formatCode>0</c:formatCode>
                <c:ptCount val="2"/>
                <c:pt idx="0">
                  <c:v>289</c:v>
                </c:pt>
                <c:pt idx="1">
                  <c:v>316</c:v>
                </c:pt>
              </c:numCache>
            </c:numRef>
          </c:val>
          <c:extLst>
            <c:ext xmlns:c16="http://schemas.microsoft.com/office/drawing/2014/chart" uri="{C3380CC4-5D6E-409C-BE32-E72D297353CC}">
              <c16:uniqueId val="{00000000-4E0A-4295-9ED9-F8FDBC81BFB0}"/>
            </c:ext>
          </c:extLst>
        </c:ser>
        <c:dLbls>
          <c:showLegendKey val="0"/>
          <c:showVal val="0"/>
          <c:showCatName val="0"/>
          <c:showSerName val="0"/>
          <c:showPercent val="0"/>
          <c:showBubbleSize val="0"/>
        </c:dLbls>
        <c:gapWidth val="219"/>
        <c:overlap val="-27"/>
        <c:axId val="1961511935"/>
        <c:axId val="1961518175"/>
      </c:barChart>
      <c:catAx>
        <c:axId val="19615119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1961518175"/>
        <c:crosses val="autoZero"/>
        <c:auto val="1"/>
        <c:lblAlgn val="ctr"/>
        <c:lblOffset val="100"/>
        <c:noMultiLvlLbl val="0"/>
      </c:catAx>
      <c:valAx>
        <c:axId val="1961518175"/>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Billones de pesos</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1961511935"/>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CO"/>
    </a:p>
  </c:txPr>
  <c:externalData r:id="rId3">
    <c:autoUpdate val="0"/>
  </c:externalData>
  <c:userShapes r:id="rId4"/>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7731092436974791"/>
          <c:y val="1.3635568281237574E-2"/>
          <c:w val="0.44215190492492784"/>
          <c:h val="0.95874015748031494"/>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8CA-4406-9BF3-CF99907DE79E}"/>
              </c:ext>
            </c:extLst>
          </c:dPt>
          <c:dPt>
            <c:idx val="1"/>
            <c:bubble3D val="0"/>
            <c:spPr>
              <a:solidFill>
                <a:srgbClr val="002060"/>
              </a:solidFill>
              <a:ln w="19050">
                <a:solidFill>
                  <a:schemeClr val="lt1"/>
                </a:solidFill>
              </a:ln>
              <a:effectLst/>
            </c:spPr>
            <c:extLst>
              <c:ext xmlns:c16="http://schemas.microsoft.com/office/drawing/2014/chart" uri="{C3380CC4-5D6E-409C-BE32-E72D297353CC}">
                <c16:uniqueId val="{00000003-B8CA-4406-9BF3-CF99907DE79E}"/>
              </c:ext>
            </c:extLst>
          </c:dPt>
          <c:dPt>
            <c:idx val="2"/>
            <c:bubble3D val="0"/>
            <c:spPr>
              <a:solidFill>
                <a:srgbClr val="C00000"/>
              </a:solidFill>
              <a:ln w="19050">
                <a:solidFill>
                  <a:schemeClr val="lt1"/>
                </a:solidFill>
              </a:ln>
              <a:effectLst/>
            </c:spPr>
            <c:extLst>
              <c:ext xmlns:c16="http://schemas.microsoft.com/office/drawing/2014/chart" uri="{C3380CC4-5D6E-409C-BE32-E72D297353CC}">
                <c16:uniqueId val="{00000005-B8CA-4406-9BF3-CF99907DE79E}"/>
              </c:ext>
            </c:extLst>
          </c:dPt>
          <c:dPt>
            <c:idx val="3"/>
            <c:bubble3D val="0"/>
            <c:spPr>
              <a:solidFill>
                <a:schemeClr val="accent1"/>
              </a:solidFill>
              <a:ln w="19050">
                <a:solidFill>
                  <a:schemeClr val="lt1"/>
                </a:solidFill>
              </a:ln>
              <a:effectLst/>
            </c:spPr>
            <c:extLst>
              <c:ext xmlns:c16="http://schemas.microsoft.com/office/drawing/2014/chart" uri="{C3380CC4-5D6E-409C-BE32-E72D297353CC}">
                <c16:uniqueId val="{00000007-B8CA-4406-9BF3-CF99907DE79E}"/>
              </c:ext>
            </c:extLst>
          </c:dPt>
          <c:dLbls>
            <c:dLbl>
              <c:idx val="1"/>
              <c:layout>
                <c:manualLayout>
                  <c:x val="-0.2857489137387238"/>
                  <c:y val="-4.7782877278461838E-2"/>
                </c:manualLayout>
              </c:layout>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bg1"/>
                      </a:solidFill>
                      <a:latin typeface="+mn-lt"/>
                      <a:ea typeface="+mn-ea"/>
                      <a:cs typeface="+mn-cs"/>
                    </a:defRPr>
                  </a:pPr>
                  <a:endParaRPr lang="es-CO"/>
                </a:p>
              </c:txPr>
              <c:dLblPos val="bestFit"/>
              <c:showLegendKey val="0"/>
              <c:showVal val="1"/>
              <c:showCatName val="1"/>
              <c:showSerName val="0"/>
              <c:showPercent val="0"/>
              <c:showBubbleSize val="0"/>
              <c:extLst>
                <c:ext xmlns:c15="http://schemas.microsoft.com/office/drawing/2012/chart" uri="{CE6537A1-D6FC-4f65-9D91-7224C49458BB}">
                  <c15:layout>
                    <c:manualLayout>
                      <c:w val="0.27476399825021874"/>
                      <c:h val="0.14953703703703702"/>
                    </c:manualLayout>
                  </c15:layout>
                </c:ext>
                <c:ext xmlns:c16="http://schemas.microsoft.com/office/drawing/2014/chart" uri="{C3380CC4-5D6E-409C-BE32-E72D297353CC}">
                  <c16:uniqueId val="{00000003-B8CA-4406-9BF3-CF99907DE79E}"/>
                </c:ext>
              </c:extLst>
            </c:dLbl>
            <c:dLbl>
              <c:idx val="2"/>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bg1"/>
                      </a:solidFill>
                      <a:latin typeface="+mn-lt"/>
                      <a:ea typeface="+mn-ea"/>
                      <a:cs typeface="+mn-cs"/>
                    </a:defRPr>
                  </a:pPr>
                  <a:endParaRPr lang="es-CO"/>
                </a:p>
              </c:txPr>
              <c:dLblPos val="inEnd"/>
              <c:showLegendKey val="0"/>
              <c:showVal val="1"/>
              <c:showCatName val="1"/>
              <c:showSerName val="0"/>
              <c:showPercent val="0"/>
              <c:showBubbleSize val="0"/>
              <c:extLst>
                <c:ext xmlns:c16="http://schemas.microsoft.com/office/drawing/2014/chart" uri="{C3380CC4-5D6E-409C-BE32-E72D297353CC}">
                  <c16:uniqueId val="{00000005-B8CA-4406-9BF3-CF99907DE79E}"/>
                </c:ext>
              </c:extLst>
            </c:dLbl>
            <c:dLbl>
              <c:idx val="3"/>
              <c:layout>
                <c:manualLayout>
                  <c:x val="0.11269007357686842"/>
                  <c:y val="0.18534196265035213"/>
                </c:manualLayout>
              </c:layout>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bg1"/>
                      </a:solidFill>
                      <a:latin typeface="+mn-lt"/>
                      <a:ea typeface="+mn-ea"/>
                      <a:cs typeface="+mn-cs"/>
                    </a:defRPr>
                  </a:pPr>
                  <a:endParaRPr lang="es-CO"/>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8CA-4406-9BF3-CF99907DE79E}"/>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mn-lt"/>
                    <a:ea typeface="+mn-ea"/>
                    <a:cs typeface="+mn-cs"/>
                  </a:defRPr>
                </a:pPr>
                <a:endParaRPr lang="es-CO"/>
              </a:p>
            </c:txPr>
            <c:dLblPos val="inEnd"/>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'PGN 2025'!$A$1:$A$4</c:f>
              <c:strCache>
                <c:ptCount val="4"/>
                <c:pt idx="1">
                  <c:v>Funcionamiento</c:v>
                </c:pt>
                <c:pt idx="2">
                  <c:v>Deuda</c:v>
                </c:pt>
                <c:pt idx="3">
                  <c:v>Inversión</c:v>
                </c:pt>
              </c:strCache>
            </c:strRef>
          </c:cat>
          <c:val>
            <c:numRef>
              <c:f>'PGN 2025'!$C$1:$C$4</c:f>
              <c:numCache>
                <c:formatCode>0%</c:formatCode>
                <c:ptCount val="4"/>
                <c:pt idx="1">
                  <c:v>0.62707974756167528</c:v>
                </c:pt>
                <c:pt idx="2">
                  <c:v>0.21533754063874547</c:v>
                </c:pt>
                <c:pt idx="3">
                  <c:v>0.15758271179957928</c:v>
                </c:pt>
              </c:numCache>
            </c:numRef>
          </c:val>
          <c:extLst>
            <c:ext xmlns:c16="http://schemas.microsoft.com/office/drawing/2014/chart" uri="{C3380CC4-5D6E-409C-BE32-E72D297353CC}">
              <c16:uniqueId val="{00000008-B8CA-4406-9BF3-CF99907DE79E}"/>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CO"/>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053768063254672"/>
          <c:y val="6.0903339304207611E-2"/>
          <c:w val="0.75693362735186076"/>
          <c:h val="0.70645190263764557"/>
        </c:manualLayout>
      </c:layout>
      <c:scatterChart>
        <c:scatterStyle val="lineMarker"/>
        <c:varyColors val="0"/>
        <c:ser>
          <c:idx val="0"/>
          <c:order val="0"/>
          <c:tx>
            <c:strRef>
              <c:f>'Inversión PGN y PIB inversión'!$D$3</c:f>
              <c:strCache>
                <c:ptCount val="1"/>
                <c:pt idx="0">
                  <c:v>Presupuesto inversión</c:v>
                </c:pt>
              </c:strCache>
            </c:strRef>
          </c:tx>
          <c:spPr>
            <a:ln w="19050" cap="rnd">
              <a:noFill/>
              <a:round/>
            </a:ln>
            <a:effectLst/>
          </c:spPr>
          <c:marker>
            <c:symbol val="circle"/>
            <c:size val="6"/>
            <c:spPr>
              <a:solidFill>
                <a:srgbClr val="002060"/>
              </a:solidFill>
              <a:ln w="9525">
                <a:noFill/>
              </a:ln>
              <a:effectLst/>
            </c:spPr>
          </c:marker>
          <c:trendline>
            <c:spPr>
              <a:ln w="28575" cap="rnd">
                <a:solidFill>
                  <a:srgbClr val="002060"/>
                </a:solidFill>
                <a:prstDash val="sysDash"/>
              </a:ln>
              <a:effectLst/>
            </c:spPr>
            <c:trendlineType val="linear"/>
            <c:dispRSqr val="0"/>
            <c:dispEq val="0"/>
          </c:trendline>
          <c:xVal>
            <c:numRef>
              <c:f>'Inversión PGN y PIB inversión'!$B$4:$B$17</c:f>
              <c:numCache>
                <c:formatCode>General</c:formatCode>
                <c:ptCount val="14"/>
                <c:pt idx="0">
                  <c:v>102069.9999999999</c:v>
                </c:pt>
                <c:pt idx="1">
                  <c:v>122373</c:v>
                </c:pt>
                <c:pt idx="2">
                  <c:v>119050</c:v>
                </c:pt>
                <c:pt idx="3">
                  <c:v>124354</c:v>
                </c:pt>
                <c:pt idx="4">
                  <c:v>133189.00000000009</c:v>
                </c:pt>
                <c:pt idx="5">
                  <c:v>149454.00000000012</c:v>
                </c:pt>
                <c:pt idx="6">
                  <c:v>154437.00000000009</c:v>
                </c:pt>
                <c:pt idx="7">
                  <c:v>167533.00000000009</c:v>
                </c:pt>
                <c:pt idx="8">
                  <c:v>182957.00000000009</c:v>
                </c:pt>
                <c:pt idx="9">
                  <c:v>188094.99999999991</c:v>
                </c:pt>
                <c:pt idx="10">
                  <c:v>182659</c:v>
                </c:pt>
                <c:pt idx="11">
                  <c:v>186046.00000000012</c:v>
                </c:pt>
                <c:pt idx="12">
                  <c:v>187975.00000000003</c:v>
                </c:pt>
                <c:pt idx="13">
                  <c:v>192179</c:v>
                </c:pt>
              </c:numCache>
            </c:numRef>
          </c:xVal>
          <c:yVal>
            <c:numRef>
              <c:f>'Inversión PGN y PIB inversión'!$D$4:$D$17</c:f>
              <c:numCache>
                <c:formatCode>0</c:formatCode>
                <c:ptCount val="14"/>
                <c:pt idx="0">
                  <c:v>49.822564668166727</c:v>
                </c:pt>
                <c:pt idx="1">
                  <c:v>52.282164175800624</c:v>
                </c:pt>
                <c:pt idx="2">
                  <c:v>51.891490413910205</c:v>
                </c:pt>
                <c:pt idx="3">
                  <c:v>57.792734278624955</c:v>
                </c:pt>
                <c:pt idx="4">
                  <c:v>59.099155971291843</c:v>
                </c:pt>
                <c:pt idx="5">
                  <c:v>57.507559422461206</c:v>
                </c:pt>
                <c:pt idx="6">
                  <c:v>61.541908796082915</c:v>
                </c:pt>
                <c:pt idx="7">
                  <c:v>69.021309374622803</c:v>
                </c:pt>
                <c:pt idx="8">
                  <c:v>69.417556809687312</c:v>
                </c:pt>
                <c:pt idx="9">
                  <c:v>68.465751043151073</c:v>
                </c:pt>
                <c:pt idx="10">
                  <c:v>65.462706625925208</c:v>
                </c:pt>
                <c:pt idx="11">
                  <c:v>68.661865967757151</c:v>
                </c:pt>
                <c:pt idx="12">
                  <c:v>67.659373157643074</c:v>
                </c:pt>
                <c:pt idx="13">
                  <c:v>70.063130609127228</c:v>
                </c:pt>
              </c:numCache>
            </c:numRef>
          </c:yVal>
          <c:smooth val="0"/>
          <c:extLst>
            <c:ext xmlns:c16="http://schemas.microsoft.com/office/drawing/2014/chart" uri="{C3380CC4-5D6E-409C-BE32-E72D297353CC}">
              <c16:uniqueId val="{00000000-2848-4655-A0F7-A48179E5C071}"/>
            </c:ext>
          </c:extLst>
        </c:ser>
        <c:dLbls>
          <c:showLegendKey val="0"/>
          <c:showVal val="0"/>
          <c:showCatName val="0"/>
          <c:showSerName val="0"/>
          <c:showPercent val="0"/>
          <c:showBubbleSize val="0"/>
        </c:dLbls>
        <c:axId val="209900816"/>
        <c:axId val="209885840"/>
      </c:scatterChart>
      <c:valAx>
        <c:axId val="209900816"/>
        <c:scaling>
          <c:orientation val="minMax"/>
          <c:max val="200000"/>
          <c:min val="100000"/>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PIB de inversión (Miles de millones de pesos constantes de 2015)</a:t>
                </a:r>
              </a:p>
            </c:rich>
          </c:tx>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09885840"/>
        <c:crosses val="autoZero"/>
        <c:crossBetween val="midCat"/>
      </c:valAx>
      <c:valAx>
        <c:axId val="209885840"/>
        <c:scaling>
          <c:orientation val="minMax"/>
          <c:min val="40"/>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Presupuesto en inversión PGN (billones de pesos constantes de 2024)</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09900816"/>
        <c:crosses val="autoZero"/>
        <c:crossBetween val="midCat"/>
      </c:valAx>
      <c:spPr>
        <a:noFill/>
        <a:ln>
          <a:noFill/>
        </a:ln>
        <a:effectLst/>
      </c:spPr>
    </c:plotArea>
    <c:plotVisOnly val="1"/>
    <c:dispBlanksAs val="gap"/>
    <c:showDLblsOverMax val="0"/>
  </c:chart>
  <c:spPr>
    <a:noFill/>
    <a:ln w="9525" cap="flat" cmpd="sng" algn="ctr">
      <a:no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CO"/>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142152604589907"/>
          <c:y val="0.10180109243101369"/>
          <c:w val="0.87651926071518627"/>
          <c:h val="0.75285947364687522"/>
        </c:manualLayout>
      </c:layout>
      <c:barChart>
        <c:barDir val="col"/>
        <c:grouping val="clustered"/>
        <c:varyColors val="0"/>
        <c:ser>
          <c:idx val="0"/>
          <c:order val="0"/>
          <c:tx>
            <c:strRef>
              <c:f>Anual!$I$2</c:f>
              <c:strCache>
                <c:ptCount val="1"/>
                <c:pt idx="0">
                  <c:v>PGN precios 2024</c:v>
                </c:pt>
              </c:strCache>
            </c:strRef>
          </c:tx>
          <c:spPr>
            <a:solidFill>
              <a:srgbClr val="002060"/>
            </a:solidFill>
            <a:ln>
              <a:noFill/>
            </a:ln>
            <a:effectLst/>
          </c:spPr>
          <c:invertIfNegative val="0"/>
          <c:dLbls>
            <c:numFmt formatCode="#,##0" sourceLinked="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Anual!$A$8:$A$28</c:f>
              <c:numCache>
                <c:formatCode>General</c:formatCode>
                <c:ptCount val="21"/>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pt idx="19">
                  <c:v>2024</c:v>
                </c:pt>
                <c:pt idx="20">
                  <c:v>2025</c:v>
                </c:pt>
              </c:numCache>
            </c:numRef>
          </c:cat>
          <c:val>
            <c:numRef>
              <c:f>Anual!$J$8:$J$28</c:f>
              <c:numCache>
                <c:formatCode>_-* #,##0.0_-;\-* #,##0.0_-;_-* "-"??_-;_-@_-</c:formatCode>
                <c:ptCount val="21"/>
                <c:pt idx="0">
                  <c:v>141.31936722329493</c:v>
                </c:pt>
                <c:pt idx="1">
                  <c:v>153.80739039832125</c:v>
                </c:pt>
                <c:pt idx="2">
                  <c:v>161.40042749333608</c:v>
                </c:pt>
                <c:pt idx="3">
                  <c:v>160.1943773388796</c:v>
                </c:pt>
                <c:pt idx="4">
                  <c:v>178.41212516019579</c:v>
                </c:pt>
                <c:pt idx="5">
                  <c:v>182.44518352736645</c:v>
                </c:pt>
                <c:pt idx="6">
                  <c:v>177.53176099737325</c:v>
                </c:pt>
                <c:pt idx="7">
                  <c:v>189.98621317671527</c:v>
                </c:pt>
                <c:pt idx="8">
                  <c:v>213.07589337264332</c:v>
                </c:pt>
                <c:pt idx="9">
                  <c:v>214.29915003044923</c:v>
                </c:pt>
                <c:pt idx="10">
                  <c:v>211.36082756367045</c:v>
                </c:pt>
                <c:pt idx="11">
                  <c:v>202.09012004108331</c:v>
                </c:pt>
                <c:pt idx="12">
                  <c:v>211.9662545418424</c:v>
                </c:pt>
                <c:pt idx="13">
                  <c:v>208.87145594920304</c:v>
                </c:pt>
                <c:pt idx="14">
                  <c:v>216.29210286342183</c:v>
                </c:pt>
                <c:pt idx="15">
                  <c:v>263.60611295725647</c:v>
                </c:pt>
                <c:pt idx="16">
                  <c:v>278.4201999932335</c:v>
                </c:pt>
                <c:pt idx="17">
                  <c:v>248.91927030924836</c:v>
                </c:pt>
                <c:pt idx="18">
                  <c:v>274.79435469760034</c:v>
                </c:pt>
                <c:pt idx="19">
                  <c:v>308.25127734793398</c:v>
                </c:pt>
                <c:pt idx="20">
                  <c:v>328</c:v>
                </c:pt>
              </c:numCache>
            </c:numRef>
          </c:val>
          <c:extLst>
            <c:ext xmlns:c16="http://schemas.microsoft.com/office/drawing/2014/chart" uri="{C3380CC4-5D6E-409C-BE32-E72D297353CC}">
              <c16:uniqueId val="{00000000-70E6-45EF-874C-7C4DB04366B8}"/>
            </c:ext>
          </c:extLst>
        </c:ser>
        <c:dLbls>
          <c:showLegendKey val="0"/>
          <c:showVal val="0"/>
          <c:showCatName val="0"/>
          <c:showSerName val="0"/>
          <c:showPercent val="0"/>
          <c:showBubbleSize val="0"/>
        </c:dLbls>
        <c:gapWidth val="95"/>
        <c:axId val="2054123919"/>
        <c:axId val="1126513039"/>
      </c:barChart>
      <c:catAx>
        <c:axId val="20541239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1126513039"/>
        <c:crosses val="autoZero"/>
        <c:auto val="1"/>
        <c:lblAlgn val="ctr"/>
        <c:lblOffset val="100"/>
        <c:noMultiLvlLbl val="0"/>
      </c:catAx>
      <c:valAx>
        <c:axId val="1126513039"/>
        <c:scaling>
          <c:orientation val="minMax"/>
          <c:max val="340"/>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MX"/>
                  <a:t>Billones de pesos</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054123919"/>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CO"/>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6495583465937003E-2"/>
          <c:y val="8.535464598456724E-2"/>
          <c:w val="0.89616163751343159"/>
          <c:h val="0.6347355229244992"/>
        </c:manualLayout>
      </c:layout>
      <c:barChart>
        <c:barDir val="col"/>
        <c:grouping val="clustered"/>
        <c:varyColors val="0"/>
        <c:ser>
          <c:idx val="0"/>
          <c:order val="0"/>
          <c:tx>
            <c:strRef>
              <c:f>'PGN 2025 sectores inversión'!$B$3</c:f>
              <c:strCache>
                <c:ptCount val="1"/>
                <c:pt idx="0">
                  <c:v>2024</c:v>
                </c:pt>
              </c:strCache>
            </c:strRef>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mn-lt"/>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'PGN 2025 sectores inversión'!$A$4:$A$12</c:f>
              <c:strCache>
                <c:ptCount val="9"/>
                <c:pt idx="0">
                  <c:v>Infraestructura</c:v>
                </c:pt>
                <c:pt idx="1">
                  <c:v>Educación</c:v>
                </c:pt>
                <c:pt idx="2">
                  <c:v>Minas y energía</c:v>
                </c:pt>
                <c:pt idx="3">
                  <c:v>Vivienda</c:v>
                </c:pt>
                <c:pt idx="4">
                  <c:v>Agropecuario</c:v>
                </c:pt>
                <c:pt idx="5">
                  <c:v>Defensa</c:v>
                </c:pt>
                <c:pt idx="6">
                  <c:v>Salud</c:v>
                </c:pt>
                <c:pt idx="7">
                  <c:v>Igualdad</c:v>
                </c:pt>
                <c:pt idx="8">
                  <c:v>Deporte</c:v>
                </c:pt>
              </c:strCache>
            </c:strRef>
          </c:cat>
          <c:val>
            <c:numRef>
              <c:f>'PGN 2025 sectores inversión'!$B$4:$B$12</c:f>
              <c:numCache>
                <c:formatCode>0.0</c:formatCode>
                <c:ptCount val="9"/>
                <c:pt idx="0">
                  <c:v>13.962</c:v>
                </c:pt>
                <c:pt idx="1">
                  <c:v>8.3870000000000005</c:v>
                </c:pt>
                <c:pt idx="2">
                  <c:v>8.0679999999999996</c:v>
                </c:pt>
                <c:pt idx="3">
                  <c:v>5.9880000000000004</c:v>
                </c:pt>
                <c:pt idx="4">
                  <c:v>8.0299999999999994</c:v>
                </c:pt>
                <c:pt idx="5" formatCode="General">
                  <c:v>3.2</c:v>
                </c:pt>
                <c:pt idx="6">
                  <c:v>2.1</c:v>
                </c:pt>
                <c:pt idx="7">
                  <c:v>0.4</c:v>
                </c:pt>
                <c:pt idx="8">
                  <c:v>1.3</c:v>
                </c:pt>
              </c:numCache>
            </c:numRef>
          </c:val>
          <c:extLst>
            <c:ext xmlns:c16="http://schemas.microsoft.com/office/drawing/2014/chart" uri="{C3380CC4-5D6E-409C-BE32-E72D297353CC}">
              <c16:uniqueId val="{00000000-7237-4C0F-83A6-838E63085B0A}"/>
            </c:ext>
          </c:extLst>
        </c:ser>
        <c:ser>
          <c:idx val="1"/>
          <c:order val="1"/>
          <c:tx>
            <c:strRef>
              <c:f>'PGN 2025 sectores inversión'!$C$3</c:f>
              <c:strCache>
                <c:ptCount val="1"/>
                <c:pt idx="0">
                  <c:v>2025</c:v>
                </c:pt>
              </c:strCache>
            </c:strRef>
          </c:tx>
          <c:spPr>
            <a:solidFill>
              <a:srgbClr val="00B0F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mn-lt"/>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'PGN 2025 sectores inversión'!$A$4:$A$12</c:f>
              <c:strCache>
                <c:ptCount val="9"/>
                <c:pt idx="0">
                  <c:v>Infraestructura</c:v>
                </c:pt>
                <c:pt idx="1">
                  <c:v>Educación</c:v>
                </c:pt>
                <c:pt idx="2">
                  <c:v>Minas y energía</c:v>
                </c:pt>
                <c:pt idx="3">
                  <c:v>Vivienda</c:v>
                </c:pt>
                <c:pt idx="4">
                  <c:v>Agropecuario</c:v>
                </c:pt>
                <c:pt idx="5">
                  <c:v>Defensa</c:v>
                </c:pt>
                <c:pt idx="6">
                  <c:v>Salud</c:v>
                </c:pt>
                <c:pt idx="7">
                  <c:v>Igualdad</c:v>
                </c:pt>
                <c:pt idx="8">
                  <c:v>Deporte</c:v>
                </c:pt>
              </c:strCache>
            </c:strRef>
          </c:cat>
          <c:val>
            <c:numRef>
              <c:f>'PGN 2025 sectores inversión'!$C$4:$C$12</c:f>
              <c:numCache>
                <c:formatCode>0.0</c:formatCode>
                <c:ptCount val="9"/>
                <c:pt idx="0">
                  <c:v>13.49</c:v>
                </c:pt>
                <c:pt idx="1">
                  <c:v>8.0129999999999999</c:v>
                </c:pt>
                <c:pt idx="2">
                  <c:v>7.4189999999999996</c:v>
                </c:pt>
                <c:pt idx="3">
                  <c:v>4.2699999999999996</c:v>
                </c:pt>
                <c:pt idx="4">
                  <c:v>4.2</c:v>
                </c:pt>
                <c:pt idx="5">
                  <c:v>2.4</c:v>
                </c:pt>
                <c:pt idx="6">
                  <c:v>2.1</c:v>
                </c:pt>
                <c:pt idx="7">
                  <c:v>0.498</c:v>
                </c:pt>
                <c:pt idx="8">
                  <c:v>0.4</c:v>
                </c:pt>
              </c:numCache>
            </c:numRef>
          </c:val>
          <c:extLst>
            <c:ext xmlns:c16="http://schemas.microsoft.com/office/drawing/2014/chart" uri="{C3380CC4-5D6E-409C-BE32-E72D297353CC}">
              <c16:uniqueId val="{00000001-7237-4C0F-83A6-838E63085B0A}"/>
            </c:ext>
          </c:extLst>
        </c:ser>
        <c:dLbls>
          <c:showLegendKey val="0"/>
          <c:showVal val="0"/>
          <c:showCatName val="0"/>
          <c:showSerName val="0"/>
          <c:showPercent val="0"/>
          <c:showBubbleSize val="0"/>
        </c:dLbls>
        <c:gapWidth val="219"/>
        <c:overlap val="-27"/>
        <c:axId val="2073706352"/>
        <c:axId val="2073707600"/>
      </c:barChart>
      <c:catAx>
        <c:axId val="20737063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s-CO"/>
          </a:p>
        </c:txPr>
        <c:crossAx val="2073707600"/>
        <c:crosses val="autoZero"/>
        <c:auto val="1"/>
        <c:lblAlgn val="ctr"/>
        <c:lblOffset val="100"/>
        <c:noMultiLvlLbl val="0"/>
      </c:catAx>
      <c:valAx>
        <c:axId val="2073707600"/>
        <c:scaling>
          <c:orientation val="minMax"/>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US"/>
                  <a:t>Billones de pesos</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CO"/>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CO"/>
          </a:p>
        </c:txPr>
        <c:crossAx val="2073706352"/>
        <c:crosses val="autoZero"/>
        <c:crossBetween val="between"/>
      </c:valAx>
      <c:spPr>
        <a:noFill/>
        <a:ln>
          <a:noFill/>
        </a:ln>
        <a:effectLst/>
      </c:spPr>
    </c:plotArea>
    <c:legend>
      <c:legendPos val="b"/>
      <c:layout>
        <c:manualLayout>
          <c:xMode val="edge"/>
          <c:yMode val="edge"/>
          <c:x val="0.60253091965294048"/>
          <c:y val="0.13428186732581737"/>
          <c:w val="0.31867874154619563"/>
          <c:h val="6.5255557930544369E-2"/>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s-CO"/>
        </a:p>
      </c:txPr>
    </c:legend>
    <c:plotVisOnly val="1"/>
    <c:dispBlanksAs val="gap"/>
    <c:showDLblsOverMax val="0"/>
  </c:chart>
  <c:spPr>
    <a:solidFill>
      <a:schemeClr val="bg1"/>
    </a:solidFill>
    <a:ln w="9525" cap="flat" cmpd="sng" algn="ctr">
      <a:noFill/>
      <a:round/>
    </a:ln>
    <a:effectLst/>
  </c:spPr>
  <c:txPr>
    <a:bodyPr/>
    <a:lstStyle/>
    <a:p>
      <a:pPr>
        <a:defRPr sz="900">
          <a:solidFill>
            <a:sysClr val="windowText" lastClr="000000"/>
          </a:solidFill>
        </a:defRPr>
      </a:pPr>
      <a:endParaRPr lang="es-CO"/>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489680267239322"/>
          <c:y val="5.589430894308943E-2"/>
          <c:w val="0.78279580968076667"/>
          <c:h val="0.65563730662017039"/>
        </c:manualLayout>
      </c:layout>
      <c:lineChart>
        <c:grouping val="standard"/>
        <c:varyColors val="0"/>
        <c:ser>
          <c:idx val="0"/>
          <c:order val="0"/>
          <c:tx>
            <c:strRef>
              <c:f>'PIB local'!$AA$1</c:f>
              <c:strCache>
                <c:ptCount val="1"/>
                <c:pt idx="0">
                  <c:v>Formación bruta de capital fijo</c:v>
                </c:pt>
              </c:strCache>
            </c:strRef>
          </c:tx>
          <c:spPr>
            <a:ln w="28575" cap="rnd">
              <a:solidFill>
                <a:srgbClr val="002060"/>
              </a:solidFill>
              <a:round/>
            </a:ln>
            <a:effectLst/>
          </c:spPr>
          <c:marker>
            <c:symbol val="none"/>
          </c:marker>
          <c:dLbls>
            <c:dLbl>
              <c:idx val="41"/>
              <c:layout>
                <c:manualLayout>
                  <c:x val="-0.10514786669108227"/>
                  <c:y val="-5.992707287427998E-2"/>
                </c:manualLayout>
              </c:layout>
              <c:tx>
                <c:rich>
                  <a:bodyPr/>
                  <a:lstStyle/>
                  <a:p>
                    <a:r>
                      <a:rPr lang="en-US"/>
                      <a:t>2015</a:t>
                    </a:r>
                    <a:r>
                      <a:rPr lang="en-US" baseline="0"/>
                      <a:t>; </a:t>
                    </a:r>
                    <a:fld id="{68FC5FC6-43AE-4B5F-9BAF-24F6B59BFC89}" type="VALUE">
                      <a:rPr lang="en-US" baseline="0"/>
                      <a:pPr/>
                      <a:t>[VALOR]</a:t>
                    </a:fld>
                    <a:r>
                      <a:rPr lang="en-US" baseline="0"/>
                      <a:t>%</a:t>
                    </a:r>
                  </a:p>
                </c:rich>
              </c:tx>
              <c:dLblPos val="r"/>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AB6A-49B5-A833-54ABEAE81D63}"/>
                </c:ext>
              </c:extLst>
            </c:dLbl>
            <c:dLbl>
              <c:idx val="76"/>
              <c:layout>
                <c:manualLayout>
                  <c:x val="-1.4534883720930411E-2"/>
                  <c:y val="0"/>
                </c:manualLayout>
              </c:layout>
              <c:tx>
                <c:rich>
                  <a:bodyPr/>
                  <a:lstStyle/>
                  <a:p>
                    <a:fld id="{16493A54-E925-4A8F-AE31-1F72C030D626}" type="VALUE">
                      <a:rPr lang="en-US"/>
                      <a:pPr/>
                      <a:t>[VALOR]</a:t>
                    </a:fld>
                    <a:r>
                      <a:rPr lang="en-US"/>
                      <a:t>%</a:t>
                    </a:r>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AB6A-49B5-A833-54ABEAE81D63}"/>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mn-lt"/>
                    <a:ea typeface="+mn-ea"/>
                    <a:cs typeface="+mn-cs"/>
                  </a:defRPr>
                </a:pPr>
                <a:endParaRPr lang="es-CO"/>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'PIB local'!$A$2:$A$78</c:f>
              <c:numCache>
                <c:formatCode>mmm\-yy</c:formatCode>
                <c:ptCount val="77"/>
                <c:pt idx="0">
                  <c:v>38412</c:v>
                </c:pt>
                <c:pt idx="1">
                  <c:v>38504</c:v>
                </c:pt>
                <c:pt idx="2">
                  <c:v>38596</c:v>
                </c:pt>
                <c:pt idx="3">
                  <c:v>38687</c:v>
                </c:pt>
                <c:pt idx="4">
                  <c:v>38777</c:v>
                </c:pt>
                <c:pt idx="5">
                  <c:v>38869</c:v>
                </c:pt>
                <c:pt idx="6">
                  <c:v>38961</c:v>
                </c:pt>
                <c:pt idx="7">
                  <c:v>39052</c:v>
                </c:pt>
                <c:pt idx="8">
                  <c:v>39142</c:v>
                </c:pt>
                <c:pt idx="9">
                  <c:v>39234</c:v>
                </c:pt>
                <c:pt idx="10">
                  <c:v>39326</c:v>
                </c:pt>
                <c:pt idx="11">
                  <c:v>39417</c:v>
                </c:pt>
                <c:pt idx="12">
                  <c:v>39508</c:v>
                </c:pt>
                <c:pt idx="13">
                  <c:v>39600</c:v>
                </c:pt>
                <c:pt idx="14">
                  <c:v>39692</c:v>
                </c:pt>
                <c:pt idx="15">
                  <c:v>39783</c:v>
                </c:pt>
                <c:pt idx="16">
                  <c:v>39873</c:v>
                </c:pt>
                <c:pt idx="17">
                  <c:v>39965</c:v>
                </c:pt>
                <c:pt idx="18">
                  <c:v>40057</c:v>
                </c:pt>
                <c:pt idx="19">
                  <c:v>40148</c:v>
                </c:pt>
                <c:pt idx="20">
                  <c:v>40238</c:v>
                </c:pt>
                <c:pt idx="21">
                  <c:v>40330</c:v>
                </c:pt>
                <c:pt idx="22">
                  <c:v>40422</c:v>
                </c:pt>
                <c:pt idx="23">
                  <c:v>40513</c:v>
                </c:pt>
                <c:pt idx="24">
                  <c:v>40603</c:v>
                </c:pt>
                <c:pt idx="25">
                  <c:v>40695</c:v>
                </c:pt>
                <c:pt idx="26">
                  <c:v>40787</c:v>
                </c:pt>
                <c:pt idx="27">
                  <c:v>40878</c:v>
                </c:pt>
                <c:pt idx="28">
                  <c:v>40969</c:v>
                </c:pt>
                <c:pt idx="29">
                  <c:v>41061</c:v>
                </c:pt>
                <c:pt idx="30">
                  <c:v>41153</c:v>
                </c:pt>
                <c:pt idx="31">
                  <c:v>41244</c:v>
                </c:pt>
                <c:pt idx="32">
                  <c:v>41334</c:v>
                </c:pt>
                <c:pt idx="33">
                  <c:v>41426</c:v>
                </c:pt>
                <c:pt idx="34">
                  <c:v>41518</c:v>
                </c:pt>
                <c:pt idx="35">
                  <c:v>41609</c:v>
                </c:pt>
                <c:pt idx="36">
                  <c:v>41699</c:v>
                </c:pt>
                <c:pt idx="37">
                  <c:v>41791</c:v>
                </c:pt>
                <c:pt idx="38">
                  <c:v>41883</c:v>
                </c:pt>
                <c:pt idx="39">
                  <c:v>41974</c:v>
                </c:pt>
                <c:pt idx="40">
                  <c:v>42064</c:v>
                </c:pt>
                <c:pt idx="41">
                  <c:v>42156</c:v>
                </c:pt>
                <c:pt idx="42">
                  <c:v>42248</c:v>
                </c:pt>
                <c:pt idx="43">
                  <c:v>42339</c:v>
                </c:pt>
                <c:pt idx="44">
                  <c:v>42430</c:v>
                </c:pt>
                <c:pt idx="45">
                  <c:v>42522</c:v>
                </c:pt>
                <c:pt idx="46">
                  <c:v>42614</c:v>
                </c:pt>
                <c:pt idx="47">
                  <c:v>42705</c:v>
                </c:pt>
                <c:pt idx="48">
                  <c:v>42795</c:v>
                </c:pt>
                <c:pt idx="49">
                  <c:v>42887</c:v>
                </c:pt>
                <c:pt idx="50">
                  <c:v>42979</c:v>
                </c:pt>
                <c:pt idx="51">
                  <c:v>43070</c:v>
                </c:pt>
                <c:pt idx="52">
                  <c:v>43160</c:v>
                </c:pt>
                <c:pt idx="53">
                  <c:v>43252</c:v>
                </c:pt>
                <c:pt idx="54">
                  <c:v>43344</c:v>
                </c:pt>
                <c:pt idx="55">
                  <c:v>43435</c:v>
                </c:pt>
                <c:pt idx="56">
                  <c:v>43525</c:v>
                </c:pt>
                <c:pt idx="57">
                  <c:v>43617</c:v>
                </c:pt>
                <c:pt idx="58">
                  <c:v>43709</c:v>
                </c:pt>
                <c:pt idx="59">
                  <c:v>43800</c:v>
                </c:pt>
                <c:pt idx="60">
                  <c:v>43891</c:v>
                </c:pt>
                <c:pt idx="61">
                  <c:v>43983</c:v>
                </c:pt>
                <c:pt idx="62">
                  <c:v>44075</c:v>
                </c:pt>
                <c:pt idx="63">
                  <c:v>44166</c:v>
                </c:pt>
                <c:pt idx="64">
                  <c:v>44256</c:v>
                </c:pt>
                <c:pt idx="65">
                  <c:v>44348</c:v>
                </c:pt>
                <c:pt idx="66">
                  <c:v>44440</c:v>
                </c:pt>
                <c:pt idx="67">
                  <c:v>44531</c:v>
                </c:pt>
                <c:pt idx="68">
                  <c:v>44621</c:v>
                </c:pt>
                <c:pt idx="69">
                  <c:v>44713</c:v>
                </c:pt>
                <c:pt idx="70">
                  <c:v>44805</c:v>
                </c:pt>
                <c:pt idx="71">
                  <c:v>44896</c:v>
                </c:pt>
                <c:pt idx="72">
                  <c:v>44986</c:v>
                </c:pt>
                <c:pt idx="73">
                  <c:v>45078</c:v>
                </c:pt>
                <c:pt idx="74">
                  <c:v>45170</c:v>
                </c:pt>
                <c:pt idx="75">
                  <c:v>45261</c:v>
                </c:pt>
                <c:pt idx="76">
                  <c:v>45352</c:v>
                </c:pt>
              </c:numCache>
            </c:numRef>
          </c:cat>
          <c:val>
            <c:numRef>
              <c:f>'PIB local'!$AA$2:$AA$78</c:f>
              <c:numCache>
                <c:formatCode>0</c:formatCode>
                <c:ptCount val="77"/>
                <c:pt idx="0">
                  <c:v>17.973512368984494</c:v>
                </c:pt>
                <c:pt idx="1">
                  <c:v>16.013144339382933</c:v>
                </c:pt>
                <c:pt idx="2">
                  <c:v>15.95111121025592</c:v>
                </c:pt>
                <c:pt idx="3">
                  <c:v>16.850806199549893</c:v>
                </c:pt>
                <c:pt idx="4">
                  <c:v>18.072565619434176</c:v>
                </c:pt>
                <c:pt idx="5">
                  <c:v>17.866480996924921</c:v>
                </c:pt>
                <c:pt idx="6">
                  <c:v>18.629075860016492</c:v>
                </c:pt>
                <c:pt idx="7">
                  <c:v>19.693473605280744</c:v>
                </c:pt>
                <c:pt idx="8">
                  <c:v>21.48839969948763</c:v>
                </c:pt>
                <c:pt idx="9">
                  <c:v>20.92211989289423</c:v>
                </c:pt>
                <c:pt idx="10">
                  <c:v>20.672952425966702</c:v>
                </c:pt>
                <c:pt idx="11">
                  <c:v>20.410469718814429</c:v>
                </c:pt>
                <c:pt idx="12">
                  <c:v>19.568052420805738</c:v>
                </c:pt>
                <c:pt idx="13">
                  <c:v>19.762557481600759</c:v>
                </c:pt>
                <c:pt idx="14">
                  <c:v>19.440574007325068</c:v>
                </c:pt>
                <c:pt idx="15">
                  <c:v>19.85026048714079</c:v>
                </c:pt>
                <c:pt idx="16">
                  <c:v>20.430257358876194</c:v>
                </c:pt>
                <c:pt idx="17">
                  <c:v>20.392242735985981</c:v>
                </c:pt>
                <c:pt idx="18">
                  <c:v>20.55563422847197</c:v>
                </c:pt>
                <c:pt idx="19">
                  <c:v>19.824695774360624</c:v>
                </c:pt>
                <c:pt idx="20">
                  <c:v>20.232939732219201</c:v>
                </c:pt>
                <c:pt idx="21">
                  <c:v>20.839722658276969</c:v>
                </c:pt>
                <c:pt idx="22">
                  <c:v>20.622603474634936</c:v>
                </c:pt>
                <c:pt idx="23">
                  <c:v>21.500101887249123</c:v>
                </c:pt>
                <c:pt idx="24">
                  <c:v>21.502979096333561</c:v>
                </c:pt>
                <c:pt idx="25">
                  <c:v>21.510732088336219</c:v>
                </c:pt>
                <c:pt idx="26">
                  <c:v>22.102414991446903</c:v>
                </c:pt>
                <c:pt idx="27">
                  <c:v>22.183566873443617</c:v>
                </c:pt>
                <c:pt idx="28">
                  <c:v>21.195509719926651</c:v>
                </c:pt>
                <c:pt idx="29">
                  <c:v>21.976587270536818</c:v>
                </c:pt>
                <c:pt idx="30">
                  <c:v>22.074897456482457</c:v>
                </c:pt>
                <c:pt idx="31">
                  <c:v>21.587297998998061</c:v>
                </c:pt>
                <c:pt idx="32">
                  <c:v>22.719352622367307</c:v>
                </c:pt>
                <c:pt idx="33">
                  <c:v>21.923431169963806</c:v>
                </c:pt>
                <c:pt idx="34">
                  <c:v>21.609139576461907</c:v>
                </c:pt>
                <c:pt idx="35">
                  <c:v>23.339389573730092</c:v>
                </c:pt>
                <c:pt idx="36">
                  <c:v>23.069498660803241</c:v>
                </c:pt>
                <c:pt idx="37">
                  <c:v>23.312150196150544</c:v>
                </c:pt>
                <c:pt idx="38">
                  <c:v>23.63722758015075</c:v>
                </c:pt>
                <c:pt idx="39">
                  <c:v>23.607258016255383</c:v>
                </c:pt>
                <c:pt idx="40">
                  <c:v>23.622853222028219</c:v>
                </c:pt>
                <c:pt idx="41">
                  <c:v>23.722782502704788</c:v>
                </c:pt>
                <c:pt idx="42">
                  <c:v>23.650079754203553</c:v>
                </c:pt>
                <c:pt idx="43">
                  <c:v>22.508070887802369</c:v>
                </c:pt>
                <c:pt idx="44">
                  <c:v>22.055447777705183</c:v>
                </c:pt>
                <c:pt idx="45">
                  <c:v>22.334599461456644</c:v>
                </c:pt>
                <c:pt idx="46">
                  <c:v>21.77749988240301</c:v>
                </c:pt>
                <c:pt idx="47">
                  <c:v>22.769461911691888</c:v>
                </c:pt>
                <c:pt idx="48">
                  <c:v>22.208691684086972</c:v>
                </c:pt>
                <c:pt idx="49">
                  <c:v>22.195653220878665</c:v>
                </c:pt>
                <c:pt idx="50">
                  <c:v>22.546479739229049</c:v>
                </c:pt>
                <c:pt idx="51">
                  <c:v>22.421497289111485</c:v>
                </c:pt>
                <c:pt idx="52">
                  <c:v>21.363051551873326</c:v>
                </c:pt>
                <c:pt idx="53">
                  <c:v>22.267276955970893</c:v>
                </c:pt>
                <c:pt idx="54">
                  <c:v>22.239396624525938</c:v>
                </c:pt>
                <c:pt idx="55">
                  <c:v>22.164642089382934</c:v>
                </c:pt>
                <c:pt idx="56">
                  <c:v>22.220174917709734</c:v>
                </c:pt>
                <c:pt idx="57">
                  <c:v>22.447224424435412</c:v>
                </c:pt>
                <c:pt idx="58">
                  <c:v>21.998652001382695</c:v>
                </c:pt>
                <c:pt idx="59">
                  <c:v>20.586124284666969</c:v>
                </c:pt>
                <c:pt idx="60">
                  <c:v>19.316924932328991</c:v>
                </c:pt>
                <c:pt idx="61">
                  <c:v>18</c:v>
                </c:pt>
                <c:pt idx="62">
                  <c:v>18.160846417655058</c:v>
                </c:pt>
                <c:pt idx="63">
                  <c:v>18.171802450417466</c:v>
                </c:pt>
                <c:pt idx="64">
                  <c:v>19.650294321460603</c:v>
                </c:pt>
                <c:pt idx="65">
                  <c:v>18.968128102184465</c:v>
                </c:pt>
                <c:pt idx="66">
                  <c:v>18.431694888974256</c:v>
                </c:pt>
                <c:pt idx="67">
                  <c:v>18.593153811783644</c:v>
                </c:pt>
                <c:pt idx="68">
                  <c:v>19.645674559034624</c:v>
                </c:pt>
                <c:pt idx="69">
                  <c:v>19.160118141687384</c:v>
                </c:pt>
                <c:pt idx="70">
                  <c:v>19.571699993904545</c:v>
                </c:pt>
                <c:pt idx="71">
                  <c:v>20.18730495938955</c:v>
                </c:pt>
                <c:pt idx="72">
                  <c:v>18.413240552492937</c:v>
                </c:pt>
                <c:pt idx="73">
                  <c:v>17.690710421164209</c:v>
                </c:pt>
                <c:pt idx="74">
                  <c:v>17.487896801706775</c:v>
                </c:pt>
                <c:pt idx="75">
                  <c:v>17.045725505514966</c:v>
                </c:pt>
                <c:pt idx="76">
                  <c:v>17.286838344330498</c:v>
                </c:pt>
              </c:numCache>
            </c:numRef>
          </c:val>
          <c:smooth val="1"/>
          <c:extLst>
            <c:ext xmlns:c16="http://schemas.microsoft.com/office/drawing/2014/chart" uri="{C3380CC4-5D6E-409C-BE32-E72D297353CC}">
              <c16:uniqueId val="{00000002-AB6A-49B5-A833-54ABEAE81D63}"/>
            </c:ext>
          </c:extLst>
        </c:ser>
        <c:dLbls>
          <c:showLegendKey val="0"/>
          <c:showVal val="0"/>
          <c:showCatName val="0"/>
          <c:showSerName val="0"/>
          <c:showPercent val="0"/>
          <c:showBubbleSize val="0"/>
        </c:dLbls>
        <c:smooth val="0"/>
        <c:axId val="1484274703"/>
        <c:axId val="1484272207"/>
      </c:lineChart>
      <c:dateAx>
        <c:axId val="1484274703"/>
        <c:scaling>
          <c:orientation val="minMax"/>
          <c:min val="40238"/>
        </c:scaling>
        <c:delete val="0"/>
        <c:axPos val="b"/>
        <c:numFmt formatCode="mmm\-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CO"/>
          </a:p>
        </c:txPr>
        <c:crossAx val="1484272207"/>
        <c:crosses val="autoZero"/>
        <c:auto val="1"/>
        <c:lblOffset val="100"/>
        <c:baseTimeUnit val="months"/>
      </c:dateAx>
      <c:valAx>
        <c:axId val="1484272207"/>
        <c:scaling>
          <c:orientation val="minMax"/>
          <c:min val="16"/>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t>Participación de la inversión en el PIB (%)</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s-CO"/>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CO"/>
          </a:p>
        </c:txPr>
        <c:crossAx val="1484274703"/>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a:solidFill>
            <a:sysClr val="windowText" lastClr="000000"/>
          </a:solidFill>
        </a:defRPr>
      </a:pPr>
      <a:endParaRPr lang="es-CO"/>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560585077619067"/>
          <c:y val="3.2214054966816626E-2"/>
          <c:w val="0.78439606167319553"/>
          <c:h val="0.73734783026200645"/>
        </c:manualLayout>
      </c:layout>
      <c:lineChart>
        <c:grouping val="standard"/>
        <c:varyColors val="0"/>
        <c:ser>
          <c:idx val="1"/>
          <c:order val="0"/>
          <c:tx>
            <c:strRef>
              <c:f>'Deficit, deuda y balance primar'!$C$4</c:f>
              <c:strCache>
                <c:ptCount val="1"/>
                <c:pt idx="0">
                  <c:v>MFMP 2022</c:v>
                </c:pt>
              </c:strCache>
            </c:strRef>
          </c:tx>
          <c:spPr>
            <a:ln w="28575" cap="rnd">
              <a:solidFill>
                <a:srgbClr val="C00000"/>
              </a:solidFill>
              <a:round/>
            </a:ln>
            <a:effectLst/>
          </c:spPr>
          <c:marker>
            <c:symbol val="none"/>
          </c:marker>
          <c:dLbls>
            <c:dLbl>
              <c:idx val="3"/>
              <c:delete val="1"/>
              <c:extLst>
                <c:ext xmlns:c15="http://schemas.microsoft.com/office/drawing/2012/chart" uri="{CE6537A1-D6FC-4f65-9D91-7224C49458BB}"/>
                <c:ext xmlns:c16="http://schemas.microsoft.com/office/drawing/2014/chart" uri="{C3380CC4-5D6E-409C-BE32-E72D297353CC}">
                  <c16:uniqueId val="{00000000-2ECC-4080-BD29-2B0921E1028B}"/>
                </c:ext>
              </c:extLst>
            </c:dLbl>
            <c:dLbl>
              <c:idx val="7"/>
              <c:layout>
                <c:manualLayout>
                  <c:x val="-1.5515389238990989E-2"/>
                  <c:y val="6.9374362467908238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ECC-4080-BD29-2B0921E1028B}"/>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C00000"/>
                    </a:solidFill>
                    <a:latin typeface="+mn-lt"/>
                    <a:ea typeface="+mn-ea"/>
                    <a:cs typeface="+mn-cs"/>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'Deficit, deuda y balance primar'!$A$5:$A$12</c:f>
              <c:numCache>
                <c:formatCode>General</c:formatCode>
                <c:ptCount val="8"/>
                <c:pt idx="0">
                  <c:v>2019</c:v>
                </c:pt>
                <c:pt idx="1">
                  <c:v>2020</c:v>
                </c:pt>
                <c:pt idx="2">
                  <c:v>2021</c:v>
                </c:pt>
                <c:pt idx="3">
                  <c:v>2022</c:v>
                </c:pt>
                <c:pt idx="4">
                  <c:v>2023</c:v>
                </c:pt>
                <c:pt idx="5">
                  <c:v>2024</c:v>
                </c:pt>
                <c:pt idx="6">
                  <c:v>2025</c:v>
                </c:pt>
                <c:pt idx="7">
                  <c:v>2026</c:v>
                </c:pt>
              </c:numCache>
            </c:numRef>
          </c:cat>
          <c:val>
            <c:numRef>
              <c:f>'Deficit, deuda y balance primar'!$C$5:$C$12</c:f>
              <c:numCache>
                <c:formatCode>General</c:formatCode>
                <c:ptCount val="8"/>
                <c:pt idx="3" formatCode="0.0">
                  <c:v>-5.3</c:v>
                </c:pt>
                <c:pt idx="4">
                  <c:v>-3.6</c:v>
                </c:pt>
                <c:pt idx="5" formatCode="0.0">
                  <c:v>-2</c:v>
                </c:pt>
                <c:pt idx="6" formatCode="0.0">
                  <c:v>-2.2999999999999998</c:v>
                </c:pt>
                <c:pt idx="7" formatCode="0.0">
                  <c:v>-3.3</c:v>
                </c:pt>
              </c:numCache>
            </c:numRef>
          </c:val>
          <c:smooth val="0"/>
          <c:extLst>
            <c:ext xmlns:c16="http://schemas.microsoft.com/office/drawing/2014/chart" uri="{C3380CC4-5D6E-409C-BE32-E72D297353CC}">
              <c16:uniqueId val="{00000002-2ECC-4080-BD29-2B0921E1028B}"/>
            </c:ext>
          </c:extLst>
        </c:ser>
        <c:ser>
          <c:idx val="2"/>
          <c:order val="1"/>
          <c:tx>
            <c:strRef>
              <c:f>'Deficit, deuda y balance primar'!$D$4</c:f>
              <c:strCache>
                <c:ptCount val="1"/>
                <c:pt idx="0">
                  <c:v>MFMP 2023</c:v>
                </c:pt>
              </c:strCache>
            </c:strRef>
          </c:tx>
          <c:spPr>
            <a:ln w="28575" cap="rnd">
              <a:solidFill>
                <a:srgbClr val="00B0F0"/>
              </a:solidFill>
              <a:round/>
            </a:ln>
            <a:effectLst/>
          </c:spPr>
          <c:marker>
            <c:symbol val="none"/>
          </c:marker>
          <c:dPt>
            <c:idx val="1"/>
            <c:marker>
              <c:symbol val="none"/>
            </c:marker>
            <c:bubble3D val="0"/>
            <c:spPr>
              <a:ln w="28575" cap="rnd">
                <a:solidFill>
                  <a:srgbClr val="C00000"/>
                </a:solidFill>
                <a:round/>
              </a:ln>
              <a:effectLst/>
            </c:spPr>
            <c:extLst>
              <c:ext xmlns:c16="http://schemas.microsoft.com/office/drawing/2014/chart" uri="{C3380CC4-5D6E-409C-BE32-E72D297353CC}">
                <c16:uniqueId val="{00000004-2ECC-4080-BD29-2B0921E1028B}"/>
              </c:ext>
            </c:extLst>
          </c:dPt>
          <c:dPt>
            <c:idx val="2"/>
            <c:marker>
              <c:symbol val="none"/>
            </c:marker>
            <c:bubble3D val="0"/>
            <c:spPr>
              <a:ln w="28575" cap="rnd">
                <a:solidFill>
                  <a:srgbClr val="C00000"/>
                </a:solidFill>
                <a:round/>
              </a:ln>
              <a:effectLst/>
            </c:spPr>
            <c:extLst>
              <c:ext xmlns:c16="http://schemas.microsoft.com/office/drawing/2014/chart" uri="{C3380CC4-5D6E-409C-BE32-E72D297353CC}">
                <c16:uniqueId val="{00000006-2ECC-4080-BD29-2B0921E1028B}"/>
              </c:ext>
            </c:extLst>
          </c:dPt>
          <c:dPt>
            <c:idx val="3"/>
            <c:marker>
              <c:symbol val="none"/>
            </c:marker>
            <c:bubble3D val="0"/>
            <c:spPr>
              <a:ln w="28575" cap="rnd">
                <a:solidFill>
                  <a:srgbClr val="C00000"/>
                </a:solidFill>
                <a:round/>
              </a:ln>
              <a:effectLst/>
            </c:spPr>
            <c:extLst>
              <c:ext xmlns:c16="http://schemas.microsoft.com/office/drawing/2014/chart" uri="{C3380CC4-5D6E-409C-BE32-E72D297353CC}">
                <c16:uniqueId val="{00000008-2ECC-4080-BD29-2B0921E1028B}"/>
              </c:ext>
            </c:extLst>
          </c:dPt>
          <c:dLbls>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C00000"/>
                      </a:solidFill>
                      <a:latin typeface="+mn-lt"/>
                      <a:ea typeface="+mn-ea"/>
                      <a:cs typeface="+mn-cs"/>
                    </a:defRPr>
                  </a:pPr>
                  <a:endParaRPr lang="es-CO"/>
                </a:p>
              </c:txPr>
              <c:dLblPos val="t"/>
              <c:showLegendKey val="0"/>
              <c:showVal val="1"/>
              <c:showCatName val="0"/>
              <c:showSerName val="0"/>
              <c:showPercent val="0"/>
              <c:showBubbleSize val="0"/>
              <c:extLst>
                <c:ext xmlns:c16="http://schemas.microsoft.com/office/drawing/2014/chart" uri="{C3380CC4-5D6E-409C-BE32-E72D297353CC}">
                  <c16:uniqueId val="{00000009-2ECC-4080-BD29-2B0921E1028B}"/>
                </c:ext>
              </c:extLst>
            </c:dLbl>
            <c:dLbl>
              <c:idx val="1"/>
              <c:layout>
                <c:manualLayout>
                  <c:x val="-3.4446361519152348E-2"/>
                  <c:y val="-5.7587421927495844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C00000"/>
                      </a:solidFill>
                      <a:latin typeface="+mn-lt"/>
                      <a:ea typeface="+mn-ea"/>
                      <a:cs typeface="+mn-cs"/>
                    </a:defRPr>
                  </a:pPr>
                  <a:endParaRPr lang="es-CO"/>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ECC-4080-BD29-2B0921E1028B}"/>
                </c:ext>
              </c:extLst>
            </c:dLbl>
            <c:dLbl>
              <c:idx val="2"/>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C00000"/>
                      </a:solidFill>
                      <a:latin typeface="+mn-lt"/>
                      <a:ea typeface="+mn-ea"/>
                      <a:cs typeface="+mn-cs"/>
                    </a:defRPr>
                  </a:pPr>
                  <a:endParaRPr lang="es-CO"/>
                </a:p>
              </c:txPr>
              <c:dLblPos val="t"/>
              <c:showLegendKey val="0"/>
              <c:showVal val="1"/>
              <c:showCatName val="0"/>
              <c:showSerName val="0"/>
              <c:showPercent val="0"/>
              <c:showBubbleSize val="0"/>
              <c:extLst>
                <c:ext xmlns:c16="http://schemas.microsoft.com/office/drawing/2014/chart" uri="{C3380CC4-5D6E-409C-BE32-E72D297353CC}">
                  <c16:uniqueId val="{00000006-2ECC-4080-BD29-2B0921E1028B}"/>
                </c:ext>
              </c:extLst>
            </c:dLbl>
            <c:dLbl>
              <c:idx val="3"/>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C00000"/>
                      </a:solidFill>
                      <a:latin typeface="+mn-lt"/>
                      <a:ea typeface="+mn-ea"/>
                      <a:cs typeface="+mn-cs"/>
                    </a:defRPr>
                  </a:pPr>
                  <a:endParaRPr lang="es-CO"/>
                </a:p>
              </c:txPr>
              <c:dLblPos val="t"/>
              <c:showLegendKey val="0"/>
              <c:showVal val="1"/>
              <c:showCatName val="0"/>
              <c:showSerName val="0"/>
              <c:showPercent val="0"/>
              <c:showBubbleSize val="0"/>
              <c:extLst>
                <c:ext xmlns:c16="http://schemas.microsoft.com/office/drawing/2014/chart" uri="{C3380CC4-5D6E-409C-BE32-E72D297353CC}">
                  <c16:uniqueId val="{00000008-2ECC-4080-BD29-2B0921E1028B}"/>
                </c:ext>
              </c:extLst>
            </c:dLbl>
            <c:dLbl>
              <c:idx val="4"/>
              <c:layout>
                <c:manualLayout>
                  <c:x val="-6.956402748651401E-2"/>
                  <c:y val="5.768735429810404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2ECC-4080-BD29-2B0921E1028B}"/>
                </c:ext>
              </c:extLst>
            </c:dLbl>
            <c:dLbl>
              <c:idx val="5"/>
              <c:layout>
                <c:manualLayout>
                  <c:x val="-4.9752427397424165E-2"/>
                  <c:y val="-2.698492801357116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2ECC-4080-BD29-2B0921E1028B}"/>
                </c:ext>
              </c:extLst>
            </c:dLbl>
            <c:dLbl>
              <c:idx val="6"/>
              <c:layout>
                <c:manualLayout>
                  <c:x val="-4.9752427397424165E-2"/>
                  <c:y val="-2.698492801357116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2ECC-4080-BD29-2B0921E1028B}"/>
                </c:ext>
              </c:extLst>
            </c:dLbl>
            <c:dLbl>
              <c:idx val="7"/>
              <c:layout>
                <c:manualLayout>
                  <c:x val="-9.9717624237260251E-3"/>
                  <c:y val="-2.2665794580139678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2ECC-4080-BD29-2B0921E1028B}"/>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00B0F0"/>
                    </a:solidFill>
                    <a:latin typeface="+mn-lt"/>
                    <a:ea typeface="+mn-ea"/>
                    <a:cs typeface="+mn-cs"/>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'Deficit, deuda y balance primar'!$A$5:$A$12</c:f>
              <c:numCache>
                <c:formatCode>General</c:formatCode>
                <c:ptCount val="8"/>
                <c:pt idx="0">
                  <c:v>2019</c:v>
                </c:pt>
                <c:pt idx="1">
                  <c:v>2020</c:v>
                </c:pt>
                <c:pt idx="2">
                  <c:v>2021</c:v>
                </c:pt>
                <c:pt idx="3">
                  <c:v>2022</c:v>
                </c:pt>
                <c:pt idx="4">
                  <c:v>2023</c:v>
                </c:pt>
                <c:pt idx="5">
                  <c:v>2024</c:v>
                </c:pt>
                <c:pt idx="6">
                  <c:v>2025</c:v>
                </c:pt>
                <c:pt idx="7">
                  <c:v>2026</c:v>
                </c:pt>
              </c:numCache>
            </c:numRef>
          </c:cat>
          <c:val>
            <c:numRef>
              <c:f>'Deficit, deuda y balance primar'!$D$5:$D$12</c:f>
              <c:numCache>
                <c:formatCode>0.0</c:formatCode>
                <c:ptCount val="8"/>
                <c:pt idx="0">
                  <c:v>-2.5</c:v>
                </c:pt>
                <c:pt idx="1">
                  <c:v>-7.8</c:v>
                </c:pt>
                <c:pt idx="2">
                  <c:v>-7</c:v>
                </c:pt>
                <c:pt idx="3">
                  <c:v>-5.3</c:v>
                </c:pt>
                <c:pt idx="4">
                  <c:v>-4.3</c:v>
                </c:pt>
                <c:pt idx="5">
                  <c:v>-3.5</c:v>
                </c:pt>
                <c:pt idx="6">
                  <c:v>-3.2</c:v>
                </c:pt>
                <c:pt idx="7">
                  <c:v>-2.9</c:v>
                </c:pt>
              </c:numCache>
            </c:numRef>
          </c:val>
          <c:smooth val="0"/>
          <c:extLst>
            <c:ext xmlns:c16="http://schemas.microsoft.com/office/drawing/2014/chart" uri="{C3380CC4-5D6E-409C-BE32-E72D297353CC}">
              <c16:uniqueId val="{0000000E-2ECC-4080-BD29-2B0921E1028B}"/>
            </c:ext>
          </c:extLst>
        </c:ser>
        <c:ser>
          <c:idx val="3"/>
          <c:order val="2"/>
          <c:tx>
            <c:strRef>
              <c:f>'Deficit, deuda y balance primar'!$E$4</c:f>
              <c:strCache>
                <c:ptCount val="1"/>
                <c:pt idx="0">
                  <c:v>MFMP 2024</c:v>
                </c:pt>
              </c:strCache>
            </c:strRef>
          </c:tx>
          <c:spPr>
            <a:ln w="28575" cap="rnd">
              <a:solidFill>
                <a:srgbClr val="002060"/>
              </a:solidFill>
              <a:round/>
            </a:ln>
            <a:effectLst/>
          </c:spPr>
          <c:marker>
            <c:symbol val="none"/>
          </c:marker>
          <c:dLbls>
            <c:dLbl>
              <c:idx val="4"/>
              <c:delete val="1"/>
              <c:extLst>
                <c:ext xmlns:c15="http://schemas.microsoft.com/office/drawing/2012/chart" uri="{CE6537A1-D6FC-4f65-9D91-7224C49458BB}"/>
                <c:ext xmlns:c16="http://schemas.microsoft.com/office/drawing/2014/chart" uri="{C3380CC4-5D6E-409C-BE32-E72D297353CC}">
                  <c16:uniqueId val="{0000000F-2ECC-4080-BD29-2B0921E1028B}"/>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002060"/>
                    </a:solidFill>
                    <a:latin typeface="+mn-lt"/>
                    <a:ea typeface="+mn-ea"/>
                    <a:cs typeface="+mn-cs"/>
                  </a:defRPr>
                </a:pPr>
                <a:endParaRPr lang="es-CO"/>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'Deficit, deuda y balance primar'!$A$5:$A$12</c:f>
              <c:numCache>
                <c:formatCode>General</c:formatCode>
                <c:ptCount val="8"/>
                <c:pt idx="0">
                  <c:v>2019</c:v>
                </c:pt>
                <c:pt idx="1">
                  <c:v>2020</c:v>
                </c:pt>
                <c:pt idx="2">
                  <c:v>2021</c:v>
                </c:pt>
                <c:pt idx="3">
                  <c:v>2022</c:v>
                </c:pt>
                <c:pt idx="4">
                  <c:v>2023</c:v>
                </c:pt>
                <c:pt idx="5">
                  <c:v>2024</c:v>
                </c:pt>
                <c:pt idx="6">
                  <c:v>2025</c:v>
                </c:pt>
                <c:pt idx="7">
                  <c:v>2026</c:v>
                </c:pt>
              </c:numCache>
            </c:numRef>
          </c:cat>
          <c:val>
            <c:numRef>
              <c:f>'Deficit, deuda y balance primar'!$E$5:$E$12</c:f>
              <c:numCache>
                <c:formatCode>General</c:formatCode>
                <c:ptCount val="8"/>
                <c:pt idx="4">
                  <c:v>-4.3</c:v>
                </c:pt>
                <c:pt idx="5">
                  <c:v>-5.6</c:v>
                </c:pt>
                <c:pt idx="6">
                  <c:v>-5.0999999999999996</c:v>
                </c:pt>
                <c:pt idx="7">
                  <c:v>-4.3</c:v>
                </c:pt>
              </c:numCache>
            </c:numRef>
          </c:val>
          <c:smooth val="0"/>
          <c:extLst>
            <c:ext xmlns:c16="http://schemas.microsoft.com/office/drawing/2014/chart" uri="{C3380CC4-5D6E-409C-BE32-E72D297353CC}">
              <c16:uniqueId val="{00000010-2ECC-4080-BD29-2B0921E1028B}"/>
            </c:ext>
          </c:extLst>
        </c:ser>
        <c:dLbls>
          <c:showLegendKey val="0"/>
          <c:showVal val="0"/>
          <c:showCatName val="0"/>
          <c:showSerName val="0"/>
          <c:showPercent val="0"/>
          <c:showBubbleSize val="0"/>
        </c:dLbls>
        <c:smooth val="0"/>
        <c:axId val="1112902191"/>
        <c:axId val="1112902607"/>
      </c:lineChart>
      <c:catAx>
        <c:axId val="1112902191"/>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CO"/>
          </a:p>
        </c:txPr>
        <c:crossAx val="1112902607"/>
        <c:crosses val="autoZero"/>
        <c:auto val="1"/>
        <c:lblAlgn val="ctr"/>
        <c:lblOffset val="100"/>
        <c:noMultiLvlLbl val="0"/>
      </c:catAx>
      <c:valAx>
        <c:axId val="1112902607"/>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 del PIB</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s-CO"/>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CO"/>
          </a:p>
        </c:txPr>
        <c:crossAx val="111290219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CO"/>
        </a:p>
      </c:txPr>
    </c:legend>
    <c:plotVisOnly val="1"/>
    <c:dispBlanksAs val="gap"/>
    <c:showDLblsOverMax val="0"/>
  </c:chart>
  <c:spPr>
    <a:noFill/>
    <a:ln w="9525" cap="flat" cmpd="sng" algn="ctr">
      <a:noFill/>
      <a:round/>
    </a:ln>
    <a:effectLst/>
  </c:spPr>
  <c:txPr>
    <a:bodyPr/>
    <a:lstStyle/>
    <a:p>
      <a:pPr>
        <a:defRPr/>
      </a:pPr>
      <a:endParaRPr lang="es-C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25303560539781"/>
          <c:y val="5.783385909568875E-2"/>
          <c:w val="0.71645954293592107"/>
          <c:h val="0.6999296223618735"/>
        </c:manualLayout>
      </c:layout>
      <c:lineChart>
        <c:grouping val="standard"/>
        <c:varyColors val="0"/>
        <c:ser>
          <c:idx val="1"/>
          <c:order val="0"/>
          <c:tx>
            <c:strRef>
              <c:f>'Deficit, deuda y balance primar'!$M$4</c:f>
              <c:strCache>
                <c:ptCount val="1"/>
                <c:pt idx="0">
                  <c:v>MFMP 2022</c:v>
                </c:pt>
              </c:strCache>
            </c:strRef>
          </c:tx>
          <c:spPr>
            <a:ln w="28575" cap="rnd">
              <a:solidFill>
                <a:srgbClr val="C00000"/>
              </a:solidFill>
              <a:round/>
            </a:ln>
            <a:effectLst/>
          </c:spPr>
          <c:marker>
            <c:symbol val="none"/>
          </c:marker>
          <c:dLbls>
            <c:dLbl>
              <c:idx val="3"/>
              <c:delete val="1"/>
              <c:extLst>
                <c:ext xmlns:c15="http://schemas.microsoft.com/office/drawing/2012/chart" uri="{CE6537A1-D6FC-4f65-9D91-7224C49458BB}"/>
                <c:ext xmlns:c16="http://schemas.microsoft.com/office/drawing/2014/chart" uri="{C3380CC4-5D6E-409C-BE32-E72D297353CC}">
                  <c16:uniqueId val="{00000000-7527-4A36-BB49-FE395B978AAC}"/>
                </c:ext>
              </c:extLst>
            </c:dLbl>
            <c:dLbl>
              <c:idx val="7"/>
              <c:layout>
                <c:manualLayout>
                  <c:x val="-1.2918687641025679E-2"/>
                  <c:y val="1.76140880816736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527-4A36-BB49-FE395B978AAC}"/>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C00000"/>
                    </a:solidFill>
                    <a:latin typeface="+mn-lt"/>
                    <a:ea typeface="+mn-ea"/>
                    <a:cs typeface="+mn-cs"/>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'Deficit, deuda y balance primar'!$A$5:$A$12</c:f>
              <c:numCache>
                <c:formatCode>General</c:formatCode>
                <c:ptCount val="8"/>
                <c:pt idx="0">
                  <c:v>2019</c:v>
                </c:pt>
                <c:pt idx="1">
                  <c:v>2020</c:v>
                </c:pt>
                <c:pt idx="2">
                  <c:v>2021</c:v>
                </c:pt>
                <c:pt idx="3">
                  <c:v>2022</c:v>
                </c:pt>
                <c:pt idx="4">
                  <c:v>2023</c:v>
                </c:pt>
                <c:pt idx="5">
                  <c:v>2024</c:v>
                </c:pt>
                <c:pt idx="6">
                  <c:v>2025</c:v>
                </c:pt>
                <c:pt idx="7">
                  <c:v>2026</c:v>
                </c:pt>
              </c:numCache>
            </c:numRef>
          </c:cat>
          <c:val>
            <c:numRef>
              <c:f>'Deficit, deuda y balance primar'!$M$5:$M$12</c:f>
              <c:numCache>
                <c:formatCode>General</c:formatCode>
                <c:ptCount val="8"/>
                <c:pt idx="3" formatCode="0.0">
                  <c:v>-1</c:v>
                </c:pt>
                <c:pt idx="4">
                  <c:v>0.1</c:v>
                </c:pt>
                <c:pt idx="5" formatCode="0.0">
                  <c:v>1.2</c:v>
                </c:pt>
                <c:pt idx="6" formatCode="0.0">
                  <c:v>0.9</c:v>
                </c:pt>
                <c:pt idx="7" formatCode="0.0">
                  <c:v>-0.1</c:v>
                </c:pt>
              </c:numCache>
            </c:numRef>
          </c:val>
          <c:smooth val="0"/>
          <c:extLst>
            <c:ext xmlns:c16="http://schemas.microsoft.com/office/drawing/2014/chart" uri="{C3380CC4-5D6E-409C-BE32-E72D297353CC}">
              <c16:uniqueId val="{00000002-7527-4A36-BB49-FE395B978AAC}"/>
            </c:ext>
          </c:extLst>
        </c:ser>
        <c:ser>
          <c:idx val="2"/>
          <c:order val="1"/>
          <c:tx>
            <c:strRef>
              <c:f>'Deficit, deuda y balance primar'!$N$4</c:f>
              <c:strCache>
                <c:ptCount val="1"/>
                <c:pt idx="0">
                  <c:v>MFMP 2023</c:v>
                </c:pt>
              </c:strCache>
            </c:strRef>
          </c:tx>
          <c:spPr>
            <a:ln w="28575" cap="rnd">
              <a:solidFill>
                <a:srgbClr val="00B0F0"/>
              </a:solidFill>
              <a:round/>
            </a:ln>
            <a:effectLst/>
          </c:spPr>
          <c:marker>
            <c:symbol val="none"/>
          </c:marker>
          <c:dPt>
            <c:idx val="0"/>
            <c:marker>
              <c:symbol val="none"/>
            </c:marker>
            <c:bubble3D val="0"/>
            <c:spPr>
              <a:ln w="28575" cap="rnd">
                <a:solidFill>
                  <a:srgbClr val="C00000"/>
                </a:solidFill>
                <a:round/>
              </a:ln>
              <a:effectLst/>
            </c:spPr>
            <c:extLst>
              <c:ext xmlns:c16="http://schemas.microsoft.com/office/drawing/2014/chart" uri="{C3380CC4-5D6E-409C-BE32-E72D297353CC}">
                <c16:uniqueId val="{00000004-7527-4A36-BB49-FE395B978AAC}"/>
              </c:ext>
            </c:extLst>
          </c:dPt>
          <c:dPt>
            <c:idx val="1"/>
            <c:marker>
              <c:symbol val="none"/>
            </c:marker>
            <c:bubble3D val="0"/>
            <c:spPr>
              <a:ln w="28575" cap="rnd">
                <a:solidFill>
                  <a:srgbClr val="C00000"/>
                </a:solidFill>
                <a:round/>
              </a:ln>
              <a:effectLst/>
            </c:spPr>
            <c:extLst>
              <c:ext xmlns:c16="http://schemas.microsoft.com/office/drawing/2014/chart" uri="{C3380CC4-5D6E-409C-BE32-E72D297353CC}">
                <c16:uniqueId val="{00000006-7527-4A36-BB49-FE395B978AAC}"/>
              </c:ext>
            </c:extLst>
          </c:dPt>
          <c:dPt>
            <c:idx val="2"/>
            <c:marker>
              <c:symbol val="none"/>
            </c:marker>
            <c:bubble3D val="0"/>
            <c:spPr>
              <a:ln w="28575" cap="rnd">
                <a:solidFill>
                  <a:srgbClr val="C00000"/>
                </a:solidFill>
                <a:round/>
              </a:ln>
              <a:effectLst/>
            </c:spPr>
            <c:extLst>
              <c:ext xmlns:c16="http://schemas.microsoft.com/office/drawing/2014/chart" uri="{C3380CC4-5D6E-409C-BE32-E72D297353CC}">
                <c16:uniqueId val="{00000008-7527-4A36-BB49-FE395B978AAC}"/>
              </c:ext>
            </c:extLst>
          </c:dPt>
          <c:dPt>
            <c:idx val="3"/>
            <c:marker>
              <c:symbol val="none"/>
            </c:marker>
            <c:bubble3D val="0"/>
            <c:spPr>
              <a:ln w="28575" cap="rnd">
                <a:solidFill>
                  <a:srgbClr val="C00000"/>
                </a:solidFill>
                <a:round/>
              </a:ln>
              <a:effectLst/>
            </c:spPr>
            <c:extLst>
              <c:ext xmlns:c16="http://schemas.microsoft.com/office/drawing/2014/chart" uri="{C3380CC4-5D6E-409C-BE32-E72D297353CC}">
                <c16:uniqueId val="{0000000A-7527-4A36-BB49-FE395B978AAC}"/>
              </c:ext>
            </c:extLst>
          </c:dPt>
          <c:dLbls>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C00000"/>
                      </a:solidFill>
                      <a:latin typeface="+mn-lt"/>
                      <a:ea typeface="+mn-ea"/>
                      <a:cs typeface="+mn-cs"/>
                    </a:defRPr>
                  </a:pPr>
                  <a:endParaRPr lang="es-CO"/>
                </a:p>
              </c:txPr>
              <c:dLblPos val="t"/>
              <c:showLegendKey val="0"/>
              <c:showVal val="1"/>
              <c:showCatName val="0"/>
              <c:showSerName val="0"/>
              <c:showPercent val="0"/>
              <c:showBubbleSize val="0"/>
              <c:extLst>
                <c:ext xmlns:c16="http://schemas.microsoft.com/office/drawing/2014/chart" uri="{C3380CC4-5D6E-409C-BE32-E72D297353CC}">
                  <c16:uniqueId val="{00000004-7527-4A36-BB49-FE395B978AAC}"/>
                </c:ext>
              </c:extLst>
            </c:dLbl>
            <c:dLbl>
              <c:idx val="1"/>
              <c:layout>
                <c:manualLayout>
                  <c:x val="-3.7689896500050904E-2"/>
                  <c:y val="3.915147702656771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C00000"/>
                      </a:solidFill>
                      <a:latin typeface="+mn-lt"/>
                      <a:ea typeface="+mn-ea"/>
                      <a:cs typeface="+mn-cs"/>
                    </a:defRPr>
                  </a:pPr>
                  <a:endParaRPr lang="es-CO"/>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527-4A36-BB49-FE395B978AAC}"/>
                </c:ext>
              </c:extLst>
            </c:dLbl>
            <c:dLbl>
              <c:idx val="2"/>
              <c:layout>
                <c:manualLayout>
                  <c:x val="-6.7600710244363579E-2"/>
                  <c:y val="-5.1416004690422769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C00000"/>
                      </a:solidFill>
                      <a:latin typeface="+mn-lt"/>
                      <a:ea typeface="+mn-ea"/>
                      <a:cs typeface="+mn-cs"/>
                    </a:defRPr>
                  </a:pPr>
                  <a:endParaRPr lang="es-CO"/>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527-4A36-BB49-FE395B978AAC}"/>
                </c:ext>
              </c:extLst>
            </c:dLbl>
            <c:dLbl>
              <c:idx val="3"/>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C00000"/>
                      </a:solidFill>
                      <a:latin typeface="+mn-lt"/>
                      <a:ea typeface="+mn-ea"/>
                      <a:cs typeface="+mn-cs"/>
                    </a:defRPr>
                  </a:pPr>
                  <a:endParaRPr lang="es-CO"/>
                </a:p>
              </c:txPr>
              <c:dLblPos val="t"/>
              <c:showLegendKey val="0"/>
              <c:showVal val="1"/>
              <c:showCatName val="0"/>
              <c:showSerName val="0"/>
              <c:showPercent val="0"/>
              <c:showBubbleSize val="0"/>
              <c:extLst>
                <c:ext xmlns:c16="http://schemas.microsoft.com/office/drawing/2014/chart" uri="{C3380CC4-5D6E-409C-BE32-E72D297353CC}">
                  <c16:uniqueId val="{0000000A-7527-4A36-BB49-FE395B978AAC}"/>
                </c:ext>
              </c:extLst>
            </c:dLbl>
            <c:dLbl>
              <c:idx val="4"/>
              <c:layout>
                <c:manualLayout>
                  <c:x val="-4.9373369376584389E-2"/>
                  <c:y val="4.522612519051218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527-4A36-BB49-FE395B978AAC}"/>
                </c:ext>
              </c:extLst>
            </c:dLbl>
            <c:dLbl>
              <c:idx val="6"/>
              <c:layout>
                <c:manualLayout>
                  <c:x val="-4.4824188685988128E-2"/>
                  <c:y val="3.602211282089934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7527-4A36-BB49-FE395B978AAC}"/>
                </c:ext>
              </c:extLst>
            </c:dLbl>
            <c:dLbl>
              <c:idx val="7"/>
              <c:layout>
                <c:manualLayout>
                  <c:x val="-5.331616805799755E-3"/>
                  <c:y val="8.4100757120608074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7527-4A36-BB49-FE395B978AAC}"/>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00B0F0"/>
                    </a:solidFill>
                    <a:latin typeface="+mn-lt"/>
                    <a:ea typeface="+mn-ea"/>
                    <a:cs typeface="+mn-cs"/>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'Deficit, deuda y balance primar'!$A$5:$A$12</c:f>
              <c:numCache>
                <c:formatCode>General</c:formatCode>
                <c:ptCount val="8"/>
                <c:pt idx="0">
                  <c:v>2019</c:v>
                </c:pt>
                <c:pt idx="1">
                  <c:v>2020</c:v>
                </c:pt>
                <c:pt idx="2">
                  <c:v>2021</c:v>
                </c:pt>
                <c:pt idx="3">
                  <c:v>2022</c:v>
                </c:pt>
                <c:pt idx="4">
                  <c:v>2023</c:v>
                </c:pt>
                <c:pt idx="5">
                  <c:v>2024</c:v>
                </c:pt>
                <c:pt idx="6">
                  <c:v>2025</c:v>
                </c:pt>
                <c:pt idx="7">
                  <c:v>2026</c:v>
                </c:pt>
              </c:numCache>
            </c:numRef>
          </c:cat>
          <c:val>
            <c:numRef>
              <c:f>'Deficit, deuda y balance primar'!$N$5:$N$12</c:f>
              <c:numCache>
                <c:formatCode>0.0</c:formatCode>
                <c:ptCount val="8"/>
                <c:pt idx="0">
                  <c:v>0.4</c:v>
                </c:pt>
                <c:pt idx="1">
                  <c:v>-5</c:v>
                </c:pt>
                <c:pt idx="2">
                  <c:v>-3.6</c:v>
                </c:pt>
                <c:pt idx="3">
                  <c:v>-1</c:v>
                </c:pt>
                <c:pt idx="4">
                  <c:v>-0.3</c:v>
                </c:pt>
                <c:pt idx="5">
                  <c:v>0</c:v>
                </c:pt>
                <c:pt idx="6">
                  <c:v>0.4</c:v>
                </c:pt>
                <c:pt idx="7">
                  <c:v>0.2</c:v>
                </c:pt>
              </c:numCache>
            </c:numRef>
          </c:val>
          <c:smooth val="0"/>
          <c:extLst>
            <c:ext xmlns:c16="http://schemas.microsoft.com/office/drawing/2014/chart" uri="{C3380CC4-5D6E-409C-BE32-E72D297353CC}">
              <c16:uniqueId val="{0000000E-7527-4A36-BB49-FE395B978AAC}"/>
            </c:ext>
          </c:extLst>
        </c:ser>
        <c:ser>
          <c:idx val="3"/>
          <c:order val="2"/>
          <c:tx>
            <c:strRef>
              <c:f>'Deficit, deuda y balance primar'!$O$4</c:f>
              <c:strCache>
                <c:ptCount val="1"/>
                <c:pt idx="0">
                  <c:v>MFMP 2024</c:v>
                </c:pt>
              </c:strCache>
            </c:strRef>
          </c:tx>
          <c:spPr>
            <a:ln w="28575" cap="rnd">
              <a:solidFill>
                <a:srgbClr val="002060"/>
              </a:solidFill>
              <a:round/>
            </a:ln>
            <a:effectLst/>
          </c:spPr>
          <c:marker>
            <c:symbol val="none"/>
          </c:marker>
          <c:dLbls>
            <c:dLbl>
              <c:idx val="4"/>
              <c:delete val="1"/>
              <c:extLst>
                <c:ext xmlns:c15="http://schemas.microsoft.com/office/drawing/2012/chart" uri="{CE6537A1-D6FC-4f65-9D91-7224C49458BB}"/>
                <c:ext xmlns:c16="http://schemas.microsoft.com/office/drawing/2014/chart" uri="{C3380CC4-5D6E-409C-BE32-E72D297353CC}">
                  <c16:uniqueId val="{0000000F-7527-4A36-BB49-FE395B978AAC}"/>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002060"/>
                    </a:solidFill>
                    <a:latin typeface="+mn-lt"/>
                    <a:ea typeface="+mn-ea"/>
                    <a:cs typeface="+mn-cs"/>
                  </a:defRPr>
                </a:pPr>
                <a:endParaRPr lang="es-CO"/>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'Deficit, deuda y balance primar'!$A$5:$A$12</c:f>
              <c:numCache>
                <c:formatCode>General</c:formatCode>
                <c:ptCount val="8"/>
                <c:pt idx="0">
                  <c:v>2019</c:v>
                </c:pt>
                <c:pt idx="1">
                  <c:v>2020</c:v>
                </c:pt>
                <c:pt idx="2">
                  <c:v>2021</c:v>
                </c:pt>
                <c:pt idx="3">
                  <c:v>2022</c:v>
                </c:pt>
                <c:pt idx="4">
                  <c:v>2023</c:v>
                </c:pt>
                <c:pt idx="5">
                  <c:v>2024</c:v>
                </c:pt>
                <c:pt idx="6">
                  <c:v>2025</c:v>
                </c:pt>
                <c:pt idx="7">
                  <c:v>2026</c:v>
                </c:pt>
              </c:numCache>
            </c:numRef>
          </c:cat>
          <c:val>
            <c:numRef>
              <c:f>'Deficit, deuda y balance primar'!$O$5:$O$12</c:f>
              <c:numCache>
                <c:formatCode>General</c:formatCode>
                <c:ptCount val="8"/>
                <c:pt idx="4" formatCode="0.0">
                  <c:v>-0.3</c:v>
                </c:pt>
                <c:pt idx="5" formatCode="0.0">
                  <c:v>-0.9</c:v>
                </c:pt>
                <c:pt idx="6">
                  <c:v>-0.5</c:v>
                </c:pt>
                <c:pt idx="7" formatCode="0.0">
                  <c:v>-0.2</c:v>
                </c:pt>
              </c:numCache>
            </c:numRef>
          </c:val>
          <c:smooth val="0"/>
          <c:extLst>
            <c:ext xmlns:c16="http://schemas.microsoft.com/office/drawing/2014/chart" uri="{C3380CC4-5D6E-409C-BE32-E72D297353CC}">
              <c16:uniqueId val="{00000010-7527-4A36-BB49-FE395B978AAC}"/>
            </c:ext>
          </c:extLst>
        </c:ser>
        <c:dLbls>
          <c:showLegendKey val="0"/>
          <c:showVal val="0"/>
          <c:showCatName val="0"/>
          <c:showSerName val="0"/>
          <c:showPercent val="0"/>
          <c:showBubbleSize val="0"/>
        </c:dLbls>
        <c:smooth val="0"/>
        <c:axId val="1112902191"/>
        <c:axId val="1112902607"/>
      </c:lineChart>
      <c:catAx>
        <c:axId val="1112902191"/>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CO"/>
          </a:p>
        </c:txPr>
        <c:crossAx val="1112902607"/>
        <c:crosses val="autoZero"/>
        <c:auto val="1"/>
        <c:lblAlgn val="ctr"/>
        <c:lblOffset val="100"/>
        <c:noMultiLvlLbl val="0"/>
      </c:catAx>
      <c:valAx>
        <c:axId val="1112902607"/>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 del PIB</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s-CO"/>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CO"/>
          </a:p>
        </c:txPr>
        <c:crossAx val="111290219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CO"/>
        </a:p>
      </c:txPr>
    </c:legend>
    <c:plotVisOnly val="1"/>
    <c:dispBlanksAs val="gap"/>
    <c:showDLblsOverMax val="0"/>
  </c:chart>
  <c:spPr>
    <a:noFill/>
    <a:ln w="9525" cap="flat" cmpd="sng" algn="ctr">
      <a:noFill/>
      <a:round/>
    </a:ln>
    <a:effectLst/>
  </c:spPr>
  <c:txPr>
    <a:bodyPr/>
    <a:lstStyle/>
    <a:p>
      <a:pPr>
        <a:defRPr/>
      </a:pPr>
      <a:endParaRPr lang="es-C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'Recaudo tributario'!$B$7</c:f>
              <c:strCache>
                <c:ptCount val="1"/>
                <c:pt idx="0">
                  <c:v>Recaudo</c:v>
                </c:pt>
              </c:strCache>
            </c:strRef>
          </c:tx>
          <c:spPr>
            <a:solidFill>
              <a:srgbClr val="002060"/>
            </a:solidFill>
            <a:ln>
              <a:noFill/>
            </a:ln>
            <a:effectLst/>
          </c:spPr>
          <c:invertIfNegative val="0"/>
          <c:dPt>
            <c:idx val="23"/>
            <c:invertIfNegative val="0"/>
            <c:bubble3D val="0"/>
            <c:spPr>
              <a:solidFill>
                <a:srgbClr val="C00000"/>
              </a:solidFill>
              <a:ln>
                <a:noFill/>
              </a:ln>
              <a:effectLst/>
            </c:spPr>
            <c:extLst>
              <c:ext xmlns:c16="http://schemas.microsoft.com/office/drawing/2014/chart" uri="{C3380CC4-5D6E-409C-BE32-E72D297353CC}">
                <c16:uniqueId val="{00000001-82B3-472A-8844-D75612C3A1F0}"/>
              </c:ext>
            </c:extLst>
          </c:dPt>
          <c:dLbls>
            <c:dLbl>
              <c:idx val="23"/>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C00000"/>
                      </a:solidFill>
                      <a:latin typeface="+mn-lt"/>
                      <a:ea typeface="+mn-ea"/>
                      <a:cs typeface="+mn-cs"/>
                    </a:defRPr>
                  </a:pPr>
                  <a:endParaRPr lang="es-CO"/>
                </a:p>
              </c:txPr>
              <c:dLblPos val="outEnd"/>
              <c:showLegendKey val="0"/>
              <c:showVal val="1"/>
              <c:showCatName val="0"/>
              <c:showSerName val="0"/>
              <c:showPercent val="0"/>
              <c:showBubbleSize val="0"/>
              <c:extLst>
                <c:ext xmlns:c16="http://schemas.microsoft.com/office/drawing/2014/chart" uri="{C3380CC4-5D6E-409C-BE32-E72D297353CC}">
                  <c16:uniqueId val="{00000001-82B3-472A-8844-D75612C3A1F0}"/>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'Recaudo tributario'!$D$8:$D$31</c:f>
              <c:numCache>
                <c:formatCode>mmm\-yy</c:formatCode>
                <c:ptCount val="24"/>
                <c:pt idx="0">
                  <c:v>37043</c:v>
                </c:pt>
                <c:pt idx="1">
                  <c:v>37408</c:v>
                </c:pt>
                <c:pt idx="2">
                  <c:v>37773</c:v>
                </c:pt>
                <c:pt idx="3">
                  <c:v>38139</c:v>
                </c:pt>
                <c:pt idx="4">
                  <c:v>38504</c:v>
                </c:pt>
                <c:pt idx="5">
                  <c:v>38869</c:v>
                </c:pt>
                <c:pt idx="6">
                  <c:v>39234</c:v>
                </c:pt>
                <c:pt idx="7">
                  <c:v>39600</c:v>
                </c:pt>
                <c:pt idx="8">
                  <c:v>39965</c:v>
                </c:pt>
                <c:pt idx="9">
                  <c:v>40330</c:v>
                </c:pt>
                <c:pt idx="10">
                  <c:v>40695</c:v>
                </c:pt>
                <c:pt idx="11">
                  <c:v>41061</c:v>
                </c:pt>
                <c:pt idx="12">
                  <c:v>41426</c:v>
                </c:pt>
                <c:pt idx="13">
                  <c:v>41791</c:v>
                </c:pt>
                <c:pt idx="14">
                  <c:v>42156</c:v>
                </c:pt>
                <c:pt idx="15">
                  <c:v>42522</c:v>
                </c:pt>
                <c:pt idx="16">
                  <c:v>42887</c:v>
                </c:pt>
                <c:pt idx="17">
                  <c:v>43252</c:v>
                </c:pt>
                <c:pt idx="18">
                  <c:v>43617</c:v>
                </c:pt>
                <c:pt idx="19">
                  <c:v>43983</c:v>
                </c:pt>
                <c:pt idx="20">
                  <c:v>44348</c:v>
                </c:pt>
                <c:pt idx="21">
                  <c:v>44713</c:v>
                </c:pt>
                <c:pt idx="22">
                  <c:v>45078</c:v>
                </c:pt>
                <c:pt idx="23">
                  <c:v>45444</c:v>
                </c:pt>
              </c:numCache>
            </c:numRef>
          </c:cat>
          <c:val>
            <c:numRef>
              <c:f>'Recaudo tributario'!$E$8:$E$301</c:f>
              <c:numCache>
                <c:formatCode>0.0</c:formatCode>
                <c:ptCount val="294"/>
                <c:pt idx="0">
                  <c:v>34.444660731066449</c:v>
                </c:pt>
                <c:pt idx="1">
                  <c:v>0.18914469713613435</c:v>
                </c:pt>
                <c:pt idx="2">
                  <c:v>26.561242223295945</c:v>
                </c:pt>
                <c:pt idx="3">
                  <c:v>18.747331716378902</c:v>
                </c:pt>
                <c:pt idx="4">
                  <c:v>13.025152483472425</c:v>
                </c:pt>
                <c:pt idx="5">
                  <c:v>18.876707519203251</c:v>
                </c:pt>
                <c:pt idx="6">
                  <c:v>18.063706691661952</c:v>
                </c:pt>
                <c:pt idx="7">
                  <c:v>12.355438618997505</c:v>
                </c:pt>
                <c:pt idx="8">
                  <c:v>2.7067234484927427</c:v>
                </c:pt>
                <c:pt idx="9">
                  <c:v>-2.2857731220770949</c:v>
                </c:pt>
                <c:pt idx="10">
                  <c:v>32.817993029359748</c:v>
                </c:pt>
                <c:pt idx="11">
                  <c:v>24.801504491925662</c:v>
                </c:pt>
                <c:pt idx="12">
                  <c:v>0.20287981018383139</c:v>
                </c:pt>
                <c:pt idx="13">
                  <c:v>8.1707455740180457</c:v>
                </c:pt>
                <c:pt idx="14">
                  <c:v>6.393851037224918</c:v>
                </c:pt>
                <c:pt idx="15">
                  <c:v>4.1483295757845262</c:v>
                </c:pt>
                <c:pt idx="16">
                  <c:v>4.8351133637802191</c:v>
                </c:pt>
                <c:pt idx="17">
                  <c:v>0.29978080819681452</c:v>
                </c:pt>
                <c:pt idx="18">
                  <c:v>9.8043183974609871</c:v>
                </c:pt>
                <c:pt idx="19">
                  <c:v>-4.7421179188716351</c:v>
                </c:pt>
                <c:pt idx="20">
                  <c:v>9.3390925440632664</c:v>
                </c:pt>
                <c:pt idx="21">
                  <c:v>33.828509980154742</c:v>
                </c:pt>
                <c:pt idx="22">
                  <c:v>30.32702317349667</c:v>
                </c:pt>
                <c:pt idx="23">
                  <c:v>-8.6932165053984374</c:v>
                </c:pt>
              </c:numCache>
            </c:numRef>
          </c:val>
          <c:extLst>
            <c:ext xmlns:c16="http://schemas.microsoft.com/office/drawing/2014/chart" uri="{C3380CC4-5D6E-409C-BE32-E72D297353CC}">
              <c16:uniqueId val="{00000002-82B3-472A-8844-D75612C3A1F0}"/>
            </c:ext>
          </c:extLst>
        </c:ser>
        <c:dLbls>
          <c:showLegendKey val="0"/>
          <c:showVal val="0"/>
          <c:showCatName val="0"/>
          <c:showSerName val="0"/>
          <c:showPercent val="0"/>
          <c:showBubbleSize val="0"/>
        </c:dLbls>
        <c:gapWidth val="100"/>
        <c:overlap val="-27"/>
        <c:axId val="1493474911"/>
        <c:axId val="1493475743"/>
      </c:barChart>
      <c:dateAx>
        <c:axId val="1493474911"/>
        <c:scaling>
          <c:orientation val="minMax"/>
          <c:max val="45444"/>
          <c:min val="37043"/>
        </c:scaling>
        <c:delete val="0"/>
        <c:axPos val="b"/>
        <c:numFmt formatCode="yyyy" sourceLinked="0"/>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CO"/>
          </a:p>
        </c:txPr>
        <c:crossAx val="1493475743"/>
        <c:crosses val="autoZero"/>
        <c:auto val="1"/>
        <c:lblOffset val="100"/>
        <c:baseTimeUnit val="years"/>
      </c:dateAx>
      <c:valAx>
        <c:axId val="1493475743"/>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t>Variación anual (%)</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s-CO"/>
            </a:p>
          </c:txPr>
        </c:title>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CO"/>
          </a:p>
        </c:txPr>
        <c:crossAx val="1493474911"/>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a:solidFill>
            <a:sysClr val="windowText" lastClr="000000"/>
          </a:solidFill>
        </a:defRPr>
      </a:pPr>
      <a:endParaRPr lang="es-CO"/>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815048118985127"/>
          <c:y val="5.0925925925925923E-2"/>
          <c:w val="0.83129396325459315"/>
          <c:h val="0.6027301734342031"/>
        </c:manualLayout>
      </c:layout>
      <c:barChart>
        <c:barDir val="col"/>
        <c:grouping val="clustered"/>
        <c:varyColors val="0"/>
        <c:ser>
          <c:idx val="0"/>
          <c:order val="0"/>
          <c:tx>
            <c:strRef>
              <c:f>'Recuado vs meta'!$B$3</c:f>
              <c:strCache>
                <c:ptCount val="1"/>
                <c:pt idx="0">
                  <c:v>Observado</c:v>
                </c:pt>
              </c:strCache>
            </c:strRef>
          </c:tx>
          <c:spPr>
            <a:solidFill>
              <a:srgbClr val="002060"/>
            </a:solidFill>
            <a:ln>
              <a:noFill/>
            </a:ln>
            <a:effectLst/>
          </c:spPr>
          <c:invertIfNegative val="0"/>
          <c:dLbls>
            <c:dLbl>
              <c:idx val="0"/>
              <c:layout>
                <c:manualLayout>
                  <c:x val="2.4330900243309003E-3"/>
                  <c:y val="8.168905357418558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AD5-4457-9368-5BE9AE46CF9B}"/>
                </c:ext>
              </c:extLst>
            </c:dLbl>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mn-lt"/>
                    <a:ea typeface="+mn-ea"/>
                    <a:cs typeface="+mn-cs"/>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'Recuado vs meta'!$A$4:$A$15</c:f>
              <c:strCache>
                <c:ptCount val="12"/>
                <c:pt idx="0">
                  <c:v>Enero</c:v>
                </c:pt>
                <c:pt idx="1">
                  <c:v>Febrero</c:v>
                </c:pt>
                <c:pt idx="2">
                  <c:v>Marzo</c:v>
                </c:pt>
                <c:pt idx="3">
                  <c:v>Abril</c:v>
                </c:pt>
                <c:pt idx="4">
                  <c:v>Mayo</c:v>
                </c:pt>
                <c:pt idx="5">
                  <c:v>Junio</c:v>
                </c:pt>
                <c:pt idx="6">
                  <c:v>Julio</c:v>
                </c:pt>
                <c:pt idx="7">
                  <c:v>Agosto</c:v>
                </c:pt>
                <c:pt idx="8">
                  <c:v>Septiembre</c:v>
                </c:pt>
                <c:pt idx="9">
                  <c:v>Octubre</c:v>
                </c:pt>
                <c:pt idx="10">
                  <c:v>Noviembre</c:v>
                </c:pt>
                <c:pt idx="11">
                  <c:v>Diciembre</c:v>
                </c:pt>
              </c:strCache>
            </c:strRef>
          </c:cat>
          <c:val>
            <c:numRef>
              <c:f>'Recuado vs meta'!$B$4:$B$15</c:f>
              <c:numCache>
                <c:formatCode>General</c:formatCode>
                <c:ptCount val="12"/>
                <c:pt idx="0">
                  <c:v>30.9</c:v>
                </c:pt>
                <c:pt idx="1">
                  <c:v>46.5</c:v>
                </c:pt>
                <c:pt idx="2">
                  <c:v>67.2</c:v>
                </c:pt>
                <c:pt idx="3">
                  <c:v>85.9</c:v>
                </c:pt>
                <c:pt idx="4">
                  <c:v>116.10000000000001</c:v>
                </c:pt>
                <c:pt idx="5">
                  <c:v>135.4</c:v>
                </c:pt>
              </c:numCache>
            </c:numRef>
          </c:val>
          <c:extLst>
            <c:ext xmlns:c16="http://schemas.microsoft.com/office/drawing/2014/chart" uri="{C3380CC4-5D6E-409C-BE32-E72D297353CC}">
              <c16:uniqueId val="{00000001-9AD5-4457-9368-5BE9AE46CF9B}"/>
            </c:ext>
          </c:extLst>
        </c:ser>
        <c:dLbls>
          <c:showLegendKey val="0"/>
          <c:showVal val="0"/>
          <c:showCatName val="0"/>
          <c:showSerName val="0"/>
          <c:showPercent val="0"/>
          <c:showBubbleSize val="0"/>
        </c:dLbls>
        <c:gapWidth val="30"/>
        <c:overlap val="-27"/>
        <c:axId val="1565080351"/>
        <c:axId val="1565080767"/>
      </c:barChart>
      <c:lineChart>
        <c:grouping val="standard"/>
        <c:varyColors val="0"/>
        <c:ser>
          <c:idx val="1"/>
          <c:order val="1"/>
          <c:tx>
            <c:strRef>
              <c:f>'Recuado vs meta'!$C$3</c:f>
              <c:strCache>
                <c:ptCount val="1"/>
                <c:pt idx="0">
                  <c:v>Meta</c:v>
                </c:pt>
              </c:strCache>
            </c:strRef>
          </c:tx>
          <c:spPr>
            <a:ln w="28575" cap="rnd">
              <a:solidFill>
                <a:srgbClr val="0070C0"/>
              </a:solidFill>
              <a:round/>
            </a:ln>
            <a:effectLst/>
          </c:spPr>
          <c:marker>
            <c:symbol val="none"/>
          </c:marker>
          <c:dLbls>
            <c:spPr>
              <a:noFill/>
              <a:ln>
                <a:solidFill>
                  <a:srgbClr val="002060"/>
                </a:solid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'Recuado vs meta'!$A$4:$A$15</c:f>
              <c:strCache>
                <c:ptCount val="12"/>
                <c:pt idx="0">
                  <c:v>Enero</c:v>
                </c:pt>
                <c:pt idx="1">
                  <c:v>Febrero</c:v>
                </c:pt>
                <c:pt idx="2">
                  <c:v>Marzo</c:v>
                </c:pt>
                <c:pt idx="3">
                  <c:v>Abril</c:v>
                </c:pt>
                <c:pt idx="4">
                  <c:v>Mayo</c:v>
                </c:pt>
                <c:pt idx="5">
                  <c:v>Junio</c:v>
                </c:pt>
                <c:pt idx="6">
                  <c:v>Julio</c:v>
                </c:pt>
                <c:pt idx="7">
                  <c:v>Agosto</c:v>
                </c:pt>
                <c:pt idx="8">
                  <c:v>Septiembre</c:v>
                </c:pt>
                <c:pt idx="9">
                  <c:v>Octubre</c:v>
                </c:pt>
                <c:pt idx="10">
                  <c:v>Noviembre</c:v>
                </c:pt>
                <c:pt idx="11">
                  <c:v>Diciembre</c:v>
                </c:pt>
              </c:strCache>
            </c:strRef>
          </c:cat>
          <c:val>
            <c:numRef>
              <c:f>'Recuado vs meta'!$C$4:$C$15</c:f>
              <c:numCache>
                <c:formatCode>General</c:formatCode>
                <c:ptCount val="12"/>
                <c:pt idx="0">
                  <c:v>31.7</c:v>
                </c:pt>
                <c:pt idx="1">
                  <c:v>47.6</c:v>
                </c:pt>
                <c:pt idx="2">
                  <c:v>69.099999999999994</c:v>
                </c:pt>
                <c:pt idx="3">
                  <c:v>89.4</c:v>
                </c:pt>
                <c:pt idx="4">
                  <c:v>119.2</c:v>
                </c:pt>
                <c:pt idx="5">
                  <c:v>140.80000000000001</c:v>
                </c:pt>
                <c:pt idx="6">
                  <c:v>166.8</c:v>
                </c:pt>
                <c:pt idx="7">
                  <c:v>184.6</c:v>
                </c:pt>
                <c:pt idx="8">
                  <c:v>214.9</c:v>
                </c:pt>
                <c:pt idx="9">
                  <c:v>232.9</c:v>
                </c:pt>
                <c:pt idx="10">
                  <c:v>259.60000000000002</c:v>
                </c:pt>
                <c:pt idx="11">
                  <c:v>279.39999999999998</c:v>
                </c:pt>
              </c:numCache>
            </c:numRef>
          </c:val>
          <c:smooth val="0"/>
          <c:extLst>
            <c:ext xmlns:c16="http://schemas.microsoft.com/office/drawing/2014/chart" uri="{C3380CC4-5D6E-409C-BE32-E72D297353CC}">
              <c16:uniqueId val="{00000002-9AD5-4457-9368-5BE9AE46CF9B}"/>
            </c:ext>
          </c:extLst>
        </c:ser>
        <c:dLbls>
          <c:showLegendKey val="0"/>
          <c:showVal val="0"/>
          <c:showCatName val="0"/>
          <c:showSerName val="0"/>
          <c:showPercent val="0"/>
          <c:showBubbleSize val="0"/>
        </c:dLbls>
        <c:marker val="1"/>
        <c:smooth val="0"/>
        <c:axId val="1565080351"/>
        <c:axId val="1565080767"/>
      </c:lineChart>
      <c:catAx>
        <c:axId val="15650803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es-CO"/>
          </a:p>
        </c:txPr>
        <c:crossAx val="1565080767"/>
        <c:crosses val="autoZero"/>
        <c:auto val="1"/>
        <c:lblAlgn val="ctr"/>
        <c:lblOffset val="100"/>
        <c:noMultiLvlLbl val="0"/>
      </c:catAx>
      <c:valAx>
        <c:axId val="1565080767"/>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t>Billones de pesos</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s-CO"/>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CO"/>
          </a:p>
        </c:txPr>
        <c:crossAx val="1565080351"/>
        <c:crosses val="autoZero"/>
        <c:crossBetween val="between"/>
      </c:valAx>
      <c:spPr>
        <a:noFill/>
        <a:ln>
          <a:noFill/>
        </a:ln>
        <a:effectLst/>
      </c:spPr>
    </c:plotArea>
    <c:legend>
      <c:legendPos val="b"/>
      <c:layout>
        <c:manualLayout>
          <c:xMode val="edge"/>
          <c:yMode val="edge"/>
          <c:x val="0.21303302712160976"/>
          <c:y val="8.3911490230387839E-2"/>
          <c:w val="0.35726706036745409"/>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solidFill>
            <a:sysClr val="windowText" lastClr="000000"/>
          </a:solidFill>
        </a:defRPr>
      </a:pPr>
      <a:endParaRPr lang="es-CO"/>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5925308216310045E-2"/>
          <c:y val="0.10821843937049198"/>
          <c:w val="0.80773146737513191"/>
          <c:h val="0.71454947034795657"/>
        </c:manualLayout>
      </c:layout>
      <c:barChart>
        <c:barDir val="col"/>
        <c:grouping val="stacked"/>
        <c:varyColors val="0"/>
        <c:ser>
          <c:idx val="0"/>
          <c:order val="0"/>
          <c:tx>
            <c:v>Funcionamiento</c:v>
          </c:tx>
          <c:spPr>
            <a:solidFill>
              <a:srgbClr val="002060"/>
            </a:solidFill>
            <a:ln>
              <a:noFill/>
            </a:ln>
            <a:effectLst/>
          </c:spPr>
          <c:invertIfNegative val="0"/>
          <c:cat>
            <c:numRef>
              <c:f>Anual!$A$8:$A$28</c:f>
              <c:numCache>
                <c:formatCode>General</c:formatCode>
                <c:ptCount val="21"/>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pt idx="19">
                  <c:v>2024</c:v>
                </c:pt>
                <c:pt idx="20">
                  <c:v>2025</c:v>
                </c:pt>
              </c:numCache>
            </c:numRef>
          </c:cat>
          <c:val>
            <c:numRef>
              <c:f>Anual!$J$8:$J$28</c:f>
              <c:numCache>
                <c:formatCode>_-* #,##0.0_-;\-* #,##0.0_-;_-* "-"??_-;_-@_-</c:formatCode>
                <c:ptCount val="21"/>
                <c:pt idx="0">
                  <c:v>141.31936722329493</c:v>
                </c:pt>
                <c:pt idx="1">
                  <c:v>153.80739039832125</c:v>
                </c:pt>
                <c:pt idx="2">
                  <c:v>161.40042749333608</c:v>
                </c:pt>
                <c:pt idx="3">
                  <c:v>160.1943773388796</c:v>
                </c:pt>
                <c:pt idx="4">
                  <c:v>178.41212516019579</c:v>
                </c:pt>
                <c:pt idx="5">
                  <c:v>182.44518352736645</c:v>
                </c:pt>
                <c:pt idx="6">
                  <c:v>177.53176099737325</c:v>
                </c:pt>
                <c:pt idx="7">
                  <c:v>189.98621317671527</c:v>
                </c:pt>
                <c:pt idx="8">
                  <c:v>213.07589337264332</c:v>
                </c:pt>
                <c:pt idx="9">
                  <c:v>214.29915003044923</c:v>
                </c:pt>
                <c:pt idx="10">
                  <c:v>211.36082756367045</c:v>
                </c:pt>
                <c:pt idx="11">
                  <c:v>202.09012004108331</c:v>
                </c:pt>
                <c:pt idx="12">
                  <c:v>211.9662545418424</c:v>
                </c:pt>
                <c:pt idx="13">
                  <c:v>208.87145594920304</c:v>
                </c:pt>
                <c:pt idx="14">
                  <c:v>216.29210286342183</c:v>
                </c:pt>
                <c:pt idx="15">
                  <c:v>263.60611295725647</c:v>
                </c:pt>
                <c:pt idx="16">
                  <c:v>278.4201999932335</c:v>
                </c:pt>
                <c:pt idx="17">
                  <c:v>248.91927030924836</c:v>
                </c:pt>
                <c:pt idx="18">
                  <c:v>274.79435469760034</c:v>
                </c:pt>
                <c:pt idx="19">
                  <c:v>308.25127734793398</c:v>
                </c:pt>
                <c:pt idx="20">
                  <c:v>328</c:v>
                </c:pt>
              </c:numCache>
            </c:numRef>
          </c:val>
          <c:extLst>
            <c:ext xmlns:c16="http://schemas.microsoft.com/office/drawing/2014/chart" uri="{C3380CC4-5D6E-409C-BE32-E72D297353CC}">
              <c16:uniqueId val="{00000000-BFD2-4328-A955-2E5BF449EA06}"/>
            </c:ext>
          </c:extLst>
        </c:ser>
        <c:ser>
          <c:idx val="2"/>
          <c:order val="2"/>
          <c:tx>
            <c:v>Inversión</c:v>
          </c:tx>
          <c:spPr>
            <a:solidFill>
              <a:srgbClr val="00B0F0"/>
            </a:solidFill>
            <a:ln>
              <a:noFill/>
            </a:ln>
            <a:effectLst/>
          </c:spPr>
          <c:invertIfNegative val="0"/>
          <c:cat>
            <c:numRef>
              <c:f>Anual!$A$8:$A$28</c:f>
              <c:numCache>
                <c:formatCode>General</c:formatCode>
                <c:ptCount val="21"/>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pt idx="19">
                  <c:v>2024</c:v>
                </c:pt>
                <c:pt idx="20">
                  <c:v>2025</c:v>
                </c:pt>
              </c:numCache>
            </c:numRef>
          </c:cat>
          <c:val>
            <c:numRef>
              <c:f>Anual!$K$8:$K$28</c:f>
              <c:numCache>
                <c:formatCode>_-* #,##0.0_-;\-* #,##0.0_-;_-* "-"??_-;_-@_-</c:formatCode>
                <c:ptCount val="21"/>
                <c:pt idx="0">
                  <c:v>45.777340699383338</c:v>
                </c:pt>
                <c:pt idx="1">
                  <c:v>49.822564668166727</c:v>
                </c:pt>
                <c:pt idx="2">
                  <c:v>52.282164175800624</c:v>
                </c:pt>
                <c:pt idx="3">
                  <c:v>51.891490413910205</c:v>
                </c:pt>
                <c:pt idx="4">
                  <c:v>57.792734278624955</c:v>
                </c:pt>
                <c:pt idx="5">
                  <c:v>59.099155971291843</c:v>
                </c:pt>
                <c:pt idx="6">
                  <c:v>57.507559422461206</c:v>
                </c:pt>
                <c:pt idx="7">
                  <c:v>61.541908796082915</c:v>
                </c:pt>
                <c:pt idx="8">
                  <c:v>69.021309374622803</c:v>
                </c:pt>
                <c:pt idx="9">
                  <c:v>69.417556809687312</c:v>
                </c:pt>
                <c:pt idx="10">
                  <c:v>68.465751043151073</c:v>
                </c:pt>
                <c:pt idx="11">
                  <c:v>65.462706625925208</c:v>
                </c:pt>
                <c:pt idx="12">
                  <c:v>68.661865967757151</c:v>
                </c:pt>
                <c:pt idx="13">
                  <c:v>67.659373157643074</c:v>
                </c:pt>
                <c:pt idx="14">
                  <c:v>70.063130609127228</c:v>
                </c:pt>
                <c:pt idx="15">
                  <c:v>85.389476901756993</c:v>
                </c:pt>
                <c:pt idx="16">
                  <c:v>90.188178755018996</c:v>
                </c:pt>
                <c:pt idx="17">
                  <c:v>80.631993105259539</c:v>
                </c:pt>
                <c:pt idx="18">
                  <c:v>89.013664895505372</c:v>
                </c:pt>
                <c:pt idx="19">
                  <c:v>99.851308574572002</c:v>
                </c:pt>
                <c:pt idx="20">
                  <c:v>82</c:v>
                </c:pt>
              </c:numCache>
            </c:numRef>
          </c:val>
          <c:extLst>
            <c:ext xmlns:c16="http://schemas.microsoft.com/office/drawing/2014/chart" uri="{C3380CC4-5D6E-409C-BE32-E72D297353CC}">
              <c16:uniqueId val="{00000001-BFD2-4328-A955-2E5BF449EA06}"/>
            </c:ext>
          </c:extLst>
        </c:ser>
        <c:ser>
          <c:idx val="4"/>
          <c:order val="4"/>
          <c:tx>
            <c:v>Servicio de deuda</c:v>
          </c:tx>
          <c:spPr>
            <a:solidFill>
              <a:schemeClr val="bg1">
                <a:lumMod val="75000"/>
              </a:schemeClr>
            </a:solidFill>
            <a:ln>
              <a:noFill/>
            </a:ln>
            <a:effectLst/>
          </c:spPr>
          <c:invertIfNegative val="0"/>
          <c:cat>
            <c:numRef>
              <c:f>Anual!$A$8:$A$28</c:f>
              <c:numCache>
                <c:formatCode>General</c:formatCode>
                <c:ptCount val="21"/>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pt idx="19">
                  <c:v>2024</c:v>
                </c:pt>
                <c:pt idx="20">
                  <c:v>2025</c:v>
                </c:pt>
              </c:numCache>
            </c:numRef>
          </c:cat>
          <c:val>
            <c:numRef>
              <c:f>Anual!$L$8:$L$28</c:f>
              <c:numCache>
                <c:formatCode>_-* #,##0.0_-;\-* #,##0.0_-;_-* "-"??_-;_-@_-</c:formatCode>
                <c:ptCount val="21"/>
                <c:pt idx="0">
                  <c:v>43.33402204972333</c:v>
                </c:pt>
                <c:pt idx="1">
                  <c:v>47.163336334501999</c:v>
                </c:pt>
                <c:pt idx="2">
                  <c:v>49.491657238881913</c:v>
                </c:pt>
                <c:pt idx="3">
                  <c:v>49.121835288690825</c:v>
                </c:pt>
                <c:pt idx="4">
                  <c:v>54.708106309405409</c:v>
                </c:pt>
                <c:pt idx="5">
                  <c:v>55.944799082977255</c:v>
                </c:pt>
                <c:pt idx="6">
                  <c:v>54.438152368957468</c:v>
                </c:pt>
                <c:pt idx="7">
                  <c:v>58.25717247894751</c:v>
                </c:pt>
                <c:pt idx="8">
                  <c:v>65.337367716097376</c:v>
                </c:pt>
                <c:pt idx="9">
                  <c:v>65.712465850368488</c:v>
                </c:pt>
                <c:pt idx="10">
                  <c:v>64.811461741261496</c:v>
                </c:pt>
                <c:pt idx="11">
                  <c:v>61.968701742445816</c:v>
                </c:pt>
                <c:pt idx="12">
                  <c:v>64.997109232734815</c:v>
                </c:pt>
                <c:pt idx="13">
                  <c:v>64.048123449059574</c:v>
                </c:pt>
                <c:pt idx="14">
                  <c:v>66.323582809812791</c:v>
                </c:pt>
                <c:pt idx="15">
                  <c:v>80.831901074693121</c:v>
                </c:pt>
                <c:pt idx="16">
                  <c:v>85.374477133990183</c:v>
                </c:pt>
                <c:pt idx="17">
                  <c:v>76.328343100618866</c:v>
                </c:pt>
                <c:pt idx="18">
                  <c:v>84.262651748149153</c:v>
                </c:pt>
                <c:pt idx="19">
                  <c:v>94.52184730168301</c:v>
                </c:pt>
                <c:pt idx="20">
                  <c:v>112.6</c:v>
                </c:pt>
              </c:numCache>
            </c:numRef>
          </c:val>
          <c:extLst>
            <c:ext xmlns:c16="http://schemas.microsoft.com/office/drawing/2014/chart" uri="{C3380CC4-5D6E-409C-BE32-E72D297353CC}">
              <c16:uniqueId val="{00000002-BFD2-4328-A955-2E5BF449EA06}"/>
            </c:ext>
          </c:extLst>
        </c:ser>
        <c:dLbls>
          <c:showLegendKey val="0"/>
          <c:showVal val="0"/>
          <c:showCatName val="0"/>
          <c:showSerName val="0"/>
          <c:showPercent val="0"/>
          <c:showBubbleSize val="0"/>
        </c:dLbls>
        <c:gapWidth val="150"/>
        <c:overlap val="100"/>
        <c:axId val="2054123919"/>
        <c:axId val="1126513039"/>
      </c:barChart>
      <c:lineChart>
        <c:grouping val="standard"/>
        <c:varyColors val="0"/>
        <c:ser>
          <c:idx val="3"/>
          <c:order val="3"/>
          <c:tx>
            <c:v>PGN</c:v>
          </c:tx>
          <c:spPr>
            <a:ln w="25400" cap="rnd">
              <a:noFill/>
              <a:round/>
            </a:ln>
            <a:effectLst/>
          </c:spPr>
          <c:marker>
            <c:symbol val="square"/>
            <c:size val="5"/>
            <c:spPr>
              <a:solidFill>
                <a:srgbClr val="002060"/>
              </a:solidFill>
              <a:ln w="9525">
                <a:noFill/>
              </a:ln>
              <a:effectLst/>
            </c:spPr>
          </c:marker>
          <c:dLbls>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Anual!$I$8:$I$28</c:f>
              <c:numCache>
                <c:formatCode>_-* #,##0_-;\-* #,##0_-;_-* "-"??_-;_-@_-</c:formatCode>
                <c:ptCount val="21"/>
                <c:pt idx="0">
                  <c:v>230.43072997240165</c:v>
                </c:pt>
                <c:pt idx="1">
                  <c:v>250.79329140099003</c:v>
                </c:pt>
                <c:pt idx="2">
                  <c:v>263.17424890801868</c:v>
                </c:pt>
                <c:pt idx="3">
                  <c:v>261.20770304148067</c:v>
                </c:pt>
                <c:pt idx="4">
                  <c:v>290.91296574822616</c:v>
                </c:pt>
                <c:pt idx="5">
                  <c:v>297.48913858163559</c:v>
                </c:pt>
                <c:pt idx="6">
                  <c:v>289.47747278879194</c:v>
                </c:pt>
                <c:pt idx="7">
                  <c:v>309.7852944517457</c:v>
                </c:pt>
                <c:pt idx="8">
                  <c:v>347.43457046336351</c:v>
                </c:pt>
                <c:pt idx="9">
                  <c:v>349.42917269050503</c:v>
                </c:pt>
                <c:pt idx="10">
                  <c:v>344.63804034808305</c:v>
                </c:pt>
                <c:pt idx="11">
                  <c:v>329.52152840945439</c:v>
                </c:pt>
                <c:pt idx="12">
                  <c:v>345.6252297423344</c:v>
                </c:pt>
                <c:pt idx="13">
                  <c:v>340.57895255590569</c:v>
                </c:pt>
                <c:pt idx="14">
                  <c:v>352.67881628236188</c:v>
                </c:pt>
                <c:pt idx="15">
                  <c:v>429.8274909337066</c:v>
                </c:pt>
                <c:pt idx="16">
                  <c:v>453.98285588224269</c:v>
                </c:pt>
                <c:pt idx="17">
                  <c:v>405.8796065151268</c:v>
                </c:pt>
                <c:pt idx="18">
                  <c:v>448.07067134125487</c:v>
                </c:pt>
                <c:pt idx="19">
                  <c:v>502.62443322418898</c:v>
                </c:pt>
                <c:pt idx="20">
                  <c:v>523</c:v>
                </c:pt>
              </c:numCache>
            </c:numRef>
          </c:val>
          <c:smooth val="0"/>
          <c:extLst>
            <c:ext xmlns:c16="http://schemas.microsoft.com/office/drawing/2014/chart" uri="{C3380CC4-5D6E-409C-BE32-E72D297353CC}">
              <c16:uniqueId val="{00000003-BFD2-4328-A955-2E5BF449EA06}"/>
            </c:ext>
          </c:extLst>
        </c:ser>
        <c:dLbls>
          <c:showLegendKey val="0"/>
          <c:showVal val="0"/>
          <c:showCatName val="0"/>
          <c:showSerName val="0"/>
          <c:showPercent val="0"/>
          <c:showBubbleSize val="0"/>
        </c:dLbls>
        <c:marker val="1"/>
        <c:smooth val="0"/>
        <c:axId val="2054123919"/>
        <c:axId val="1126513039"/>
      </c:lineChart>
      <c:lineChart>
        <c:grouping val="standard"/>
        <c:varyColors val="0"/>
        <c:ser>
          <c:idx val="1"/>
          <c:order val="1"/>
          <c:tx>
            <c:strRef>
              <c:f>Anual!$G$2</c:f>
              <c:strCache>
                <c:ptCount val="1"/>
                <c:pt idx="0">
                  <c:v>Variación real anual (%)</c:v>
                </c:pt>
              </c:strCache>
            </c:strRef>
          </c:tx>
          <c:spPr>
            <a:ln w="28575" cap="rnd">
              <a:solidFill>
                <a:srgbClr val="FF0000"/>
              </a:solidFill>
              <a:round/>
            </a:ln>
            <a:effectLst/>
          </c:spPr>
          <c:marker>
            <c:symbol val="none"/>
          </c:marker>
          <c:dLbls>
            <c:dLbl>
              <c:idx val="20"/>
              <c:layout>
                <c:manualLayout>
                  <c:x val="-6.788866259334691E-3"/>
                  <c:y val="0"/>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FD2-4328-A955-2E5BF449EA06}"/>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CO"/>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Anual!$G$8:$G$28</c:f>
              <c:numCache>
                <c:formatCode>0.0</c:formatCode>
                <c:ptCount val="21"/>
                <c:pt idx="0">
                  <c:v>9.5526972514200654</c:v>
                </c:pt>
                <c:pt idx="1">
                  <c:v>8.8367386724102097</c:v>
                </c:pt>
                <c:pt idx="2">
                  <c:v>4.9367179791236397</c:v>
                </c:pt>
                <c:pt idx="3">
                  <c:v>-0.74724099135752731</c:v>
                </c:pt>
                <c:pt idx="4">
                  <c:v>11.372276682831298</c:v>
                </c:pt>
                <c:pt idx="5">
                  <c:v>2.2605293017777814</c:v>
                </c:pt>
                <c:pt idx="6">
                  <c:v>-2.6930952272884769</c:v>
                </c:pt>
                <c:pt idx="7">
                  <c:v>7.0153374863026681</c:v>
                </c:pt>
                <c:pt idx="8">
                  <c:v>12.153345134813149</c:v>
                </c:pt>
                <c:pt idx="9">
                  <c:v>0.5740943465934798</c:v>
                </c:pt>
                <c:pt idx="10">
                  <c:v>-1.3711311810435411</c:v>
                </c:pt>
                <c:pt idx="11">
                  <c:v>-4.3861994814504754</c:v>
                </c:pt>
                <c:pt idx="12">
                  <c:v>4.8869952171592281</c:v>
                </c:pt>
                <c:pt idx="13">
                  <c:v>-1.460043061726346</c:v>
                </c:pt>
                <c:pt idx="14">
                  <c:v>3.5527338479526351</c:v>
                </c:pt>
                <c:pt idx="15">
                  <c:v>21.875052055742955</c:v>
                </c:pt>
                <c:pt idx="16">
                  <c:v>5.619781297855984</c:v>
                </c:pt>
                <c:pt idx="17">
                  <c:v>-10.595829499692224</c:v>
                </c:pt>
                <c:pt idx="18">
                  <c:v>10.394970367784575</c:v>
                </c:pt>
                <c:pt idx="19">
                  <c:v>12.175258362622325</c:v>
                </c:pt>
                <c:pt idx="20">
                  <c:v>4.0538353149901063</c:v>
                </c:pt>
              </c:numCache>
            </c:numRef>
          </c:val>
          <c:smooth val="1"/>
          <c:extLst>
            <c:ext xmlns:c16="http://schemas.microsoft.com/office/drawing/2014/chart" uri="{C3380CC4-5D6E-409C-BE32-E72D297353CC}">
              <c16:uniqueId val="{00000005-BFD2-4328-A955-2E5BF449EA06}"/>
            </c:ext>
          </c:extLst>
        </c:ser>
        <c:dLbls>
          <c:showLegendKey val="0"/>
          <c:showVal val="0"/>
          <c:showCatName val="0"/>
          <c:showSerName val="0"/>
          <c:showPercent val="0"/>
          <c:showBubbleSize val="0"/>
        </c:dLbls>
        <c:marker val="1"/>
        <c:smooth val="0"/>
        <c:axId val="1136769487"/>
        <c:axId val="1050302735"/>
      </c:lineChart>
      <c:catAx>
        <c:axId val="20541239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CO"/>
          </a:p>
        </c:txPr>
        <c:crossAx val="1126513039"/>
        <c:crosses val="autoZero"/>
        <c:auto val="1"/>
        <c:lblAlgn val="ctr"/>
        <c:lblOffset val="100"/>
        <c:noMultiLvlLbl val="0"/>
      </c:catAx>
      <c:valAx>
        <c:axId val="1126513039"/>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s-CO"/>
                  <a:t>Billones de pesos (2024)</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s-CO"/>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CO"/>
          </a:p>
        </c:txPr>
        <c:crossAx val="2054123919"/>
        <c:crosses val="autoZero"/>
        <c:crossBetween val="between"/>
      </c:valAx>
      <c:valAx>
        <c:axId val="1050302735"/>
        <c:scaling>
          <c:orientation val="minMax"/>
        </c:scaling>
        <c:delete val="0"/>
        <c:axPos val="r"/>
        <c:title>
          <c:tx>
            <c:rich>
              <a:bodyPr rot="5400000" spcFirstLastPara="1" vertOverflow="ellipsis" wrap="square" anchor="ctr" anchorCtr="1"/>
              <a:lstStyle/>
              <a:p>
                <a:pPr>
                  <a:defRPr sz="1000" b="0" i="0" u="none" strike="noStrike" kern="1200" baseline="0">
                    <a:solidFill>
                      <a:sysClr val="windowText" lastClr="000000"/>
                    </a:solidFill>
                    <a:latin typeface="+mn-lt"/>
                    <a:ea typeface="+mn-ea"/>
                    <a:cs typeface="+mn-cs"/>
                  </a:defRPr>
                </a:pPr>
                <a:r>
                  <a:rPr lang="es-CO"/>
                  <a:t>Variación anual (%)</a:t>
                </a:r>
              </a:p>
            </c:rich>
          </c:tx>
          <c:overlay val="0"/>
          <c:spPr>
            <a:noFill/>
            <a:ln>
              <a:noFill/>
            </a:ln>
            <a:effectLst/>
          </c:spPr>
          <c:txPr>
            <a:bodyPr rot="5400000" spcFirstLastPara="1" vertOverflow="ellipsis" wrap="square" anchor="ctr" anchorCtr="1"/>
            <a:lstStyle/>
            <a:p>
              <a:pPr>
                <a:defRPr sz="1000" b="0" i="0" u="none" strike="noStrike" kern="1200" baseline="0">
                  <a:solidFill>
                    <a:sysClr val="windowText" lastClr="000000"/>
                  </a:solidFill>
                  <a:latin typeface="+mn-lt"/>
                  <a:ea typeface="+mn-ea"/>
                  <a:cs typeface="+mn-cs"/>
                </a:defRPr>
              </a:pPr>
              <a:endParaRPr lang="es-CO"/>
            </a:p>
          </c:txPr>
        </c:title>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CO"/>
          </a:p>
        </c:txPr>
        <c:crossAx val="1136769487"/>
        <c:crosses val="max"/>
        <c:crossBetween val="between"/>
      </c:valAx>
      <c:catAx>
        <c:axId val="1136769487"/>
        <c:scaling>
          <c:orientation val="minMax"/>
        </c:scaling>
        <c:delete val="1"/>
        <c:axPos val="b"/>
        <c:majorTickMark val="out"/>
        <c:minorTickMark val="none"/>
        <c:tickLblPos val="nextTo"/>
        <c:crossAx val="1050302735"/>
        <c:crosses val="autoZero"/>
        <c:auto val="1"/>
        <c:lblAlgn val="ctr"/>
        <c:lblOffset val="100"/>
        <c:noMultiLvlLbl val="0"/>
      </c:catAx>
      <c:spPr>
        <a:noFill/>
        <a:ln>
          <a:noFill/>
        </a:ln>
        <a:effectLst/>
      </c:spPr>
    </c:plotArea>
    <c:legend>
      <c:legendPos val="r"/>
      <c:legendEntry>
        <c:idx val="3"/>
        <c:delete val="1"/>
      </c:legendEntry>
      <c:layout>
        <c:manualLayout>
          <c:xMode val="edge"/>
          <c:yMode val="edge"/>
          <c:x val="9.4827454103878564E-2"/>
          <c:y val="3.1975404806228118E-2"/>
          <c:w val="0.54466040522938708"/>
          <c:h val="0.17174693231569615"/>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solidFill>
            <a:sysClr val="windowText" lastClr="000000"/>
          </a:solidFill>
        </a:defRPr>
      </a:pPr>
      <a:endParaRPr lang="es-CO"/>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678830168990638"/>
          <c:y val="7.6551724137931029E-2"/>
          <c:w val="0.86277446540730207"/>
          <c:h val="0.73072495248438762"/>
        </c:manualLayout>
      </c:layout>
      <c:barChart>
        <c:barDir val="col"/>
        <c:grouping val="clustered"/>
        <c:varyColors val="0"/>
        <c:ser>
          <c:idx val="2"/>
          <c:order val="0"/>
          <c:tx>
            <c:strRef>
              <c:f>Anual!$E$1</c:f>
              <c:strCache>
                <c:ptCount val="1"/>
                <c:pt idx="0">
                  <c:v>sin deuda</c:v>
                </c:pt>
              </c:strCache>
            </c:strRef>
          </c:tx>
          <c:spPr>
            <a:solidFill>
              <a:srgbClr val="002060"/>
            </a:solidFill>
            <a:ln>
              <a:noFill/>
            </a:ln>
            <a:effectLst/>
          </c:spPr>
          <c:invertIfNegative val="0"/>
          <c:dPt>
            <c:idx val="23"/>
            <c:invertIfNegative val="0"/>
            <c:bubble3D val="0"/>
            <c:spPr>
              <a:solidFill>
                <a:srgbClr val="C00000"/>
              </a:solidFill>
              <a:ln>
                <a:noFill/>
              </a:ln>
              <a:effectLst/>
            </c:spPr>
            <c:extLst>
              <c:ext xmlns:c16="http://schemas.microsoft.com/office/drawing/2014/chart" uri="{C3380CC4-5D6E-409C-BE32-E72D297353CC}">
                <c16:uniqueId val="{00000001-DE4C-4F6B-A309-D2C3F5325060}"/>
              </c:ext>
            </c:extLst>
          </c:dPt>
          <c:dLbls>
            <c:spPr>
              <a:noFill/>
              <a:ln>
                <a:noFill/>
              </a:ln>
              <a:effectLst/>
            </c:spPr>
            <c:txPr>
              <a:bodyPr rot="-5400000" spcFirstLastPara="1" vertOverflow="ellipsis" wrap="square" anchor="ctr" anchorCtr="1"/>
              <a:lstStyle/>
              <a:p>
                <a:pPr>
                  <a:defRPr sz="900" b="0" i="0" u="none" strike="noStrike" kern="1200" baseline="0">
                    <a:solidFill>
                      <a:schemeClr val="bg1"/>
                    </a:solidFill>
                    <a:latin typeface="+mn-lt"/>
                    <a:ea typeface="Calibri" panose="020F0502020204030204" pitchFamily="34" charset="0"/>
                    <a:cs typeface="Calibri" panose="020F0502020204030204" pitchFamily="34" charset="0"/>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Anual!$A$2:$A$25</c:f>
              <c:numCache>
                <c:formatCode>General</c:formatCode>
                <c:ptCount val="24"/>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numCache>
            </c:numRef>
          </c:cat>
          <c:val>
            <c:numRef>
              <c:f>Anual!$D$2:$D$25</c:f>
              <c:numCache>
                <c:formatCode>0.0</c:formatCode>
                <c:ptCount val="24"/>
                <c:pt idx="0">
                  <c:v>88.621541537873668</c:v>
                </c:pt>
                <c:pt idx="1">
                  <c:v>85.983539138254187</c:v>
                </c:pt>
                <c:pt idx="2">
                  <c:v>84.080794576408863</c:v>
                </c:pt>
                <c:pt idx="3">
                  <c:v>87.58073755520293</c:v>
                </c:pt>
                <c:pt idx="4">
                  <c:v>87.024287605769587</c:v>
                </c:pt>
                <c:pt idx="5">
                  <c:v>88.612003386757294</c:v>
                </c:pt>
                <c:pt idx="6">
                  <c:v>87.439512265310213</c:v>
                </c:pt>
                <c:pt idx="7">
                  <c:v>90.958149355741085</c:v>
                </c:pt>
                <c:pt idx="8">
                  <c:v>93.635040534479614</c:v>
                </c:pt>
                <c:pt idx="9">
                  <c:v>90.883341954879342</c:v>
                </c:pt>
                <c:pt idx="10">
                  <c:v>88.409810864370542</c:v>
                </c:pt>
                <c:pt idx="11">
                  <c:v>93.535488524183222</c:v>
                </c:pt>
                <c:pt idx="12">
                  <c:v>93.548836347740689</c:v>
                </c:pt>
                <c:pt idx="13">
                  <c:v>94.061084548495231</c:v>
                </c:pt>
                <c:pt idx="14">
                  <c:v>92.013414016552005</c:v>
                </c:pt>
                <c:pt idx="15">
                  <c:v>92.649444308002401</c:v>
                </c:pt>
                <c:pt idx="16">
                  <c:v>92.805020452637223</c:v>
                </c:pt>
                <c:pt idx="17">
                  <c:v>94.128058204542199</c:v>
                </c:pt>
                <c:pt idx="18">
                  <c:v>90.631728587282439</c:v>
                </c:pt>
                <c:pt idx="19">
                  <c:v>92.477397213157786</c:v>
                </c:pt>
                <c:pt idx="20">
                  <c:v>83.868253705655036</c:v>
                </c:pt>
                <c:pt idx="21">
                  <c:v>87.300911957733092</c:v>
                </c:pt>
                <c:pt idx="22">
                  <c:v>88.408596963147431</c:v>
                </c:pt>
                <c:pt idx="23">
                  <c:v>87.6</c:v>
                </c:pt>
              </c:numCache>
            </c:numRef>
          </c:val>
          <c:extLst>
            <c:ext xmlns:c16="http://schemas.microsoft.com/office/drawing/2014/chart" uri="{C3380CC4-5D6E-409C-BE32-E72D297353CC}">
              <c16:uniqueId val="{00000002-DE4C-4F6B-A309-D2C3F5325060}"/>
            </c:ext>
          </c:extLst>
        </c:ser>
        <c:dLbls>
          <c:showLegendKey val="0"/>
          <c:showVal val="0"/>
          <c:showCatName val="0"/>
          <c:showSerName val="0"/>
          <c:showPercent val="0"/>
          <c:showBubbleSize val="0"/>
        </c:dLbls>
        <c:gapWidth val="50"/>
        <c:overlap val="-27"/>
        <c:axId val="1870288255"/>
        <c:axId val="1870289215"/>
      </c:barChart>
      <c:lineChart>
        <c:grouping val="standard"/>
        <c:varyColors val="0"/>
        <c:ser>
          <c:idx val="0"/>
          <c:order val="1"/>
          <c:tx>
            <c:strRef>
              <c:f>Anual!$F$1</c:f>
              <c:strCache>
                <c:ptCount val="1"/>
                <c:pt idx="0">
                  <c:v>Promedio 2000-22</c:v>
                </c:pt>
              </c:strCache>
            </c:strRef>
          </c:tx>
          <c:spPr>
            <a:ln w="28575" cap="rnd">
              <a:solidFill>
                <a:srgbClr val="00B0F0"/>
              </a:solidFill>
              <a:prstDash val="sysDash"/>
              <a:round/>
            </a:ln>
            <a:effectLst/>
          </c:spPr>
          <c:marker>
            <c:symbol val="none"/>
          </c:marker>
          <c:dLbls>
            <c:dLbl>
              <c:idx val="23"/>
              <c:layout>
                <c:manualLayout>
                  <c:x val="-2.7777693048468555E-2"/>
                  <c:y val="-5.5499653557932606E-2"/>
                </c:manualLayout>
              </c:layout>
              <c:showLegendKey val="0"/>
              <c:showVal val="1"/>
              <c:showCatName val="0"/>
              <c:showSerName val="0"/>
              <c:showPercent val="0"/>
              <c:showBubbleSize val="0"/>
              <c:extLst>
                <c:ext xmlns:c15="http://schemas.microsoft.com/office/drawing/2012/chart" uri="{CE6537A1-D6FC-4f65-9D91-7224C49458BB}">
                  <c15:layout>
                    <c:manualLayout>
                      <c:w val="6.0902668416447932E-2"/>
                      <c:h val="8.3264071157771929E-2"/>
                    </c:manualLayout>
                  </c15:layout>
                </c:ext>
                <c:ext xmlns:c16="http://schemas.microsoft.com/office/drawing/2014/chart" uri="{C3380CC4-5D6E-409C-BE32-E72D297353CC}">
                  <c16:uniqueId val="{00000003-DE4C-4F6B-A309-D2C3F5325060}"/>
                </c:ext>
              </c:extLst>
            </c:dLbl>
            <c:spPr>
              <a:noFill/>
              <a:ln>
                <a:noFill/>
              </a:ln>
              <a:effectLst/>
            </c:spPr>
            <c:txPr>
              <a:bodyPr rot="0" spcFirstLastPara="1" vertOverflow="ellipsis" vert="horz" wrap="square" anchor="ctr" anchorCtr="1"/>
              <a:lstStyle/>
              <a:p>
                <a:pPr>
                  <a:defRPr sz="900" b="1" i="0" u="none" strike="noStrike" kern="1200" baseline="0">
                    <a:solidFill>
                      <a:srgbClr val="00B0F0"/>
                    </a:solidFill>
                    <a:latin typeface="+mn-lt"/>
                    <a:ea typeface="Calibri" panose="020F0502020204030204" pitchFamily="34" charset="0"/>
                    <a:cs typeface="Calibri" panose="020F0502020204030204" pitchFamily="34" charset="0"/>
                  </a:defRPr>
                </a:pPr>
                <a:endParaRPr lang="es-CO"/>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Anual!$H$2:$H$25</c:f>
              <c:numCache>
                <c:formatCode>0.0</c:formatCode>
                <c:ptCount val="24"/>
                <c:pt idx="0">
                  <c:v>89.844041400173978</c:v>
                </c:pt>
                <c:pt idx="1">
                  <c:v>89.844041400173978</c:v>
                </c:pt>
                <c:pt idx="2">
                  <c:v>89.844041400173978</c:v>
                </c:pt>
                <c:pt idx="3">
                  <c:v>89.844041400173978</c:v>
                </c:pt>
                <c:pt idx="4">
                  <c:v>89.844041400173978</c:v>
                </c:pt>
                <c:pt idx="5">
                  <c:v>89.844041400173978</c:v>
                </c:pt>
                <c:pt idx="6">
                  <c:v>89.844041400173978</c:v>
                </c:pt>
                <c:pt idx="7">
                  <c:v>89.844041400173978</c:v>
                </c:pt>
                <c:pt idx="8">
                  <c:v>89.844041400173978</c:v>
                </c:pt>
                <c:pt idx="9">
                  <c:v>89.844041400173978</c:v>
                </c:pt>
                <c:pt idx="10">
                  <c:v>89.844041400173978</c:v>
                </c:pt>
                <c:pt idx="11">
                  <c:v>89.844041400173978</c:v>
                </c:pt>
                <c:pt idx="12">
                  <c:v>89.844041400173978</c:v>
                </c:pt>
                <c:pt idx="13">
                  <c:v>89.844041400173978</c:v>
                </c:pt>
                <c:pt idx="14">
                  <c:v>89.844041400173978</c:v>
                </c:pt>
                <c:pt idx="15">
                  <c:v>89.844041400173978</c:v>
                </c:pt>
                <c:pt idx="16">
                  <c:v>89.844041400173978</c:v>
                </c:pt>
                <c:pt idx="17">
                  <c:v>89.844041400173978</c:v>
                </c:pt>
                <c:pt idx="18">
                  <c:v>89.844041400173978</c:v>
                </c:pt>
                <c:pt idx="19">
                  <c:v>89.844041400173978</c:v>
                </c:pt>
                <c:pt idx="20">
                  <c:v>89.844041400173978</c:v>
                </c:pt>
                <c:pt idx="21">
                  <c:v>89.844041400173978</c:v>
                </c:pt>
                <c:pt idx="22">
                  <c:v>89.844041400173978</c:v>
                </c:pt>
                <c:pt idx="23">
                  <c:v>89.844041400173978</c:v>
                </c:pt>
              </c:numCache>
            </c:numRef>
          </c:val>
          <c:smooth val="0"/>
          <c:extLst>
            <c:ext xmlns:c16="http://schemas.microsoft.com/office/drawing/2014/chart" uri="{C3380CC4-5D6E-409C-BE32-E72D297353CC}">
              <c16:uniqueId val="{00000004-DE4C-4F6B-A309-D2C3F5325060}"/>
            </c:ext>
          </c:extLst>
        </c:ser>
        <c:dLbls>
          <c:showLegendKey val="0"/>
          <c:showVal val="0"/>
          <c:showCatName val="0"/>
          <c:showSerName val="0"/>
          <c:showPercent val="0"/>
          <c:showBubbleSize val="0"/>
        </c:dLbls>
        <c:marker val="1"/>
        <c:smooth val="0"/>
        <c:axId val="1870288255"/>
        <c:axId val="1870289215"/>
      </c:lineChart>
      <c:catAx>
        <c:axId val="18702882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Calibri" panose="020F0502020204030204" pitchFamily="34" charset="0"/>
                <a:cs typeface="Calibri" panose="020F0502020204030204" pitchFamily="34" charset="0"/>
              </a:defRPr>
            </a:pPr>
            <a:endParaRPr lang="es-CO"/>
          </a:p>
        </c:txPr>
        <c:crossAx val="1870289215"/>
        <c:crosses val="autoZero"/>
        <c:auto val="1"/>
        <c:lblAlgn val="ctr"/>
        <c:lblOffset val="100"/>
        <c:noMultiLvlLbl val="0"/>
      </c:catAx>
      <c:valAx>
        <c:axId val="1870289215"/>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Calibri" panose="020F0502020204030204" pitchFamily="34" charset="0"/>
                    <a:cs typeface="Calibri" panose="020F0502020204030204" pitchFamily="34" charset="0"/>
                  </a:defRPr>
                </a:pPr>
                <a:r>
                  <a:rPr lang="es-MX">
                    <a:solidFill>
                      <a:sysClr val="windowText" lastClr="000000"/>
                    </a:solidFill>
                  </a:rPr>
                  <a:t>Porcentaje de ejecución (%)</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Calibri" panose="020F0502020204030204" pitchFamily="34" charset="0"/>
                  <a:cs typeface="Calibri" panose="020F0502020204030204" pitchFamily="34" charset="0"/>
                </a:defRPr>
              </a:pPr>
              <a:endParaRPr lang="es-CO"/>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Calibri" panose="020F0502020204030204" pitchFamily="34" charset="0"/>
                <a:cs typeface="Calibri" panose="020F0502020204030204" pitchFamily="34" charset="0"/>
              </a:defRPr>
            </a:pPr>
            <a:endParaRPr lang="es-CO"/>
          </a:p>
        </c:txPr>
        <c:crossAx val="1870288255"/>
        <c:crosses val="autoZero"/>
        <c:crossBetween val="between"/>
      </c:valAx>
      <c:spPr>
        <a:noFill/>
        <a:ln>
          <a:noFill/>
        </a:ln>
        <a:effectLst/>
      </c:spPr>
    </c:plotArea>
    <c:legend>
      <c:legendPos val="b"/>
      <c:legendEntry>
        <c:idx val="0"/>
        <c:delete val="1"/>
      </c:legendEntry>
      <c:layout>
        <c:manualLayout>
          <c:xMode val="edge"/>
          <c:yMode val="edge"/>
          <c:x val="0.63165511200972591"/>
          <c:y val="5.4499376102577345E-2"/>
          <c:w val="0.32999183942355742"/>
          <c:h val="7.835499623971772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Calibri" panose="020F0502020204030204" pitchFamily="34" charset="0"/>
              <a:cs typeface="Calibri" panose="020F0502020204030204" pitchFamily="34" charset="0"/>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mn-lt"/>
          <a:ea typeface="Calibri" panose="020F0502020204030204" pitchFamily="34" charset="0"/>
          <a:cs typeface="Calibri" panose="020F0502020204030204" pitchFamily="34" charset="0"/>
        </a:defRPr>
      </a:pPr>
      <a:endParaRPr lang="es-CO"/>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2769807697083595E-2"/>
          <c:y val="4.6065194556676056E-2"/>
          <c:w val="0.87114129483814529"/>
          <c:h val="0.80836540485915198"/>
        </c:manualLayout>
      </c:layout>
      <c:barChart>
        <c:barDir val="col"/>
        <c:grouping val="clustered"/>
        <c:varyColors val="0"/>
        <c:ser>
          <c:idx val="2"/>
          <c:order val="0"/>
          <c:tx>
            <c:strRef>
              <c:f>Anual!$E$1</c:f>
              <c:strCache>
                <c:ptCount val="1"/>
                <c:pt idx="0">
                  <c:v>sin deuda</c:v>
                </c:pt>
              </c:strCache>
            </c:strRef>
          </c:tx>
          <c:spPr>
            <a:solidFill>
              <a:srgbClr val="002060"/>
            </a:solidFill>
            <a:ln>
              <a:noFill/>
            </a:ln>
            <a:effectLst/>
          </c:spPr>
          <c:invertIfNegative val="0"/>
          <c:dPt>
            <c:idx val="23"/>
            <c:invertIfNegative val="0"/>
            <c:bubble3D val="0"/>
            <c:spPr>
              <a:solidFill>
                <a:srgbClr val="C00000"/>
              </a:solidFill>
              <a:ln>
                <a:noFill/>
              </a:ln>
              <a:effectLst/>
            </c:spPr>
            <c:extLst>
              <c:ext xmlns:c16="http://schemas.microsoft.com/office/drawing/2014/chart" uri="{C3380CC4-5D6E-409C-BE32-E72D297353CC}">
                <c16:uniqueId val="{00000001-58A7-468F-A920-322E02912D62}"/>
              </c:ext>
            </c:extLst>
          </c:dPt>
          <c:dLbls>
            <c:spPr>
              <a:noFill/>
              <a:ln>
                <a:noFill/>
              </a:ln>
              <a:effectLst/>
            </c:spPr>
            <c:txPr>
              <a:bodyPr rot="-5400000" spcFirstLastPara="1" vertOverflow="ellipsis" wrap="square" anchor="ctr" anchorCtr="1"/>
              <a:lstStyle/>
              <a:p>
                <a:pPr>
                  <a:defRPr sz="700" b="0" i="0" u="none" strike="noStrike" kern="1200" baseline="0">
                    <a:solidFill>
                      <a:schemeClr val="bg1"/>
                    </a:solidFill>
                    <a:latin typeface="+mn-lt"/>
                    <a:ea typeface="Calibri" panose="020F0502020204030204" pitchFamily="34" charset="0"/>
                    <a:cs typeface="Calibri" panose="020F0502020204030204" pitchFamily="34" charset="0"/>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Anual!$A$2:$A$25</c:f>
              <c:numCache>
                <c:formatCode>General</c:formatCode>
                <c:ptCount val="24"/>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numCache>
            </c:numRef>
          </c:cat>
          <c:val>
            <c:numRef>
              <c:f>Anual!$C$2:$C$25</c:f>
              <c:numCache>
                <c:formatCode>0.0</c:formatCode>
                <c:ptCount val="24"/>
                <c:pt idx="0">
                  <c:v>73.246463002290824</c:v>
                </c:pt>
                <c:pt idx="1">
                  <c:v>65.8897899455377</c:v>
                </c:pt>
                <c:pt idx="2">
                  <c:v>56.172875923750709</c:v>
                </c:pt>
                <c:pt idx="3">
                  <c:v>66.678554058845847</c:v>
                </c:pt>
                <c:pt idx="4">
                  <c:v>65.104790881448466</c:v>
                </c:pt>
                <c:pt idx="5">
                  <c:v>67.159518907935194</c:v>
                </c:pt>
                <c:pt idx="6">
                  <c:v>65.118095767545668</c:v>
                </c:pt>
                <c:pt idx="7">
                  <c:v>79.49389908149135</c:v>
                </c:pt>
                <c:pt idx="8">
                  <c:v>86.724891816867469</c:v>
                </c:pt>
                <c:pt idx="9">
                  <c:v>85.534618155728452</c:v>
                </c:pt>
                <c:pt idx="10">
                  <c:v>79.724388810463466</c:v>
                </c:pt>
                <c:pt idx="11">
                  <c:v>83.961857553564784</c:v>
                </c:pt>
                <c:pt idx="12">
                  <c:v>86.106966448851452</c:v>
                </c:pt>
                <c:pt idx="13">
                  <c:v>88.897320690505296</c:v>
                </c:pt>
                <c:pt idx="14">
                  <c:v>87.581609417163847</c:v>
                </c:pt>
                <c:pt idx="15">
                  <c:v>87.541938622862276</c:v>
                </c:pt>
                <c:pt idx="16">
                  <c:v>86.479889032492281</c:v>
                </c:pt>
                <c:pt idx="17">
                  <c:v>87.746350472972452</c:v>
                </c:pt>
                <c:pt idx="18">
                  <c:v>77.868759927326693</c:v>
                </c:pt>
                <c:pt idx="19">
                  <c:v>77.211463425633625</c:v>
                </c:pt>
                <c:pt idx="20">
                  <c:v>80.728665056895139</c:v>
                </c:pt>
                <c:pt idx="21">
                  <c:v>76.995510073232495</c:v>
                </c:pt>
                <c:pt idx="22">
                  <c:v>78.770144821133911</c:v>
                </c:pt>
                <c:pt idx="23">
                  <c:v>71.3</c:v>
                </c:pt>
              </c:numCache>
            </c:numRef>
          </c:val>
          <c:extLst>
            <c:ext xmlns:c16="http://schemas.microsoft.com/office/drawing/2014/chart" uri="{C3380CC4-5D6E-409C-BE32-E72D297353CC}">
              <c16:uniqueId val="{00000002-58A7-468F-A920-322E02912D62}"/>
            </c:ext>
          </c:extLst>
        </c:ser>
        <c:dLbls>
          <c:showLegendKey val="0"/>
          <c:showVal val="0"/>
          <c:showCatName val="0"/>
          <c:showSerName val="0"/>
          <c:showPercent val="0"/>
          <c:showBubbleSize val="0"/>
        </c:dLbls>
        <c:gapWidth val="50"/>
        <c:overlap val="-27"/>
        <c:axId val="1870288255"/>
        <c:axId val="1870289215"/>
      </c:barChart>
      <c:lineChart>
        <c:grouping val="standard"/>
        <c:varyColors val="0"/>
        <c:ser>
          <c:idx val="0"/>
          <c:order val="1"/>
          <c:tx>
            <c:strRef>
              <c:f>Anual!$F$1</c:f>
              <c:strCache>
                <c:ptCount val="1"/>
                <c:pt idx="0">
                  <c:v>Promedio 2000-22</c:v>
                </c:pt>
              </c:strCache>
            </c:strRef>
          </c:tx>
          <c:spPr>
            <a:ln w="28575" cap="rnd">
              <a:solidFill>
                <a:srgbClr val="00B0F0"/>
              </a:solidFill>
              <a:prstDash val="sysDash"/>
              <a:round/>
            </a:ln>
            <a:effectLst/>
          </c:spPr>
          <c:marker>
            <c:symbol val="none"/>
          </c:marker>
          <c:dLbls>
            <c:dLbl>
              <c:idx val="23"/>
              <c:layout>
                <c:manualLayout>
                  <c:x val="-1.6666666666666666E-2"/>
                  <c:y val="-5.5555555555555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8A7-468F-A920-322E02912D62}"/>
                </c:ext>
              </c:extLst>
            </c:dLbl>
            <c:spPr>
              <a:noFill/>
              <a:ln>
                <a:noFill/>
              </a:ln>
              <a:effectLst/>
            </c:spPr>
            <c:txPr>
              <a:bodyPr rot="0" spcFirstLastPara="1" vertOverflow="ellipsis" vert="horz" wrap="square" anchor="ctr" anchorCtr="1"/>
              <a:lstStyle/>
              <a:p>
                <a:pPr>
                  <a:defRPr sz="900" b="1" i="0" u="none" strike="noStrike" kern="1200" baseline="0">
                    <a:solidFill>
                      <a:srgbClr val="00B0F0"/>
                    </a:solidFill>
                    <a:latin typeface="+mn-lt"/>
                    <a:ea typeface="Calibri" panose="020F0502020204030204" pitchFamily="34" charset="0"/>
                    <a:cs typeface="Calibri" panose="020F0502020204030204" pitchFamily="34" charset="0"/>
                  </a:defRPr>
                </a:pPr>
                <a:endParaRPr lang="es-CO"/>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Anual!$G$2:$G$25</c:f>
              <c:numCache>
                <c:formatCode>0.0</c:formatCode>
                <c:ptCount val="24"/>
                <c:pt idx="0">
                  <c:v>77.858189647588674</c:v>
                </c:pt>
                <c:pt idx="1">
                  <c:v>77.858189647588674</c:v>
                </c:pt>
                <c:pt idx="2">
                  <c:v>77.858189647588674</c:v>
                </c:pt>
                <c:pt idx="3">
                  <c:v>77.858189647588674</c:v>
                </c:pt>
                <c:pt idx="4">
                  <c:v>77.858189647588674</c:v>
                </c:pt>
                <c:pt idx="5">
                  <c:v>77.858189647588674</c:v>
                </c:pt>
                <c:pt idx="6">
                  <c:v>77.858189647588674</c:v>
                </c:pt>
                <c:pt idx="7">
                  <c:v>77.858189647588674</c:v>
                </c:pt>
                <c:pt idx="8">
                  <c:v>77.858189647588674</c:v>
                </c:pt>
                <c:pt idx="9">
                  <c:v>77.858189647588674</c:v>
                </c:pt>
                <c:pt idx="10">
                  <c:v>77.858189647588674</c:v>
                </c:pt>
                <c:pt idx="11">
                  <c:v>77.858189647588674</c:v>
                </c:pt>
                <c:pt idx="12">
                  <c:v>77.858189647588674</c:v>
                </c:pt>
                <c:pt idx="13">
                  <c:v>77.858189647588674</c:v>
                </c:pt>
                <c:pt idx="14">
                  <c:v>77.858189647588674</c:v>
                </c:pt>
                <c:pt idx="15">
                  <c:v>77.858189647588674</c:v>
                </c:pt>
                <c:pt idx="16">
                  <c:v>77.858189647588674</c:v>
                </c:pt>
                <c:pt idx="17">
                  <c:v>77.858189647588674</c:v>
                </c:pt>
                <c:pt idx="18">
                  <c:v>77.858189647588674</c:v>
                </c:pt>
                <c:pt idx="19">
                  <c:v>77.858189647588674</c:v>
                </c:pt>
                <c:pt idx="20">
                  <c:v>77.858189647588674</c:v>
                </c:pt>
                <c:pt idx="21">
                  <c:v>77.858189647588674</c:v>
                </c:pt>
                <c:pt idx="22">
                  <c:v>77.858189647588674</c:v>
                </c:pt>
                <c:pt idx="23">
                  <c:v>77.858189647588674</c:v>
                </c:pt>
              </c:numCache>
            </c:numRef>
          </c:val>
          <c:smooth val="0"/>
          <c:extLst>
            <c:ext xmlns:c16="http://schemas.microsoft.com/office/drawing/2014/chart" uri="{C3380CC4-5D6E-409C-BE32-E72D297353CC}">
              <c16:uniqueId val="{00000004-58A7-468F-A920-322E02912D62}"/>
            </c:ext>
          </c:extLst>
        </c:ser>
        <c:dLbls>
          <c:showLegendKey val="0"/>
          <c:showVal val="0"/>
          <c:showCatName val="0"/>
          <c:showSerName val="0"/>
          <c:showPercent val="0"/>
          <c:showBubbleSize val="0"/>
        </c:dLbls>
        <c:marker val="1"/>
        <c:smooth val="0"/>
        <c:axId val="1870288255"/>
        <c:axId val="1870289215"/>
      </c:lineChart>
      <c:catAx>
        <c:axId val="18702882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Calibri" panose="020F0502020204030204" pitchFamily="34" charset="0"/>
                <a:cs typeface="Calibri" panose="020F0502020204030204" pitchFamily="34" charset="0"/>
              </a:defRPr>
            </a:pPr>
            <a:endParaRPr lang="es-CO"/>
          </a:p>
        </c:txPr>
        <c:crossAx val="1870289215"/>
        <c:crosses val="autoZero"/>
        <c:auto val="1"/>
        <c:lblAlgn val="ctr"/>
        <c:lblOffset val="100"/>
        <c:noMultiLvlLbl val="0"/>
      </c:catAx>
      <c:valAx>
        <c:axId val="1870289215"/>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Calibri" panose="020F0502020204030204" pitchFamily="34" charset="0"/>
                    <a:cs typeface="Calibri" panose="020F0502020204030204" pitchFamily="34" charset="0"/>
                  </a:defRPr>
                </a:pPr>
                <a:r>
                  <a:rPr lang="es-MX">
                    <a:solidFill>
                      <a:sysClr val="windowText" lastClr="000000"/>
                    </a:solidFill>
                  </a:rPr>
                  <a:t>Porcentaje de ejecución</a:t>
                </a:r>
                <a:r>
                  <a:rPr lang="es-MX" baseline="0">
                    <a:solidFill>
                      <a:sysClr val="windowText" lastClr="000000"/>
                    </a:solidFill>
                  </a:rPr>
                  <a:t> (%)</a:t>
                </a:r>
                <a:endParaRPr lang="es-MX">
                  <a:solidFill>
                    <a:sysClr val="windowText" lastClr="000000"/>
                  </a:solidFill>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Calibri" panose="020F0502020204030204" pitchFamily="34" charset="0"/>
                  <a:cs typeface="Calibri" panose="020F0502020204030204" pitchFamily="34" charset="0"/>
                </a:defRPr>
              </a:pPr>
              <a:endParaRPr lang="es-CO"/>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Calibri" panose="020F0502020204030204" pitchFamily="34" charset="0"/>
                <a:cs typeface="Calibri" panose="020F0502020204030204" pitchFamily="34" charset="0"/>
              </a:defRPr>
            </a:pPr>
            <a:endParaRPr lang="es-CO"/>
          </a:p>
        </c:txPr>
        <c:crossAx val="1870288255"/>
        <c:crosses val="autoZero"/>
        <c:crossBetween val="between"/>
      </c:valAx>
      <c:spPr>
        <a:noFill/>
        <a:ln>
          <a:noFill/>
        </a:ln>
        <a:effectLst/>
      </c:spPr>
    </c:plotArea>
    <c:legend>
      <c:legendPos val="b"/>
      <c:legendEntry>
        <c:idx val="0"/>
        <c:delete val="1"/>
      </c:legendEntry>
      <c:layout>
        <c:manualLayout>
          <c:xMode val="edge"/>
          <c:yMode val="edge"/>
          <c:x val="0.65035404747068482"/>
          <c:y val="6.9854786842148561E-2"/>
          <c:w val="0.32958923884514435"/>
          <c:h val="6.886628754738990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Calibri" panose="020F0502020204030204" pitchFamily="34" charset="0"/>
              <a:cs typeface="Calibri" panose="020F0502020204030204" pitchFamily="34" charset="0"/>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mn-lt"/>
          <a:ea typeface="Calibri" panose="020F0502020204030204" pitchFamily="34" charset="0"/>
          <a:cs typeface="Calibri" panose="020F0502020204030204" pitchFamily="34" charset="0"/>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0.30714</cdr:x>
      <cdr:y>0.01857</cdr:y>
    </cdr:from>
    <cdr:to>
      <cdr:x>0.93273</cdr:x>
      <cdr:y>0.43703</cdr:y>
    </cdr:to>
    <cdr:cxnSp macro="">
      <cdr:nvCxnSpPr>
        <cdr:cNvPr id="3" name="Conector recto de flecha 2"/>
        <cdr:cNvCxnSpPr/>
      </cdr:nvCxnSpPr>
      <cdr:spPr>
        <a:xfrm xmlns:a="http://schemas.openxmlformats.org/drawingml/2006/main">
          <a:off x="1575110" y="36009"/>
          <a:ext cx="3208188" cy="811515"/>
        </a:xfrm>
        <a:prstGeom xmlns:a="http://schemas.openxmlformats.org/drawingml/2006/main" prst="straightConnector1">
          <a:avLst/>
        </a:prstGeom>
        <a:ln xmlns:a="http://schemas.openxmlformats.org/drawingml/2006/main">
          <a:solidFill>
            <a:srgbClr val="002060"/>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2.xml><?xml version="1.0" encoding="utf-8"?>
<c:userShapes xmlns:c="http://schemas.openxmlformats.org/drawingml/2006/chart">
  <cdr:relSizeAnchor xmlns:cdr="http://schemas.openxmlformats.org/drawingml/2006/chartDrawing">
    <cdr:from>
      <cdr:x>0.47626</cdr:x>
      <cdr:y>0.04934</cdr:y>
    </cdr:from>
    <cdr:to>
      <cdr:x>0.95549</cdr:x>
      <cdr:y>0.49671</cdr:y>
    </cdr:to>
    <cdr:cxnSp macro="">
      <cdr:nvCxnSpPr>
        <cdr:cNvPr id="3" name="Conector recto de flecha 2"/>
        <cdr:cNvCxnSpPr/>
      </cdr:nvCxnSpPr>
      <cdr:spPr>
        <a:xfrm xmlns:a="http://schemas.openxmlformats.org/drawingml/2006/main">
          <a:off x="2446020" y="114300"/>
          <a:ext cx="2461260" cy="1036320"/>
        </a:xfrm>
        <a:prstGeom xmlns:a="http://schemas.openxmlformats.org/drawingml/2006/main" prst="straightConnector1">
          <a:avLst/>
        </a:prstGeom>
        <a:ln xmlns:a="http://schemas.openxmlformats.org/drawingml/2006/main">
          <a:solidFill>
            <a:srgbClr val="002060"/>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3.xml><?xml version="1.0" encoding="utf-8"?>
<c:userShapes xmlns:c="http://schemas.openxmlformats.org/drawingml/2006/chart">
  <cdr:relSizeAnchor xmlns:cdr="http://schemas.openxmlformats.org/drawingml/2006/chartDrawing">
    <cdr:from>
      <cdr:x>0.42333</cdr:x>
      <cdr:y>0.14166</cdr:y>
    </cdr:from>
    <cdr:to>
      <cdr:x>0.63833</cdr:x>
      <cdr:y>0.49722</cdr:y>
    </cdr:to>
    <cdr:cxnSp macro="">
      <cdr:nvCxnSpPr>
        <cdr:cNvPr id="3" name="Conector recto de flecha 2">
          <a:extLst xmlns:a="http://schemas.openxmlformats.org/drawingml/2006/main">
            <a:ext uri="{FF2B5EF4-FFF2-40B4-BE49-F238E27FC236}">
              <a16:creationId xmlns:a16="http://schemas.microsoft.com/office/drawing/2014/main" id="{AC05E9E0-4330-41CB-BA16-00ACEF7C1654}"/>
            </a:ext>
          </a:extLst>
        </cdr:cNvPr>
        <cdr:cNvCxnSpPr/>
      </cdr:nvCxnSpPr>
      <cdr:spPr>
        <a:xfrm xmlns:a="http://schemas.openxmlformats.org/drawingml/2006/main" flipV="1">
          <a:off x="1935474" y="388614"/>
          <a:ext cx="982980" cy="975360"/>
        </a:xfrm>
        <a:prstGeom xmlns:a="http://schemas.openxmlformats.org/drawingml/2006/main" prst="straightConnector1">
          <a:avLst/>
        </a:prstGeom>
        <a:ln xmlns:a="http://schemas.openxmlformats.org/drawingml/2006/main">
          <a:solidFill>
            <a:srgbClr val="002060"/>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0.39925</cdr:x>
      <cdr:y>0.17407</cdr:y>
    </cdr:from>
    <cdr:to>
      <cdr:x>0.50989</cdr:x>
      <cdr:y>0.3037</cdr:y>
    </cdr:to>
    <cdr:sp macro="" textlink="">
      <cdr:nvSpPr>
        <cdr:cNvPr id="4" name="Cuadro de texto 2"/>
        <cdr:cNvSpPr txBox="1">
          <a:spLocks xmlns:a="http://schemas.openxmlformats.org/drawingml/2006/main" noChangeArrowheads="1"/>
        </cdr:cNvSpPr>
      </cdr:nvSpPr>
      <cdr:spPr bwMode="auto">
        <a:xfrm xmlns:a="http://schemas.openxmlformats.org/drawingml/2006/main">
          <a:off x="2153920" y="358140"/>
          <a:ext cx="596900" cy="266700"/>
        </a:xfrm>
        <a:prstGeom xmlns:a="http://schemas.openxmlformats.org/drawingml/2006/main" prst="rect">
          <a:avLst/>
        </a:prstGeom>
        <a:solidFill xmlns:a="http://schemas.openxmlformats.org/drawingml/2006/main">
          <a:srgbClr val="FFFFFF"/>
        </a:solidFill>
        <a:ln xmlns:a="http://schemas.openxmlformats.org/drawingml/2006/main" w="9525">
          <a:solidFill>
            <a:srgbClr val="000000"/>
          </a:solid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pPr>
            <a:lnSpc>
              <a:spcPct val="107000"/>
            </a:lnSpc>
            <a:spcAft>
              <a:spcPts val="800"/>
            </a:spcAft>
          </a:pPr>
          <a:r>
            <a:rPr lang="es-MX" sz="1100" b="1">
              <a:solidFill>
                <a:srgbClr val="C00000"/>
              </a:solidFill>
              <a:effectLst/>
              <a:latin typeface="Calibri" panose="020F0502020204030204" pitchFamily="34" charset="0"/>
              <a:ea typeface="Calibri" panose="020F0502020204030204" pitchFamily="34" charset="0"/>
              <a:cs typeface="Times New Roman" panose="02020603050405020304" pitchFamily="18" charset="0"/>
            </a:rPr>
            <a:t>+$26,6</a:t>
          </a:r>
        </a:p>
      </cdr:txBody>
    </cdr:sp>
  </cdr:relSizeAnchor>
</c:userShapes>
</file>

<file path=word/drawings/drawing4.xml><?xml version="1.0" encoding="utf-8"?>
<c:userShapes xmlns:c="http://schemas.openxmlformats.org/drawingml/2006/chart">
  <cdr:relSizeAnchor xmlns:cdr="http://schemas.openxmlformats.org/drawingml/2006/chartDrawing">
    <cdr:from>
      <cdr:x>0.10224</cdr:x>
      <cdr:y>0</cdr:y>
    </cdr:from>
    <cdr:to>
      <cdr:x>0.16226</cdr:x>
      <cdr:y>0.06907</cdr:y>
    </cdr:to>
    <cdr:sp macro="" textlink="">
      <cdr:nvSpPr>
        <cdr:cNvPr id="2" name="Cuadro de texto 2"/>
        <cdr:cNvSpPr txBox="1">
          <a:spLocks xmlns:a="http://schemas.openxmlformats.org/drawingml/2006/main" noChangeArrowheads="1"/>
        </cdr:cNvSpPr>
      </cdr:nvSpPr>
      <cdr:spPr bwMode="auto">
        <a:xfrm xmlns:a="http://schemas.openxmlformats.org/drawingml/2006/main">
          <a:off x="619360" y="0"/>
          <a:ext cx="363595" cy="175259"/>
        </a:xfrm>
        <a:prstGeom xmlns:a="http://schemas.openxmlformats.org/drawingml/2006/main" prst="rect">
          <a:avLst/>
        </a:prstGeom>
        <a:noFill xmlns:a="http://schemas.openxmlformats.org/drawingml/2006/main"/>
        <a:ln xmlns:a="http://schemas.openxmlformats.org/drawingml/2006/main" w="9525">
          <a:solidFill>
            <a:srgbClr val="000000"/>
          </a:solid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s-CO" sz="800" b="1">
              <a:effectLst/>
              <a:latin typeface="Calibri" panose="020F0502020204030204" pitchFamily="34" charset="0"/>
              <a:ea typeface="Calibri" panose="020F0502020204030204" pitchFamily="34" charset="0"/>
              <a:cs typeface="Times New Roman" panose="02020603050405020304" pitchFamily="18" charset="0"/>
            </a:rPr>
            <a:t>-3%</a:t>
          </a:r>
          <a:endParaRPr lang="es-MX" sz="800" b="1">
            <a:effectLst/>
            <a:latin typeface="Calibri" panose="020F0502020204030204" pitchFamily="34" charset="0"/>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0.19572</cdr:x>
      <cdr:y>0.20878</cdr:y>
    </cdr:from>
    <cdr:to>
      <cdr:x>0.25573</cdr:x>
      <cdr:y>0.27785</cdr:y>
    </cdr:to>
    <cdr:sp macro="" textlink="">
      <cdr:nvSpPr>
        <cdr:cNvPr id="3" name="Cuadro de texto 2"/>
        <cdr:cNvSpPr txBox="1">
          <a:spLocks xmlns:a="http://schemas.openxmlformats.org/drawingml/2006/main" noChangeArrowheads="1"/>
        </cdr:cNvSpPr>
      </cdr:nvSpPr>
      <cdr:spPr bwMode="auto">
        <a:xfrm xmlns:a="http://schemas.openxmlformats.org/drawingml/2006/main">
          <a:off x="1185652" y="529771"/>
          <a:ext cx="363535" cy="175259"/>
        </a:xfrm>
        <a:prstGeom xmlns:a="http://schemas.openxmlformats.org/drawingml/2006/main" prst="rect">
          <a:avLst/>
        </a:prstGeom>
        <a:noFill xmlns:a="http://schemas.openxmlformats.org/drawingml/2006/main"/>
        <a:ln xmlns:a="http://schemas.openxmlformats.org/drawingml/2006/main" w="9525">
          <a:solidFill>
            <a:srgbClr val="000000"/>
          </a:solid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s-CO" sz="800" b="1">
              <a:effectLst/>
              <a:latin typeface="Calibri" panose="020F0502020204030204" pitchFamily="34" charset="0"/>
              <a:ea typeface="Calibri" panose="020F0502020204030204" pitchFamily="34" charset="0"/>
              <a:cs typeface="Times New Roman" panose="02020603050405020304" pitchFamily="18" charset="0"/>
            </a:rPr>
            <a:t>-4%</a:t>
          </a:r>
          <a:endParaRPr lang="es-MX" sz="800" b="1">
            <a:effectLst/>
            <a:latin typeface="Calibri" panose="020F0502020204030204" pitchFamily="34" charset="0"/>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0.29977</cdr:x>
      <cdr:y>0.21057</cdr:y>
    </cdr:from>
    <cdr:to>
      <cdr:x>0.35979</cdr:x>
      <cdr:y>0.27965</cdr:y>
    </cdr:to>
    <cdr:sp macro="" textlink="">
      <cdr:nvSpPr>
        <cdr:cNvPr id="4" name="Cuadro de texto 1"/>
        <cdr:cNvSpPr txBox="1">
          <a:spLocks xmlns:a="http://schemas.openxmlformats.org/drawingml/2006/main" noChangeArrowheads="1"/>
        </cdr:cNvSpPr>
      </cdr:nvSpPr>
      <cdr:spPr bwMode="auto">
        <a:xfrm xmlns:a="http://schemas.openxmlformats.org/drawingml/2006/main">
          <a:off x="1815977" y="534314"/>
          <a:ext cx="363595" cy="175286"/>
        </a:xfrm>
        <a:prstGeom xmlns:a="http://schemas.openxmlformats.org/drawingml/2006/main" prst="rect">
          <a:avLst/>
        </a:prstGeom>
        <a:noFill xmlns:a="http://schemas.openxmlformats.org/drawingml/2006/main"/>
        <a:ln xmlns:a="http://schemas.openxmlformats.org/drawingml/2006/main" w="9525">
          <a:solidFill>
            <a:srgbClr val="000000"/>
          </a:solid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s-CO" sz="800" b="1">
              <a:effectLst/>
              <a:latin typeface="Calibri" panose="020F0502020204030204" pitchFamily="34" charset="0"/>
              <a:ea typeface="Calibri" panose="020F0502020204030204" pitchFamily="34" charset="0"/>
              <a:cs typeface="Times New Roman" panose="02020603050405020304" pitchFamily="18" charset="0"/>
            </a:rPr>
            <a:t>-8%</a:t>
          </a:r>
          <a:endParaRPr lang="es-MX" sz="800" b="1">
            <a:effectLst/>
            <a:latin typeface="Calibri" panose="020F0502020204030204" pitchFamily="34" charset="0"/>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0.39986</cdr:x>
      <cdr:y>0.30108</cdr:y>
    </cdr:from>
    <cdr:to>
      <cdr:x>0.4717</cdr:x>
      <cdr:y>0.37838</cdr:y>
    </cdr:to>
    <cdr:sp macro="" textlink="">
      <cdr:nvSpPr>
        <cdr:cNvPr id="5" name="Cuadro de texto 1"/>
        <cdr:cNvSpPr txBox="1">
          <a:spLocks xmlns:a="http://schemas.openxmlformats.org/drawingml/2006/main" noChangeArrowheads="1"/>
        </cdr:cNvSpPr>
      </cdr:nvSpPr>
      <cdr:spPr bwMode="auto">
        <a:xfrm xmlns:a="http://schemas.openxmlformats.org/drawingml/2006/main">
          <a:off x="2422313" y="763979"/>
          <a:ext cx="435188" cy="196142"/>
        </a:xfrm>
        <a:prstGeom xmlns:a="http://schemas.openxmlformats.org/drawingml/2006/main" prst="rect">
          <a:avLst/>
        </a:prstGeom>
        <a:noFill xmlns:a="http://schemas.openxmlformats.org/drawingml/2006/main"/>
        <a:ln xmlns:a="http://schemas.openxmlformats.org/drawingml/2006/main" w="9525">
          <a:solidFill>
            <a:srgbClr val="000000"/>
          </a:solid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s-CO" sz="800" b="1">
              <a:effectLst/>
              <a:latin typeface="Calibri" panose="020F0502020204030204" pitchFamily="34" charset="0"/>
              <a:ea typeface="Calibri" panose="020F0502020204030204" pitchFamily="34" charset="0"/>
              <a:cs typeface="Times New Roman" panose="02020603050405020304" pitchFamily="18" charset="0"/>
            </a:rPr>
            <a:t>-29%</a:t>
          </a:r>
          <a:endParaRPr lang="es-MX" sz="800" b="1">
            <a:effectLst/>
            <a:latin typeface="Calibri" panose="020F0502020204030204" pitchFamily="34" charset="0"/>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0.49334</cdr:x>
      <cdr:y>0.18996</cdr:y>
    </cdr:from>
    <cdr:to>
      <cdr:x>0.56604</cdr:x>
      <cdr:y>0.26727</cdr:y>
    </cdr:to>
    <cdr:sp macro="" textlink="">
      <cdr:nvSpPr>
        <cdr:cNvPr id="6" name="Cuadro de texto 1"/>
        <cdr:cNvSpPr txBox="1">
          <a:spLocks xmlns:a="http://schemas.openxmlformats.org/drawingml/2006/main" noChangeArrowheads="1"/>
        </cdr:cNvSpPr>
      </cdr:nvSpPr>
      <cdr:spPr bwMode="auto">
        <a:xfrm xmlns:a="http://schemas.openxmlformats.org/drawingml/2006/main">
          <a:off x="2988604" y="482016"/>
          <a:ext cx="440396" cy="196164"/>
        </a:xfrm>
        <a:prstGeom xmlns:a="http://schemas.openxmlformats.org/drawingml/2006/main" prst="rect">
          <a:avLst/>
        </a:prstGeom>
        <a:noFill xmlns:a="http://schemas.openxmlformats.org/drawingml/2006/main"/>
        <a:ln xmlns:a="http://schemas.openxmlformats.org/drawingml/2006/main" w="9525">
          <a:solidFill>
            <a:srgbClr val="000000"/>
          </a:solid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s-CO" sz="800" b="1">
              <a:effectLst/>
              <a:latin typeface="Calibri" panose="020F0502020204030204" pitchFamily="34" charset="0"/>
              <a:ea typeface="Calibri" panose="020F0502020204030204" pitchFamily="34" charset="0"/>
              <a:cs typeface="Times New Roman" panose="02020603050405020304" pitchFamily="18" charset="0"/>
            </a:rPr>
            <a:t>-48%</a:t>
          </a:r>
          <a:endParaRPr lang="es-MX" sz="800" b="1">
            <a:effectLst/>
            <a:latin typeface="Calibri" panose="020F0502020204030204" pitchFamily="34" charset="0"/>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0.59343</cdr:x>
      <cdr:y>0.44176</cdr:y>
    </cdr:from>
    <cdr:to>
      <cdr:x>0.66667</cdr:x>
      <cdr:y>0.52252</cdr:y>
    </cdr:to>
    <cdr:sp macro="" textlink="">
      <cdr:nvSpPr>
        <cdr:cNvPr id="7" name="Cuadro de texto 1"/>
        <cdr:cNvSpPr txBox="1">
          <a:spLocks xmlns:a="http://schemas.openxmlformats.org/drawingml/2006/main" noChangeArrowheads="1"/>
        </cdr:cNvSpPr>
      </cdr:nvSpPr>
      <cdr:spPr bwMode="auto">
        <a:xfrm xmlns:a="http://schemas.openxmlformats.org/drawingml/2006/main">
          <a:off x="3594941" y="1120949"/>
          <a:ext cx="443660" cy="204932"/>
        </a:xfrm>
        <a:prstGeom xmlns:a="http://schemas.openxmlformats.org/drawingml/2006/main" prst="rect">
          <a:avLst/>
        </a:prstGeom>
        <a:noFill xmlns:a="http://schemas.openxmlformats.org/drawingml/2006/main"/>
        <a:ln xmlns:a="http://schemas.openxmlformats.org/drawingml/2006/main" w="9525">
          <a:solidFill>
            <a:srgbClr val="000000"/>
          </a:solid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s-CO" sz="800" b="1">
              <a:effectLst/>
              <a:latin typeface="Calibri" panose="020F0502020204030204" pitchFamily="34" charset="0"/>
              <a:ea typeface="Calibri" panose="020F0502020204030204" pitchFamily="34" charset="0"/>
              <a:cs typeface="Times New Roman" panose="02020603050405020304" pitchFamily="18" charset="0"/>
            </a:rPr>
            <a:t>-25%</a:t>
          </a:r>
          <a:endParaRPr lang="es-MX" sz="800" b="1">
            <a:effectLst/>
            <a:latin typeface="Calibri" panose="020F0502020204030204" pitchFamily="34" charset="0"/>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0.69219</cdr:x>
      <cdr:y>0.47581</cdr:y>
    </cdr:from>
    <cdr:to>
      <cdr:x>0.7522</cdr:x>
      <cdr:y>0.55856</cdr:y>
    </cdr:to>
    <cdr:sp macro="" textlink="">
      <cdr:nvSpPr>
        <cdr:cNvPr id="8" name="Cuadro de texto 1"/>
        <cdr:cNvSpPr txBox="1">
          <a:spLocks xmlns:a="http://schemas.openxmlformats.org/drawingml/2006/main" noChangeArrowheads="1"/>
        </cdr:cNvSpPr>
      </cdr:nvSpPr>
      <cdr:spPr bwMode="auto">
        <a:xfrm xmlns:a="http://schemas.openxmlformats.org/drawingml/2006/main">
          <a:off x="4193218" y="1207349"/>
          <a:ext cx="363534" cy="209971"/>
        </a:xfrm>
        <a:prstGeom xmlns:a="http://schemas.openxmlformats.org/drawingml/2006/main" prst="rect">
          <a:avLst/>
        </a:prstGeom>
        <a:noFill xmlns:a="http://schemas.openxmlformats.org/drawingml/2006/main"/>
        <a:ln xmlns:a="http://schemas.openxmlformats.org/drawingml/2006/main" w="9525">
          <a:solidFill>
            <a:srgbClr val="000000"/>
          </a:solid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s-CO" sz="800" b="1">
              <a:effectLst/>
              <a:latin typeface="Calibri" panose="020F0502020204030204" pitchFamily="34" charset="0"/>
              <a:ea typeface="Calibri" panose="020F0502020204030204" pitchFamily="34" charset="0"/>
              <a:cs typeface="Times New Roman" panose="02020603050405020304" pitchFamily="18" charset="0"/>
            </a:rPr>
            <a:t>-0%</a:t>
          </a:r>
          <a:endParaRPr lang="es-MX" sz="800" b="1">
            <a:effectLst/>
            <a:latin typeface="Calibri" panose="020F0502020204030204" pitchFamily="34" charset="0"/>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0.78831</cdr:x>
      <cdr:y>0.53136</cdr:y>
    </cdr:from>
    <cdr:to>
      <cdr:x>0.85582</cdr:x>
      <cdr:y>0.60961</cdr:y>
    </cdr:to>
    <cdr:sp macro="" textlink="">
      <cdr:nvSpPr>
        <cdr:cNvPr id="9" name="Cuadro de texto 1"/>
        <cdr:cNvSpPr txBox="1">
          <a:spLocks xmlns:a="http://schemas.openxmlformats.org/drawingml/2006/main" noChangeArrowheads="1"/>
        </cdr:cNvSpPr>
      </cdr:nvSpPr>
      <cdr:spPr bwMode="auto">
        <a:xfrm xmlns:a="http://schemas.openxmlformats.org/drawingml/2006/main">
          <a:off x="4775503" y="1348305"/>
          <a:ext cx="408969" cy="198556"/>
        </a:xfrm>
        <a:prstGeom xmlns:a="http://schemas.openxmlformats.org/drawingml/2006/main" prst="rect">
          <a:avLst/>
        </a:prstGeom>
        <a:noFill xmlns:a="http://schemas.openxmlformats.org/drawingml/2006/main"/>
        <a:ln xmlns:a="http://schemas.openxmlformats.org/drawingml/2006/main" w="9525">
          <a:solidFill>
            <a:srgbClr val="000000"/>
          </a:solid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s-CO" sz="800" b="1">
              <a:effectLst/>
              <a:latin typeface="Calibri" panose="020F0502020204030204" pitchFamily="34" charset="0"/>
              <a:ea typeface="Calibri" panose="020F0502020204030204" pitchFamily="34" charset="0"/>
              <a:cs typeface="Times New Roman" panose="02020603050405020304" pitchFamily="18" charset="0"/>
            </a:rPr>
            <a:t>25%</a:t>
          </a:r>
          <a:endParaRPr lang="es-MX" sz="800" b="1">
            <a:effectLst/>
            <a:latin typeface="Calibri" panose="020F0502020204030204" pitchFamily="34" charset="0"/>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0.88675</cdr:x>
      <cdr:y>0.50376</cdr:y>
    </cdr:from>
    <cdr:to>
      <cdr:x>0.95849</cdr:x>
      <cdr:y>0.58258</cdr:y>
    </cdr:to>
    <cdr:sp macro="" textlink="">
      <cdr:nvSpPr>
        <cdr:cNvPr id="10" name="Cuadro de texto 1"/>
        <cdr:cNvSpPr txBox="1">
          <a:spLocks xmlns:a="http://schemas.openxmlformats.org/drawingml/2006/main" noChangeArrowheads="1"/>
        </cdr:cNvSpPr>
      </cdr:nvSpPr>
      <cdr:spPr bwMode="auto">
        <a:xfrm xmlns:a="http://schemas.openxmlformats.org/drawingml/2006/main">
          <a:off x="5371839" y="1278261"/>
          <a:ext cx="434601" cy="200019"/>
        </a:xfrm>
        <a:prstGeom xmlns:a="http://schemas.openxmlformats.org/drawingml/2006/main" prst="rect">
          <a:avLst/>
        </a:prstGeom>
        <a:noFill xmlns:a="http://schemas.openxmlformats.org/drawingml/2006/main"/>
        <a:ln xmlns:a="http://schemas.openxmlformats.org/drawingml/2006/main" w="9525">
          <a:solidFill>
            <a:srgbClr val="000000"/>
          </a:solid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s-CO" sz="800" b="1">
              <a:effectLst/>
              <a:latin typeface="Calibri" panose="020F0502020204030204" pitchFamily="34" charset="0"/>
              <a:ea typeface="Calibri" panose="020F0502020204030204" pitchFamily="34" charset="0"/>
              <a:cs typeface="Times New Roman" panose="02020603050405020304" pitchFamily="18" charset="0"/>
            </a:rPr>
            <a:t>-69%</a:t>
          </a:r>
          <a:endParaRPr lang="es-MX" sz="800" b="1">
            <a:effectLst/>
            <a:latin typeface="Calibri" panose="020F0502020204030204" pitchFamily="34" charset="0"/>
            <a:ea typeface="Calibri" panose="020F0502020204030204" pitchFamily="34"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15</Pages>
  <Words>3685</Words>
  <Characters>20272</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dc:creator>
  <cp:lastModifiedBy>Juan</cp:lastModifiedBy>
  <cp:revision>16</cp:revision>
  <dcterms:created xsi:type="dcterms:W3CDTF">2024-08-06T20:30:00Z</dcterms:created>
  <dcterms:modified xsi:type="dcterms:W3CDTF">2024-08-09T15:07:00Z</dcterms:modified>
</cp:coreProperties>
</file>