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7ABB1" w14:textId="77777777" w:rsidR="00FA14B0" w:rsidRDefault="004960D6">
      <w:pPr>
        <w:spacing w:after="0" w:line="276" w:lineRule="auto"/>
        <w:jc w:val="center"/>
        <w:rPr>
          <w:rFonts w:ascii="Garamond" w:eastAsia="Garamond" w:hAnsi="Garamond" w:cs="Garamond"/>
          <w:b/>
          <w:sz w:val="24"/>
          <w:szCs w:val="24"/>
        </w:rPr>
      </w:pPr>
      <w:bookmarkStart w:id="0" w:name="_GoBack"/>
      <w:bookmarkEnd w:id="0"/>
      <w:r>
        <w:rPr>
          <w:rFonts w:ascii="Garamond" w:eastAsia="Garamond" w:hAnsi="Garamond" w:cs="Garamond"/>
          <w:b/>
          <w:sz w:val="24"/>
          <w:szCs w:val="24"/>
        </w:rPr>
        <w:t xml:space="preserve">INFORME DE CONCILIACIÓN </w:t>
      </w:r>
    </w:p>
    <w:p w14:paraId="0D2279F9" w14:textId="77777777" w:rsidR="00FA14B0" w:rsidRDefault="004960D6">
      <w:pPr>
        <w:spacing w:after="0" w:line="276" w:lineRule="auto"/>
        <w:jc w:val="center"/>
        <w:rPr>
          <w:rFonts w:ascii="Garamond" w:eastAsia="Garamond" w:hAnsi="Garamond" w:cs="Garamond"/>
          <w:b/>
          <w:sz w:val="24"/>
          <w:szCs w:val="24"/>
        </w:rPr>
      </w:pPr>
      <w:r>
        <w:rPr>
          <w:rFonts w:ascii="Garamond" w:eastAsia="Garamond" w:hAnsi="Garamond" w:cs="Garamond"/>
          <w:b/>
          <w:sz w:val="24"/>
          <w:szCs w:val="24"/>
        </w:rPr>
        <w:t xml:space="preserve">PROYECTO DE LEY NÚMERO 341 DE 2023 CÁMARA – 121 DE 2022 SENADO </w:t>
      </w:r>
    </w:p>
    <w:p w14:paraId="7EAE02AC" w14:textId="77777777" w:rsidR="00FA14B0" w:rsidRDefault="004960D6">
      <w:pPr>
        <w:spacing w:after="0" w:line="276" w:lineRule="auto"/>
        <w:jc w:val="center"/>
        <w:rPr>
          <w:rFonts w:ascii="Garamond" w:eastAsia="Garamond" w:hAnsi="Garamond" w:cs="Garamond"/>
          <w:i/>
          <w:sz w:val="24"/>
          <w:szCs w:val="24"/>
        </w:rPr>
      </w:pPr>
      <w:r>
        <w:rPr>
          <w:rFonts w:ascii="Garamond" w:eastAsia="Garamond" w:hAnsi="Garamond" w:cs="Garamond"/>
          <w:i/>
          <w:sz w:val="24"/>
          <w:szCs w:val="24"/>
        </w:rPr>
        <w:t>“Por la cual se declara de utilidad pública e interés social los proyectos y la ejecución de obras requeridas para el estudio, el tendido, construcción, instalación, ampliación, modificación, operación y mantenimiento de las redes para la provisión de servicios públicos de telecomunicaciones, se crea la servidumbre legal y se dictan otras disposiciones”</w:t>
      </w:r>
    </w:p>
    <w:p w14:paraId="74A969AE" w14:textId="77777777" w:rsidR="00FA14B0" w:rsidRDefault="00FA14B0">
      <w:pPr>
        <w:spacing w:after="0" w:line="276" w:lineRule="auto"/>
        <w:jc w:val="both"/>
        <w:rPr>
          <w:rFonts w:ascii="Garamond" w:eastAsia="Garamond" w:hAnsi="Garamond" w:cs="Garamond"/>
          <w:sz w:val="24"/>
          <w:szCs w:val="24"/>
        </w:rPr>
      </w:pPr>
    </w:p>
    <w:p w14:paraId="22483951" w14:textId="77777777" w:rsidR="00FA14B0" w:rsidRDefault="00FA14B0">
      <w:pPr>
        <w:spacing w:after="0" w:line="276" w:lineRule="auto"/>
        <w:jc w:val="both"/>
        <w:rPr>
          <w:rFonts w:ascii="Garamond" w:eastAsia="Garamond" w:hAnsi="Garamond" w:cs="Garamond"/>
          <w:sz w:val="24"/>
          <w:szCs w:val="24"/>
        </w:rPr>
      </w:pPr>
    </w:p>
    <w:p w14:paraId="47CB8AB4" w14:textId="77777777" w:rsidR="00FA14B0" w:rsidRDefault="004960D6">
      <w:pPr>
        <w:spacing w:after="0" w:line="276" w:lineRule="auto"/>
        <w:rPr>
          <w:rFonts w:ascii="Garamond" w:eastAsia="Garamond" w:hAnsi="Garamond" w:cs="Garamond"/>
          <w:sz w:val="24"/>
          <w:szCs w:val="24"/>
        </w:rPr>
      </w:pPr>
      <w:r>
        <w:rPr>
          <w:rFonts w:ascii="Garamond" w:eastAsia="Garamond" w:hAnsi="Garamond" w:cs="Garamond"/>
          <w:sz w:val="24"/>
          <w:szCs w:val="24"/>
        </w:rPr>
        <w:t>Bogotá, D.C., 18 de junio de 2024</w:t>
      </w:r>
    </w:p>
    <w:p w14:paraId="6694F0A8" w14:textId="77777777" w:rsidR="00FA14B0" w:rsidRDefault="00FA14B0">
      <w:pPr>
        <w:spacing w:after="0" w:line="276" w:lineRule="auto"/>
        <w:jc w:val="both"/>
        <w:rPr>
          <w:rFonts w:ascii="Garamond" w:eastAsia="Garamond" w:hAnsi="Garamond" w:cs="Garamond"/>
          <w:sz w:val="24"/>
          <w:szCs w:val="24"/>
        </w:rPr>
      </w:pPr>
    </w:p>
    <w:p w14:paraId="7AE151FE" w14:textId="77777777" w:rsidR="00FA14B0" w:rsidRDefault="00FA14B0">
      <w:pPr>
        <w:spacing w:after="0" w:line="276" w:lineRule="auto"/>
        <w:jc w:val="both"/>
        <w:rPr>
          <w:rFonts w:ascii="Garamond" w:eastAsia="Garamond" w:hAnsi="Garamond" w:cs="Garamond"/>
          <w:sz w:val="24"/>
          <w:szCs w:val="24"/>
        </w:rPr>
      </w:pPr>
    </w:p>
    <w:p w14:paraId="31136BDE" w14:textId="77777777" w:rsidR="00FA14B0" w:rsidRDefault="004960D6">
      <w:pPr>
        <w:spacing w:after="0" w:line="276" w:lineRule="auto"/>
        <w:jc w:val="both"/>
        <w:rPr>
          <w:rFonts w:ascii="Garamond" w:eastAsia="Garamond" w:hAnsi="Garamond" w:cs="Garamond"/>
          <w:sz w:val="24"/>
          <w:szCs w:val="24"/>
        </w:rPr>
      </w:pPr>
      <w:r>
        <w:rPr>
          <w:rFonts w:ascii="Garamond" w:eastAsia="Garamond" w:hAnsi="Garamond" w:cs="Garamond"/>
          <w:sz w:val="24"/>
          <w:szCs w:val="24"/>
        </w:rPr>
        <w:t>Honorable Senador</w:t>
      </w:r>
    </w:p>
    <w:p w14:paraId="511E0162" w14:textId="77777777" w:rsidR="00FA14B0" w:rsidRDefault="004960D6">
      <w:pPr>
        <w:spacing w:after="0" w:line="276" w:lineRule="auto"/>
        <w:jc w:val="both"/>
        <w:rPr>
          <w:rFonts w:ascii="Garamond" w:eastAsia="Garamond" w:hAnsi="Garamond" w:cs="Garamond"/>
          <w:b/>
          <w:sz w:val="24"/>
          <w:szCs w:val="24"/>
        </w:rPr>
      </w:pPr>
      <w:r>
        <w:rPr>
          <w:rFonts w:ascii="Garamond" w:eastAsia="Garamond" w:hAnsi="Garamond" w:cs="Garamond"/>
          <w:b/>
          <w:sz w:val="24"/>
          <w:szCs w:val="24"/>
        </w:rPr>
        <w:t>IVÁN LEÓNIDAS NAME VÁSQUEZ</w:t>
      </w:r>
    </w:p>
    <w:p w14:paraId="0727EF5C" w14:textId="77777777" w:rsidR="00FA14B0" w:rsidRDefault="004960D6">
      <w:pPr>
        <w:spacing w:after="0" w:line="276" w:lineRule="auto"/>
        <w:jc w:val="both"/>
        <w:rPr>
          <w:rFonts w:ascii="Garamond" w:eastAsia="Garamond" w:hAnsi="Garamond" w:cs="Garamond"/>
          <w:sz w:val="24"/>
          <w:szCs w:val="24"/>
        </w:rPr>
      </w:pPr>
      <w:r>
        <w:rPr>
          <w:rFonts w:ascii="Garamond" w:eastAsia="Garamond" w:hAnsi="Garamond" w:cs="Garamond"/>
          <w:sz w:val="24"/>
          <w:szCs w:val="24"/>
        </w:rPr>
        <w:t>Presidente</w:t>
      </w:r>
    </w:p>
    <w:p w14:paraId="22165F56" w14:textId="77777777" w:rsidR="00FA14B0" w:rsidRDefault="004960D6">
      <w:pPr>
        <w:spacing w:after="0" w:line="276" w:lineRule="auto"/>
        <w:jc w:val="both"/>
        <w:rPr>
          <w:rFonts w:ascii="Garamond" w:eastAsia="Garamond" w:hAnsi="Garamond" w:cs="Garamond"/>
          <w:sz w:val="24"/>
          <w:szCs w:val="24"/>
        </w:rPr>
      </w:pPr>
      <w:r>
        <w:rPr>
          <w:rFonts w:ascii="Garamond" w:eastAsia="Garamond" w:hAnsi="Garamond" w:cs="Garamond"/>
          <w:sz w:val="24"/>
          <w:szCs w:val="24"/>
        </w:rPr>
        <w:t>Senado de la República</w:t>
      </w:r>
    </w:p>
    <w:p w14:paraId="4F542196" w14:textId="77777777" w:rsidR="00FA14B0" w:rsidRDefault="004960D6">
      <w:pPr>
        <w:spacing w:after="0" w:line="276" w:lineRule="auto"/>
        <w:jc w:val="both"/>
        <w:rPr>
          <w:rFonts w:ascii="Garamond" w:eastAsia="Garamond" w:hAnsi="Garamond" w:cs="Garamond"/>
          <w:sz w:val="24"/>
          <w:szCs w:val="24"/>
        </w:rPr>
      </w:pPr>
      <w:r>
        <w:rPr>
          <w:rFonts w:ascii="Garamond" w:eastAsia="Garamond" w:hAnsi="Garamond" w:cs="Garamond"/>
          <w:sz w:val="24"/>
          <w:szCs w:val="24"/>
        </w:rPr>
        <w:t>Ciudad</w:t>
      </w:r>
    </w:p>
    <w:p w14:paraId="69994BEF" w14:textId="77777777" w:rsidR="00FA14B0" w:rsidRDefault="00FA14B0">
      <w:pPr>
        <w:spacing w:after="0" w:line="276" w:lineRule="auto"/>
        <w:jc w:val="both"/>
        <w:rPr>
          <w:rFonts w:ascii="Garamond" w:eastAsia="Garamond" w:hAnsi="Garamond" w:cs="Garamond"/>
          <w:sz w:val="24"/>
          <w:szCs w:val="24"/>
        </w:rPr>
      </w:pPr>
    </w:p>
    <w:p w14:paraId="390304DD" w14:textId="77777777" w:rsidR="00FA14B0" w:rsidRDefault="004960D6">
      <w:pPr>
        <w:spacing w:after="0" w:line="276" w:lineRule="auto"/>
        <w:jc w:val="both"/>
        <w:rPr>
          <w:rFonts w:ascii="Garamond" w:eastAsia="Garamond" w:hAnsi="Garamond" w:cs="Garamond"/>
          <w:sz w:val="24"/>
          <w:szCs w:val="24"/>
        </w:rPr>
      </w:pPr>
      <w:r>
        <w:rPr>
          <w:rFonts w:ascii="Garamond" w:eastAsia="Garamond" w:hAnsi="Garamond" w:cs="Garamond"/>
          <w:sz w:val="24"/>
          <w:szCs w:val="24"/>
        </w:rPr>
        <w:t xml:space="preserve">Honorable Representante </w:t>
      </w:r>
    </w:p>
    <w:p w14:paraId="43DE617C" w14:textId="77777777" w:rsidR="00FA14B0" w:rsidRDefault="004960D6">
      <w:pPr>
        <w:spacing w:after="0" w:line="276" w:lineRule="auto"/>
        <w:jc w:val="both"/>
        <w:rPr>
          <w:rFonts w:ascii="Garamond" w:eastAsia="Garamond" w:hAnsi="Garamond" w:cs="Garamond"/>
          <w:b/>
          <w:sz w:val="24"/>
          <w:szCs w:val="24"/>
        </w:rPr>
      </w:pPr>
      <w:r>
        <w:rPr>
          <w:rFonts w:ascii="Garamond" w:eastAsia="Garamond" w:hAnsi="Garamond" w:cs="Garamond"/>
          <w:b/>
          <w:sz w:val="24"/>
          <w:szCs w:val="24"/>
        </w:rPr>
        <w:t>ANDRÉS DAVID CALLE AGUAS</w:t>
      </w:r>
    </w:p>
    <w:p w14:paraId="454EABA9" w14:textId="77777777" w:rsidR="00FA14B0" w:rsidRDefault="004960D6">
      <w:pPr>
        <w:spacing w:after="0" w:line="276" w:lineRule="auto"/>
        <w:jc w:val="both"/>
        <w:rPr>
          <w:rFonts w:ascii="Garamond" w:eastAsia="Garamond" w:hAnsi="Garamond" w:cs="Garamond"/>
          <w:sz w:val="24"/>
          <w:szCs w:val="24"/>
        </w:rPr>
      </w:pPr>
      <w:r>
        <w:rPr>
          <w:rFonts w:ascii="Garamond" w:eastAsia="Garamond" w:hAnsi="Garamond" w:cs="Garamond"/>
          <w:sz w:val="24"/>
          <w:szCs w:val="24"/>
        </w:rPr>
        <w:t>Presidente</w:t>
      </w:r>
    </w:p>
    <w:p w14:paraId="761C5586" w14:textId="77777777" w:rsidR="00FA14B0" w:rsidRDefault="004960D6">
      <w:pPr>
        <w:spacing w:after="0" w:line="276" w:lineRule="auto"/>
        <w:jc w:val="both"/>
        <w:rPr>
          <w:rFonts w:ascii="Garamond" w:eastAsia="Garamond" w:hAnsi="Garamond" w:cs="Garamond"/>
          <w:sz w:val="24"/>
          <w:szCs w:val="24"/>
        </w:rPr>
      </w:pPr>
      <w:r>
        <w:rPr>
          <w:rFonts w:ascii="Garamond" w:eastAsia="Garamond" w:hAnsi="Garamond" w:cs="Garamond"/>
          <w:sz w:val="24"/>
          <w:szCs w:val="24"/>
        </w:rPr>
        <w:t>Cámara de Representante</w:t>
      </w:r>
    </w:p>
    <w:p w14:paraId="3809DB6F" w14:textId="77777777" w:rsidR="00FA14B0" w:rsidRDefault="004960D6">
      <w:pPr>
        <w:spacing w:after="0" w:line="276" w:lineRule="auto"/>
        <w:jc w:val="both"/>
        <w:rPr>
          <w:rFonts w:ascii="Garamond" w:eastAsia="Garamond" w:hAnsi="Garamond" w:cs="Garamond"/>
          <w:sz w:val="24"/>
          <w:szCs w:val="24"/>
        </w:rPr>
      </w:pPr>
      <w:r>
        <w:rPr>
          <w:rFonts w:ascii="Garamond" w:eastAsia="Garamond" w:hAnsi="Garamond" w:cs="Garamond"/>
          <w:sz w:val="24"/>
          <w:szCs w:val="24"/>
        </w:rPr>
        <w:t>Ciudad</w:t>
      </w:r>
    </w:p>
    <w:p w14:paraId="6D33FE93" w14:textId="77777777" w:rsidR="00FA14B0" w:rsidRDefault="00FA14B0">
      <w:pPr>
        <w:spacing w:after="0" w:line="276" w:lineRule="auto"/>
        <w:jc w:val="both"/>
        <w:rPr>
          <w:rFonts w:ascii="Garamond" w:eastAsia="Garamond" w:hAnsi="Garamond" w:cs="Garamond"/>
          <w:b/>
          <w:sz w:val="24"/>
          <w:szCs w:val="24"/>
        </w:rPr>
      </w:pPr>
    </w:p>
    <w:p w14:paraId="7EBA31A7" w14:textId="77777777" w:rsidR="00FA14B0" w:rsidRDefault="00FA14B0">
      <w:pPr>
        <w:spacing w:after="0" w:line="276" w:lineRule="auto"/>
        <w:jc w:val="both"/>
        <w:rPr>
          <w:rFonts w:ascii="Garamond" w:eastAsia="Garamond" w:hAnsi="Garamond" w:cs="Garamond"/>
          <w:b/>
          <w:sz w:val="24"/>
          <w:szCs w:val="24"/>
        </w:rPr>
      </w:pPr>
    </w:p>
    <w:p w14:paraId="480FD55E" w14:textId="77777777" w:rsidR="00FA14B0" w:rsidRDefault="004960D6">
      <w:pPr>
        <w:spacing w:after="0" w:line="276" w:lineRule="auto"/>
        <w:ind w:left="2832"/>
        <w:jc w:val="both"/>
        <w:rPr>
          <w:rFonts w:ascii="Garamond" w:eastAsia="Garamond" w:hAnsi="Garamond" w:cs="Garamond"/>
          <w:b/>
          <w:sz w:val="24"/>
          <w:szCs w:val="24"/>
        </w:rPr>
      </w:pPr>
      <w:r>
        <w:rPr>
          <w:rFonts w:ascii="Garamond" w:eastAsia="Garamond" w:hAnsi="Garamond" w:cs="Garamond"/>
          <w:b/>
          <w:sz w:val="24"/>
          <w:szCs w:val="24"/>
        </w:rPr>
        <w:t xml:space="preserve">Referencia: Informe de conciliación al PROYECTO DE LEY NÚMERO 341 DE 2023 CÁMARA – 121 DE 2022 SENADO </w:t>
      </w:r>
    </w:p>
    <w:p w14:paraId="2279612D" w14:textId="77777777" w:rsidR="00FA14B0" w:rsidRDefault="004960D6">
      <w:pPr>
        <w:spacing w:after="0" w:line="276" w:lineRule="auto"/>
        <w:ind w:left="2832"/>
        <w:jc w:val="both"/>
        <w:rPr>
          <w:rFonts w:ascii="Garamond" w:eastAsia="Garamond" w:hAnsi="Garamond" w:cs="Garamond"/>
          <w:i/>
          <w:sz w:val="24"/>
          <w:szCs w:val="24"/>
        </w:rPr>
      </w:pPr>
      <w:r>
        <w:rPr>
          <w:rFonts w:ascii="Garamond" w:eastAsia="Garamond" w:hAnsi="Garamond" w:cs="Garamond"/>
          <w:i/>
          <w:sz w:val="24"/>
          <w:szCs w:val="24"/>
        </w:rPr>
        <w:t>“Por la cual se declara de utilidad pública e interés social los proyectos y la ejecución de obras requeridas para el estudio, el tendido, construcción, instalación, ampliación, modificación, operación y mantenimiento de las redes para la provisión de servicios públicos de telecomunicaciones, se crea la servidumbre legal y se dictan otras disposiciones”</w:t>
      </w:r>
    </w:p>
    <w:p w14:paraId="2591AFA6" w14:textId="77777777" w:rsidR="00FA14B0" w:rsidRDefault="00FA14B0">
      <w:pPr>
        <w:spacing w:after="0" w:line="276" w:lineRule="auto"/>
        <w:ind w:left="2832"/>
        <w:jc w:val="both"/>
        <w:rPr>
          <w:rFonts w:ascii="Garamond" w:eastAsia="Garamond" w:hAnsi="Garamond" w:cs="Garamond"/>
          <w:i/>
          <w:sz w:val="24"/>
          <w:szCs w:val="24"/>
        </w:rPr>
      </w:pPr>
    </w:p>
    <w:p w14:paraId="610C44E6" w14:textId="77777777" w:rsidR="00FA14B0" w:rsidRDefault="00FA14B0">
      <w:pPr>
        <w:spacing w:after="0" w:line="276" w:lineRule="auto"/>
        <w:jc w:val="both"/>
        <w:rPr>
          <w:rFonts w:ascii="Garamond" w:eastAsia="Garamond" w:hAnsi="Garamond" w:cs="Garamond"/>
          <w:sz w:val="24"/>
          <w:szCs w:val="24"/>
        </w:rPr>
      </w:pPr>
    </w:p>
    <w:p w14:paraId="2EBC2457" w14:textId="77777777" w:rsidR="00FA14B0" w:rsidRDefault="004960D6">
      <w:pPr>
        <w:spacing w:after="0" w:line="276" w:lineRule="auto"/>
        <w:jc w:val="both"/>
        <w:rPr>
          <w:rFonts w:ascii="Garamond" w:eastAsia="Garamond" w:hAnsi="Garamond" w:cs="Garamond"/>
          <w:sz w:val="24"/>
          <w:szCs w:val="24"/>
        </w:rPr>
      </w:pPr>
      <w:r>
        <w:rPr>
          <w:rFonts w:ascii="Garamond" w:eastAsia="Garamond" w:hAnsi="Garamond" w:cs="Garamond"/>
          <w:sz w:val="24"/>
          <w:szCs w:val="24"/>
        </w:rPr>
        <w:t>Honorables presidentes:</w:t>
      </w:r>
    </w:p>
    <w:p w14:paraId="02CAEFF5" w14:textId="77777777" w:rsidR="00FA14B0" w:rsidRDefault="00FA14B0">
      <w:pPr>
        <w:spacing w:after="0" w:line="276" w:lineRule="auto"/>
        <w:jc w:val="both"/>
        <w:rPr>
          <w:rFonts w:ascii="Garamond" w:eastAsia="Garamond" w:hAnsi="Garamond" w:cs="Garamond"/>
          <w:sz w:val="24"/>
          <w:szCs w:val="24"/>
        </w:rPr>
      </w:pPr>
    </w:p>
    <w:p w14:paraId="3E642F05" w14:textId="77777777" w:rsidR="00FA14B0" w:rsidRDefault="004960D6">
      <w:pPr>
        <w:spacing w:after="0" w:line="276" w:lineRule="auto"/>
        <w:jc w:val="both"/>
        <w:rPr>
          <w:rFonts w:ascii="Garamond" w:eastAsia="Garamond" w:hAnsi="Garamond" w:cs="Garamond"/>
          <w:b/>
          <w:sz w:val="24"/>
          <w:szCs w:val="24"/>
        </w:rPr>
      </w:pPr>
      <w:r>
        <w:rPr>
          <w:rFonts w:ascii="Garamond" w:eastAsia="Garamond" w:hAnsi="Garamond" w:cs="Garamond"/>
          <w:sz w:val="24"/>
          <w:szCs w:val="24"/>
        </w:rPr>
        <w:t xml:space="preserve">Cumpliendo con la designación que nos hicieran las Mesas Directivas del Senado de la República y la Cámara de Representantes y con fundamento en los artículos 161 de la Constitución Política y 186 de la Ley 5ª de 1992, presentamos </w:t>
      </w:r>
      <w:r>
        <w:rPr>
          <w:rFonts w:ascii="Garamond" w:eastAsia="Garamond" w:hAnsi="Garamond" w:cs="Garamond"/>
          <w:b/>
          <w:sz w:val="24"/>
          <w:szCs w:val="24"/>
        </w:rPr>
        <w:t xml:space="preserve">Informe de conciliación al PROYECTO DE LEY NÚMERO 341 DE 2023 CÁMARA – 121 DE 2022 SENADO </w:t>
      </w:r>
      <w:r>
        <w:rPr>
          <w:rFonts w:ascii="Garamond" w:eastAsia="Garamond" w:hAnsi="Garamond" w:cs="Garamond"/>
          <w:i/>
          <w:sz w:val="24"/>
          <w:szCs w:val="24"/>
        </w:rPr>
        <w:t xml:space="preserve">“Por la cual se declara de utilidad pública e interés social los proyectos y la ejecución de obras requeridas para el estudio, el tendido, construcción, </w:t>
      </w:r>
      <w:r>
        <w:rPr>
          <w:rFonts w:ascii="Garamond" w:eastAsia="Garamond" w:hAnsi="Garamond" w:cs="Garamond"/>
          <w:i/>
          <w:sz w:val="24"/>
          <w:szCs w:val="24"/>
        </w:rPr>
        <w:lastRenderedPageBreak/>
        <w:t>instalación, ampliación, modificación, operación y mantenimiento de las redes para la provisión de servicios públicos de telecomunicaciones, se crea la servidumbre legal y se dictan otras disposiciones”</w:t>
      </w:r>
      <w:r>
        <w:rPr>
          <w:rFonts w:ascii="Garamond" w:eastAsia="Garamond" w:hAnsi="Garamond" w:cs="Garamond"/>
          <w:sz w:val="24"/>
          <w:szCs w:val="24"/>
        </w:rPr>
        <w:t>.</w:t>
      </w:r>
    </w:p>
    <w:tbl>
      <w:tblPr>
        <w:tblStyle w:val="a"/>
        <w:tblW w:w="911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20"/>
        <w:gridCol w:w="4293"/>
      </w:tblGrid>
      <w:tr w:rsidR="00FA14B0" w14:paraId="2D2551E8" w14:textId="77777777">
        <w:tc>
          <w:tcPr>
            <w:tcW w:w="4820" w:type="dxa"/>
            <w:vAlign w:val="center"/>
          </w:tcPr>
          <w:p w14:paraId="246CA252" w14:textId="77777777" w:rsidR="00FA14B0" w:rsidRDefault="00FA14B0">
            <w:pPr>
              <w:spacing w:line="276" w:lineRule="auto"/>
              <w:jc w:val="both"/>
              <w:rPr>
                <w:rFonts w:ascii="Garamond" w:eastAsia="Garamond" w:hAnsi="Garamond" w:cs="Garamond"/>
                <w:b/>
                <w:sz w:val="24"/>
                <w:szCs w:val="24"/>
              </w:rPr>
            </w:pPr>
          </w:p>
          <w:p w14:paraId="769BE38D" w14:textId="77777777" w:rsidR="00FA14B0" w:rsidRDefault="00FA14B0">
            <w:pPr>
              <w:spacing w:line="276" w:lineRule="auto"/>
              <w:jc w:val="both"/>
              <w:rPr>
                <w:rFonts w:ascii="Garamond" w:eastAsia="Garamond" w:hAnsi="Garamond" w:cs="Garamond"/>
                <w:b/>
                <w:sz w:val="24"/>
                <w:szCs w:val="24"/>
              </w:rPr>
            </w:pPr>
          </w:p>
          <w:p w14:paraId="5575882A" w14:textId="77777777" w:rsidR="00FA14B0" w:rsidRDefault="00FA14B0">
            <w:pPr>
              <w:spacing w:line="276" w:lineRule="auto"/>
              <w:jc w:val="both"/>
              <w:rPr>
                <w:rFonts w:ascii="Garamond" w:eastAsia="Garamond" w:hAnsi="Garamond" w:cs="Garamond"/>
                <w:b/>
                <w:sz w:val="24"/>
                <w:szCs w:val="24"/>
              </w:rPr>
            </w:pPr>
          </w:p>
          <w:p w14:paraId="18F59B7C" w14:textId="77777777" w:rsidR="00FA14B0" w:rsidRDefault="00FA14B0">
            <w:pPr>
              <w:spacing w:line="276" w:lineRule="auto"/>
              <w:jc w:val="both"/>
              <w:rPr>
                <w:rFonts w:ascii="Garamond" w:eastAsia="Garamond" w:hAnsi="Garamond" w:cs="Garamond"/>
                <w:b/>
                <w:sz w:val="24"/>
                <w:szCs w:val="24"/>
              </w:rPr>
            </w:pPr>
          </w:p>
          <w:p w14:paraId="215AB0ED" w14:textId="77777777" w:rsidR="00FA14B0" w:rsidRDefault="00FA14B0">
            <w:pPr>
              <w:spacing w:line="276" w:lineRule="auto"/>
              <w:jc w:val="both"/>
              <w:rPr>
                <w:rFonts w:ascii="Garamond" w:eastAsia="Garamond" w:hAnsi="Garamond" w:cs="Garamond"/>
                <w:b/>
                <w:sz w:val="24"/>
                <w:szCs w:val="24"/>
              </w:rPr>
            </w:pPr>
          </w:p>
          <w:p w14:paraId="2F423583" w14:textId="77777777" w:rsidR="00FA14B0" w:rsidRDefault="004960D6">
            <w:pPr>
              <w:spacing w:line="276" w:lineRule="auto"/>
              <w:jc w:val="center"/>
              <w:rPr>
                <w:rFonts w:ascii="Garamond" w:eastAsia="Garamond" w:hAnsi="Garamond" w:cs="Garamond"/>
                <w:b/>
                <w:sz w:val="24"/>
                <w:szCs w:val="24"/>
              </w:rPr>
            </w:pPr>
            <w:r>
              <w:rPr>
                <w:rFonts w:ascii="Garamond" w:eastAsia="Garamond" w:hAnsi="Garamond" w:cs="Garamond"/>
                <w:b/>
                <w:sz w:val="24"/>
                <w:szCs w:val="24"/>
              </w:rPr>
              <w:t>JULIO ALBERTO ELÍAS VIDAL</w:t>
            </w:r>
          </w:p>
          <w:p w14:paraId="1A0BAC06" w14:textId="77777777" w:rsidR="00FA14B0" w:rsidRDefault="004960D6">
            <w:pPr>
              <w:spacing w:line="276" w:lineRule="auto"/>
              <w:jc w:val="center"/>
              <w:rPr>
                <w:rFonts w:ascii="Garamond" w:eastAsia="Garamond" w:hAnsi="Garamond" w:cs="Garamond"/>
                <w:sz w:val="24"/>
                <w:szCs w:val="24"/>
              </w:rPr>
            </w:pPr>
            <w:r>
              <w:rPr>
                <w:rFonts w:ascii="Garamond" w:eastAsia="Garamond" w:hAnsi="Garamond" w:cs="Garamond"/>
                <w:sz w:val="24"/>
                <w:szCs w:val="24"/>
              </w:rPr>
              <w:t>Senador de la República</w:t>
            </w:r>
          </w:p>
          <w:p w14:paraId="4CD315F4" w14:textId="77777777" w:rsidR="00FA14B0" w:rsidRDefault="004960D6">
            <w:pPr>
              <w:spacing w:after="120" w:line="276" w:lineRule="auto"/>
              <w:jc w:val="center"/>
              <w:rPr>
                <w:rFonts w:ascii="Garamond" w:eastAsia="Garamond" w:hAnsi="Garamond" w:cs="Garamond"/>
                <w:sz w:val="24"/>
                <w:szCs w:val="24"/>
              </w:rPr>
            </w:pPr>
            <w:r>
              <w:rPr>
                <w:rFonts w:ascii="Garamond" w:eastAsia="Garamond" w:hAnsi="Garamond" w:cs="Garamond"/>
                <w:sz w:val="24"/>
                <w:szCs w:val="24"/>
              </w:rPr>
              <w:t>Partido de la U</w:t>
            </w:r>
          </w:p>
        </w:tc>
        <w:tc>
          <w:tcPr>
            <w:tcW w:w="4293" w:type="dxa"/>
            <w:vAlign w:val="center"/>
          </w:tcPr>
          <w:p w14:paraId="58FE1F2F" w14:textId="77777777" w:rsidR="00FA14B0" w:rsidRDefault="00FA14B0">
            <w:pPr>
              <w:spacing w:line="276" w:lineRule="auto"/>
              <w:jc w:val="both"/>
              <w:rPr>
                <w:rFonts w:ascii="Garamond" w:eastAsia="Garamond" w:hAnsi="Garamond" w:cs="Garamond"/>
                <w:b/>
                <w:sz w:val="24"/>
                <w:szCs w:val="24"/>
              </w:rPr>
            </w:pPr>
          </w:p>
          <w:p w14:paraId="27FF3D58" w14:textId="77777777" w:rsidR="00FA14B0" w:rsidRDefault="00FA14B0">
            <w:pPr>
              <w:spacing w:line="276" w:lineRule="auto"/>
              <w:jc w:val="both"/>
              <w:rPr>
                <w:rFonts w:ascii="Garamond" w:eastAsia="Garamond" w:hAnsi="Garamond" w:cs="Garamond"/>
                <w:b/>
                <w:sz w:val="24"/>
                <w:szCs w:val="24"/>
              </w:rPr>
            </w:pPr>
          </w:p>
          <w:p w14:paraId="05E128B2" w14:textId="77777777" w:rsidR="00FA14B0" w:rsidRDefault="00FA14B0">
            <w:pPr>
              <w:spacing w:line="276" w:lineRule="auto"/>
              <w:jc w:val="both"/>
              <w:rPr>
                <w:rFonts w:ascii="Garamond" w:eastAsia="Garamond" w:hAnsi="Garamond" w:cs="Garamond"/>
                <w:b/>
                <w:sz w:val="24"/>
                <w:szCs w:val="24"/>
              </w:rPr>
            </w:pPr>
          </w:p>
          <w:p w14:paraId="29E2F255" w14:textId="77777777" w:rsidR="00FA14B0" w:rsidRDefault="00FA14B0">
            <w:pPr>
              <w:spacing w:line="276" w:lineRule="auto"/>
              <w:jc w:val="both"/>
              <w:rPr>
                <w:rFonts w:ascii="Garamond" w:eastAsia="Garamond" w:hAnsi="Garamond" w:cs="Garamond"/>
                <w:b/>
                <w:sz w:val="24"/>
                <w:szCs w:val="24"/>
              </w:rPr>
            </w:pPr>
          </w:p>
          <w:p w14:paraId="02776D2A" w14:textId="77777777" w:rsidR="00FA14B0" w:rsidRDefault="00FA14B0">
            <w:pPr>
              <w:spacing w:line="276" w:lineRule="auto"/>
              <w:jc w:val="both"/>
              <w:rPr>
                <w:rFonts w:ascii="Garamond" w:eastAsia="Garamond" w:hAnsi="Garamond" w:cs="Garamond"/>
                <w:b/>
                <w:sz w:val="24"/>
                <w:szCs w:val="24"/>
              </w:rPr>
            </w:pPr>
          </w:p>
          <w:p w14:paraId="3AA3A645" w14:textId="77777777" w:rsidR="00FA14B0" w:rsidRDefault="004960D6">
            <w:pPr>
              <w:spacing w:line="276" w:lineRule="auto"/>
              <w:jc w:val="center"/>
              <w:rPr>
                <w:rFonts w:ascii="Garamond" w:eastAsia="Garamond" w:hAnsi="Garamond" w:cs="Garamond"/>
                <w:b/>
                <w:sz w:val="24"/>
                <w:szCs w:val="24"/>
              </w:rPr>
            </w:pPr>
            <w:r>
              <w:rPr>
                <w:rFonts w:ascii="Garamond" w:eastAsia="Garamond" w:hAnsi="Garamond" w:cs="Garamond"/>
                <w:b/>
                <w:sz w:val="24"/>
                <w:szCs w:val="24"/>
              </w:rPr>
              <w:t>CIRO ANTONIO RODRÍGUEZ PINZÓN</w:t>
            </w:r>
          </w:p>
          <w:p w14:paraId="332E7FE2" w14:textId="77777777" w:rsidR="00FA14B0" w:rsidRDefault="004960D6">
            <w:pPr>
              <w:spacing w:line="276" w:lineRule="auto"/>
              <w:jc w:val="center"/>
              <w:rPr>
                <w:rFonts w:ascii="Garamond" w:eastAsia="Garamond" w:hAnsi="Garamond" w:cs="Garamond"/>
                <w:sz w:val="24"/>
                <w:szCs w:val="24"/>
              </w:rPr>
            </w:pPr>
            <w:r>
              <w:rPr>
                <w:rFonts w:ascii="Garamond" w:eastAsia="Garamond" w:hAnsi="Garamond" w:cs="Garamond"/>
                <w:sz w:val="24"/>
                <w:szCs w:val="24"/>
              </w:rPr>
              <w:t>Representante a la Cámara</w:t>
            </w:r>
          </w:p>
          <w:p w14:paraId="19ECD147" w14:textId="77777777" w:rsidR="00FA14B0" w:rsidRDefault="004960D6">
            <w:pPr>
              <w:spacing w:after="120" w:line="276" w:lineRule="auto"/>
              <w:jc w:val="center"/>
              <w:rPr>
                <w:rFonts w:ascii="Garamond" w:eastAsia="Garamond" w:hAnsi="Garamond" w:cs="Garamond"/>
                <w:sz w:val="24"/>
                <w:szCs w:val="24"/>
              </w:rPr>
            </w:pPr>
            <w:r>
              <w:rPr>
                <w:rFonts w:ascii="Garamond" w:eastAsia="Garamond" w:hAnsi="Garamond" w:cs="Garamond"/>
                <w:sz w:val="24"/>
                <w:szCs w:val="24"/>
              </w:rPr>
              <w:t>Partido Conservador</w:t>
            </w:r>
          </w:p>
        </w:tc>
      </w:tr>
    </w:tbl>
    <w:p w14:paraId="0BC40534" w14:textId="77777777" w:rsidR="00FA14B0" w:rsidRDefault="00FA14B0">
      <w:pPr>
        <w:pBdr>
          <w:top w:val="nil"/>
          <w:left w:val="nil"/>
          <w:bottom w:val="nil"/>
          <w:right w:val="nil"/>
          <w:between w:val="nil"/>
        </w:pBdr>
        <w:spacing w:before="280" w:after="0" w:line="276" w:lineRule="auto"/>
        <w:ind w:left="720"/>
        <w:jc w:val="both"/>
        <w:rPr>
          <w:rFonts w:ascii="Garamond" w:eastAsia="Garamond" w:hAnsi="Garamond" w:cs="Garamond"/>
          <w:b/>
          <w:color w:val="000000"/>
          <w:sz w:val="24"/>
          <w:szCs w:val="24"/>
        </w:rPr>
      </w:pPr>
    </w:p>
    <w:p w14:paraId="7A086026" w14:textId="77777777" w:rsidR="00FA14B0" w:rsidRDefault="004960D6">
      <w:pPr>
        <w:numPr>
          <w:ilvl w:val="0"/>
          <w:numId w:val="1"/>
        </w:numPr>
        <w:pBdr>
          <w:top w:val="nil"/>
          <w:left w:val="nil"/>
          <w:bottom w:val="nil"/>
          <w:right w:val="nil"/>
          <w:between w:val="nil"/>
        </w:pBdr>
        <w:spacing w:after="120" w:line="276" w:lineRule="auto"/>
        <w:jc w:val="both"/>
        <w:rPr>
          <w:rFonts w:ascii="Garamond" w:eastAsia="Garamond" w:hAnsi="Garamond" w:cs="Garamond"/>
          <w:b/>
          <w:color w:val="000000"/>
          <w:sz w:val="24"/>
          <w:szCs w:val="24"/>
        </w:rPr>
      </w:pPr>
      <w:r>
        <w:rPr>
          <w:rFonts w:ascii="Garamond" w:eastAsia="Garamond" w:hAnsi="Garamond" w:cs="Garamond"/>
          <w:b/>
          <w:color w:val="000000"/>
          <w:sz w:val="24"/>
          <w:szCs w:val="24"/>
        </w:rPr>
        <w:t>CONSIDERACIONES DE LOS CONCILIADORES</w:t>
      </w:r>
    </w:p>
    <w:p w14:paraId="2E5D7DDA" w14:textId="77777777" w:rsidR="00FA14B0" w:rsidRDefault="004960D6">
      <w:pPr>
        <w:spacing w:before="280" w:after="120" w:line="276" w:lineRule="auto"/>
        <w:jc w:val="both"/>
        <w:rPr>
          <w:rFonts w:ascii="Garamond" w:eastAsia="Garamond" w:hAnsi="Garamond" w:cs="Garamond"/>
          <w:sz w:val="24"/>
          <w:szCs w:val="24"/>
        </w:rPr>
      </w:pPr>
      <w:r>
        <w:rPr>
          <w:rFonts w:ascii="Garamond" w:eastAsia="Garamond" w:hAnsi="Garamond" w:cs="Garamond"/>
          <w:sz w:val="24"/>
          <w:szCs w:val="24"/>
        </w:rPr>
        <w:t xml:space="preserve">La presente Ley tiene por objeto dotar de herramientas legales al Gobierno Nacional para que se garantice la prestación de los servicios de Telecomunicaciones y TICs de manera eficiente, continua y permanente; con el fin de ampliar la conectividad de todos los habitantes del territorio nacional, en especial de los más vulnerables. </w:t>
      </w:r>
    </w:p>
    <w:p w14:paraId="53B1EB56" w14:textId="77777777" w:rsidR="00FA14B0" w:rsidRDefault="004960D6">
      <w:pPr>
        <w:spacing w:before="280" w:after="120" w:line="276" w:lineRule="auto"/>
        <w:jc w:val="both"/>
        <w:rPr>
          <w:rFonts w:ascii="Garamond" w:eastAsia="Garamond" w:hAnsi="Garamond" w:cs="Garamond"/>
          <w:sz w:val="24"/>
          <w:szCs w:val="24"/>
        </w:rPr>
      </w:pPr>
      <w:r>
        <w:rPr>
          <w:rFonts w:ascii="Garamond" w:eastAsia="Garamond" w:hAnsi="Garamond" w:cs="Garamond"/>
          <w:sz w:val="24"/>
          <w:szCs w:val="24"/>
        </w:rPr>
        <w:t xml:space="preserve">El Proyecto de Ley, de conformidad con el texto aprobado en la Plenaria de la Cámara de Representantes, contiene seis (6) artículos, incluidos objeto y vigencia; uno adicional a los artículos del texto aprobado en la Plenaria del Senado de la República, que además tenían diferente orden. </w:t>
      </w:r>
    </w:p>
    <w:p w14:paraId="6B9E2598" w14:textId="77777777" w:rsidR="00FA14B0" w:rsidRDefault="004960D6">
      <w:pPr>
        <w:spacing w:before="280" w:after="120" w:line="276" w:lineRule="auto"/>
        <w:jc w:val="both"/>
        <w:rPr>
          <w:rFonts w:ascii="Garamond" w:eastAsia="Garamond" w:hAnsi="Garamond" w:cs="Garamond"/>
          <w:sz w:val="24"/>
          <w:szCs w:val="24"/>
        </w:rPr>
      </w:pPr>
      <w:r>
        <w:rPr>
          <w:rFonts w:ascii="Garamond" w:eastAsia="Garamond" w:hAnsi="Garamond" w:cs="Garamond"/>
          <w:sz w:val="24"/>
          <w:szCs w:val="24"/>
        </w:rPr>
        <w:t xml:space="preserve">En el texto aprobado en Plenaria de Cámara de Representantes, el artículo 1º determina el objeto de la iniciativa. El artículo 2º modifica el artículo 10º de la Ley 1341 de 2009 con el fin de incluir la declaratoria de utilidad pública e interés social de las obras relacionadas con el despliegue de redes TIC. Por su parte, el artículo 3º establece la servidumbre legal que en adelante gravará los predios sobre los cuales pasarán las redes cuyos proyectos y obras se declaran de utilidad pública e interés social, y la remisión a las reglas del proceso judicial que el proveedor de redes o de infraestructura deberá promover. El artículo 4º, a su vez, adiciona un inciso al numeral 10 del artículo 2 de la Ley 1341 de 2009 con el fin de promover la compartición de infraestructura para facilitar el despliegue de redes TIC. Finalmente, el artículo 5° adiciona un numeral 12 al artículo 2 de la Ley 1341 de 2009 para incluir dentro de los principios orientadores de la ley la promoción de la conectividad digital </w:t>
      </w:r>
      <w:r>
        <w:rPr>
          <w:rFonts w:ascii="Garamond" w:eastAsia="Garamond" w:hAnsi="Garamond" w:cs="Garamond"/>
          <w:sz w:val="24"/>
          <w:szCs w:val="24"/>
        </w:rPr>
        <w:lastRenderedPageBreak/>
        <w:t xml:space="preserve">en el país. El artículo 6°, que tenía un error de transcripción en el texto propuesto para segundo debate, establece la vigencia de la Ley. </w:t>
      </w:r>
    </w:p>
    <w:p w14:paraId="2D1532E1" w14:textId="77777777" w:rsidR="00FA14B0" w:rsidRDefault="004960D6">
      <w:pPr>
        <w:spacing w:before="280" w:after="120" w:line="276" w:lineRule="auto"/>
        <w:jc w:val="both"/>
        <w:rPr>
          <w:rFonts w:ascii="Garamond" w:eastAsia="Garamond" w:hAnsi="Garamond" w:cs="Garamond"/>
          <w:sz w:val="24"/>
          <w:szCs w:val="24"/>
        </w:rPr>
      </w:pPr>
      <w:r>
        <w:rPr>
          <w:rFonts w:ascii="Garamond" w:eastAsia="Garamond" w:hAnsi="Garamond" w:cs="Garamond"/>
          <w:sz w:val="24"/>
          <w:szCs w:val="24"/>
        </w:rPr>
        <w:t>Teniendo en cuenta las adiciones relevantes hechas en el curso de los debates en Cámara de Representantes y los ajustes en el orden del articulado, se acogerá el texto aprobado en esta cámara.</w:t>
      </w:r>
    </w:p>
    <w:p w14:paraId="214DA28E" w14:textId="77777777" w:rsidR="00FA14B0" w:rsidRDefault="004960D6">
      <w:pPr>
        <w:numPr>
          <w:ilvl w:val="0"/>
          <w:numId w:val="1"/>
        </w:numPr>
        <w:pBdr>
          <w:top w:val="nil"/>
          <w:left w:val="nil"/>
          <w:bottom w:val="nil"/>
          <w:right w:val="nil"/>
          <w:between w:val="nil"/>
        </w:pBdr>
        <w:spacing w:before="280" w:after="120" w:line="276" w:lineRule="auto"/>
        <w:jc w:val="both"/>
        <w:rPr>
          <w:rFonts w:ascii="Garamond" w:eastAsia="Garamond" w:hAnsi="Garamond" w:cs="Garamond"/>
          <w:color w:val="000000"/>
          <w:sz w:val="24"/>
          <w:szCs w:val="24"/>
        </w:rPr>
      </w:pPr>
      <w:r>
        <w:rPr>
          <w:rFonts w:ascii="Garamond" w:eastAsia="Garamond" w:hAnsi="Garamond" w:cs="Garamond"/>
          <w:b/>
          <w:color w:val="000000"/>
          <w:sz w:val="24"/>
          <w:szCs w:val="24"/>
        </w:rPr>
        <w:t>CUADRO DE TEXTOS APROBADOS POR LAS PLENARIAS DEL CONGRESO DE LA REPÚBLICA Y OBSERVACIONES</w:t>
      </w:r>
    </w:p>
    <w:p w14:paraId="3A61D9A2" w14:textId="77777777" w:rsidR="00FA14B0" w:rsidRDefault="00FA14B0">
      <w:pPr>
        <w:spacing w:after="0" w:line="240" w:lineRule="auto"/>
        <w:jc w:val="both"/>
        <w:rPr>
          <w:rFonts w:ascii="Garamond" w:eastAsia="Garamond" w:hAnsi="Garamond" w:cs="Garamond"/>
          <w:sz w:val="24"/>
          <w:szCs w:val="24"/>
        </w:rPr>
      </w:pPr>
    </w:p>
    <w:tbl>
      <w:tblPr>
        <w:tblStyle w:val="a0"/>
        <w:tblW w:w="9209" w:type="dxa"/>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00" w:firstRow="0" w:lastRow="0" w:firstColumn="0" w:lastColumn="0" w:noHBand="0" w:noVBand="1"/>
      </w:tblPr>
      <w:tblGrid>
        <w:gridCol w:w="3397"/>
        <w:gridCol w:w="3261"/>
        <w:gridCol w:w="2551"/>
      </w:tblGrid>
      <w:tr w:rsidR="00FA14B0" w14:paraId="65400258" w14:textId="77777777">
        <w:trPr>
          <w:tblHeader/>
        </w:trPr>
        <w:tc>
          <w:tcPr>
            <w:tcW w:w="3397" w:type="dxa"/>
            <w:vAlign w:val="center"/>
          </w:tcPr>
          <w:p w14:paraId="56E6F098" w14:textId="77777777" w:rsidR="00FA14B0" w:rsidRDefault="004960D6">
            <w:pPr>
              <w:jc w:val="center"/>
              <w:rPr>
                <w:rFonts w:ascii="Garamond" w:eastAsia="Garamond" w:hAnsi="Garamond" w:cs="Garamond"/>
                <w:b/>
                <w:color w:val="000000"/>
                <w:sz w:val="22"/>
                <w:szCs w:val="22"/>
              </w:rPr>
            </w:pPr>
            <w:r>
              <w:rPr>
                <w:rFonts w:ascii="Garamond" w:eastAsia="Garamond" w:hAnsi="Garamond" w:cs="Garamond"/>
                <w:b/>
                <w:color w:val="000000"/>
                <w:sz w:val="22"/>
                <w:szCs w:val="22"/>
              </w:rPr>
              <w:t>TEXTO APROBADO EN CÁMARA DE REPRESENTANTES</w:t>
            </w:r>
          </w:p>
        </w:tc>
        <w:tc>
          <w:tcPr>
            <w:tcW w:w="3261" w:type="dxa"/>
            <w:vAlign w:val="center"/>
          </w:tcPr>
          <w:p w14:paraId="74A8E1C4" w14:textId="77777777" w:rsidR="00FA14B0" w:rsidRDefault="004960D6">
            <w:pPr>
              <w:jc w:val="center"/>
              <w:rPr>
                <w:rFonts w:ascii="Garamond" w:eastAsia="Garamond" w:hAnsi="Garamond" w:cs="Garamond"/>
                <w:b/>
                <w:color w:val="000000"/>
                <w:sz w:val="22"/>
                <w:szCs w:val="22"/>
              </w:rPr>
            </w:pPr>
            <w:r>
              <w:rPr>
                <w:rFonts w:ascii="Garamond" w:eastAsia="Garamond" w:hAnsi="Garamond" w:cs="Garamond"/>
                <w:b/>
                <w:color w:val="000000"/>
                <w:sz w:val="22"/>
                <w:szCs w:val="22"/>
              </w:rPr>
              <w:t>TEXTO APROBADO EN SENADO DE LA REPÚBLICA</w:t>
            </w:r>
          </w:p>
        </w:tc>
        <w:tc>
          <w:tcPr>
            <w:tcW w:w="2551" w:type="dxa"/>
            <w:vAlign w:val="center"/>
          </w:tcPr>
          <w:p w14:paraId="0DEA0149" w14:textId="77777777" w:rsidR="00FA14B0" w:rsidRDefault="004960D6">
            <w:pPr>
              <w:jc w:val="center"/>
              <w:rPr>
                <w:rFonts w:ascii="Garamond" w:eastAsia="Garamond" w:hAnsi="Garamond" w:cs="Garamond"/>
                <w:b/>
                <w:color w:val="000000"/>
                <w:sz w:val="22"/>
                <w:szCs w:val="22"/>
              </w:rPr>
            </w:pPr>
            <w:r>
              <w:rPr>
                <w:rFonts w:ascii="Garamond" w:eastAsia="Garamond" w:hAnsi="Garamond" w:cs="Garamond"/>
                <w:b/>
                <w:color w:val="000000"/>
                <w:sz w:val="22"/>
                <w:szCs w:val="22"/>
              </w:rPr>
              <w:t>OBSERVACIONES</w:t>
            </w:r>
          </w:p>
        </w:tc>
      </w:tr>
      <w:tr w:rsidR="00FA14B0" w14:paraId="08AADC87" w14:textId="77777777">
        <w:tc>
          <w:tcPr>
            <w:tcW w:w="3397" w:type="dxa"/>
            <w:vAlign w:val="center"/>
          </w:tcPr>
          <w:p w14:paraId="63A6C5FB" w14:textId="77777777" w:rsidR="00FA14B0" w:rsidRDefault="004960D6">
            <w:pPr>
              <w:jc w:val="center"/>
              <w:rPr>
                <w:rFonts w:ascii="Garamond" w:eastAsia="Garamond" w:hAnsi="Garamond" w:cs="Garamond"/>
                <w:sz w:val="22"/>
                <w:szCs w:val="22"/>
              </w:rPr>
            </w:pPr>
            <w:r>
              <w:rPr>
                <w:rFonts w:ascii="Garamond" w:eastAsia="Garamond" w:hAnsi="Garamond" w:cs="Garamond"/>
                <w:b/>
                <w:sz w:val="22"/>
                <w:szCs w:val="22"/>
              </w:rPr>
              <w:t>“Por la cual se declara de utilidad pública e interés social los proyectos y la ejecución de obras requeridas para el estudio, el tendido, construcción, instalación, ampliación, modificación, operación y mantenimiento de las redes para la provisión de servicios públicos de telecomunicaciones, se crea la servidumbre legal y se dictan otras disposiciones”</w:t>
            </w:r>
          </w:p>
        </w:tc>
        <w:tc>
          <w:tcPr>
            <w:tcW w:w="3261" w:type="dxa"/>
            <w:vAlign w:val="center"/>
          </w:tcPr>
          <w:p w14:paraId="10060A20" w14:textId="77777777" w:rsidR="00FA14B0" w:rsidRDefault="004960D6">
            <w:pPr>
              <w:jc w:val="center"/>
              <w:rPr>
                <w:rFonts w:ascii="Garamond" w:eastAsia="Garamond" w:hAnsi="Garamond" w:cs="Garamond"/>
                <w:b/>
                <w:sz w:val="22"/>
                <w:szCs w:val="22"/>
              </w:rPr>
            </w:pPr>
            <w:r>
              <w:rPr>
                <w:rFonts w:ascii="Garamond" w:eastAsia="Garamond" w:hAnsi="Garamond" w:cs="Garamond"/>
                <w:b/>
                <w:sz w:val="22"/>
                <w:szCs w:val="22"/>
              </w:rPr>
              <w:t>“Por la cual se declara de utilidad pública e interés social el tendido, construcción, instalación, ampliación, modificación, operación y mantenimiento de las redes para la provisión de servicios públicos de telecomunicaciones y se dictan otras disposiciones”</w:t>
            </w:r>
          </w:p>
        </w:tc>
        <w:tc>
          <w:tcPr>
            <w:tcW w:w="2551" w:type="dxa"/>
            <w:vAlign w:val="center"/>
          </w:tcPr>
          <w:p w14:paraId="52BF1C3B" w14:textId="77777777" w:rsidR="00FA14B0" w:rsidRDefault="004960D6">
            <w:pPr>
              <w:jc w:val="both"/>
              <w:rPr>
                <w:rFonts w:ascii="Garamond" w:eastAsia="Garamond" w:hAnsi="Garamond" w:cs="Garamond"/>
                <w:color w:val="000000"/>
                <w:sz w:val="22"/>
                <w:szCs w:val="22"/>
              </w:rPr>
            </w:pPr>
            <w:r>
              <w:rPr>
                <w:rFonts w:ascii="Garamond" w:eastAsia="Garamond" w:hAnsi="Garamond" w:cs="Garamond"/>
                <w:b/>
                <w:color w:val="000000"/>
                <w:sz w:val="22"/>
                <w:szCs w:val="22"/>
              </w:rPr>
              <w:t>Se acoge texto de Cámara</w:t>
            </w:r>
            <w:r>
              <w:rPr>
                <w:rFonts w:ascii="Garamond" w:eastAsia="Garamond" w:hAnsi="Garamond" w:cs="Garamond"/>
                <w:color w:val="000000"/>
                <w:sz w:val="22"/>
                <w:szCs w:val="22"/>
              </w:rPr>
              <w:t xml:space="preserve">, toda vez que incorpora todo el contenido del proyecto. </w:t>
            </w:r>
          </w:p>
        </w:tc>
      </w:tr>
      <w:tr w:rsidR="00FA14B0" w14:paraId="35A5597D" w14:textId="77777777">
        <w:tc>
          <w:tcPr>
            <w:tcW w:w="3397" w:type="dxa"/>
            <w:vAlign w:val="center"/>
          </w:tcPr>
          <w:p w14:paraId="1DDAD966" w14:textId="77777777" w:rsidR="00FA14B0" w:rsidRDefault="004960D6">
            <w:pPr>
              <w:widowControl w:val="0"/>
              <w:pBdr>
                <w:top w:val="nil"/>
                <w:left w:val="nil"/>
                <w:bottom w:val="nil"/>
                <w:right w:val="nil"/>
                <w:between w:val="nil"/>
              </w:pBdr>
              <w:spacing w:line="276" w:lineRule="auto"/>
              <w:ind w:right="121"/>
              <w:jc w:val="both"/>
              <w:rPr>
                <w:rFonts w:ascii="Garamond" w:eastAsia="Garamond" w:hAnsi="Garamond" w:cs="Garamond"/>
                <w:color w:val="000000"/>
                <w:sz w:val="22"/>
                <w:szCs w:val="22"/>
              </w:rPr>
            </w:pPr>
            <w:r>
              <w:rPr>
                <w:rFonts w:ascii="Garamond" w:eastAsia="Garamond" w:hAnsi="Garamond" w:cs="Garamond"/>
                <w:b/>
                <w:color w:val="000000"/>
                <w:sz w:val="22"/>
                <w:szCs w:val="22"/>
              </w:rPr>
              <w:t>ARTICULO 1. OBJETO.</w:t>
            </w:r>
            <w:r>
              <w:rPr>
                <w:rFonts w:ascii="Garamond" w:eastAsia="Garamond" w:hAnsi="Garamond" w:cs="Garamond"/>
                <w:color w:val="000000"/>
                <w:sz w:val="22"/>
                <w:szCs w:val="22"/>
              </w:rPr>
              <w:t xml:space="preserve"> La presente ley tiene por objeto declarar la prestación de servicios públicos de telecomunicaciones como servicio de utilidad pública e interés social en busca de facilitar el estudio, tendido, construcción y operación de redes y así avanzar en la mejora de la calidad del servicio, así como la ampliación de cobertura a territorios que no tienen acceso.</w:t>
            </w:r>
          </w:p>
        </w:tc>
        <w:tc>
          <w:tcPr>
            <w:tcW w:w="3261" w:type="dxa"/>
            <w:vAlign w:val="center"/>
          </w:tcPr>
          <w:p w14:paraId="6FD2D3ED" w14:textId="77777777" w:rsidR="00FA14B0" w:rsidRDefault="004960D6">
            <w:pPr>
              <w:spacing w:line="276" w:lineRule="auto"/>
              <w:jc w:val="both"/>
              <w:rPr>
                <w:rFonts w:ascii="Garamond" w:eastAsia="Garamond" w:hAnsi="Garamond" w:cs="Garamond"/>
                <w:sz w:val="22"/>
                <w:szCs w:val="22"/>
              </w:rPr>
            </w:pPr>
            <w:r>
              <w:rPr>
                <w:rFonts w:ascii="Garamond" w:eastAsia="Garamond" w:hAnsi="Garamond" w:cs="Garamond"/>
                <w:b/>
                <w:color w:val="000000"/>
                <w:sz w:val="22"/>
                <w:szCs w:val="22"/>
              </w:rPr>
              <w:t>ARTICULO 3. OBJETO.</w:t>
            </w:r>
            <w:r>
              <w:rPr>
                <w:rFonts w:ascii="Garamond" w:eastAsia="Garamond" w:hAnsi="Garamond" w:cs="Garamond"/>
                <w:color w:val="000000"/>
                <w:sz w:val="22"/>
                <w:szCs w:val="22"/>
              </w:rPr>
              <w:t xml:space="preserve"> </w:t>
            </w:r>
            <w:r>
              <w:rPr>
                <w:rFonts w:ascii="Garamond" w:eastAsia="Garamond" w:hAnsi="Garamond" w:cs="Garamond"/>
                <w:sz w:val="22"/>
                <w:szCs w:val="22"/>
              </w:rPr>
              <w:t>La presente ley tiene por objeto declarar la prestación de servicios públicos de telecomunicaciones como servicio de utilidad pública e interés social en busca de facilitar el tendido, construcción y operación de redes y así avanzar en la mejora de la calidad del servicio así como la ampliación de cobertura a territorios que no tienen acceso.</w:t>
            </w:r>
          </w:p>
        </w:tc>
        <w:tc>
          <w:tcPr>
            <w:tcW w:w="2551" w:type="dxa"/>
            <w:vAlign w:val="center"/>
          </w:tcPr>
          <w:p w14:paraId="06191BF2" w14:textId="77777777" w:rsidR="00FA14B0" w:rsidRDefault="004960D6">
            <w:pPr>
              <w:spacing w:after="120" w:line="276" w:lineRule="auto"/>
              <w:jc w:val="both"/>
              <w:rPr>
                <w:rFonts w:ascii="Garamond" w:eastAsia="Garamond" w:hAnsi="Garamond" w:cs="Garamond"/>
                <w:b/>
                <w:sz w:val="22"/>
                <w:szCs w:val="22"/>
              </w:rPr>
            </w:pPr>
            <w:r>
              <w:rPr>
                <w:rFonts w:ascii="Garamond" w:eastAsia="Garamond" w:hAnsi="Garamond" w:cs="Garamond"/>
                <w:b/>
                <w:sz w:val="22"/>
                <w:szCs w:val="22"/>
              </w:rPr>
              <w:t>Se acoge el texto de Cámara.</w:t>
            </w:r>
          </w:p>
          <w:p w14:paraId="0C51B54F" w14:textId="77777777" w:rsidR="00FA14B0" w:rsidRDefault="004960D6">
            <w:pPr>
              <w:spacing w:before="280" w:after="120" w:line="276" w:lineRule="auto"/>
              <w:jc w:val="both"/>
              <w:rPr>
                <w:rFonts w:ascii="Garamond" w:eastAsia="Garamond" w:hAnsi="Garamond" w:cs="Garamond"/>
                <w:color w:val="000000"/>
                <w:sz w:val="22"/>
                <w:szCs w:val="22"/>
              </w:rPr>
            </w:pPr>
            <w:r>
              <w:rPr>
                <w:rFonts w:ascii="Garamond" w:eastAsia="Garamond" w:hAnsi="Garamond" w:cs="Garamond"/>
                <w:sz w:val="22"/>
                <w:szCs w:val="22"/>
              </w:rPr>
              <w:t>El texto de Senado presenta un error de técnica legislativa incluyendo el objeto como artículo 3, mientras que el de Cámara sí lo tiene como artículo 1.</w:t>
            </w:r>
          </w:p>
        </w:tc>
      </w:tr>
      <w:tr w:rsidR="00FA14B0" w14:paraId="389C7EA7" w14:textId="77777777">
        <w:tc>
          <w:tcPr>
            <w:tcW w:w="3397" w:type="dxa"/>
            <w:vAlign w:val="center"/>
          </w:tcPr>
          <w:p w14:paraId="2366D652" w14:textId="77777777" w:rsidR="00FA14B0" w:rsidRDefault="004960D6">
            <w:pPr>
              <w:widowControl w:val="0"/>
              <w:pBdr>
                <w:top w:val="nil"/>
                <w:left w:val="nil"/>
                <w:bottom w:val="nil"/>
                <w:right w:val="nil"/>
                <w:between w:val="nil"/>
              </w:pBdr>
              <w:spacing w:before="280" w:after="120" w:line="276" w:lineRule="auto"/>
              <w:ind w:right="136"/>
              <w:jc w:val="both"/>
              <w:rPr>
                <w:rFonts w:ascii="Garamond" w:eastAsia="Garamond" w:hAnsi="Garamond" w:cs="Garamond"/>
                <w:color w:val="000000"/>
                <w:sz w:val="22"/>
                <w:szCs w:val="22"/>
              </w:rPr>
            </w:pPr>
            <w:r>
              <w:rPr>
                <w:rFonts w:ascii="Garamond" w:eastAsia="Garamond" w:hAnsi="Garamond" w:cs="Garamond"/>
                <w:b/>
                <w:color w:val="000000"/>
                <w:sz w:val="22"/>
                <w:szCs w:val="22"/>
              </w:rPr>
              <w:t>ARTÍCULO 2.</w:t>
            </w:r>
            <w:r>
              <w:rPr>
                <w:rFonts w:ascii="Garamond" w:eastAsia="Garamond" w:hAnsi="Garamond" w:cs="Garamond"/>
                <w:color w:val="000000"/>
                <w:sz w:val="22"/>
                <w:szCs w:val="22"/>
              </w:rPr>
              <w:t xml:space="preserve"> Modifíquese el artículo 10 de la Ley 1341 de 2009, el cual quedará así: </w:t>
            </w:r>
          </w:p>
          <w:p w14:paraId="3B38CD53" w14:textId="77777777" w:rsidR="00FA14B0" w:rsidRDefault="004960D6">
            <w:pPr>
              <w:widowControl w:val="0"/>
              <w:pBdr>
                <w:top w:val="nil"/>
                <w:left w:val="nil"/>
                <w:bottom w:val="nil"/>
                <w:right w:val="nil"/>
                <w:between w:val="nil"/>
              </w:pBdr>
              <w:spacing w:before="280" w:after="120" w:line="276" w:lineRule="auto"/>
              <w:ind w:right="136"/>
              <w:jc w:val="both"/>
              <w:rPr>
                <w:rFonts w:ascii="Garamond" w:eastAsia="Garamond" w:hAnsi="Garamond" w:cs="Garamond"/>
                <w:color w:val="000000"/>
                <w:sz w:val="22"/>
                <w:szCs w:val="22"/>
              </w:rPr>
            </w:pPr>
            <w:r>
              <w:rPr>
                <w:rFonts w:ascii="Garamond" w:eastAsia="Garamond" w:hAnsi="Garamond" w:cs="Garamond"/>
                <w:b/>
                <w:color w:val="000000"/>
                <w:sz w:val="22"/>
                <w:szCs w:val="22"/>
              </w:rPr>
              <w:lastRenderedPageBreak/>
              <w:t>ARTÍCULO 10. HABILITACIÓN GENERAL.</w:t>
            </w:r>
            <w:r>
              <w:rPr>
                <w:rFonts w:ascii="Garamond" w:eastAsia="Garamond" w:hAnsi="Garamond" w:cs="Garamond"/>
                <w:color w:val="000000"/>
                <w:sz w:val="22"/>
                <w:szCs w:val="22"/>
              </w:rPr>
              <w:t xml:space="preserve"> A partir de la vigencia de la presente ley, la provisión de redes y servicios de telecomunicaciones, que es un servicio público bajo la titularidad del Estado, se habilita de manera general, y causará una contraprestación periódica a favor del Fondo Único de Tecnologías de la Información y las Comunicaciones. Esta habilitación comprende, a su vez, la autorización para la instalación, ampliación, modificación, operación y explotación de redes para la prestación de los servicios de telecomunicaciones, se suministren o no al público. La habilitación general a que hace referencia el presente artículo no incluye el derecho al uso del espectro radioeléctrico. </w:t>
            </w:r>
          </w:p>
          <w:p w14:paraId="0D29B236" w14:textId="77777777" w:rsidR="00FA14B0" w:rsidRDefault="004960D6">
            <w:pPr>
              <w:widowControl w:val="0"/>
              <w:pBdr>
                <w:top w:val="nil"/>
                <w:left w:val="nil"/>
                <w:bottom w:val="nil"/>
                <w:right w:val="nil"/>
                <w:between w:val="nil"/>
              </w:pBdr>
              <w:spacing w:before="280" w:after="120" w:line="276" w:lineRule="auto"/>
              <w:ind w:right="136"/>
              <w:jc w:val="both"/>
              <w:rPr>
                <w:rFonts w:ascii="Garamond" w:eastAsia="Garamond" w:hAnsi="Garamond" w:cs="Garamond"/>
                <w:color w:val="000000"/>
                <w:sz w:val="22"/>
                <w:szCs w:val="22"/>
              </w:rPr>
            </w:pPr>
            <w:r>
              <w:rPr>
                <w:rFonts w:ascii="Garamond" w:eastAsia="Garamond" w:hAnsi="Garamond" w:cs="Garamond"/>
                <w:color w:val="000000"/>
                <w:sz w:val="22"/>
                <w:szCs w:val="22"/>
              </w:rPr>
              <w:t xml:space="preserve">Declárese de utilidad pública y de interés social los proyectos y la ejecución de las obras requeridas para el estudio, tendido, construcción, instalación, ampliación, modificación, operación y mantenimiento de las redes para la provisión de los servicios públicos de telecomunicaciones de que trata la presente ley y demás normas que la modifiquen, adicionen o sustituyan. </w:t>
            </w:r>
          </w:p>
          <w:p w14:paraId="13A678EB" w14:textId="77777777" w:rsidR="00FA14B0" w:rsidRDefault="004960D6">
            <w:pPr>
              <w:widowControl w:val="0"/>
              <w:pBdr>
                <w:top w:val="nil"/>
                <w:left w:val="nil"/>
                <w:bottom w:val="nil"/>
                <w:right w:val="nil"/>
                <w:between w:val="nil"/>
              </w:pBdr>
              <w:spacing w:before="280" w:after="120" w:line="276" w:lineRule="auto"/>
              <w:ind w:right="136"/>
              <w:jc w:val="both"/>
              <w:rPr>
                <w:rFonts w:ascii="Garamond" w:eastAsia="Garamond" w:hAnsi="Garamond" w:cs="Garamond"/>
                <w:color w:val="000000"/>
                <w:sz w:val="22"/>
                <w:szCs w:val="22"/>
              </w:rPr>
            </w:pPr>
            <w:r>
              <w:rPr>
                <w:rFonts w:ascii="Garamond" w:eastAsia="Garamond" w:hAnsi="Garamond" w:cs="Garamond"/>
                <w:color w:val="000000"/>
                <w:sz w:val="22"/>
                <w:szCs w:val="22"/>
              </w:rPr>
              <w:t xml:space="preserve">Por lo anterior, a la provisión de redes y servicios de </w:t>
            </w:r>
            <w:r>
              <w:rPr>
                <w:rFonts w:ascii="Garamond" w:eastAsia="Garamond" w:hAnsi="Garamond" w:cs="Garamond"/>
                <w:color w:val="000000"/>
                <w:sz w:val="22"/>
                <w:szCs w:val="22"/>
              </w:rPr>
              <w:lastRenderedPageBreak/>
              <w:t>telecomunicaciones y a los proveedores de estos, les será aplicable lo previsto en los artículos 78, 79, 223 y 226 de la Ley 1801 de 2016 o las normas que modifiquen, adicionen o sustituyan las referidas disposiciones. Las autoridades nacionales, departamentales y municipales, tanto civiles como de policía, inmediatamente se lo solicite una empresa de servicios públicos, le prestarán su apoyo para hacer que se le restituyan los inmuebles que los particulares hayan ocupado contra la voluntad o sin conocimiento de la empresa; o para que cesen los actos que entorpezcan o amenacen perturbar, en cualquier tiempo, el ejercicio de sus derechos o la adecuada prestación de los servicios de telecomunicaciones.</w:t>
            </w:r>
          </w:p>
          <w:p w14:paraId="747984CB" w14:textId="77777777" w:rsidR="00FA14B0" w:rsidRDefault="004960D6">
            <w:pPr>
              <w:widowControl w:val="0"/>
              <w:pBdr>
                <w:top w:val="nil"/>
                <w:left w:val="nil"/>
                <w:bottom w:val="nil"/>
                <w:right w:val="nil"/>
                <w:between w:val="nil"/>
              </w:pBdr>
              <w:spacing w:before="280" w:after="120" w:line="276" w:lineRule="auto"/>
              <w:ind w:right="136"/>
              <w:jc w:val="both"/>
              <w:rPr>
                <w:rFonts w:ascii="Garamond" w:eastAsia="Garamond" w:hAnsi="Garamond" w:cs="Garamond"/>
                <w:color w:val="000000"/>
                <w:sz w:val="22"/>
                <w:szCs w:val="22"/>
              </w:rPr>
            </w:pPr>
            <w:r>
              <w:rPr>
                <w:rFonts w:ascii="Garamond" w:eastAsia="Garamond" w:hAnsi="Garamond" w:cs="Garamond"/>
                <w:b/>
                <w:color w:val="000000"/>
                <w:sz w:val="22"/>
                <w:szCs w:val="22"/>
              </w:rPr>
              <w:t>PARÁGRAFO 1o</w:t>
            </w:r>
            <w:r>
              <w:rPr>
                <w:rFonts w:ascii="Garamond" w:eastAsia="Garamond" w:hAnsi="Garamond" w:cs="Garamond"/>
                <w:color w:val="000000"/>
                <w:sz w:val="22"/>
                <w:szCs w:val="22"/>
              </w:rPr>
              <w:t xml:space="preserve">. En materia de habilitación, el servicio de radiodifusión sonora continuará rigiéndose por las disposiciones específicas de la presente ley. </w:t>
            </w:r>
          </w:p>
          <w:p w14:paraId="74E84D23" w14:textId="77777777" w:rsidR="00FA14B0" w:rsidRDefault="004960D6">
            <w:pPr>
              <w:widowControl w:val="0"/>
              <w:pBdr>
                <w:top w:val="nil"/>
                <w:left w:val="nil"/>
                <w:bottom w:val="nil"/>
                <w:right w:val="nil"/>
                <w:between w:val="nil"/>
              </w:pBdr>
              <w:spacing w:before="280" w:after="120" w:line="276" w:lineRule="auto"/>
              <w:ind w:right="136"/>
              <w:jc w:val="both"/>
              <w:rPr>
                <w:rFonts w:ascii="Garamond" w:eastAsia="Garamond" w:hAnsi="Garamond" w:cs="Garamond"/>
                <w:color w:val="000000"/>
                <w:sz w:val="22"/>
                <w:szCs w:val="22"/>
              </w:rPr>
            </w:pPr>
            <w:r>
              <w:rPr>
                <w:rFonts w:ascii="Garamond" w:eastAsia="Garamond" w:hAnsi="Garamond" w:cs="Garamond"/>
                <w:b/>
                <w:color w:val="000000"/>
                <w:sz w:val="22"/>
                <w:szCs w:val="22"/>
              </w:rPr>
              <w:t>PARÁGRAFO 2o</w:t>
            </w:r>
            <w:r>
              <w:rPr>
                <w:rFonts w:ascii="Garamond" w:eastAsia="Garamond" w:hAnsi="Garamond" w:cs="Garamond"/>
                <w:color w:val="000000"/>
                <w:sz w:val="22"/>
                <w:szCs w:val="22"/>
              </w:rPr>
              <w:t xml:space="preserve">. En materia de habilitación, el servicio de televisión abierta radiodifundida continuará rigiéndose por las normas especiales pertinentes, en particular la Ley 182 de 1995, la Ley 335 de 1996, la Ley 680 de 2001, y demás normas que las modifiquen, adicionen o sustituyan. No obstante, los operadores del servicio de televisión </w:t>
            </w:r>
            <w:r>
              <w:rPr>
                <w:rFonts w:ascii="Garamond" w:eastAsia="Garamond" w:hAnsi="Garamond" w:cs="Garamond"/>
                <w:color w:val="000000"/>
                <w:sz w:val="22"/>
                <w:szCs w:val="22"/>
              </w:rPr>
              <w:lastRenderedPageBreak/>
              <w:t xml:space="preserve">abierta radiodifundida establecidos a la fecha de entrada en vigencia de la presente ley podrán acogerse al régimen de habilitación general, de conformidad con el régimen de transición que la ley disponga. </w:t>
            </w:r>
          </w:p>
          <w:p w14:paraId="0EE43F6A" w14:textId="77777777" w:rsidR="00FA14B0" w:rsidRDefault="004960D6">
            <w:pPr>
              <w:widowControl w:val="0"/>
              <w:pBdr>
                <w:top w:val="nil"/>
                <w:left w:val="nil"/>
                <w:bottom w:val="nil"/>
                <w:right w:val="nil"/>
                <w:between w:val="nil"/>
              </w:pBdr>
              <w:spacing w:before="280" w:after="120" w:line="276" w:lineRule="auto"/>
              <w:ind w:right="136"/>
              <w:jc w:val="both"/>
              <w:rPr>
                <w:rFonts w:ascii="Garamond" w:eastAsia="Garamond" w:hAnsi="Garamond" w:cs="Garamond"/>
                <w:color w:val="000000"/>
                <w:sz w:val="22"/>
                <w:szCs w:val="22"/>
              </w:rPr>
            </w:pPr>
            <w:r>
              <w:rPr>
                <w:rFonts w:ascii="Garamond" w:eastAsia="Garamond" w:hAnsi="Garamond" w:cs="Garamond"/>
                <w:b/>
                <w:color w:val="000000"/>
                <w:sz w:val="22"/>
                <w:szCs w:val="22"/>
              </w:rPr>
              <w:t>PARÁGRAFO 3o.</w:t>
            </w:r>
            <w:r>
              <w:rPr>
                <w:rFonts w:ascii="Garamond" w:eastAsia="Garamond" w:hAnsi="Garamond" w:cs="Garamond"/>
                <w:color w:val="000000"/>
                <w:sz w:val="22"/>
                <w:szCs w:val="22"/>
              </w:rPr>
              <w:t xml:space="preserve"> En materia del pago de la contraprestación los operadores públicos del servicio de televisión mantendrán las exenciones y excepciones que les sean aplicables a la fecha de entrada en vigencia de la presente ley. </w:t>
            </w:r>
          </w:p>
          <w:p w14:paraId="6561772F" w14:textId="77777777" w:rsidR="00FA14B0" w:rsidRDefault="004960D6">
            <w:pPr>
              <w:widowControl w:val="0"/>
              <w:pBdr>
                <w:top w:val="nil"/>
                <w:left w:val="nil"/>
                <w:bottom w:val="nil"/>
                <w:right w:val="nil"/>
                <w:between w:val="nil"/>
              </w:pBdr>
              <w:spacing w:before="280" w:after="120" w:line="276" w:lineRule="auto"/>
              <w:ind w:right="136"/>
              <w:jc w:val="both"/>
              <w:rPr>
                <w:rFonts w:ascii="Garamond" w:eastAsia="Garamond" w:hAnsi="Garamond" w:cs="Garamond"/>
                <w:color w:val="000000"/>
                <w:sz w:val="22"/>
                <w:szCs w:val="22"/>
              </w:rPr>
            </w:pPr>
            <w:r>
              <w:rPr>
                <w:rFonts w:ascii="Garamond" w:eastAsia="Garamond" w:hAnsi="Garamond" w:cs="Garamond"/>
                <w:b/>
                <w:color w:val="000000"/>
                <w:sz w:val="22"/>
                <w:szCs w:val="22"/>
              </w:rPr>
              <w:t>PARÁGRAFO 4o.</w:t>
            </w:r>
            <w:r>
              <w:rPr>
                <w:rFonts w:ascii="Garamond" w:eastAsia="Garamond" w:hAnsi="Garamond" w:cs="Garamond"/>
                <w:color w:val="000000"/>
                <w:sz w:val="22"/>
                <w:szCs w:val="22"/>
              </w:rPr>
              <w:t xml:space="preserve"> El acceso a Internet es un servicio público esencial. Por tanto, los proveedores de redes y servicios de telecomunicaciones no podrán suspender las labores de instalación, mantenimiento y adecuación de las redes requeridas para la operación de este servicio público esencial, y garantizarán la continua provisión del servicio. Lo anterior, sin perjuicio del cumplimiento de los deberes y obligaciones a cargo de los suscriptores y usuarios del servicio, conforme a la regulación de la Comisión de Regulación de Comunicaciones.</w:t>
            </w:r>
          </w:p>
          <w:p w14:paraId="67263052" w14:textId="77777777" w:rsidR="00FA14B0" w:rsidRDefault="00FA14B0">
            <w:pPr>
              <w:widowControl w:val="0"/>
              <w:pBdr>
                <w:top w:val="nil"/>
                <w:left w:val="nil"/>
                <w:bottom w:val="nil"/>
                <w:right w:val="nil"/>
                <w:between w:val="nil"/>
              </w:pBdr>
              <w:spacing w:before="280" w:after="120" w:line="276" w:lineRule="auto"/>
              <w:ind w:right="136"/>
              <w:jc w:val="both"/>
              <w:rPr>
                <w:rFonts w:ascii="Garamond" w:eastAsia="Garamond" w:hAnsi="Garamond" w:cs="Garamond"/>
                <w:color w:val="000000"/>
                <w:sz w:val="22"/>
                <w:szCs w:val="22"/>
              </w:rPr>
            </w:pPr>
          </w:p>
        </w:tc>
        <w:tc>
          <w:tcPr>
            <w:tcW w:w="3261" w:type="dxa"/>
            <w:vAlign w:val="center"/>
          </w:tcPr>
          <w:p w14:paraId="3F18A95C" w14:textId="77777777" w:rsidR="00FA14B0" w:rsidRDefault="004960D6">
            <w:pPr>
              <w:widowControl w:val="0"/>
              <w:pBdr>
                <w:top w:val="nil"/>
                <w:left w:val="nil"/>
                <w:bottom w:val="nil"/>
                <w:right w:val="nil"/>
                <w:between w:val="nil"/>
              </w:pBdr>
              <w:spacing w:before="280" w:after="120" w:line="276" w:lineRule="auto"/>
              <w:ind w:right="136"/>
              <w:jc w:val="both"/>
              <w:rPr>
                <w:rFonts w:ascii="Garamond" w:eastAsia="Garamond" w:hAnsi="Garamond" w:cs="Garamond"/>
                <w:color w:val="000000"/>
                <w:sz w:val="22"/>
                <w:szCs w:val="22"/>
              </w:rPr>
            </w:pPr>
            <w:r>
              <w:rPr>
                <w:rFonts w:ascii="Garamond" w:eastAsia="Garamond" w:hAnsi="Garamond" w:cs="Garamond"/>
                <w:b/>
                <w:color w:val="000000"/>
                <w:sz w:val="22"/>
                <w:szCs w:val="22"/>
              </w:rPr>
              <w:lastRenderedPageBreak/>
              <w:t>ARTÍCULO 1.</w:t>
            </w:r>
            <w:r>
              <w:rPr>
                <w:rFonts w:ascii="Garamond" w:eastAsia="Garamond" w:hAnsi="Garamond" w:cs="Garamond"/>
                <w:color w:val="000000"/>
                <w:sz w:val="22"/>
                <w:szCs w:val="22"/>
              </w:rPr>
              <w:t xml:space="preserve"> Modifíquese el artículo 10 de la Ley 1341 de 2009, el cual quedará así: </w:t>
            </w:r>
          </w:p>
          <w:p w14:paraId="3025F3A8" w14:textId="77777777" w:rsidR="00FA14B0" w:rsidRDefault="004960D6">
            <w:pPr>
              <w:widowControl w:val="0"/>
              <w:pBdr>
                <w:top w:val="nil"/>
                <w:left w:val="nil"/>
                <w:bottom w:val="nil"/>
                <w:right w:val="nil"/>
                <w:between w:val="nil"/>
              </w:pBdr>
              <w:spacing w:before="280" w:after="120" w:line="276" w:lineRule="auto"/>
              <w:ind w:right="136"/>
              <w:jc w:val="both"/>
              <w:rPr>
                <w:rFonts w:ascii="Garamond" w:eastAsia="Garamond" w:hAnsi="Garamond" w:cs="Garamond"/>
                <w:color w:val="000000"/>
                <w:sz w:val="22"/>
                <w:szCs w:val="22"/>
              </w:rPr>
            </w:pPr>
            <w:r>
              <w:rPr>
                <w:rFonts w:ascii="Garamond" w:eastAsia="Garamond" w:hAnsi="Garamond" w:cs="Garamond"/>
                <w:b/>
                <w:color w:val="000000"/>
                <w:sz w:val="22"/>
                <w:szCs w:val="22"/>
              </w:rPr>
              <w:lastRenderedPageBreak/>
              <w:t>ARTÍCULO 10. HABILITACIÓN GENERAL.</w:t>
            </w:r>
            <w:r>
              <w:rPr>
                <w:rFonts w:ascii="Garamond" w:eastAsia="Garamond" w:hAnsi="Garamond" w:cs="Garamond"/>
                <w:color w:val="000000"/>
                <w:sz w:val="22"/>
                <w:szCs w:val="22"/>
              </w:rPr>
              <w:t xml:space="preserve"> A partir de la vigencia de la presente ley, la provisión de redes y servicios de telecomunicaciones, que es un servicio público bajo la titularidad del Estado, se habilita de manera general, y causará una contraprestación periódica a favor del Fondo Único de Tecnologías de la Información y las Comunicaciones. Esta habilitación comprende, a su vez, la autorización para la instalación, ampliación, modificación, operación y explotación de redes para la prestación de los servicios de telecomunicaciones, se suministren o no al público. La habilitación general a que hace referencia el presente artículo no incluye el derecho al uso del espectro radioeléctrico. </w:t>
            </w:r>
          </w:p>
          <w:p w14:paraId="3B014794" w14:textId="77777777" w:rsidR="00FA14B0" w:rsidRDefault="004960D6">
            <w:pPr>
              <w:spacing w:before="280" w:after="120" w:line="276" w:lineRule="auto"/>
              <w:jc w:val="both"/>
              <w:rPr>
                <w:rFonts w:ascii="Garamond" w:eastAsia="Garamond" w:hAnsi="Garamond" w:cs="Garamond"/>
                <w:sz w:val="22"/>
                <w:szCs w:val="22"/>
              </w:rPr>
            </w:pPr>
            <w:r>
              <w:rPr>
                <w:rFonts w:ascii="Garamond" w:eastAsia="Garamond" w:hAnsi="Garamond" w:cs="Garamond"/>
                <w:sz w:val="22"/>
                <w:szCs w:val="22"/>
              </w:rPr>
              <w:t>Declárese de utilidad pública y de interés social los proyectos y la ejecución de las obras requeridas para el tendido, construcción, instalación, ampliación, modificación, operación y mantenimiento de las redes para la provisión de los servicios públicos de telecomunicaciones de que trata la presente ley y demás normas que las modifiquen, adicionen o sustituyan.</w:t>
            </w:r>
          </w:p>
          <w:p w14:paraId="3B23C08C" w14:textId="77777777" w:rsidR="00FA14B0" w:rsidRDefault="004960D6">
            <w:pPr>
              <w:widowControl w:val="0"/>
              <w:pBdr>
                <w:top w:val="nil"/>
                <w:left w:val="nil"/>
                <w:bottom w:val="nil"/>
                <w:right w:val="nil"/>
                <w:between w:val="nil"/>
              </w:pBdr>
              <w:spacing w:before="280" w:after="120" w:line="276" w:lineRule="auto"/>
              <w:ind w:right="136"/>
              <w:jc w:val="both"/>
              <w:rPr>
                <w:rFonts w:ascii="Garamond" w:eastAsia="Garamond" w:hAnsi="Garamond" w:cs="Garamond"/>
                <w:color w:val="000000"/>
                <w:sz w:val="22"/>
                <w:szCs w:val="22"/>
              </w:rPr>
            </w:pPr>
            <w:r>
              <w:rPr>
                <w:rFonts w:ascii="Garamond" w:eastAsia="Garamond" w:hAnsi="Garamond" w:cs="Garamond"/>
                <w:color w:val="000000"/>
                <w:sz w:val="22"/>
                <w:szCs w:val="22"/>
              </w:rPr>
              <w:t xml:space="preserve">Por lo anterior, a la provisión de redes y servicios de </w:t>
            </w:r>
            <w:r>
              <w:rPr>
                <w:rFonts w:ascii="Garamond" w:eastAsia="Garamond" w:hAnsi="Garamond" w:cs="Garamond"/>
                <w:color w:val="000000"/>
                <w:sz w:val="22"/>
                <w:szCs w:val="22"/>
              </w:rPr>
              <w:lastRenderedPageBreak/>
              <w:t>telecomunicaciones y a los proveedores de estos, les será aplicable lo previsto en los artículos 78, 79, 223 y 226 de la Ley 1801 de 2016 o las normas que modifiquen, adicionen o sustituyan las referidas disposiciones. Las autoridades nacionales, departamentales y municipales, tanto civiles como de policía, inmediatamente se lo solicite una empresa de servicios públicos, le prestarán su apoyo para hacer que se le restituyan los inmuebles que los particulares hayan ocupado contra la voluntad o sin conocimiento de la empresa; o para que cesen los actos que entorpezcan o amenacen perturbar, en cualquier tiempo, el ejercicio de sus derechos o la adecuada prestación de los servicios de telecomunicaciones.</w:t>
            </w:r>
          </w:p>
          <w:p w14:paraId="659E9525" w14:textId="77777777" w:rsidR="00FA14B0" w:rsidRDefault="004960D6">
            <w:pPr>
              <w:widowControl w:val="0"/>
              <w:pBdr>
                <w:top w:val="nil"/>
                <w:left w:val="nil"/>
                <w:bottom w:val="nil"/>
                <w:right w:val="nil"/>
                <w:between w:val="nil"/>
              </w:pBdr>
              <w:spacing w:before="280" w:after="120" w:line="276" w:lineRule="auto"/>
              <w:ind w:right="136"/>
              <w:jc w:val="both"/>
              <w:rPr>
                <w:rFonts w:ascii="Garamond" w:eastAsia="Garamond" w:hAnsi="Garamond" w:cs="Garamond"/>
                <w:color w:val="000000"/>
                <w:sz w:val="22"/>
                <w:szCs w:val="22"/>
              </w:rPr>
            </w:pPr>
            <w:r>
              <w:rPr>
                <w:rFonts w:ascii="Garamond" w:eastAsia="Garamond" w:hAnsi="Garamond" w:cs="Garamond"/>
                <w:b/>
                <w:color w:val="000000"/>
                <w:sz w:val="22"/>
                <w:szCs w:val="22"/>
              </w:rPr>
              <w:t>PARÁGRAFO 1o</w:t>
            </w:r>
            <w:r>
              <w:rPr>
                <w:rFonts w:ascii="Garamond" w:eastAsia="Garamond" w:hAnsi="Garamond" w:cs="Garamond"/>
                <w:color w:val="000000"/>
                <w:sz w:val="22"/>
                <w:szCs w:val="22"/>
              </w:rPr>
              <w:t xml:space="preserve">. En materia de habilitación, el servicio de radiodifusión sonora continuará rigiéndose por las disposiciones específicas de la presente ley. </w:t>
            </w:r>
          </w:p>
          <w:p w14:paraId="0FCCA7ED" w14:textId="77777777" w:rsidR="00FA14B0" w:rsidRDefault="004960D6">
            <w:pPr>
              <w:widowControl w:val="0"/>
              <w:pBdr>
                <w:top w:val="nil"/>
                <w:left w:val="nil"/>
                <w:bottom w:val="nil"/>
                <w:right w:val="nil"/>
                <w:between w:val="nil"/>
              </w:pBdr>
              <w:spacing w:before="280" w:after="120" w:line="276" w:lineRule="auto"/>
              <w:ind w:right="136"/>
              <w:jc w:val="both"/>
              <w:rPr>
                <w:rFonts w:ascii="Garamond" w:eastAsia="Garamond" w:hAnsi="Garamond" w:cs="Garamond"/>
                <w:color w:val="000000"/>
                <w:sz w:val="22"/>
                <w:szCs w:val="22"/>
              </w:rPr>
            </w:pPr>
            <w:r>
              <w:rPr>
                <w:rFonts w:ascii="Garamond" w:eastAsia="Garamond" w:hAnsi="Garamond" w:cs="Garamond"/>
                <w:b/>
                <w:color w:val="000000"/>
                <w:sz w:val="22"/>
                <w:szCs w:val="22"/>
              </w:rPr>
              <w:t>PARÁGRAFO 2o</w:t>
            </w:r>
            <w:r>
              <w:rPr>
                <w:rFonts w:ascii="Garamond" w:eastAsia="Garamond" w:hAnsi="Garamond" w:cs="Garamond"/>
                <w:color w:val="000000"/>
                <w:sz w:val="22"/>
                <w:szCs w:val="22"/>
              </w:rPr>
              <w:t xml:space="preserve">. En materia de habilitación, el servicio de televisión abierta radiodifundida continuará rigiéndose por las normas especiales pertinentes, en particular la Ley 182 de 1995, la Ley 335 de 1996, la Ley 680 de 2001, y demás normas que las modifiquen, adicionen o </w:t>
            </w:r>
            <w:r>
              <w:rPr>
                <w:rFonts w:ascii="Garamond" w:eastAsia="Garamond" w:hAnsi="Garamond" w:cs="Garamond"/>
                <w:color w:val="000000"/>
                <w:sz w:val="22"/>
                <w:szCs w:val="22"/>
              </w:rPr>
              <w:lastRenderedPageBreak/>
              <w:t xml:space="preserve">sustituyan. No obstante, los operadores del servicio de televisión abierta radiodifundida establecidos a la fecha de entrada en vigencia de la presente ley podrán acogerse al régimen de habilitación general, de conformidad con el régimen de transición que la ley disponga. </w:t>
            </w:r>
          </w:p>
          <w:p w14:paraId="3952EFC3" w14:textId="77777777" w:rsidR="00FA14B0" w:rsidRDefault="004960D6">
            <w:pPr>
              <w:widowControl w:val="0"/>
              <w:pBdr>
                <w:top w:val="nil"/>
                <w:left w:val="nil"/>
                <w:bottom w:val="nil"/>
                <w:right w:val="nil"/>
                <w:between w:val="nil"/>
              </w:pBdr>
              <w:spacing w:before="280" w:after="120" w:line="276" w:lineRule="auto"/>
              <w:ind w:right="136"/>
              <w:jc w:val="both"/>
              <w:rPr>
                <w:rFonts w:ascii="Garamond" w:eastAsia="Garamond" w:hAnsi="Garamond" w:cs="Garamond"/>
                <w:color w:val="000000"/>
                <w:sz w:val="22"/>
                <w:szCs w:val="22"/>
              </w:rPr>
            </w:pPr>
            <w:r>
              <w:rPr>
                <w:rFonts w:ascii="Garamond" w:eastAsia="Garamond" w:hAnsi="Garamond" w:cs="Garamond"/>
                <w:b/>
                <w:color w:val="000000"/>
                <w:sz w:val="22"/>
                <w:szCs w:val="22"/>
              </w:rPr>
              <w:t>PARÁGRAFO 3o.</w:t>
            </w:r>
            <w:r>
              <w:rPr>
                <w:rFonts w:ascii="Garamond" w:eastAsia="Garamond" w:hAnsi="Garamond" w:cs="Garamond"/>
                <w:color w:val="000000"/>
                <w:sz w:val="22"/>
                <w:szCs w:val="22"/>
              </w:rPr>
              <w:t xml:space="preserve"> En materia del pago de la contraprestación los operadores públicos del servicio de televisión mantendrán las exenciones y excepciones que les sean aplicables a la fecha de entrada en vigencia de la presente ley. </w:t>
            </w:r>
          </w:p>
          <w:p w14:paraId="3DC4DC50" w14:textId="77777777" w:rsidR="00FA14B0" w:rsidRDefault="004960D6">
            <w:pPr>
              <w:spacing w:before="280" w:after="120" w:line="276" w:lineRule="auto"/>
              <w:jc w:val="both"/>
              <w:rPr>
                <w:rFonts w:ascii="Garamond" w:eastAsia="Garamond" w:hAnsi="Garamond" w:cs="Garamond"/>
                <w:sz w:val="22"/>
                <w:szCs w:val="22"/>
              </w:rPr>
            </w:pPr>
            <w:r>
              <w:rPr>
                <w:rFonts w:ascii="Garamond" w:eastAsia="Garamond" w:hAnsi="Garamond" w:cs="Garamond"/>
                <w:b/>
                <w:color w:val="000000"/>
                <w:sz w:val="22"/>
                <w:szCs w:val="22"/>
              </w:rPr>
              <w:t>PARÁGRAFO 4o.</w:t>
            </w:r>
            <w:r>
              <w:rPr>
                <w:rFonts w:ascii="Garamond" w:eastAsia="Garamond" w:hAnsi="Garamond" w:cs="Garamond"/>
                <w:color w:val="000000"/>
                <w:sz w:val="22"/>
                <w:szCs w:val="22"/>
              </w:rPr>
              <w:t xml:space="preserve"> El acceso a Internet es un servicio público esencial. Por tanto, los proveedores de redes y servicios de telecomunicaciones no podrán suspender las labores de instalación, mantenimiento y adecuación de las redes requeridas para la operación de este servicio público esencial, y garantizarán la continua provisión del servicio. Lo anterior, sin perjuicio del cumplimiento de los deberes y obligaciones a cargo de los suscriptores y usuarios del servicio, conforme a la regulación de la Comisión de Regulación de Comunicaciones.</w:t>
            </w:r>
          </w:p>
        </w:tc>
        <w:tc>
          <w:tcPr>
            <w:tcW w:w="2551" w:type="dxa"/>
            <w:vAlign w:val="center"/>
          </w:tcPr>
          <w:p w14:paraId="4444C60C" w14:textId="77777777" w:rsidR="00FA14B0" w:rsidRDefault="004960D6">
            <w:pPr>
              <w:spacing w:after="120" w:line="276" w:lineRule="auto"/>
              <w:jc w:val="both"/>
              <w:rPr>
                <w:rFonts w:ascii="Garamond" w:eastAsia="Garamond" w:hAnsi="Garamond" w:cs="Garamond"/>
                <w:b/>
                <w:sz w:val="22"/>
                <w:szCs w:val="22"/>
              </w:rPr>
            </w:pPr>
            <w:r>
              <w:rPr>
                <w:rFonts w:ascii="Garamond" w:eastAsia="Garamond" w:hAnsi="Garamond" w:cs="Garamond"/>
                <w:b/>
                <w:sz w:val="22"/>
                <w:szCs w:val="22"/>
              </w:rPr>
              <w:lastRenderedPageBreak/>
              <w:t>Se acoge el texto de Cámara.</w:t>
            </w:r>
          </w:p>
          <w:p w14:paraId="1D6EA429" w14:textId="77777777" w:rsidR="00FA14B0" w:rsidRDefault="004960D6">
            <w:pPr>
              <w:spacing w:before="280" w:after="120" w:line="276" w:lineRule="auto"/>
              <w:jc w:val="both"/>
              <w:rPr>
                <w:rFonts w:ascii="Garamond" w:eastAsia="Garamond" w:hAnsi="Garamond" w:cs="Garamond"/>
                <w:color w:val="000000"/>
                <w:sz w:val="22"/>
                <w:szCs w:val="22"/>
              </w:rPr>
            </w:pPr>
            <w:r>
              <w:rPr>
                <w:rFonts w:ascii="Garamond" w:eastAsia="Garamond" w:hAnsi="Garamond" w:cs="Garamond"/>
                <w:sz w:val="22"/>
                <w:szCs w:val="22"/>
              </w:rPr>
              <w:lastRenderedPageBreak/>
              <w:t>Por técnica legislativa y porque en el inciso segundo se abarcan más actividades relacionadas con el despliegue de redes TIC.</w:t>
            </w:r>
          </w:p>
        </w:tc>
      </w:tr>
      <w:tr w:rsidR="00FA14B0" w14:paraId="64F1F4F4" w14:textId="77777777">
        <w:tc>
          <w:tcPr>
            <w:tcW w:w="3397" w:type="dxa"/>
            <w:vAlign w:val="center"/>
          </w:tcPr>
          <w:p w14:paraId="66B3AAA0" w14:textId="77777777" w:rsidR="00FA14B0" w:rsidRDefault="004960D6">
            <w:pPr>
              <w:spacing w:before="280" w:after="120" w:line="276" w:lineRule="auto"/>
              <w:jc w:val="both"/>
              <w:rPr>
                <w:rFonts w:ascii="Garamond" w:eastAsia="Garamond" w:hAnsi="Garamond" w:cs="Garamond"/>
                <w:sz w:val="22"/>
                <w:szCs w:val="22"/>
              </w:rPr>
            </w:pPr>
            <w:r>
              <w:rPr>
                <w:rFonts w:ascii="Garamond" w:eastAsia="Garamond" w:hAnsi="Garamond" w:cs="Garamond"/>
                <w:b/>
                <w:sz w:val="22"/>
                <w:szCs w:val="22"/>
              </w:rPr>
              <w:lastRenderedPageBreak/>
              <w:t xml:space="preserve">ARTÍCULO 3. PROCESOS DE SERVIDUMBRE PARA </w:t>
            </w:r>
            <w:r>
              <w:rPr>
                <w:rFonts w:ascii="Garamond" w:eastAsia="Garamond" w:hAnsi="Garamond" w:cs="Garamond"/>
                <w:b/>
                <w:sz w:val="22"/>
                <w:szCs w:val="22"/>
              </w:rPr>
              <w:lastRenderedPageBreak/>
              <w:t>GARANTIZAR LA PRESTACIÓN DE LOS SERVICIOS DE TELECOMUNICACIONES.</w:t>
            </w:r>
            <w:r>
              <w:rPr>
                <w:rFonts w:ascii="Garamond" w:eastAsia="Garamond" w:hAnsi="Garamond" w:cs="Garamond"/>
                <w:sz w:val="22"/>
                <w:szCs w:val="22"/>
              </w:rPr>
              <w:t xml:space="preserve"> Los predios que se requieran para el paso de las redes de telecomunicaciones se encuentran gravados con servidumbre legal para el estudio, tendido, construcción, instalación, operación, mantenimiento y ampliación de este tipo de redes. </w:t>
            </w:r>
          </w:p>
          <w:p w14:paraId="15A5B3CA" w14:textId="77777777" w:rsidR="00FA14B0" w:rsidRDefault="004960D6">
            <w:pPr>
              <w:spacing w:before="280" w:after="120" w:line="276" w:lineRule="auto"/>
              <w:jc w:val="both"/>
              <w:rPr>
                <w:rFonts w:ascii="Garamond" w:eastAsia="Garamond" w:hAnsi="Garamond" w:cs="Garamond"/>
                <w:sz w:val="22"/>
                <w:szCs w:val="22"/>
              </w:rPr>
            </w:pPr>
            <w:r>
              <w:rPr>
                <w:rFonts w:ascii="Garamond" w:eastAsia="Garamond" w:hAnsi="Garamond" w:cs="Garamond"/>
                <w:sz w:val="22"/>
                <w:szCs w:val="22"/>
              </w:rPr>
              <w:t xml:space="preserve">Para adelantar los procesos de servidumbre el proveedor de redes y servicios de telecomunicaciones o el proveedor de infraestructura pasiva deberá promover el proceso al que se refiere el Capítulo II del Título II de la Ley 56 de 1981, el artículo 376 de la Ley 1564 de 2012 y demás normas que las modifiquen, adicionen o sustituyan, cuando no sea posible el perfeccionamiento del contrato de constitución de servidumbre legal. </w:t>
            </w:r>
          </w:p>
          <w:p w14:paraId="10EF02EF" w14:textId="77777777" w:rsidR="00FA14B0" w:rsidRDefault="004960D6">
            <w:pPr>
              <w:spacing w:before="280" w:after="120" w:line="276" w:lineRule="auto"/>
              <w:jc w:val="both"/>
              <w:rPr>
                <w:rFonts w:ascii="Garamond" w:eastAsia="Garamond" w:hAnsi="Garamond" w:cs="Garamond"/>
                <w:sz w:val="22"/>
                <w:szCs w:val="22"/>
              </w:rPr>
            </w:pPr>
            <w:r>
              <w:rPr>
                <w:rFonts w:ascii="Garamond" w:eastAsia="Garamond" w:hAnsi="Garamond" w:cs="Garamond"/>
                <w:b/>
                <w:sz w:val="22"/>
                <w:szCs w:val="22"/>
              </w:rPr>
              <w:t>PARÁGRAFO</w:t>
            </w:r>
            <w:r>
              <w:rPr>
                <w:rFonts w:ascii="Garamond" w:eastAsia="Garamond" w:hAnsi="Garamond" w:cs="Garamond"/>
                <w:sz w:val="22"/>
                <w:szCs w:val="22"/>
              </w:rPr>
              <w:t>. En todo caso, en la provisión de redes y servicios de telecomunicaciones se respetarán los límites de exposición de las personas a campos electromagnéticos definidos por la Comisión Internacional de Protección de Radiación no Ionizante (ICNIRP) y la Unión Internacional de Telecomunicaciones (UIT) y que hayan sido adoptadas por el Gobierno Nacional.</w:t>
            </w:r>
          </w:p>
        </w:tc>
        <w:tc>
          <w:tcPr>
            <w:tcW w:w="3261" w:type="dxa"/>
            <w:vAlign w:val="center"/>
          </w:tcPr>
          <w:p w14:paraId="3C50474B" w14:textId="77777777" w:rsidR="00FA14B0" w:rsidRDefault="004960D6">
            <w:pPr>
              <w:spacing w:before="280" w:after="120" w:line="276" w:lineRule="auto"/>
              <w:ind w:hanging="2"/>
              <w:jc w:val="both"/>
              <w:rPr>
                <w:rFonts w:ascii="Garamond" w:eastAsia="Garamond" w:hAnsi="Garamond" w:cs="Garamond"/>
                <w:i/>
                <w:sz w:val="22"/>
                <w:szCs w:val="22"/>
              </w:rPr>
            </w:pPr>
            <w:r>
              <w:rPr>
                <w:rFonts w:ascii="Garamond" w:eastAsia="Garamond" w:hAnsi="Garamond" w:cs="Garamond"/>
                <w:b/>
                <w:sz w:val="22"/>
                <w:szCs w:val="22"/>
              </w:rPr>
              <w:lastRenderedPageBreak/>
              <w:t>ARTÍCULO 2.</w:t>
            </w:r>
            <w:r>
              <w:rPr>
                <w:rFonts w:ascii="Garamond" w:eastAsia="Garamond" w:hAnsi="Garamond" w:cs="Garamond"/>
                <w:sz w:val="22"/>
                <w:szCs w:val="22"/>
              </w:rPr>
              <w:t xml:space="preserve"> Procesos de servidumbre para garantizar la </w:t>
            </w:r>
            <w:r>
              <w:rPr>
                <w:rFonts w:ascii="Garamond" w:eastAsia="Garamond" w:hAnsi="Garamond" w:cs="Garamond"/>
                <w:sz w:val="22"/>
                <w:szCs w:val="22"/>
              </w:rPr>
              <w:lastRenderedPageBreak/>
              <w:t>prestación de los servicios de telecomunicaciones. Los predios que se requieran para el paso de las redes de telecomunicaciones se encuentran gravados con servidumbre legal para el tendido, construcción, instalación, operación, mantenimiento y ampliación de este tipo de redes</w:t>
            </w:r>
            <w:r>
              <w:rPr>
                <w:rFonts w:ascii="Garamond" w:eastAsia="Garamond" w:hAnsi="Garamond" w:cs="Garamond"/>
                <w:i/>
                <w:sz w:val="22"/>
                <w:szCs w:val="22"/>
              </w:rPr>
              <w:t>.</w:t>
            </w:r>
          </w:p>
          <w:p w14:paraId="6ECBD21F" w14:textId="77777777" w:rsidR="00FA14B0" w:rsidRDefault="004960D6">
            <w:pPr>
              <w:spacing w:before="280" w:after="120" w:line="276" w:lineRule="auto"/>
              <w:ind w:hanging="2"/>
              <w:jc w:val="both"/>
              <w:rPr>
                <w:rFonts w:ascii="Garamond" w:eastAsia="Garamond" w:hAnsi="Garamond" w:cs="Garamond"/>
                <w:sz w:val="22"/>
                <w:szCs w:val="22"/>
              </w:rPr>
            </w:pPr>
            <w:r>
              <w:rPr>
                <w:rFonts w:ascii="Garamond" w:eastAsia="Garamond" w:hAnsi="Garamond" w:cs="Garamond"/>
                <w:sz w:val="22"/>
                <w:szCs w:val="22"/>
              </w:rPr>
              <w:t xml:space="preserve">Para adelantar los procesos de servidumbre el proveedor de redes y servicios de telecomunicaciones o el proveedor de infraestructura pasiva deberá promover el proceso al que se refiere el Capítulo II del Título II de la Ley 56 de 1981 y demás normas que las modifiquen, adicionen o sustituyan, cuando no sea posible el perfeccionamiento del contrato de constitución de servidumbre legal. </w:t>
            </w:r>
          </w:p>
          <w:p w14:paraId="1C48F337" w14:textId="77777777" w:rsidR="00FA14B0" w:rsidRDefault="004960D6">
            <w:pPr>
              <w:spacing w:before="280" w:after="120" w:line="276" w:lineRule="auto"/>
              <w:ind w:hanging="2"/>
              <w:jc w:val="both"/>
              <w:rPr>
                <w:rFonts w:ascii="Garamond" w:eastAsia="Garamond" w:hAnsi="Garamond" w:cs="Garamond"/>
                <w:sz w:val="22"/>
                <w:szCs w:val="22"/>
              </w:rPr>
            </w:pPr>
            <w:r>
              <w:rPr>
                <w:rFonts w:ascii="Garamond" w:eastAsia="Garamond" w:hAnsi="Garamond" w:cs="Garamond"/>
                <w:b/>
                <w:sz w:val="22"/>
                <w:szCs w:val="22"/>
              </w:rPr>
              <w:t>PARÁGRAFO.</w:t>
            </w:r>
            <w:r>
              <w:rPr>
                <w:rFonts w:ascii="Garamond" w:eastAsia="Garamond" w:hAnsi="Garamond" w:cs="Garamond"/>
                <w:sz w:val="22"/>
                <w:szCs w:val="22"/>
              </w:rPr>
              <w:t xml:space="preserve"> En todo caso, en la provisión de redes y servicios de telecomunicaciones se respetarán los límites de exposición de las personas a campos electromagnéticos definidos por la Comisión Internacional de Protección de Radiación no Ionizante (ICNIRP) y la Unión Internacional de Telecomunicaciones (UIT) y que hayan sido adoptadas por el Gobierno Nacional.</w:t>
            </w:r>
          </w:p>
        </w:tc>
        <w:tc>
          <w:tcPr>
            <w:tcW w:w="2551" w:type="dxa"/>
            <w:vAlign w:val="center"/>
          </w:tcPr>
          <w:p w14:paraId="35A73383" w14:textId="77777777" w:rsidR="00FA14B0" w:rsidRDefault="004960D6">
            <w:pPr>
              <w:jc w:val="both"/>
              <w:rPr>
                <w:rFonts w:ascii="Garamond" w:eastAsia="Garamond" w:hAnsi="Garamond" w:cs="Garamond"/>
                <w:color w:val="000000"/>
                <w:sz w:val="22"/>
                <w:szCs w:val="22"/>
              </w:rPr>
            </w:pPr>
            <w:r>
              <w:rPr>
                <w:rFonts w:ascii="Garamond" w:eastAsia="Garamond" w:hAnsi="Garamond" w:cs="Garamond"/>
                <w:b/>
                <w:color w:val="000000"/>
                <w:sz w:val="22"/>
                <w:szCs w:val="22"/>
              </w:rPr>
              <w:lastRenderedPageBreak/>
              <w:t>Se acoge el texto de Cámara.</w:t>
            </w:r>
          </w:p>
          <w:p w14:paraId="6A6FFAB6" w14:textId="77777777" w:rsidR="00FA14B0" w:rsidRDefault="004960D6">
            <w:pPr>
              <w:spacing w:before="280" w:after="120" w:line="276" w:lineRule="auto"/>
              <w:jc w:val="both"/>
              <w:rPr>
                <w:rFonts w:ascii="Garamond" w:eastAsia="Garamond" w:hAnsi="Garamond" w:cs="Garamond"/>
                <w:color w:val="000000"/>
                <w:sz w:val="22"/>
                <w:szCs w:val="22"/>
              </w:rPr>
            </w:pPr>
            <w:r>
              <w:rPr>
                <w:rFonts w:ascii="Garamond" w:eastAsia="Garamond" w:hAnsi="Garamond" w:cs="Garamond"/>
                <w:sz w:val="22"/>
                <w:szCs w:val="22"/>
              </w:rPr>
              <w:lastRenderedPageBreak/>
              <w:t>Por técnica legislativa y porque en el inciso primero se abarcan más actividades relacionadas con el despliegue de redes TIC.</w:t>
            </w:r>
          </w:p>
        </w:tc>
      </w:tr>
      <w:tr w:rsidR="00FA14B0" w14:paraId="5C554FC6" w14:textId="77777777">
        <w:tc>
          <w:tcPr>
            <w:tcW w:w="3397" w:type="dxa"/>
            <w:vAlign w:val="center"/>
          </w:tcPr>
          <w:p w14:paraId="314F1081" w14:textId="77777777" w:rsidR="00FA14B0" w:rsidRDefault="004960D6">
            <w:pPr>
              <w:spacing w:after="120" w:line="276" w:lineRule="auto"/>
              <w:jc w:val="both"/>
              <w:rPr>
                <w:rFonts w:ascii="Garamond" w:eastAsia="Garamond" w:hAnsi="Garamond" w:cs="Garamond"/>
                <w:sz w:val="22"/>
                <w:szCs w:val="22"/>
              </w:rPr>
            </w:pPr>
            <w:r>
              <w:rPr>
                <w:rFonts w:ascii="Garamond" w:eastAsia="Garamond" w:hAnsi="Garamond" w:cs="Garamond"/>
                <w:b/>
                <w:sz w:val="22"/>
                <w:szCs w:val="22"/>
              </w:rPr>
              <w:lastRenderedPageBreak/>
              <w:t>ARTÍCULO 4.</w:t>
            </w:r>
            <w:r>
              <w:rPr>
                <w:rFonts w:ascii="Garamond" w:eastAsia="Garamond" w:hAnsi="Garamond" w:cs="Garamond"/>
                <w:sz w:val="22"/>
                <w:szCs w:val="22"/>
              </w:rPr>
              <w:t xml:space="preserve"> Adiciónese un inciso segundo al numeral 10 del artículo 2 de la Ley 1341 de 2009, el cual quedará así: </w:t>
            </w:r>
          </w:p>
          <w:p w14:paraId="4138F2DD" w14:textId="77777777" w:rsidR="00FA14B0" w:rsidRDefault="004960D6">
            <w:pPr>
              <w:spacing w:after="120" w:line="276" w:lineRule="auto"/>
              <w:jc w:val="both"/>
              <w:rPr>
                <w:rFonts w:ascii="Garamond" w:eastAsia="Garamond" w:hAnsi="Garamond" w:cs="Garamond"/>
                <w:sz w:val="22"/>
                <w:szCs w:val="22"/>
              </w:rPr>
            </w:pPr>
            <w:r>
              <w:rPr>
                <w:rFonts w:ascii="Garamond" w:eastAsia="Garamond" w:hAnsi="Garamond" w:cs="Garamond"/>
                <w:sz w:val="22"/>
                <w:szCs w:val="22"/>
              </w:rPr>
              <w:t xml:space="preserve">10. Acceso a las TIC y despliegue de infraestructura. </w:t>
            </w:r>
          </w:p>
          <w:p w14:paraId="40C9E57F" w14:textId="77777777" w:rsidR="00FA14B0" w:rsidRDefault="004960D6">
            <w:pPr>
              <w:spacing w:after="120" w:line="276" w:lineRule="auto"/>
              <w:jc w:val="both"/>
              <w:rPr>
                <w:rFonts w:ascii="Garamond" w:eastAsia="Garamond" w:hAnsi="Garamond" w:cs="Garamond"/>
                <w:sz w:val="22"/>
                <w:szCs w:val="22"/>
              </w:rPr>
            </w:pPr>
            <w:r>
              <w:rPr>
                <w:rFonts w:ascii="Garamond" w:eastAsia="Garamond" w:hAnsi="Garamond" w:cs="Garamond"/>
                <w:sz w:val="22"/>
                <w:szCs w:val="22"/>
              </w:rPr>
              <w:t>(...)</w:t>
            </w:r>
          </w:p>
          <w:p w14:paraId="1C76117B" w14:textId="77777777" w:rsidR="00FA14B0" w:rsidRDefault="004960D6">
            <w:pPr>
              <w:spacing w:after="120" w:line="276" w:lineRule="auto"/>
              <w:jc w:val="both"/>
              <w:rPr>
                <w:rFonts w:ascii="Garamond" w:eastAsia="Garamond" w:hAnsi="Garamond" w:cs="Garamond"/>
                <w:sz w:val="22"/>
                <w:szCs w:val="22"/>
              </w:rPr>
            </w:pPr>
            <w:r>
              <w:rPr>
                <w:rFonts w:ascii="Garamond" w:eastAsia="Garamond" w:hAnsi="Garamond" w:cs="Garamond"/>
                <w:sz w:val="22"/>
                <w:szCs w:val="22"/>
              </w:rPr>
              <w:t>Las autoridades nacionales y territoriales promoverán el uso de los bienes y edificios públicos para la instalación y el despliegue de redes e infraestructura de telecomunicaciones, con la finalidad de fomentar el acceso de la población a los servicios públicos prestados sobre estas, entre ellos el servicio público esencial de acceso a Internet y, a su vez, en el marco de la autonomía de la que gozan para la gestión de sus intereses, procurarán la incorporación de reglas no discriminatorias en las condiciones que fijen frente a la instalación y el despliegue de redes e infraestructura de telecomunicaciones.</w:t>
            </w:r>
          </w:p>
        </w:tc>
        <w:tc>
          <w:tcPr>
            <w:tcW w:w="3261" w:type="dxa"/>
            <w:vAlign w:val="center"/>
          </w:tcPr>
          <w:p w14:paraId="78895513" w14:textId="77777777" w:rsidR="00FA14B0" w:rsidRDefault="004960D6">
            <w:pPr>
              <w:spacing w:after="120" w:line="276" w:lineRule="auto"/>
              <w:jc w:val="both"/>
              <w:rPr>
                <w:rFonts w:ascii="Garamond" w:eastAsia="Garamond" w:hAnsi="Garamond" w:cs="Garamond"/>
                <w:sz w:val="22"/>
                <w:szCs w:val="22"/>
              </w:rPr>
            </w:pPr>
            <w:r>
              <w:rPr>
                <w:rFonts w:ascii="Garamond" w:eastAsia="Garamond" w:hAnsi="Garamond" w:cs="Garamond"/>
                <w:b/>
                <w:sz w:val="22"/>
                <w:szCs w:val="22"/>
              </w:rPr>
              <w:t>ARTICULO 4.</w:t>
            </w:r>
            <w:r>
              <w:rPr>
                <w:rFonts w:ascii="Garamond" w:eastAsia="Garamond" w:hAnsi="Garamond" w:cs="Garamond"/>
                <w:sz w:val="22"/>
                <w:szCs w:val="22"/>
              </w:rPr>
              <w:t xml:space="preserve"> Adiciónese un inciso segundo al numeral 10 del artículo 2 de la Ley 1341 de 2009, el cual quedará así: </w:t>
            </w:r>
          </w:p>
          <w:p w14:paraId="4791BF59" w14:textId="77777777" w:rsidR="00FA14B0" w:rsidRDefault="004960D6">
            <w:pPr>
              <w:spacing w:after="120" w:line="276" w:lineRule="auto"/>
              <w:jc w:val="both"/>
              <w:rPr>
                <w:rFonts w:ascii="Garamond" w:eastAsia="Garamond" w:hAnsi="Garamond" w:cs="Garamond"/>
                <w:sz w:val="22"/>
                <w:szCs w:val="22"/>
              </w:rPr>
            </w:pPr>
            <w:r>
              <w:rPr>
                <w:rFonts w:ascii="Garamond" w:eastAsia="Garamond" w:hAnsi="Garamond" w:cs="Garamond"/>
                <w:sz w:val="22"/>
                <w:szCs w:val="22"/>
              </w:rPr>
              <w:t xml:space="preserve">10. Acceso a las TIC y despliegue de infraestructura. </w:t>
            </w:r>
          </w:p>
          <w:p w14:paraId="3D66A681" w14:textId="77777777" w:rsidR="00FA14B0" w:rsidRDefault="004960D6">
            <w:pPr>
              <w:spacing w:after="120" w:line="276" w:lineRule="auto"/>
              <w:jc w:val="both"/>
              <w:rPr>
                <w:rFonts w:ascii="Garamond" w:eastAsia="Garamond" w:hAnsi="Garamond" w:cs="Garamond"/>
                <w:sz w:val="22"/>
                <w:szCs w:val="22"/>
              </w:rPr>
            </w:pPr>
            <w:r>
              <w:rPr>
                <w:rFonts w:ascii="Garamond" w:eastAsia="Garamond" w:hAnsi="Garamond" w:cs="Garamond"/>
                <w:sz w:val="22"/>
                <w:szCs w:val="22"/>
              </w:rPr>
              <w:t xml:space="preserve">(…) </w:t>
            </w:r>
          </w:p>
          <w:p w14:paraId="260E6F4B" w14:textId="77777777" w:rsidR="00FA14B0" w:rsidRDefault="004960D6">
            <w:pPr>
              <w:spacing w:after="120" w:line="276" w:lineRule="auto"/>
              <w:jc w:val="both"/>
              <w:rPr>
                <w:rFonts w:ascii="Garamond" w:eastAsia="Garamond" w:hAnsi="Garamond" w:cs="Garamond"/>
                <w:sz w:val="22"/>
                <w:szCs w:val="22"/>
              </w:rPr>
            </w:pPr>
            <w:r>
              <w:rPr>
                <w:rFonts w:ascii="Garamond" w:eastAsia="Garamond" w:hAnsi="Garamond" w:cs="Garamond"/>
                <w:sz w:val="22"/>
                <w:szCs w:val="22"/>
              </w:rPr>
              <w:t>Las autoridades nacionales y territoriales promoverán el uso de los bienes y edificios públicos para la instalación y el despliegue de redes e infraestructura de telecomunicaciones, con la finalidad de fomentar el acceso de la población a los servicios públicos prestados sobre estas, entre ellos el servicio público esencial de acceso a Internet y, a su vez, en el marco de la autonomía de la que gozan para la gestión de sus intereses, procurarán la incorporación de reglas no discriminatorias en las condiciones que fijen frente a la instalación y el despliegue de redes e infraestructura de telecomunicaciones.</w:t>
            </w:r>
          </w:p>
        </w:tc>
        <w:tc>
          <w:tcPr>
            <w:tcW w:w="2551" w:type="dxa"/>
            <w:vAlign w:val="center"/>
          </w:tcPr>
          <w:p w14:paraId="12D04E37" w14:textId="77777777" w:rsidR="00FA14B0" w:rsidRDefault="004960D6">
            <w:pPr>
              <w:spacing w:before="280" w:after="120" w:line="276" w:lineRule="auto"/>
              <w:jc w:val="both"/>
              <w:rPr>
                <w:rFonts w:ascii="Garamond" w:eastAsia="Garamond" w:hAnsi="Garamond" w:cs="Garamond"/>
                <w:color w:val="000000"/>
                <w:sz w:val="22"/>
                <w:szCs w:val="22"/>
              </w:rPr>
            </w:pPr>
            <w:r>
              <w:rPr>
                <w:rFonts w:ascii="Garamond" w:eastAsia="Garamond" w:hAnsi="Garamond" w:cs="Garamond"/>
                <w:color w:val="000000"/>
                <w:sz w:val="22"/>
                <w:szCs w:val="22"/>
              </w:rPr>
              <w:t>Sin discrepancias.</w:t>
            </w:r>
          </w:p>
        </w:tc>
      </w:tr>
      <w:tr w:rsidR="00FA14B0" w14:paraId="29445994" w14:textId="77777777">
        <w:tc>
          <w:tcPr>
            <w:tcW w:w="3397" w:type="dxa"/>
            <w:vAlign w:val="center"/>
          </w:tcPr>
          <w:p w14:paraId="4FE236D2" w14:textId="77777777" w:rsidR="00FA14B0" w:rsidRDefault="004960D6">
            <w:pPr>
              <w:widowControl w:val="0"/>
              <w:pBdr>
                <w:top w:val="nil"/>
                <w:left w:val="nil"/>
                <w:bottom w:val="nil"/>
                <w:right w:val="nil"/>
                <w:between w:val="nil"/>
              </w:pBdr>
              <w:ind w:right="141"/>
              <w:jc w:val="both"/>
              <w:rPr>
                <w:rFonts w:ascii="Garamond" w:eastAsia="Garamond" w:hAnsi="Garamond" w:cs="Garamond"/>
                <w:color w:val="000000"/>
                <w:sz w:val="22"/>
                <w:szCs w:val="22"/>
              </w:rPr>
            </w:pPr>
            <w:r>
              <w:rPr>
                <w:rFonts w:ascii="Garamond" w:eastAsia="Garamond" w:hAnsi="Garamond" w:cs="Garamond"/>
                <w:b/>
                <w:color w:val="000000"/>
                <w:sz w:val="22"/>
                <w:szCs w:val="22"/>
              </w:rPr>
              <w:t>ARTÍCULO 5.</w:t>
            </w:r>
            <w:r>
              <w:rPr>
                <w:rFonts w:ascii="Garamond" w:eastAsia="Garamond" w:hAnsi="Garamond" w:cs="Garamond"/>
                <w:color w:val="000000"/>
                <w:sz w:val="22"/>
                <w:szCs w:val="22"/>
              </w:rPr>
              <w:t xml:space="preserve"> Adiciónese un numeral 12 al artículo 2 de la Ley 1341 de 2009, el cual quedará así: </w:t>
            </w:r>
          </w:p>
          <w:p w14:paraId="345DF29A" w14:textId="77777777" w:rsidR="00FA14B0" w:rsidRDefault="004960D6">
            <w:pPr>
              <w:widowControl w:val="0"/>
              <w:pBdr>
                <w:top w:val="nil"/>
                <w:left w:val="nil"/>
                <w:bottom w:val="nil"/>
                <w:right w:val="nil"/>
                <w:between w:val="nil"/>
              </w:pBdr>
              <w:ind w:right="141"/>
              <w:jc w:val="both"/>
              <w:rPr>
                <w:rFonts w:ascii="Garamond" w:eastAsia="Garamond" w:hAnsi="Garamond" w:cs="Garamond"/>
                <w:color w:val="000000"/>
                <w:sz w:val="22"/>
                <w:szCs w:val="22"/>
              </w:rPr>
            </w:pPr>
            <w:r>
              <w:rPr>
                <w:rFonts w:ascii="Garamond" w:eastAsia="Garamond" w:hAnsi="Garamond" w:cs="Garamond"/>
                <w:b/>
                <w:color w:val="000000"/>
                <w:sz w:val="22"/>
                <w:szCs w:val="22"/>
              </w:rPr>
              <w:t>Artículo 2. PRINCIPIOS ORIENTADORES.</w:t>
            </w:r>
            <w:r>
              <w:rPr>
                <w:rFonts w:ascii="Garamond" w:eastAsia="Garamond" w:hAnsi="Garamond" w:cs="Garamond"/>
                <w:color w:val="000000"/>
                <w:sz w:val="22"/>
                <w:szCs w:val="22"/>
              </w:rPr>
              <w:t xml:space="preserve"> La investigación, el fomento, la promoción y el desarrollo de las Tecnologías de la Información y las Comunicaciones son una política de Estado que involucra a todos los sectores y niveles de la </w:t>
            </w:r>
            <w:r>
              <w:rPr>
                <w:rFonts w:ascii="Garamond" w:eastAsia="Garamond" w:hAnsi="Garamond" w:cs="Garamond"/>
                <w:color w:val="000000"/>
                <w:sz w:val="22"/>
                <w:szCs w:val="22"/>
              </w:rPr>
              <w:lastRenderedPageBreak/>
              <w:t xml:space="preserve">administración pública y de la sociedad, para contribuir al desarrollo educativo, cultural, económico, social y político e incrementar la productividad, la competitividad, el respeto a los Derechos Humanos inherentes y la inclusión social. </w:t>
            </w:r>
          </w:p>
          <w:p w14:paraId="1330CF65" w14:textId="77777777" w:rsidR="00FA14B0" w:rsidRDefault="004960D6">
            <w:pPr>
              <w:widowControl w:val="0"/>
              <w:pBdr>
                <w:top w:val="nil"/>
                <w:left w:val="nil"/>
                <w:bottom w:val="nil"/>
                <w:right w:val="nil"/>
                <w:between w:val="nil"/>
              </w:pBdr>
              <w:ind w:right="141"/>
              <w:jc w:val="both"/>
              <w:rPr>
                <w:rFonts w:ascii="Garamond" w:eastAsia="Garamond" w:hAnsi="Garamond" w:cs="Garamond"/>
                <w:color w:val="000000"/>
                <w:sz w:val="22"/>
                <w:szCs w:val="22"/>
              </w:rPr>
            </w:pPr>
            <w:r>
              <w:rPr>
                <w:rFonts w:ascii="Garamond" w:eastAsia="Garamond" w:hAnsi="Garamond" w:cs="Garamond"/>
                <w:color w:val="000000"/>
                <w:sz w:val="22"/>
                <w:szCs w:val="22"/>
              </w:rPr>
              <w:t xml:space="preserve">Las Tecnologías de la Información y las Comunicaciones deben servir al interés general y es deber del Estado promover su acceso eficiente y en igualdad de oportunidades, a todos los habitantes del territorio nacional. </w:t>
            </w:r>
          </w:p>
          <w:p w14:paraId="52911A2D" w14:textId="77777777" w:rsidR="00FA14B0" w:rsidRDefault="004960D6">
            <w:pPr>
              <w:widowControl w:val="0"/>
              <w:pBdr>
                <w:top w:val="nil"/>
                <w:left w:val="nil"/>
                <w:bottom w:val="nil"/>
                <w:right w:val="nil"/>
                <w:between w:val="nil"/>
              </w:pBdr>
              <w:ind w:right="141"/>
              <w:jc w:val="both"/>
              <w:rPr>
                <w:rFonts w:ascii="Garamond" w:eastAsia="Garamond" w:hAnsi="Garamond" w:cs="Garamond"/>
                <w:color w:val="000000"/>
                <w:sz w:val="22"/>
                <w:szCs w:val="22"/>
              </w:rPr>
            </w:pPr>
            <w:r>
              <w:rPr>
                <w:rFonts w:ascii="Garamond" w:eastAsia="Garamond" w:hAnsi="Garamond" w:cs="Garamond"/>
                <w:color w:val="000000"/>
                <w:sz w:val="22"/>
                <w:szCs w:val="22"/>
              </w:rPr>
              <w:t xml:space="preserve">Son principios orientadores de la presente Ley (…) </w:t>
            </w:r>
          </w:p>
          <w:p w14:paraId="23A60AF0" w14:textId="77777777" w:rsidR="00FA14B0" w:rsidRDefault="004960D6">
            <w:pPr>
              <w:widowControl w:val="0"/>
              <w:pBdr>
                <w:top w:val="nil"/>
                <w:left w:val="nil"/>
                <w:bottom w:val="nil"/>
                <w:right w:val="nil"/>
                <w:between w:val="nil"/>
              </w:pBdr>
              <w:ind w:right="141"/>
              <w:jc w:val="both"/>
              <w:rPr>
                <w:rFonts w:ascii="Garamond" w:eastAsia="Garamond" w:hAnsi="Garamond" w:cs="Garamond"/>
                <w:color w:val="000000"/>
                <w:sz w:val="22"/>
                <w:szCs w:val="22"/>
              </w:rPr>
            </w:pPr>
            <w:r>
              <w:rPr>
                <w:rFonts w:ascii="Garamond" w:eastAsia="Garamond" w:hAnsi="Garamond" w:cs="Garamond"/>
                <w:b/>
                <w:color w:val="000000"/>
                <w:sz w:val="22"/>
                <w:szCs w:val="22"/>
              </w:rPr>
              <w:t>12. Promoción de la conectividad digital.</w:t>
            </w:r>
            <w:r>
              <w:rPr>
                <w:rFonts w:ascii="Garamond" w:eastAsia="Garamond" w:hAnsi="Garamond" w:cs="Garamond"/>
                <w:color w:val="000000"/>
                <w:sz w:val="22"/>
                <w:szCs w:val="22"/>
              </w:rPr>
              <w:t xml:space="preserve"> Se promoverá la conectividad digital a través de la inversión en el despliegue eficiente, sostenible y ordenado de redes e infraestructura de telecomunicaciones y de su uso compartido siempre que sea técnicamente viable.</w:t>
            </w:r>
          </w:p>
        </w:tc>
        <w:tc>
          <w:tcPr>
            <w:tcW w:w="3261" w:type="dxa"/>
            <w:vAlign w:val="center"/>
          </w:tcPr>
          <w:p w14:paraId="33FE63D1" w14:textId="77777777" w:rsidR="00FA14B0" w:rsidRDefault="00FA14B0">
            <w:pPr>
              <w:widowControl w:val="0"/>
              <w:pBdr>
                <w:top w:val="nil"/>
                <w:left w:val="nil"/>
                <w:bottom w:val="nil"/>
                <w:right w:val="nil"/>
                <w:between w:val="nil"/>
              </w:pBdr>
              <w:spacing w:after="120" w:line="276" w:lineRule="auto"/>
              <w:ind w:right="142"/>
              <w:jc w:val="both"/>
              <w:rPr>
                <w:rFonts w:ascii="Garamond" w:eastAsia="Garamond" w:hAnsi="Garamond" w:cs="Garamond"/>
                <w:color w:val="000000"/>
                <w:sz w:val="22"/>
                <w:szCs w:val="22"/>
                <w:u w:val="single"/>
              </w:rPr>
            </w:pPr>
          </w:p>
        </w:tc>
        <w:tc>
          <w:tcPr>
            <w:tcW w:w="2551" w:type="dxa"/>
            <w:vAlign w:val="center"/>
          </w:tcPr>
          <w:p w14:paraId="41481F78" w14:textId="77777777" w:rsidR="00FA14B0" w:rsidRDefault="004960D6">
            <w:pPr>
              <w:spacing w:after="120" w:line="276" w:lineRule="auto"/>
              <w:jc w:val="both"/>
              <w:rPr>
                <w:rFonts w:ascii="Garamond" w:eastAsia="Garamond" w:hAnsi="Garamond" w:cs="Garamond"/>
                <w:color w:val="000000"/>
                <w:sz w:val="22"/>
                <w:szCs w:val="22"/>
              </w:rPr>
            </w:pPr>
            <w:r>
              <w:rPr>
                <w:rFonts w:ascii="Garamond" w:eastAsia="Garamond" w:hAnsi="Garamond" w:cs="Garamond"/>
                <w:b/>
                <w:color w:val="000000"/>
                <w:sz w:val="22"/>
                <w:szCs w:val="22"/>
              </w:rPr>
              <w:t>Se acoge el texto de Cámara</w:t>
            </w:r>
            <w:r>
              <w:rPr>
                <w:rFonts w:ascii="Garamond" w:eastAsia="Garamond" w:hAnsi="Garamond" w:cs="Garamond"/>
                <w:color w:val="000000"/>
                <w:sz w:val="22"/>
                <w:szCs w:val="22"/>
              </w:rPr>
              <w:t>.</w:t>
            </w:r>
          </w:p>
          <w:p w14:paraId="06EC1092" w14:textId="77777777" w:rsidR="00FA14B0" w:rsidRDefault="004960D6">
            <w:pPr>
              <w:spacing w:before="280" w:after="120" w:line="276" w:lineRule="auto"/>
              <w:jc w:val="both"/>
              <w:rPr>
                <w:rFonts w:ascii="Garamond" w:eastAsia="Garamond" w:hAnsi="Garamond" w:cs="Garamond"/>
                <w:color w:val="000000"/>
                <w:sz w:val="22"/>
                <w:szCs w:val="22"/>
              </w:rPr>
            </w:pPr>
            <w:r>
              <w:rPr>
                <w:rFonts w:ascii="Garamond" w:eastAsia="Garamond" w:hAnsi="Garamond" w:cs="Garamond"/>
                <w:color w:val="000000"/>
                <w:sz w:val="22"/>
                <w:szCs w:val="22"/>
              </w:rPr>
              <w:t>El artículo adicionado en Cámara contribuye a los objetivos de la iniciativa.</w:t>
            </w:r>
          </w:p>
        </w:tc>
      </w:tr>
      <w:tr w:rsidR="00FA14B0" w14:paraId="4060A697" w14:textId="77777777">
        <w:tc>
          <w:tcPr>
            <w:tcW w:w="3397" w:type="dxa"/>
            <w:vAlign w:val="center"/>
          </w:tcPr>
          <w:p w14:paraId="3E2D4082" w14:textId="77777777" w:rsidR="00FA14B0" w:rsidRDefault="004960D6">
            <w:pPr>
              <w:widowControl w:val="0"/>
              <w:pBdr>
                <w:top w:val="nil"/>
                <w:left w:val="nil"/>
                <w:bottom w:val="nil"/>
                <w:right w:val="nil"/>
                <w:between w:val="nil"/>
              </w:pBdr>
              <w:ind w:right="124"/>
              <w:jc w:val="both"/>
              <w:rPr>
                <w:rFonts w:ascii="Garamond" w:eastAsia="Garamond" w:hAnsi="Garamond" w:cs="Garamond"/>
                <w:color w:val="000000"/>
                <w:sz w:val="22"/>
                <w:szCs w:val="22"/>
              </w:rPr>
            </w:pPr>
            <w:r>
              <w:rPr>
                <w:rFonts w:ascii="Garamond" w:eastAsia="Garamond" w:hAnsi="Garamond" w:cs="Garamond"/>
                <w:b/>
                <w:color w:val="000000"/>
                <w:sz w:val="22"/>
                <w:szCs w:val="22"/>
              </w:rPr>
              <w:t>ARTÍCULO 6.</w:t>
            </w:r>
            <w:r>
              <w:rPr>
                <w:rFonts w:ascii="Garamond" w:eastAsia="Garamond" w:hAnsi="Garamond" w:cs="Garamond"/>
                <w:color w:val="000000"/>
                <w:sz w:val="22"/>
                <w:szCs w:val="22"/>
              </w:rPr>
              <w:t xml:space="preserve"> </w:t>
            </w:r>
            <w:r>
              <w:rPr>
                <w:rFonts w:ascii="Garamond" w:eastAsia="Garamond" w:hAnsi="Garamond" w:cs="Garamond"/>
                <w:b/>
                <w:color w:val="000000"/>
                <w:sz w:val="22"/>
                <w:szCs w:val="22"/>
              </w:rPr>
              <w:t>Vigencia y derogatorias</w:t>
            </w:r>
            <w:r>
              <w:rPr>
                <w:rFonts w:ascii="Garamond" w:eastAsia="Garamond" w:hAnsi="Garamond" w:cs="Garamond"/>
                <w:color w:val="000000"/>
                <w:sz w:val="22"/>
                <w:szCs w:val="22"/>
              </w:rPr>
              <w:t>. La presente Ley rige a partir de su promulgación y deroga las disposiciones que le sean contrarias.</w:t>
            </w:r>
          </w:p>
        </w:tc>
        <w:tc>
          <w:tcPr>
            <w:tcW w:w="3261" w:type="dxa"/>
            <w:vAlign w:val="center"/>
          </w:tcPr>
          <w:p w14:paraId="6910887A" w14:textId="77777777" w:rsidR="00FA14B0" w:rsidRDefault="004960D6">
            <w:pPr>
              <w:widowControl w:val="0"/>
              <w:pBdr>
                <w:top w:val="nil"/>
                <w:left w:val="nil"/>
                <w:bottom w:val="nil"/>
                <w:right w:val="nil"/>
                <w:between w:val="nil"/>
              </w:pBdr>
              <w:spacing w:after="120" w:line="276" w:lineRule="auto"/>
              <w:ind w:right="125"/>
              <w:jc w:val="both"/>
              <w:rPr>
                <w:rFonts w:ascii="Garamond" w:eastAsia="Garamond" w:hAnsi="Garamond" w:cs="Garamond"/>
                <w:color w:val="000000"/>
                <w:sz w:val="22"/>
                <w:szCs w:val="22"/>
              </w:rPr>
            </w:pPr>
            <w:r>
              <w:rPr>
                <w:rFonts w:ascii="Garamond" w:eastAsia="Garamond" w:hAnsi="Garamond" w:cs="Garamond"/>
                <w:b/>
                <w:color w:val="000000"/>
                <w:sz w:val="22"/>
                <w:szCs w:val="22"/>
              </w:rPr>
              <w:t>ARTICULO 5. Vigencia y derogatorias.</w:t>
            </w:r>
            <w:r>
              <w:rPr>
                <w:rFonts w:ascii="Garamond" w:eastAsia="Garamond" w:hAnsi="Garamond" w:cs="Garamond"/>
                <w:color w:val="000000"/>
                <w:sz w:val="22"/>
                <w:szCs w:val="22"/>
              </w:rPr>
              <w:t xml:space="preserve"> La presente Ley rige a partir de su promulgación y deroga el artículo 7 de la Ley 1978 de 2019, el artículo 4 de la Ley 2108 de 2021 y las demás disposiciones que le sean contrarias.</w:t>
            </w:r>
          </w:p>
        </w:tc>
        <w:tc>
          <w:tcPr>
            <w:tcW w:w="2551" w:type="dxa"/>
            <w:vAlign w:val="center"/>
          </w:tcPr>
          <w:p w14:paraId="3A509493" w14:textId="77777777" w:rsidR="00FA14B0" w:rsidRDefault="004960D6">
            <w:pPr>
              <w:spacing w:after="120" w:line="276" w:lineRule="auto"/>
              <w:jc w:val="both"/>
              <w:rPr>
                <w:rFonts w:ascii="Garamond" w:eastAsia="Garamond" w:hAnsi="Garamond" w:cs="Garamond"/>
                <w:color w:val="000000"/>
                <w:sz w:val="22"/>
                <w:szCs w:val="22"/>
              </w:rPr>
            </w:pPr>
            <w:r>
              <w:rPr>
                <w:rFonts w:ascii="Garamond" w:eastAsia="Garamond" w:hAnsi="Garamond" w:cs="Garamond"/>
                <w:b/>
                <w:color w:val="000000"/>
                <w:sz w:val="22"/>
                <w:szCs w:val="22"/>
              </w:rPr>
              <w:t>Se acoge el texto de Cámara.</w:t>
            </w:r>
          </w:p>
        </w:tc>
      </w:tr>
    </w:tbl>
    <w:p w14:paraId="56E3CADE" w14:textId="77777777" w:rsidR="00FA14B0" w:rsidRDefault="00FA14B0">
      <w:pPr>
        <w:spacing w:after="0" w:line="240" w:lineRule="auto"/>
        <w:rPr>
          <w:rFonts w:ascii="Garamond" w:eastAsia="Garamond" w:hAnsi="Garamond" w:cs="Garamond"/>
          <w:b/>
          <w:sz w:val="24"/>
          <w:szCs w:val="24"/>
        </w:rPr>
      </w:pPr>
    </w:p>
    <w:p w14:paraId="7BEA8295" w14:textId="77777777" w:rsidR="00FA14B0" w:rsidRDefault="00FA14B0">
      <w:pPr>
        <w:spacing w:after="0" w:line="240" w:lineRule="auto"/>
        <w:jc w:val="center"/>
        <w:rPr>
          <w:rFonts w:ascii="Garamond" w:eastAsia="Garamond" w:hAnsi="Garamond" w:cs="Garamond"/>
          <w:b/>
          <w:sz w:val="24"/>
          <w:szCs w:val="24"/>
        </w:rPr>
      </w:pPr>
    </w:p>
    <w:p w14:paraId="6EA08975" w14:textId="77777777" w:rsidR="00FA14B0" w:rsidRDefault="004960D6">
      <w:pPr>
        <w:spacing w:after="0" w:line="240" w:lineRule="auto"/>
        <w:jc w:val="center"/>
        <w:rPr>
          <w:rFonts w:ascii="Garamond" w:eastAsia="Garamond" w:hAnsi="Garamond" w:cs="Garamond"/>
          <w:b/>
          <w:sz w:val="24"/>
          <w:szCs w:val="24"/>
        </w:rPr>
      </w:pPr>
      <w:r>
        <w:rPr>
          <w:rFonts w:ascii="Garamond" w:eastAsia="Garamond" w:hAnsi="Garamond" w:cs="Garamond"/>
          <w:b/>
          <w:sz w:val="24"/>
          <w:szCs w:val="24"/>
        </w:rPr>
        <w:t>PROPOSICIÓN</w:t>
      </w:r>
    </w:p>
    <w:p w14:paraId="1FC64D1C" w14:textId="77777777" w:rsidR="00FA14B0" w:rsidRDefault="004960D6">
      <w:pPr>
        <w:spacing w:before="280" w:after="120" w:line="276" w:lineRule="auto"/>
        <w:jc w:val="both"/>
        <w:rPr>
          <w:rFonts w:ascii="Garamond" w:eastAsia="Garamond" w:hAnsi="Garamond" w:cs="Garamond"/>
          <w:b/>
          <w:sz w:val="24"/>
          <w:szCs w:val="24"/>
        </w:rPr>
      </w:pPr>
      <w:r>
        <w:rPr>
          <w:rFonts w:ascii="Garamond" w:eastAsia="Garamond" w:hAnsi="Garamond" w:cs="Garamond"/>
          <w:sz w:val="24"/>
          <w:szCs w:val="24"/>
        </w:rPr>
        <w:t xml:space="preserve">De acuerdo con las consideraciones expuestas, solicitamos a los Honorables Congresistas de las Plenarias del Senado de la República y de la Cámara de Representantes, </w:t>
      </w:r>
      <w:r>
        <w:rPr>
          <w:rFonts w:ascii="Garamond" w:eastAsia="Garamond" w:hAnsi="Garamond" w:cs="Garamond"/>
          <w:b/>
          <w:sz w:val="24"/>
          <w:szCs w:val="24"/>
        </w:rPr>
        <w:t xml:space="preserve">aprobar el Informe de conciliación al PROYECTO DE LEY NÚMERO 341 DE 2023 CÁMARA – 121 DE 2022 SENADO </w:t>
      </w:r>
      <w:r>
        <w:rPr>
          <w:rFonts w:ascii="Garamond" w:eastAsia="Garamond" w:hAnsi="Garamond" w:cs="Garamond"/>
          <w:b/>
          <w:i/>
          <w:sz w:val="24"/>
          <w:szCs w:val="24"/>
        </w:rPr>
        <w:t>“Por la cual se declara de utilidad pública e interés social los proyectos y la ejecución de obras requeridas para el estudio, el tendido, construcción, instalación, ampliación, modificación, operación y mantenimiento de las redes para la provisión de servicios públicos de telecomunicaciones, se crea la servidumbre legal y se dictan otras disposiciones”.</w:t>
      </w:r>
    </w:p>
    <w:p w14:paraId="1588EB8A" w14:textId="77777777" w:rsidR="00FA14B0" w:rsidRDefault="004960D6">
      <w:pPr>
        <w:spacing w:before="280" w:after="120" w:line="276" w:lineRule="auto"/>
        <w:jc w:val="both"/>
        <w:rPr>
          <w:rFonts w:ascii="Garamond" w:eastAsia="Garamond" w:hAnsi="Garamond" w:cs="Garamond"/>
          <w:sz w:val="24"/>
          <w:szCs w:val="24"/>
        </w:rPr>
      </w:pPr>
      <w:r>
        <w:rPr>
          <w:rFonts w:ascii="Garamond" w:eastAsia="Garamond" w:hAnsi="Garamond" w:cs="Garamond"/>
          <w:sz w:val="24"/>
          <w:szCs w:val="24"/>
        </w:rPr>
        <w:t>De los Honorables Congresistas,</w:t>
      </w:r>
    </w:p>
    <w:tbl>
      <w:tblPr>
        <w:tblStyle w:val="a1"/>
        <w:tblW w:w="949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20"/>
        <w:gridCol w:w="4678"/>
      </w:tblGrid>
      <w:tr w:rsidR="00FA14B0" w14:paraId="2FDC8118" w14:textId="77777777">
        <w:tc>
          <w:tcPr>
            <w:tcW w:w="4820" w:type="dxa"/>
            <w:vAlign w:val="center"/>
          </w:tcPr>
          <w:p w14:paraId="40C0C1BC" w14:textId="77777777" w:rsidR="00FA14B0" w:rsidRDefault="00FA14B0">
            <w:pPr>
              <w:spacing w:line="276" w:lineRule="auto"/>
              <w:jc w:val="both"/>
              <w:rPr>
                <w:rFonts w:ascii="Garamond" w:eastAsia="Garamond" w:hAnsi="Garamond" w:cs="Garamond"/>
                <w:b/>
                <w:sz w:val="24"/>
                <w:szCs w:val="24"/>
              </w:rPr>
            </w:pPr>
          </w:p>
          <w:p w14:paraId="3DD51067" w14:textId="77777777" w:rsidR="00FA14B0" w:rsidRDefault="00FA14B0">
            <w:pPr>
              <w:spacing w:line="276" w:lineRule="auto"/>
              <w:jc w:val="both"/>
              <w:rPr>
                <w:rFonts w:ascii="Garamond" w:eastAsia="Garamond" w:hAnsi="Garamond" w:cs="Garamond"/>
                <w:b/>
                <w:sz w:val="24"/>
                <w:szCs w:val="24"/>
              </w:rPr>
            </w:pPr>
          </w:p>
          <w:p w14:paraId="31E327B8" w14:textId="77777777" w:rsidR="00FA14B0" w:rsidRDefault="00FA14B0">
            <w:pPr>
              <w:spacing w:line="276" w:lineRule="auto"/>
              <w:jc w:val="both"/>
              <w:rPr>
                <w:rFonts w:ascii="Garamond" w:eastAsia="Garamond" w:hAnsi="Garamond" w:cs="Garamond"/>
                <w:b/>
                <w:sz w:val="24"/>
                <w:szCs w:val="24"/>
              </w:rPr>
            </w:pPr>
          </w:p>
          <w:p w14:paraId="727791B0" w14:textId="77777777" w:rsidR="00FA14B0" w:rsidRDefault="004960D6">
            <w:pPr>
              <w:spacing w:line="276" w:lineRule="auto"/>
              <w:jc w:val="center"/>
              <w:rPr>
                <w:rFonts w:ascii="Garamond" w:eastAsia="Garamond" w:hAnsi="Garamond" w:cs="Garamond"/>
                <w:b/>
                <w:sz w:val="24"/>
                <w:szCs w:val="24"/>
              </w:rPr>
            </w:pPr>
            <w:r>
              <w:rPr>
                <w:rFonts w:ascii="Garamond" w:eastAsia="Garamond" w:hAnsi="Garamond" w:cs="Garamond"/>
                <w:b/>
                <w:sz w:val="24"/>
                <w:szCs w:val="24"/>
              </w:rPr>
              <w:t>JULIO ALBERTO ELÍAS VIDAL</w:t>
            </w:r>
          </w:p>
          <w:p w14:paraId="701CF097" w14:textId="77777777" w:rsidR="00FA14B0" w:rsidRDefault="004960D6">
            <w:pPr>
              <w:spacing w:line="276" w:lineRule="auto"/>
              <w:jc w:val="center"/>
              <w:rPr>
                <w:rFonts w:ascii="Garamond" w:eastAsia="Garamond" w:hAnsi="Garamond" w:cs="Garamond"/>
                <w:sz w:val="24"/>
                <w:szCs w:val="24"/>
              </w:rPr>
            </w:pPr>
            <w:r>
              <w:rPr>
                <w:rFonts w:ascii="Garamond" w:eastAsia="Garamond" w:hAnsi="Garamond" w:cs="Garamond"/>
                <w:sz w:val="24"/>
                <w:szCs w:val="24"/>
              </w:rPr>
              <w:t>Senador de la República</w:t>
            </w:r>
          </w:p>
          <w:p w14:paraId="2146C12D" w14:textId="77777777" w:rsidR="00FA14B0" w:rsidRDefault="004960D6">
            <w:pPr>
              <w:spacing w:after="120" w:line="276" w:lineRule="auto"/>
              <w:jc w:val="center"/>
              <w:rPr>
                <w:rFonts w:ascii="Garamond" w:eastAsia="Garamond" w:hAnsi="Garamond" w:cs="Garamond"/>
                <w:sz w:val="24"/>
                <w:szCs w:val="24"/>
              </w:rPr>
            </w:pPr>
            <w:r>
              <w:rPr>
                <w:rFonts w:ascii="Garamond" w:eastAsia="Garamond" w:hAnsi="Garamond" w:cs="Garamond"/>
                <w:sz w:val="24"/>
                <w:szCs w:val="24"/>
              </w:rPr>
              <w:t>Partido de la U</w:t>
            </w:r>
          </w:p>
        </w:tc>
        <w:tc>
          <w:tcPr>
            <w:tcW w:w="4678" w:type="dxa"/>
            <w:vAlign w:val="center"/>
          </w:tcPr>
          <w:p w14:paraId="326D999D" w14:textId="77777777" w:rsidR="00FA14B0" w:rsidRDefault="00FA14B0">
            <w:pPr>
              <w:spacing w:line="276" w:lineRule="auto"/>
              <w:jc w:val="both"/>
              <w:rPr>
                <w:rFonts w:ascii="Garamond" w:eastAsia="Garamond" w:hAnsi="Garamond" w:cs="Garamond"/>
                <w:b/>
                <w:sz w:val="24"/>
                <w:szCs w:val="24"/>
              </w:rPr>
            </w:pPr>
          </w:p>
          <w:p w14:paraId="31AAF3B4" w14:textId="77777777" w:rsidR="00FA14B0" w:rsidRDefault="00FA14B0">
            <w:pPr>
              <w:spacing w:line="276" w:lineRule="auto"/>
              <w:jc w:val="both"/>
              <w:rPr>
                <w:rFonts w:ascii="Garamond" w:eastAsia="Garamond" w:hAnsi="Garamond" w:cs="Garamond"/>
                <w:b/>
                <w:sz w:val="24"/>
                <w:szCs w:val="24"/>
              </w:rPr>
            </w:pPr>
          </w:p>
          <w:p w14:paraId="065407CD" w14:textId="77777777" w:rsidR="00FA14B0" w:rsidRDefault="00FA14B0">
            <w:pPr>
              <w:spacing w:line="276" w:lineRule="auto"/>
              <w:jc w:val="both"/>
              <w:rPr>
                <w:rFonts w:ascii="Garamond" w:eastAsia="Garamond" w:hAnsi="Garamond" w:cs="Garamond"/>
                <w:b/>
                <w:sz w:val="24"/>
                <w:szCs w:val="24"/>
              </w:rPr>
            </w:pPr>
          </w:p>
          <w:p w14:paraId="60BBFAEB" w14:textId="77777777" w:rsidR="00FA14B0" w:rsidRDefault="004960D6">
            <w:pPr>
              <w:spacing w:line="276" w:lineRule="auto"/>
              <w:jc w:val="center"/>
              <w:rPr>
                <w:rFonts w:ascii="Garamond" w:eastAsia="Garamond" w:hAnsi="Garamond" w:cs="Garamond"/>
                <w:b/>
                <w:sz w:val="24"/>
                <w:szCs w:val="24"/>
              </w:rPr>
            </w:pPr>
            <w:r>
              <w:rPr>
                <w:rFonts w:ascii="Garamond" w:eastAsia="Garamond" w:hAnsi="Garamond" w:cs="Garamond"/>
                <w:b/>
                <w:sz w:val="24"/>
                <w:szCs w:val="24"/>
              </w:rPr>
              <w:t>CIRO ANTONIO RODRÍGUEZ PINZÓN</w:t>
            </w:r>
          </w:p>
          <w:p w14:paraId="2695F319" w14:textId="77777777" w:rsidR="00FA14B0" w:rsidRDefault="004960D6">
            <w:pPr>
              <w:spacing w:line="276" w:lineRule="auto"/>
              <w:jc w:val="center"/>
              <w:rPr>
                <w:rFonts w:ascii="Garamond" w:eastAsia="Garamond" w:hAnsi="Garamond" w:cs="Garamond"/>
                <w:sz w:val="24"/>
                <w:szCs w:val="24"/>
              </w:rPr>
            </w:pPr>
            <w:r>
              <w:rPr>
                <w:rFonts w:ascii="Garamond" w:eastAsia="Garamond" w:hAnsi="Garamond" w:cs="Garamond"/>
                <w:sz w:val="24"/>
                <w:szCs w:val="24"/>
              </w:rPr>
              <w:t>Representante a la Cámara</w:t>
            </w:r>
          </w:p>
          <w:p w14:paraId="619BC4DF" w14:textId="77777777" w:rsidR="00FA14B0" w:rsidRDefault="004960D6">
            <w:pPr>
              <w:spacing w:after="120" w:line="276" w:lineRule="auto"/>
              <w:jc w:val="center"/>
              <w:rPr>
                <w:rFonts w:ascii="Garamond" w:eastAsia="Garamond" w:hAnsi="Garamond" w:cs="Garamond"/>
                <w:sz w:val="24"/>
                <w:szCs w:val="24"/>
              </w:rPr>
            </w:pPr>
            <w:r>
              <w:rPr>
                <w:rFonts w:ascii="Garamond" w:eastAsia="Garamond" w:hAnsi="Garamond" w:cs="Garamond"/>
                <w:sz w:val="24"/>
                <w:szCs w:val="24"/>
              </w:rPr>
              <w:t>Partido Conservador</w:t>
            </w:r>
          </w:p>
        </w:tc>
      </w:tr>
    </w:tbl>
    <w:p w14:paraId="395146A4" w14:textId="77777777" w:rsidR="00FA14B0" w:rsidRDefault="004960D6">
      <w:pPr>
        <w:spacing w:before="280" w:after="120" w:line="276" w:lineRule="auto"/>
        <w:jc w:val="center"/>
        <w:rPr>
          <w:rFonts w:ascii="Garamond" w:eastAsia="Garamond" w:hAnsi="Garamond" w:cs="Garamond"/>
          <w:b/>
          <w:sz w:val="24"/>
          <w:szCs w:val="24"/>
        </w:rPr>
      </w:pPr>
      <w:r>
        <w:rPr>
          <w:rFonts w:ascii="Garamond" w:eastAsia="Garamond" w:hAnsi="Garamond" w:cs="Garamond"/>
          <w:b/>
          <w:sz w:val="24"/>
          <w:szCs w:val="24"/>
        </w:rPr>
        <w:t xml:space="preserve">TEXTO CONCILIADO AL PROYECTO DE LEY NÚMERO 341 DE 2023 CÁMARA – 121 DE 2022 SENADO </w:t>
      </w:r>
    </w:p>
    <w:p w14:paraId="7E0FE202" w14:textId="77777777" w:rsidR="00FA14B0" w:rsidRDefault="004960D6">
      <w:pPr>
        <w:spacing w:before="280" w:after="120" w:line="276" w:lineRule="auto"/>
        <w:jc w:val="center"/>
        <w:rPr>
          <w:rFonts w:ascii="Garamond" w:eastAsia="Garamond" w:hAnsi="Garamond" w:cs="Garamond"/>
          <w:b/>
          <w:i/>
          <w:sz w:val="24"/>
          <w:szCs w:val="24"/>
        </w:rPr>
      </w:pPr>
      <w:r>
        <w:rPr>
          <w:rFonts w:ascii="Garamond" w:eastAsia="Garamond" w:hAnsi="Garamond" w:cs="Garamond"/>
          <w:b/>
          <w:i/>
          <w:sz w:val="24"/>
          <w:szCs w:val="24"/>
        </w:rPr>
        <w:t>“Por la cual se declara de utilidad pública e interés social los proyectos y la ejecución de obras requeridas para el estudio, el tendido, construcción, instalación, ampliación, modificación, operación y mantenimiento de las redes para la provisión de servicios públicos de telecomunicaciones, se crea la servidumbre legal y se dictan otras disposiciones”</w:t>
      </w:r>
    </w:p>
    <w:p w14:paraId="425E5E2A" w14:textId="77777777" w:rsidR="00FA14B0" w:rsidRDefault="004960D6">
      <w:pPr>
        <w:spacing w:before="280" w:after="120" w:line="276" w:lineRule="auto"/>
        <w:jc w:val="center"/>
        <w:rPr>
          <w:rFonts w:ascii="Garamond" w:eastAsia="Garamond" w:hAnsi="Garamond" w:cs="Garamond"/>
          <w:b/>
          <w:sz w:val="24"/>
          <w:szCs w:val="24"/>
        </w:rPr>
      </w:pPr>
      <w:r>
        <w:rPr>
          <w:rFonts w:ascii="Garamond" w:eastAsia="Garamond" w:hAnsi="Garamond" w:cs="Garamond"/>
          <w:b/>
          <w:sz w:val="24"/>
          <w:szCs w:val="24"/>
        </w:rPr>
        <w:t>EL CONGRESO DE LA REPÚBLICA</w:t>
      </w:r>
    </w:p>
    <w:p w14:paraId="394F396A" w14:textId="77777777" w:rsidR="00FA14B0" w:rsidRDefault="004960D6">
      <w:pPr>
        <w:spacing w:before="280" w:after="120" w:line="276" w:lineRule="auto"/>
        <w:jc w:val="center"/>
        <w:rPr>
          <w:rFonts w:ascii="Garamond" w:eastAsia="Garamond" w:hAnsi="Garamond" w:cs="Garamond"/>
          <w:b/>
          <w:sz w:val="24"/>
          <w:szCs w:val="24"/>
        </w:rPr>
      </w:pPr>
      <w:r>
        <w:rPr>
          <w:rFonts w:ascii="Garamond" w:eastAsia="Garamond" w:hAnsi="Garamond" w:cs="Garamond"/>
          <w:b/>
          <w:sz w:val="24"/>
          <w:szCs w:val="24"/>
        </w:rPr>
        <w:t>DECRETA:</w:t>
      </w:r>
    </w:p>
    <w:p w14:paraId="2F5A6E47" w14:textId="77777777" w:rsidR="00FA14B0" w:rsidRDefault="004960D6">
      <w:pPr>
        <w:spacing w:before="280" w:after="120" w:line="276" w:lineRule="auto"/>
        <w:jc w:val="both"/>
        <w:rPr>
          <w:rFonts w:ascii="Garamond" w:eastAsia="Garamond" w:hAnsi="Garamond" w:cs="Garamond"/>
          <w:sz w:val="24"/>
          <w:szCs w:val="24"/>
        </w:rPr>
      </w:pPr>
      <w:r>
        <w:rPr>
          <w:rFonts w:ascii="Garamond" w:eastAsia="Garamond" w:hAnsi="Garamond" w:cs="Garamond"/>
          <w:b/>
          <w:sz w:val="24"/>
          <w:szCs w:val="24"/>
        </w:rPr>
        <w:t xml:space="preserve">ARTICULO 1. OBJETO. </w:t>
      </w:r>
      <w:r>
        <w:rPr>
          <w:rFonts w:ascii="Garamond" w:eastAsia="Garamond" w:hAnsi="Garamond" w:cs="Garamond"/>
          <w:sz w:val="24"/>
          <w:szCs w:val="24"/>
        </w:rPr>
        <w:t xml:space="preserve">La presente ley tiene por objeto declarar la prestación de servicios públicos de telecomunicaciones como servicio de utilidad pública e interés social en busca de </w:t>
      </w:r>
      <w:r>
        <w:rPr>
          <w:rFonts w:ascii="Garamond" w:eastAsia="Garamond" w:hAnsi="Garamond" w:cs="Garamond"/>
          <w:sz w:val="24"/>
          <w:szCs w:val="24"/>
        </w:rPr>
        <w:lastRenderedPageBreak/>
        <w:t>facilitar el estudio, tendido, construcción y operación de redes y así avanzar en la mejora de la calidad del servicio, así como la ampliación de cobertura a territorios que no tienen acceso.</w:t>
      </w:r>
    </w:p>
    <w:p w14:paraId="3B455A4F" w14:textId="77777777" w:rsidR="00FA14B0" w:rsidRDefault="00FA14B0">
      <w:pPr>
        <w:widowControl w:val="0"/>
        <w:pBdr>
          <w:top w:val="nil"/>
          <w:left w:val="nil"/>
          <w:bottom w:val="nil"/>
          <w:right w:val="nil"/>
          <w:between w:val="nil"/>
        </w:pBdr>
        <w:spacing w:before="280" w:after="120" w:line="276" w:lineRule="auto"/>
        <w:ind w:right="136"/>
        <w:jc w:val="both"/>
        <w:rPr>
          <w:rFonts w:ascii="Garamond" w:eastAsia="Garamond" w:hAnsi="Garamond" w:cs="Garamond"/>
          <w:b/>
          <w:color w:val="000000"/>
          <w:sz w:val="22"/>
          <w:szCs w:val="22"/>
        </w:rPr>
      </w:pPr>
    </w:p>
    <w:p w14:paraId="6EA64B3C" w14:textId="77777777" w:rsidR="00FA14B0" w:rsidRDefault="004960D6">
      <w:pPr>
        <w:widowControl w:val="0"/>
        <w:pBdr>
          <w:top w:val="nil"/>
          <w:left w:val="nil"/>
          <w:bottom w:val="nil"/>
          <w:right w:val="nil"/>
          <w:between w:val="nil"/>
        </w:pBdr>
        <w:spacing w:before="280" w:after="120" w:line="276" w:lineRule="auto"/>
        <w:ind w:right="136"/>
        <w:jc w:val="both"/>
        <w:rPr>
          <w:rFonts w:ascii="Garamond" w:eastAsia="Garamond" w:hAnsi="Garamond" w:cs="Garamond"/>
          <w:color w:val="000000"/>
          <w:sz w:val="24"/>
          <w:szCs w:val="24"/>
        </w:rPr>
      </w:pPr>
      <w:r>
        <w:rPr>
          <w:rFonts w:ascii="Garamond" w:eastAsia="Garamond" w:hAnsi="Garamond" w:cs="Garamond"/>
          <w:b/>
          <w:color w:val="000000"/>
          <w:sz w:val="24"/>
          <w:szCs w:val="24"/>
        </w:rPr>
        <w:t>ARTÍCULO 2.</w:t>
      </w:r>
      <w:r>
        <w:rPr>
          <w:rFonts w:ascii="Garamond" w:eastAsia="Garamond" w:hAnsi="Garamond" w:cs="Garamond"/>
          <w:color w:val="000000"/>
          <w:sz w:val="24"/>
          <w:szCs w:val="24"/>
        </w:rPr>
        <w:t xml:space="preserve"> Modifíquese el artículo 10 de la Ley 1341 de 2009, el cual quedará así: </w:t>
      </w:r>
    </w:p>
    <w:p w14:paraId="7CA12206" w14:textId="77777777" w:rsidR="00FA14B0" w:rsidRDefault="004960D6">
      <w:pPr>
        <w:widowControl w:val="0"/>
        <w:pBdr>
          <w:top w:val="nil"/>
          <w:left w:val="nil"/>
          <w:bottom w:val="nil"/>
          <w:right w:val="nil"/>
          <w:between w:val="nil"/>
        </w:pBdr>
        <w:spacing w:before="280" w:after="120" w:line="276" w:lineRule="auto"/>
        <w:ind w:left="708" w:right="136"/>
        <w:jc w:val="both"/>
        <w:rPr>
          <w:rFonts w:ascii="Garamond" w:eastAsia="Garamond" w:hAnsi="Garamond" w:cs="Garamond"/>
          <w:color w:val="000000"/>
          <w:sz w:val="24"/>
          <w:szCs w:val="24"/>
        </w:rPr>
      </w:pPr>
      <w:r>
        <w:rPr>
          <w:rFonts w:ascii="Garamond" w:eastAsia="Garamond" w:hAnsi="Garamond" w:cs="Garamond"/>
          <w:b/>
          <w:color w:val="000000"/>
          <w:sz w:val="24"/>
          <w:szCs w:val="24"/>
        </w:rPr>
        <w:t>ARTÍCULO 10. HABILITACIÓN GENERAL.</w:t>
      </w:r>
      <w:r>
        <w:rPr>
          <w:rFonts w:ascii="Garamond" w:eastAsia="Garamond" w:hAnsi="Garamond" w:cs="Garamond"/>
          <w:color w:val="000000"/>
          <w:sz w:val="24"/>
          <w:szCs w:val="24"/>
        </w:rPr>
        <w:t xml:space="preserve"> A partir de la vigencia de la presente ley, la provisión de redes y servicios de telecomunicaciones, que es un servicio público bajo la titularidad del Estado, se habilita de manera general, y causará una contraprestación periódica a favor del Fondo Único de Tecnologías de la Información y las Comunicaciones. Esta habilitación comprende, a su vez, la autorización para la instalación, ampliación, modificación, operación y explotación de redes para la prestación de los servicios de telecomunicaciones, se suministren o no al público. La habilitación general a que hace referencia el presente artículo no incluye el derecho al uso del espectro radioeléctrico. </w:t>
      </w:r>
    </w:p>
    <w:p w14:paraId="4CA3294E" w14:textId="77777777" w:rsidR="00FA14B0" w:rsidRDefault="004960D6">
      <w:pPr>
        <w:widowControl w:val="0"/>
        <w:pBdr>
          <w:top w:val="nil"/>
          <w:left w:val="nil"/>
          <w:bottom w:val="nil"/>
          <w:right w:val="nil"/>
          <w:between w:val="nil"/>
        </w:pBdr>
        <w:spacing w:before="280" w:after="120" w:line="276" w:lineRule="auto"/>
        <w:ind w:left="708" w:right="136"/>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Declárese de utilidad pública y de interés social los proyectos y la ejecución de las obras requeridas para el estudio, tendido, construcción, instalación, ampliación, modificación, operación y mantenimiento de las redes para la provisión de los servicios públicos de telecomunicaciones de que trata la presente ley y demás normas que la modifiquen, adicionen o sustituyan. </w:t>
      </w:r>
    </w:p>
    <w:p w14:paraId="2A74692F" w14:textId="77777777" w:rsidR="00FA14B0" w:rsidRDefault="004960D6">
      <w:pPr>
        <w:widowControl w:val="0"/>
        <w:pBdr>
          <w:top w:val="nil"/>
          <w:left w:val="nil"/>
          <w:bottom w:val="nil"/>
          <w:right w:val="nil"/>
          <w:between w:val="nil"/>
        </w:pBdr>
        <w:spacing w:before="280" w:after="120" w:line="276" w:lineRule="auto"/>
        <w:ind w:left="708" w:right="136"/>
        <w:jc w:val="both"/>
        <w:rPr>
          <w:rFonts w:ascii="Garamond" w:eastAsia="Garamond" w:hAnsi="Garamond" w:cs="Garamond"/>
          <w:color w:val="000000"/>
          <w:sz w:val="24"/>
          <w:szCs w:val="24"/>
        </w:rPr>
      </w:pPr>
      <w:r>
        <w:rPr>
          <w:rFonts w:ascii="Garamond" w:eastAsia="Garamond" w:hAnsi="Garamond" w:cs="Garamond"/>
          <w:color w:val="000000"/>
          <w:sz w:val="24"/>
          <w:szCs w:val="24"/>
        </w:rPr>
        <w:t>Por lo anterior, a la provisión de redes y servicios de telecomunicaciones y a los proveedores de estos, les será aplicable lo previsto en los artículos 78, 79, 223 y 226 de la Ley 1801 de 2016 o las normas que modifiquen, adicionen o sustituyan las referidas disposiciones. Las autoridades nacionales, departamentales y municipales, tanto civiles como de policía, inmediatamente se lo solicite una empresa de servicios públicos, le prestarán su apoyo para hacer que se le restituyan los inmuebles que los particulares hayan ocupado contra la voluntad o sin conocimiento de la empresa; o para que cesen los actos que entorpezcan o amenacen perturbar, en cualquier tiempo, el ejercicio de sus derechos o la adecuada prestación de los servicios de telecomunicaciones.</w:t>
      </w:r>
    </w:p>
    <w:p w14:paraId="4EF3ED5D" w14:textId="77777777" w:rsidR="00FA14B0" w:rsidRDefault="004960D6">
      <w:pPr>
        <w:widowControl w:val="0"/>
        <w:pBdr>
          <w:top w:val="nil"/>
          <w:left w:val="nil"/>
          <w:bottom w:val="nil"/>
          <w:right w:val="nil"/>
          <w:between w:val="nil"/>
        </w:pBdr>
        <w:spacing w:before="280" w:after="120" w:line="276" w:lineRule="auto"/>
        <w:ind w:left="708" w:right="136"/>
        <w:jc w:val="both"/>
        <w:rPr>
          <w:rFonts w:ascii="Garamond" w:eastAsia="Garamond" w:hAnsi="Garamond" w:cs="Garamond"/>
          <w:color w:val="000000"/>
          <w:sz w:val="24"/>
          <w:szCs w:val="24"/>
        </w:rPr>
      </w:pPr>
      <w:r>
        <w:rPr>
          <w:rFonts w:ascii="Garamond" w:eastAsia="Garamond" w:hAnsi="Garamond" w:cs="Garamond"/>
          <w:b/>
          <w:color w:val="000000"/>
          <w:sz w:val="24"/>
          <w:szCs w:val="24"/>
        </w:rPr>
        <w:t>PARÁGRAFO 1o</w:t>
      </w:r>
      <w:r>
        <w:rPr>
          <w:rFonts w:ascii="Garamond" w:eastAsia="Garamond" w:hAnsi="Garamond" w:cs="Garamond"/>
          <w:color w:val="000000"/>
          <w:sz w:val="24"/>
          <w:szCs w:val="24"/>
        </w:rPr>
        <w:t xml:space="preserve">. En materia de habilitación, el servicio de radiodifusión sonora continuará rigiéndose por las disposiciones específicas de la presente ley. </w:t>
      </w:r>
    </w:p>
    <w:p w14:paraId="7EE5F8F3" w14:textId="77777777" w:rsidR="00FA14B0" w:rsidRDefault="004960D6">
      <w:pPr>
        <w:widowControl w:val="0"/>
        <w:pBdr>
          <w:top w:val="nil"/>
          <w:left w:val="nil"/>
          <w:bottom w:val="nil"/>
          <w:right w:val="nil"/>
          <w:between w:val="nil"/>
        </w:pBdr>
        <w:spacing w:before="280" w:after="120" w:line="276" w:lineRule="auto"/>
        <w:ind w:left="708" w:right="136"/>
        <w:jc w:val="both"/>
        <w:rPr>
          <w:rFonts w:ascii="Garamond" w:eastAsia="Garamond" w:hAnsi="Garamond" w:cs="Garamond"/>
          <w:color w:val="000000"/>
          <w:sz w:val="24"/>
          <w:szCs w:val="24"/>
        </w:rPr>
      </w:pPr>
      <w:r>
        <w:rPr>
          <w:rFonts w:ascii="Garamond" w:eastAsia="Garamond" w:hAnsi="Garamond" w:cs="Garamond"/>
          <w:b/>
          <w:color w:val="000000"/>
          <w:sz w:val="24"/>
          <w:szCs w:val="24"/>
        </w:rPr>
        <w:t>PARÁGRAFO 2o</w:t>
      </w:r>
      <w:r>
        <w:rPr>
          <w:rFonts w:ascii="Garamond" w:eastAsia="Garamond" w:hAnsi="Garamond" w:cs="Garamond"/>
          <w:color w:val="000000"/>
          <w:sz w:val="24"/>
          <w:szCs w:val="24"/>
        </w:rPr>
        <w:t xml:space="preserve">. En materia de habilitación, el servicio de televisión abierta radiodifundida continuará rigiéndose por las normas especiales pertinentes, en particular la Ley 182 de 1995, la Ley 335 de 1996, la Ley 680 de 2001, y demás normas que las modifiquen, adicionen o sustituyan. No obstante, los operadores del servicio de televisión </w:t>
      </w:r>
      <w:r>
        <w:rPr>
          <w:rFonts w:ascii="Garamond" w:eastAsia="Garamond" w:hAnsi="Garamond" w:cs="Garamond"/>
          <w:color w:val="000000"/>
          <w:sz w:val="24"/>
          <w:szCs w:val="24"/>
        </w:rPr>
        <w:lastRenderedPageBreak/>
        <w:t xml:space="preserve">abierta radiodifundida establecidos a la fecha de entrada en vigencia de la presente ley podrán acogerse al régimen de habilitación general, de conformidad con el régimen de transición que la ley disponga. </w:t>
      </w:r>
    </w:p>
    <w:p w14:paraId="578C7F42" w14:textId="77777777" w:rsidR="00FA14B0" w:rsidRDefault="004960D6">
      <w:pPr>
        <w:widowControl w:val="0"/>
        <w:pBdr>
          <w:top w:val="nil"/>
          <w:left w:val="nil"/>
          <w:bottom w:val="nil"/>
          <w:right w:val="nil"/>
          <w:between w:val="nil"/>
        </w:pBdr>
        <w:spacing w:before="280" w:after="120" w:line="276" w:lineRule="auto"/>
        <w:ind w:left="708" w:right="136"/>
        <w:jc w:val="both"/>
        <w:rPr>
          <w:rFonts w:ascii="Garamond" w:eastAsia="Garamond" w:hAnsi="Garamond" w:cs="Garamond"/>
          <w:color w:val="000000"/>
          <w:sz w:val="24"/>
          <w:szCs w:val="24"/>
        </w:rPr>
      </w:pPr>
      <w:r>
        <w:rPr>
          <w:rFonts w:ascii="Garamond" w:eastAsia="Garamond" w:hAnsi="Garamond" w:cs="Garamond"/>
          <w:b/>
          <w:color w:val="000000"/>
          <w:sz w:val="24"/>
          <w:szCs w:val="24"/>
        </w:rPr>
        <w:t>PARÁGRAFO 3o.</w:t>
      </w:r>
      <w:r>
        <w:rPr>
          <w:rFonts w:ascii="Garamond" w:eastAsia="Garamond" w:hAnsi="Garamond" w:cs="Garamond"/>
          <w:color w:val="000000"/>
          <w:sz w:val="24"/>
          <w:szCs w:val="24"/>
        </w:rPr>
        <w:t xml:space="preserve"> En materia del pago de la contraprestación los operadores públicos del servicio de televisión mantendrán las exenciones y excepciones que les sean aplicables a la fecha de entrada en vigencia de la presente ley. </w:t>
      </w:r>
    </w:p>
    <w:p w14:paraId="43FADFEB" w14:textId="77777777" w:rsidR="00FA14B0" w:rsidRDefault="004960D6">
      <w:pPr>
        <w:widowControl w:val="0"/>
        <w:pBdr>
          <w:top w:val="nil"/>
          <w:left w:val="nil"/>
          <w:bottom w:val="nil"/>
          <w:right w:val="nil"/>
          <w:between w:val="nil"/>
        </w:pBdr>
        <w:spacing w:before="280" w:after="120" w:line="276" w:lineRule="auto"/>
        <w:ind w:left="708" w:right="136"/>
        <w:jc w:val="both"/>
        <w:rPr>
          <w:rFonts w:ascii="Garamond" w:eastAsia="Garamond" w:hAnsi="Garamond" w:cs="Garamond"/>
          <w:color w:val="000000"/>
          <w:sz w:val="24"/>
          <w:szCs w:val="24"/>
        </w:rPr>
      </w:pPr>
      <w:r>
        <w:rPr>
          <w:rFonts w:ascii="Garamond" w:eastAsia="Garamond" w:hAnsi="Garamond" w:cs="Garamond"/>
          <w:b/>
          <w:color w:val="000000"/>
          <w:sz w:val="24"/>
          <w:szCs w:val="24"/>
        </w:rPr>
        <w:t>PARÁGRAFO 4o.</w:t>
      </w:r>
      <w:r>
        <w:rPr>
          <w:rFonts w:ascii="Garamond" w:eastAsia="Garamond" w:hAnsi="Garamond" w:cs="Garamond"/>
          <w:color w:val="000000"/>
          <w:sz w:val="24"/>
          <w:szCs w:val="24"/>
        </w:rPr>
        <w:t xml:space="preserve"> El acceso a Internet es un servicio público esencial. Por tanto, los proveedores de redes y servicios de telecomunicaciones no podrán suspender las labores de instalación, mantenimiento y adecuación de las redes requeridas para la operación de este servicio público esencial, y garantizarán la continua provisión del servicio. Lo anterior, sin perjuicio del cumplimiento de los deberes y obligaciones a cargo de los suscriptores y usuarios del servicio, conforme a la regulación de la Comisión de Regulación de Comunicaciones.</w:t>
      </w:r>
    </w:p>
    <w:p w14:paraId="0A6D0527" w14:textId="77777777" w:rsidR="00FA14B0" w:rsidRDefault="00FA14B0">
      <w:pPr>
        <w:spacing w:before="280" w:after="120" w:line="276" w:lineRule="auto"/>
        <w:jc w:val="both"/>
        <w:rPr>
          <w:rFonts w:ascii="Garamond" w:eastAsia="Garamond" w:hAnsi="Garamond" w:cs="Garamond"/>
          <w:b/>
          <w:sz w:val="24"/>
          <w:szCs w:val="24"/>
        </w:rPr>
      </w:pPr>
    </w:p>
    <w:p w14:paraId="136B6749" w14:textId="77777777" w:rsidR="00FA14B0" w:rsidRDefault="004960D6">
      <w:pPr>
        <w:spacing w:before="280" w:after="120" w:line="276" w:lineRule="auto"/>
        <w:jc w:val="both"/>
        <w:rPr>
          <w:rFonts w:ascii="Garamond" w:eastAsia="Garamond" w:hAnsi="Garamond" w:cs="Garamond"/>
          <w:sz w:val="24"/>
          <w:szCs w:val="24"/>
        </w:rPr>
      </w:pPr>
      <w:r>
        <w:rPr>
          <w:rFonts w:ascii="Garamond" w:eastAsia="Garamond" w:hAnsi="Garamond" w:cs="Garamond"/>
          <w:b/>
          <w:sz w:val="24"/>
          <w:szCs w:val="24"/>
        </w:rPr>
        <w:t>ARTÍCULO 3. PROCESOS DE SERVIDUMBRE PARA GARANTIZAR LA PRESTACIÓN DE LOS SERVICIOS DE TELECOMUNICACIONES.</w:t>
      </w:r>
      <w:r>
        <w:rPr>
          <w:rFonts w:ascii="Garamond" w:eastAsia="Garamond" w:hAnsi="Garamond" w:cs="Garamond"/>
          <w:sz w:val="24"/>
          <w:szCs w:val="24"/>
        </w:rPr>
        <w:t xml:space="preserve"> Los predios que se requieran para el paso de las redes de telecomunicaciones se encuentran gravados con servidumbre legal para el estudio, tendido, construcción, instalación, operación, mantenimiento y ampliación de este tipo de redes. </w:t>
      </w:r>
    </w:p>
    <w:p w14:paraId="1A662540" w14:textId="77777777" w:rsidR="00FA14B0" w:rsidRDefault="004960D6">
      <w:pPr>
        <w:spacing w:before="280" w:after="120" w:line="276" w:lineRule="auto"/>
        <w:jc w:val="both"/>
        <w:rPr>
          <w:rFonts w:ascii="Garamond" w:eastAsia="Garamond" w:hAnsi="Garamond" w:cs="Garamond"/>
          <w:sz w:val="24"/>
          <w:szCs w:val="24"/>
        </w:rPr>
      </w:pPr>
      <w:r>
        <w:rPr>
          <w:rFonts w:ascii="Garamond" w:eastAsia="Garamond" w:hAnsi="Garamond" w:cs="Garamond"/>
          <w:sz w:val="24"/>
          <w:szCs w:val="24"/>
        </w:rPr>
        <w:t xml:space="preserve">Para adelantar los procesos de servidumbre el proveedor de redes y servicios de telecomunicaciones o el proveedor de infraestructura pasiva deberá promover el proceso al que se refiere el Capítulo II del Título II de la Ley 56 de 1981, el artículo 376 de la Ley 1564 de 2012 y demás normas que las modifiquen, adicionen o sustituyan, cuando no sea posible el perfeccionamiento del contrato de constitución de servidumbre legal. </w:t>
      </w:r>
    </w:p>
    <w:p w14:paraId="5BAFD7E6" w14:textId="77777777" w:rsidR="00FA14B0" w:rsidRDefault="004960D6">
      <w:pPr>
        <w:widowControl w:val="0"/>
        <w:pBdr>
          <w:top w:val="nil"/>
          <w:left w:val="nil"/>
          <w:bottom w:val="nil"/>
          <w:right w:val="nil"/>
          <w:between w:val="nil"/>
        </w:pBdr>
        <w:spacing w:before="280" w:after="120" w:line="276" w:lineRule="auto"/>
        <w:jc w:val="both"/>
        <w:rPr>
          <w:rFonts w:ascii="Garamond" w:eastAsia="Garamond" w:hAnsi="Garamond" w:cs="Garamond"/>
          <w:sz w:val="24"/>
          <w:szCs w:val="24"/>
        </w:rPr>
      </w:pPr>
      <w:r>
        <w:rPr>
          <w:rFonts w:ascii="Garamond" w:eastAsia="Garamond" w:hAnsi="Garamond" w:cs="Garamond"/>
          <w:b/>
          <w:sz w:val="24"/>
          <w:szCs w:val="24"/>
        </w:rPr>
        <w:t>PARÁGRAFO</w:t>
      </w:r>
      <w:r>
        <w:rPr>
          <w:rFonts w:ascii="Garamond" w:eastAsia="Garamond" w:hAnsi="Garamond" w:cs="Garamond"/>
          <w:sz w:val="24"/>
          <w:szCs w:val="24"/>
        </w:rPr>
        <w:t>. En todo caso, en la provisión de redes y servicios de telecomunicaciones se respetarán los límites de exposición de las personas a campos electromagnéticos definidos por la Comisión Internacional de Protección de Radiación no Ionizante (ICNIRP) y la Unión Internacional de Telecomunicaciones (UIT) y que hayan sido adoptadas por el Gobierno Nacional.</w:t>
      </w:r>
    </w:p>
    <w:p w14:paraId="03FA6F9F" w14:textId="77777777" w:rsidR="00FA14B0" w:rsidRDefault="00FA14B0">
      <w:pPr>
        <w:widowControl w:val="0"/>
        <w:pBdr>
          <w:top w:val="nil"/>
          <w:left w:val="nil"/>
          <w:bottom w:val="nil"/>
          <w:right w:val="nil"/>
          <w:between w:val="nil"/>
        </w:pBdr>
        <w:spacing w:before="280" w:after="120" w:line="276" w:lineRule="auto"/>
        <w:jc w:val="both"/>
        <w:rPr>
          <w:rFonts w:ascii="Garamond" w:eastAsia="Garamond" w:hAnsi="Garamond" w:cs="Garamond"/>
          <w:sz w:val="24"/>
          <w:szCs w:val="24"/>
        </w:rPr>
      </w:pPr>
    </w:p>
    <w:p w14:paraId="3998CACE" w14:textId="77777777" w:rsidR="00FA14B0" w:rsidRDefault="004960D6">
      <w:pPr>
        <w:spacing w:after="120" w:line="276" w:lineRule="auto"/>
        <w:jc w:val="both"/>
        <w:rPr>
          <w:rFonts w:ascii="Garamond" w:eastAsia="Garamond" w:hAnsi="Garamond" w:cs="Garamond"/>
          <w:sz w:val="24"/>
          <w:szCs w:val="24"/>
        </w:rPr>
      </w:pPr>
      <w:r>
        <w:rPr>
          <w:rFonts w:ascii="Garamond" w:eastAsia="Garamond" w:hAnsi="Garamond" w:cs="Garamond"/>
          <w:b/>
          <w:sz w:val="24"/>
          <w:szCs w:val="24"/>
        </w:rPr>
        <w:t>ARTÍCULO 4.</w:t>
      </w:r>
      <w:r>
        <w:rPr>
          <w:rFonts w:ascii="Garamond" w:eastAsia="Garamond" w:hAnsi="Garamond" w:cs="Garamond"/>
          <w:sz w:val="24"/>
          <w:szCs w:val="24"/>
        </w:rPr>
        <w:t xml:space="preserve"> Adiciónese un inciso segundo al numeral 10 del artículo 2 de la Ley 1341 de 2009, el cual quedará así: </w:t>
      </w:r>
    </w:p>
    <w:p w14:paraId="35A90279" w14:textId="77777777" w:rsidR="00FA14B0" w:rsidRDefault="004960D6">
      <w:pPr>
        <w:spacing w:after="120" w:line="276" w:lineRule="auto"/>
        <w:ind w:left="708"/>
        <w:jc w:val="both"/>
        <w:rPr>
          <w:rFonts w:ascii="Garamond" w:eastAsia="Garamond" w:hAnsi="Garamond" w:cs="Garamond"/>
          <w:sz w:val="24"/>
          <w:szCs w:val="24"/>
        </w:rPr>
      </w:pPr>
      <w:r>
        <w:rPr>
          <w:rFonts w:ascii="Garamond" w:eastAsia="Garamond" w:hAnsi="Garamond" w:cs="Garamond"/>
          <w:sz w:val="24"/>
          <w:szCs w:val="24"/>
        </w:rPr>
        <w:t xml:space="preserve">10. Acceso a las TIC y despliegue de infraestructura. </w:t>
      </w:r>
    </w:p>
    <w:p w14:paraId="2FD0BA4B" w14:textId="77777777" w:rsidR="00FA14B0" w:rsidRDefault="004960D6">
      <w:pPr>
        <w:spacing w:after="120" w:line="276" w:lineRule="auto"/>
        <w:ind w:left="708"/>
        <w:jc w:val="both"/>
        <w:rPr>
          <w:rFonts w:ascii="Garamond" w:eastAsia="Garamond" w:hAnsi="Garamond" w:cs="Garamond"/>
          <w:sz w:val="24"/>
          <w:szCs w:val="24"/>
        </w:rPr>
      </w:pPr>
      <w:r>
        <w:rPr>
          <w:rFonts w:ascii="Garamond" w:eastAsia="Garamond" w:hAnsi="Garamond" w:cs="Garamond"/>
          <w:sz w:val="24"/>
          <w:szCs w:val="24"/>
        </w:rPr>
        <w:lastRenderedPageBreak/>
        <w:t>(...)</w:t>
      </w:r>
    </w:p>
    <w:p w14:paraId="75879D05" w14:textId="77777777" w:rsidR="00FA14B0" w:rsidRDefault="004960D6">
      <w:pPr>
        <w:widowControl w:val="0"/>
        <w:pBdr>
          <w:top w:val="nil"/>
          <w:left w:val="nil"/>
          <w:bottom w:val="nil"/>
          <w:right w:val="nil"/>
          <w:between w:val="nil"/>
        </w:pBdr>
        <w:spacing w:before="280" w:after="120" w:line="276" w:lineRule="auto"/>
        <w:ind w:left="708"/>
        <w:jc w:val="both"/>
        <w:rPr>
          <w:rFonts w:ascii="Garamond" w:eastAsia="Garamond" w:hAnsi="Garamond" w:cs="Garamond"/>
          <w:sz w:val="24"/>
          <w:szCs w:val="24"/>
        </w:rPr>
      </w:pPr>
      <w:r>
        <w:rPr>
          <w:rFonts w:ascii="Garamond" w:eastAsia="Garamond" w:hAnsi="Garamond" w:cs="Garamond"/>
          <w:sz w:val="24"/>
          <w:szCs w:val="24"/>
        </w:rPr>
        <w:t>Las autoridades nacionales y territoriales promoverán el uso de los bienes y edificios públicos para la instalación y el despliegue de redes e infraestructura de telecomunicaciones, con la finalidad de fomentar el acceso de la población a los servicios públicos prestados sobre estas, entre ellos el servicio público esencial de acceso a Internet y, a su vez, en el marco de la autonomía de la que gozan para la gestión de sus intereses, procurarán la incorporación de reglas no discriminatorias en las condiciones que fijen frente a la instalación y el despliegue de redes e infraestructura de telecomunicaciones.</w:t>
      </w:r>
    </w:p>
    <w:p w14:paraId="6E9FB77C" w14:textId="77777777" w:rsidR="00FA14B0" w:rsidRDefault="00FA14B0">
      <w:pPr>
        <w:widowControl w:val="0"/>
        <w:pBdr>
          <w:top w:val="nil"/>
          <w:left w:val="nil"/>
          <w:bottom w:val="nil"/>
          <w:right w:val="nil"/>
          <w:between w:val="nil"/>
        </w:pBdr>
        <w:spacing w:before="280" w:after="120" w:line="276" w:lineRule="auto"/>
        <w:jc w:val="both"/>
        <w:rPr>
          <w:rFonts w:ascii="Garamond" w:eastAsia="Garamond" w:hAnsi="Garamond" w:cs="Garamond"/>
          <w:sz w:val="22"/>
          <w:szCs w:val="22"/>
        </w:rPr>
      </w:pPr>
    </w:p>
    <w:p w14:paraId="004EF4D4" w14:textId="77777777" w:rsidR="00FA14B0" w:rsidRDefault="004960D6">
      <w:pPr>
        <w:widowControl w:val="0"/>
        <w:pBdr>
          <w:top w:val="nil"/>
          <w:left w:val="nil"/>
          <w:bottom w:val="nil"/>
          <w:right w:val="nil"/>
          <w:between w:val="nil"/>
        </w:pBdr>
        <w:spacing w:before="280" w:after="120" w:line="276" w:lineRule="auto"/>
        <w:jc w:val="both"/>
        <w:rPr>
          <w:rFonts w:ascii="Garamond" w:eastAsia="Garamond" w:hAnsi="Garamond" w:cs="Garamond"/>
          <w:sz w:val="24"/>
          <w:szCs w:val="24"/>
        </w:rPr>
      </w:pPr>
      <w:r>
        <w:rPr>
          <w:rFonts w:ascii="Garamond" w:eastAsia="Garamond" w:hAnsi="Garamond" w:cs="Garamond"/>
          <w:b/>
          <w:sz w:val="24"/>
          <w:szCs w:val="24"/>
        </w:rPr>
        <w:t>ARTÍCULO 5.</w:t>
      </w:r>
      <w:r>
        <w:rPr>
          <w:rFonts w:ascii="Garamond" w:eastAsia="Garamond" w:hAnsi="Garamond" w:cs="Garamond"/>
          <w:sz w:val="24"/>
          <w:szCs w:val="24"/>
        </w:rPr>
        <w:t xml:space="preserve"> Adiciónese un numeral 12 al artículo 2 de la Ley 1341 de 2009, el cual quedará así: </w:t>
      </w:r>
    </w:p>
    <w:p w14:paraId="70132854" w14:textId="77777777" w:rsidR="00FA14B0" w:rsidRDefault="004960D6">
      <w:pPr>
        <w:widowControl w:val="0"/>
        <w:pBdr>
          <w:top w:val="nil"/>
          <w:left w:val="nil"/>
          <w:bottom w:val="nil"/>
          <w:right w:val="nil"/>
          <w:between w:val="nil"/>
        </w:pBdr>
        <w:spacing w:before="280" w:after="120" w:line="276" w:lineRule="auto"/>
        <w:ind w:left="708"/>
        <w:jc w:val="both"/>
        <w:rPr>
          <w:rFonts w:ascii="Garamond" w:eastAsia="Garamond" w:hAnsi="Garamond" w:cs="Garamond"/>
          <w:sz w:val="24"/>
          <w:szCs w:val="24"/>
        </w:rPr>
      </w:pPr>
      <w:r>
        <w:rPr>
          <w:rFonts w:ascii="Garamond" w:eastAsia="Garamond" w:hAnsi="Garamond" w:cs="Garamond"/>
          <w:b/>
          <w:sz w:val="24"/>
          <w:szCs w:val="24"/>
        </w:rPr>
        <w:t>Artículo 2. PRINCIPIOS ORIENTADORES.</w:t>
      </w:r>
      <w:r>
        <w:rPr>
          <w:rFonts w:ascii="Garamond" w:eastAsia="Garamond" w:hAnsi="Garamond" w:cs="Garamond"/>
          <w:sz w:val="24"/>
          <w:szCs w:val="24"/>
        </w:rPr>
        <w:t xml:space="preserve"> La investigación, el fomento, la promoción y el desarrollo de las Tecnologías de la Información y las Comunicaciones son una política de Estado que involucra a todos los sectores y niveles de la administración pública y de la sociedad, para contribuir al desarrollo educativo, cultural, económico, social y político e incrementar la productividad, la competitividad, el respeto a los Derechos Humanos inherentes y la inclusión social. </w:t>
      </w:r>
    </w:p>
    <w:p w14:paraId="29FF0B04" w14:textId="77777777" w:rsidR="00FA14B0" w:rsidRDefault="004960D6">
      <w:pPr>
        <w:widowControl w:val="0"/>
        <w:pBdr>
          <w:top w:val="nil"/>
          <w:left w:val="nil"/>
          <w:bottom w:val="nil"/>
          <w:right w:val="nil"/>
          <w:between w:val="nil"/>
        </w:pBdr>
        <w:spacing w:before="280" w:after="120" w:line="276" w:lineRule="auto"/>
        <w:ind w:left="708"/>
        <w:jc w:val="both"/>
        <w:rPr>
          <w:rFonts w:ascii="Garamond" w:eastAsia="Garamond" w:hAnsi="Garamond" w:cs="Garamond"/>
          <w:sz w:val="24"/>
          <w:szCs w:val="24"/>
        </w:rPr>
      </w:pPr>
      <w:r>
        <w:rPr>
          <w:rFonts w:ascii="Garamond" w:eastAsia="Garamond" w:hAnsi="Garamond" w:cs="Garamond"/>
          <w:sz w:val="24"/>
          <w:szCs w:val="24"/>
        </w:rPr>
        <w:t xml:space="preserve">Las Tecnologías de la Información y las Comunicaciones deben servir al interés general y es deber del Estado promover su acceso eficiente y en igualdad de oportunidades, a todos los habitantes del territorio nacional. </w:t>
      </w:r>
    </w:p>
    <w:p w14:paraId="38565AEA" w14:textId="77777777" w:rsidR="00FA14B0" w:rsidRDefault="004960D6">
      <w:pPr>
        <w:widowControl w:val="0"/>
        <w:pBdr>
          <w:top w:val="nil"/>
          <w:left w:val="nil"/>
          <w:bottom w:val="nil"/>
          <w:right w:val="nil"/>
          <w:between w:val="nil"/>
        </w:pBdr>
        <w:spacing w:before="280" w:after="120" w:line="276" w:lineRule="auto"/>
        <w:ind w:left="708"/>
        <w:jc w:val="both"/>
        <w:rPr>
          <w:rFonts w:ascii="Garamond" w:eastAsia="Garamond" w:hAnsi="Garamond" w:cs="Garamond"/>
          <w:sz w:val="24"/>
          <w:szCs w:val="24"/>
        </w:rPr>
      </w:pPr>
      <w:r>
        <w:rPr>
          <w:rFonts w:ascii="Garamond" w:eastAsia="Garamond" w:hAnsi="Garamond" w:cs="Garamond"/>
          <w:sz w:val="24"/>
          <w:szCs w:val="24"/>
        </w:rPr>
        <w:t xml:space="preserve">Son principios orientadores de la presente Ley (…) </w:t>
      </w:r>
    </w:p>
    <w:p w14:paraId="63EAA144" w14:textId="77777777" w:rsidR="00FA14B0" w:rsidRDefault="004960D6">
      <w:pPr>
        <w:widowControl w:val="0"/>
        <w:pBdr>
          <w:top w:val="nil"/>
          <w:left w:val="nil"/>
          <w:bottom w:val="nil"/>
          <w:right w:val="nil"/>
          <w:between w:val="nil"/>
        </w:pBdr>
        <w:spacing w:before="280" w:after="120" w:line="276" w:lineRule="auto"/>
        <w:ind w:left="708"/>
        <w:jc w:val="both"/>
        <w:rPr>
          <w:rFonts w:ascii="Garamond" w:eastAsia="Garamond" w:hAnsi="Garamond" w:cs="Garamond"/>
          <w:sz w:val="24"/>
          <w:szCs w:val="24"/>
        </w:rPr>
      </w:pPr>
      <w:r>
        <w:rPr>
          <w:rFonts w:ascii="Garamond" w:eastAsia="Garamond" w:hAnsi="Garamond" w:cs="Garamond"/>
          <w:b/>
          <w:sz w:val="24"/>
          <w:szCs w:val="24"/>
        </w:rPr>
        <w:t>12. Promoción de la conectividad digital.</w:t>
      </w:r>
      <w:r>
        <w:rPr>
          <w:rFonts w:ascii="Garamond" w:eastAsia="Garamond" w:hAnsi="Garamond" w:cs="Garamond"/>
          <w:sz w:val="24"/>
          <w:szCs w:val="24"/>
        </w:rPr>
        <w:t xml:space="preserve"> Se promoverá la conectividad digital a través de la inversión en el despliegue eficiente, sostenible y ordenado de redes e infraestructura de telecomunicaciones y de su uso compartido siempre que sea técnicamente viable.</w:t>
      </w:r>
    </w:p>
    <w:p w14:paraId="3B399AE0" w14:textId="77777777" w:rsidR="00FA14B0" w:rsidRDefault="00FA14B0">
      <w:pPr>
        <w:widowControl w:val="0"/>
        <w:pBdr>
          <w:top w:val="nil"/>
          <w:left w:val="nil"/>
          <w:bottom w:val="nil"/>
          <w:right w:val="nil"/>
          <w:between w:val="nil"/>
        </w:pBdr>
        <w:spacing w:before="280" w:after="120" w:line="276" w:lineRule="auto"/>
        <w:jc w:val="both"/>
        <w:rPr>
          <w:rFonts w:ascii="Garamond" w:eastAsia="Garamond" w:hAnsi="Garamond" w:cs="Garamond"/>
          <w:sz w:val="24"/>
          <w:szCs w:val="24"/>
        </w:rPr>
      </w:pPr>
    </w:p>
    <w:p w14:paraId="2BF74FCE" w14:textId="77777777" w:rsidR="00FA14B0" w:rsidRDefault="004960D6">
      <w:pPr>
        <w:widowControl w:val="0"/>
        <w:pBdr>
          <w:top w:val="nil"/>
          <w:left w:val="nil"/>
          <w:bottom w:val="nil"/>
          <w:right w:val="nil"/>
          <w:between w:val="nil"/>
        </w:pBdr>
        <w:spacing w:before="280" w:after="120" w:line="276" w:lineRule="auto"/>
        <w:jc w:val="both"/>
        <w:rPr>
          <w:rFonts w:ascii="Garamond" w:eastAsia="Garamond" w:hAnsi="Garamond" w:cs="Garamond"/>
          <w:sz w:val="24"/>
          <w:szCs w:val="24"/>
        </w:rPr>
      </w:pPr>
      <w:r>
        <w:rPr>
          <w:rFonts w:ascii="Garamond" w:eastAsia="Garamond" w:hAnsi="Garamond" w:cs="Garamond"/>
          <w:b/>
          <w:sz w:val="24"/>
          <w:szCs w:val="24"/>
        </w:rPr>
        <w:t>ARTÍCULO 6.</w:t>
      </w:r>
      <w:r>
        <w:rPr>
          <w:rFonts w:ascii="Garamond" w:eastAsia="Garamond" w:hAnsi="Garamond" w:cs="Garamond"/>
          <w:sz w:val="24"/>
          <w:szCs w:val="24"/>
        </w:rPr>
        <w:t xml:space="preserve"> </w:t>
      </w:r>
      <w:r>
        <w:rPr>
          <w:rFonts w:ascii="Garamond" w:eastAsia="Garamond" w:hAnsi="Garamond" w:cs="Garamond"/>
          <w:b/>
          <w:sz w:val="24"/>
          <w:szCs w:val="24"/>
        </w:rPr>
        <w:t>Vigencia y derogatorias</w:t>
      </w:r>
      <w:r>
        <w:rPr>
          <w:rFonts w:ascii="Garamond" w:eastAsia="Garamond" w:hAnsi="Garamond" w:cs="Garamond"/>
          <w:sz w:val="24"/>
          <w:szCs w:val="24"/>
        </w:rPr>
        <w:t>. La presente Ley rige a partir de su promulgación y deroga las disposiciones que le sean contrarias.</w:t>
      </w:r>
    </w:p>
    <w:p w14:paraId="49BD4FCD" w14:textId="77777777" w:rsidR="00FA14B0" w:rsidRDefault="00FA14B0">
      <w:pPr>
        <w:widowControl w:val="0"/>
        <w:pBdr>
          <w:top w:val="nil"/>
          <w:left w:val="nil"/>
          <w:bottom w:val="nil"/>
          <w:right w:val="nil"/>
          <w:between w:val="nil"/>
        </w:pBdr>
        <w:spacing w:before="280" w:after="120" w:line="276" w:lineRule="auto"/>
        <w:jc w:val="both"/>
        <w:rPr>
          <w:rFonts w:ascii="Garamond" w:eastAsia="Garamond" w:hAnsi="Garamond" w:cs="Garamond"/>
          <w:color w:val="000000"/>
          <w:sz w:val="24"/>
          <w:szCs w:val="24"/>
        </w:rPr>
      </w:pPr>
    </w:p>
    <w:p w14:paraId="7EAB4DA0" w14:textId="77777777" w:rsidR="00FA14B0" w:rsidRDefault="004960D6">
      <w:pPr>
        <w:spacing w:before="280" w:after="120" w:line="276" w:lineRule="auto"/>
        <w:jc w:val="both"/>
        <w:rPr>
          <w:rFonts w:ascii="Garamond" w:eastAsia="Garamond" w:hAnsi="Garamond" w:cs="Garamond"/>
          <w:sz w:val="24"/>
          <w:szCs w:val="24"/>
        </w:rPr>
      </w:pPr>
      <w:r>
        <w:rPr>
          <w:rFonts w:ascii="Garamond" w:eastAsia="Garamond" w:hAnsi="Garamond" w:cs="Garamond"/>
          <w:sz w:val="24"/>
          <w:szCs w:val="24"/>
        </w:rPr>
        <w:t>De los Honorables Congresistas,</w:t>
      </w:r>
    </w:p>
    <w:tbl>
      <w:tblPr>
        <w:tblStyle w:val="a2"/>
        <w:tblW w:w="911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20"/>
        <w:gridCol w:w="4293"/>
      </w:tblGrid>
      <w:tr w:rsidR="00FA14B0" w14:paraId="42968D1F" w14:textId="77777777">
        <w:tc>
          <w:tcPr>
            <w:tcW w:w="4820" w:type="dxa"/>
            <w:vAlign w:val="center"/>
          </w:tcPr>
          <w:p w14:paraId="0CCDF162" w14:textId="77777777" w:rsidR="00FA14B0" w:rsidRDefault="00FA14B0">
            <w:pPr>
              <w:spacing w:line="276" w:lineRule="auto"/>
              <w:jc w:val="both"/>
              <w:rPr>
                <w:rFonts w:ascii="Garamond" w:eastAsia="Garamond" w:hAnsi="Garamond" w:cs="Garamond"/>
                <w:b/>
                <w:sz w:val="24"/>
                <w:szCs w:val="24"/>
              </w:rPr>
            </w:pPr>
          </w:p>
          <w:p w14:paraId="53B1F2A0" w14:textId="77777777" w:rsidR="00FA14B0" w:rsidRDefault="00FA14B0">
            <w:pPr>
              <w:spacing w:line="276" w:lineRule="auto"/>
              <w:jc w:val="both"/>
              <w:rPr>
                <w:rFonts w:ascii="Garamond" w:eastAsia="Garamond" w:hAnsi="Garamond" w:cs="Garamond"/>
                <w:b/>
                <w:sz w:val="24"/>
                <w:szCs w:val="24"/>
              </w:rPr>
            </w:pPr>
          </w:p>
          <w:p w14:paraId="6CB5BC8A" w14:textId="77777777" w:rsidR="00FA14B0" w:rsidRDefault="00FA14B0">
            <w:pPr>
              <w:spacing w:line="276" w:lineRule="auto"/>
              <w:jc w:val="both"/>
              <w:rPr>
                <w:rFonts w:ascii="Garamond" w:eastAsia="Garamond" w:hAnsi="Garamond" w:cs="Garamond"/>
                <w:b/>
                <w:sz w:val="24"/>
                <w:szCs w:val="24"/>
              </w:rPr>
            </w:pPr>
          </w:p>
          <w:p w14:paraId="130EE0DD" w14:textId="77777777" w:rsidR="00FA14B0" w:rsidRDefault="00FA14B0">
            <w:pPr>
              <w:spacing w:line="276" w:lineRule="auto"/>
              <w:jc w:val="both"/>
              <w:rPr>
                <w:rFonts w:ascii="Garamond" w:eastAsia="Garamond" w:hAnsi="Garamond" w:cs="Garamond"/>
                <w:b/>
                <w:sz w:val="24"/>
                <w:szCs w:val="24"/>
              </w:rPr>
            </w:pPr>
          </w:p>
          <w:p w14:paraId="3CD532F6" w14:textId="77777777" w:rsidR="00FA14B0" w:rsidRDefault="00FA14B0">
            <w:pPr>
              <w:spacing w:line="276" w:lineRule="auto"/>
              <w:jc w:val="both"/>
              <w:rPr>
                <w:rFonts w:ascii="Garamond" w:eastAsia="Garamond" w:hAnsi="Garamond" w:cs="Garamond"/>
                <w:b/>
                <w:sz w:val="24"/>
                <w:szCs w:val="24"/>
              </w:rPr>
            </w:pPr>
          </w:p>
          <w:p w14:paraId="5A10D571" w14:textId="77777777" w:rsidR="00FA14B0" w:rsidRDefault="004960D6">
            <w:pPr>
              <w:spacing w:line="276" w:lineRule="auto"/>
              <w:jc w:val="center"/>
              <w:rPr>
                <w:rFonts w:ascii="Garamond" w:eastAsia="Garamond" w:hAnsi="Garamond" w:cs="Garamond"/>
                <w:b/>
                <w:sz w:val="24"/>
                <w:szCs w:val="24"/>
              </w:rPr>
            </w:pPr>
            <w:r>
              <w:rPr>
                <w:rFonts w:ascii="Garamond" w:eastAsia="Garamond" w:hAnsi="Garamond" w:cs="Garamond"/>
                <w:b/>
                <w:sz w:val="24"/>
                <w:szCs w:val="24"/>
              </w:rPr>
              <w:t>JULIO ALBERTO ELÍAS VIDAL</w:t>
            </w:r>
          </w:p>
          <w:p w14:paraId="52D9343B" w14:textId="77777777" w:rsidR="00FA14B0" w:rsidRDefault="004960D6">
            <w:pPr>
              <w:spacing w:line="276" w:lineRule="auto"/>
              <w:jc w:val="center"/>
              <w:rPr>
                <w:rFonts w:ascii="Garamond" w:eastAsia="Garamond" w:hAnsi="Garamond" w:cs="Garamond"/>
                <w:sz w:val="24"/>
                <w:szCs w:val="24"/>
              </w:rPr>
            </w:pPr>
            <w:r>
              <w:rPr>
                <w:rFonts w:ascii="Garamond" w:eastAsia="Garamond" w:hAnsi="Garamond" w:cs="Garamond"/>
                <w:sz w:val="24"/>
                <w:szCs w:val="24"/>
              </w:rPr>
              <w:t>Senador de la República</w:t>
            </w:r>
          </w:p>
          <w:p w14:paraId="71B58FA6" w14:textId="77777777" w:rsidR="00FA14B0" w:rsidRDefault="004960D6">
            <w:pPr>
              <w:spacing w:after="120" w:line="276" w:lineRule="auto"/>
              <w:jc w:val="center"/>
              <w:rPr>
                <w:rFonts w:ascii="Garamond" w:eastAsia="Garamond" w:hAnsi="Garamond" w:cs="Garamond"/>
                <w:sz w:val="24"/>
                <w:szCs w:val="24"/>
              </w:rPr>
            </w:pPr>
            <w:r>
              <w:rPr>
                <w:rFonts w:ascii="Garamond" w:eastAsia="Garamond" w:hAnsi="Garamond" w:cs="Garamond"/>
                <w:sz w:val="24"/>
                <w:szCs w:val="24"/>
              </w:rPr>
              <w:t>Partido de la U</w:t>
            </w:r>
          </w:p>
        </w:tc>
        <w:tc>
          <w:tcPr>
            <w:tcW w:w="4293" w:type="dxa"/>
            <w:vAlign w:val="center"/>
          </w:tcPr>
          <w:p w14:paraId="5D54D9CD" w14:textId="77777777" w:rsidR="00FA14B0" w:rsidRDefault="00FA14B0">
            <w:pPr>
              <w:spacing w:line="276" w:lineRule="auto"/>
              <w:jc w:val="both"/>
              <w:rPr>
                <w:rFonts w:ascii="Garamond" w:eastAsia="Garamond" w:hAnsi="Garamond" w:cs="Garamond"/>
                <w:b/>
                <w:sz w:val="24"/>
                <w:szCs w:val="24"/>
              </w:rPr>
            </w:pPr>
          </w:p>
          <w:p w14:paraId="1B34691D" w14:textId="77777777" w:rsidR="00FA14B0" w:rsidRDefault="00FA14B0">
            <w:pPr>
              <w:spacing w:line="276" w:lineRule="auto"/>
              <w:jc w:val="both"/>
              <w:rPr>
                <w:rFonts w:ascii="Garamond" w:eastAsia="Garamond" w:hAnsi="Garamond" w:cs="Garamond"/>
                <w:b/>
                <w:sz w:val="24"/>
                <w:szCs w:val="24"/>
              </w:rPr>
            </w:pPr>
          </w:p>
          <w:p w14:paraId="44B136A1" w14:textId="77777777" w:rsidR="00FA14B0" w:rsidRDefault="00FA14B0">
            <w:pPr>
              <w:spacing w:line="276" w:lineRule="auto"/>
              <w:jc w:val="both"/>
              <w:rPr>
                <w:rFonts w:ascii="Garamond" w:eastAsia="Garamond" w:hAnsi="Garamond" w:cs="Garamond"/>
                <w:b/>
                <w:sz w:val="24"/>
                <w:szCs w:val="24"/>
              </w:rPr>
            </w:pPr>
          </w:p>
          <w:p w14:paraId="5D89A810" w14:textId="77777777" w:rsidR="00FA14B0" w:rsidRDefault="00FA14B0">
            <w:pPr>
              <w:spacing w:line="276" w:lineRule="auto"/>
              <w:jc w:val="both"/>
              <w:rPr>
                <w:rFonts w:ascii="Garamond" w:eastAsia="Garamond" w:hAnsi="Garamond" w:cs="Garamond"/>
                <w:b/>
                <w:sz w:val="24"/>
                <w:szCs w:val="24"/>
              </w:rPr>
            </w:pPr>
          </w:p>
          <w:p w14:paraId="05014508" w14:textId="77777777" w:rsidR="00FA14B0" w:rsidRDefault="00FA14B0">
            <w:pPr>
              <w:spacing w:line="276" w:lineRule="auto"/>
              <w:jc w:val="both"/>
              <w:rPr>
                <w:rFonts w:ascii="Garamond" w:eastAsia="Garamond" w:hAnsi="Garamond" w:cs="Garamond"/>
                <w:b/>
                <w:sz w:val="24"/>
                <w:szCs w:val="24"/>
              </w:rPr>
            </w:pPr>
          </w:p>
          <w:p w14:paraId="1CC207DE" w14:textId="77777777" w:rsidR="00FA14B0" w:rsidRDefault="004960D6">
            <w:pPr>
              <w:spacing w:line="276" w:lineRule="auto"/>
              <w:jc w:val="center"/>
              <w:rPr>
                <w:rFonts w:ascii="Garamond" w:eastAsia="Garamond" w:hAnsi="Garamond" w:cs="Garamond"/>
                <w:b/>
                <w:sz w:val="24"/>
                <w:szCs w:val="24"/>
              </w:rPr>
            </w:pPr>
            <w:r>
              <w:rPr>
                <w:rFonts w:ascii="Garamond" w:eastAsia="Garamond" w:hAnsi="Garamond" w:cs="Garamond"/>
                <w:b/>
                <w:sz w:val="24"/>
                <w:szCs w:val="24"/>
              </w:rPr>
              <w:t>CIRO ANTONIO RODRÍGUEZ PINZÓN</w:t>
            </w:r>
          </w:p>
          <w:p w14:paraId="5AB49FD2" w14:textId="77777777" w:rsidR="00FA14B0" w:rsidRDefault="004960D6">
            <w:pPr>
              <w:spacing w:line="276" w:lineRule="auto"/>
              <w:jc w:val="center"/>
              <w:rPr>
                <w:rFonts w:ascii="Garamond" w:eastAsia="Garamond" w:hAnsi="Garamond" w:cs="Garamond"/>
                <w:sz w:val="24"/>
                <w:szCs w:val="24"/>
              </w:rPr>
            </w:pPr>
            <w:r>
              <w:rPr>
                <w:rFonts w:ascii="Garamond" w:eastAsia="Garamond" w:hAnsi="Garamond" w:cs="Garamond"/>
                <w:sz w:val="24"/>
                <w:szCs w:val="24"/>
              </w:rPr>
              <w:t>Representante a la Cámara</w:t>
            </w:r>
          </w:p>
          <w:p w14:paraId="5E6422C3" w14:textId="77777777" w:rsidR="00FA14B0" w:rsidRDefault="004960D6">
            <w:pPr>
              <w:spacing w:after="120" w:line="276" w:lineRule="auto"/>
              <w:jc w:val="center"/>
              <w:rPr>
                <w:rFonts w:ascii="Garamond" w:eastAsia="Garamond" w:hAnsi="Garamond" w:cs="Garamond"/>
                <w:sz w:val="24"/>
                <w:szCs w:val="24"/>
              </w:rPr>
            </w:pPr>
            <w:r>
              <w:rPr>
                <w:rFonts w:ascii="Garamond" w:eastAsia="Garamond" w:hAnsi="Garamond" w:cs="Garamond"/>
                <w:sz w:val="24"/>
                <w:szCs w:val="24"/>
              </w:rPr>
              <w:t>Partido Conservador</w:t>
            </w:r>
          </w:p>
        </w:tc>
      </w:tr>
    </w:tbl>
    <w:p w14:paraId="24B0C8E3" w14:textId="77777777" w:rsidR="00FA14B0" w:rsidRDefault="00FA14B0">
      <w:pPr>
        <w:spacing w:before="280" w:after="120" w:line="276" w:lineRule="auto"/>
        <w:jc w:val="both"/>
        <w:rPr>
          <w:rFonts w:ascii="Garamond" w:eastAsia="Garamond" w:hAnsi="Garamond" w:cs="Garamond"/>
          <w:sz w:val="24"/>
          <w:szCs w:val="24"/>
        </w:rPr>
      </w:pPr>
    </w:p>
    <w:p w14:paraId="2D177226" w14:textId="77777777" w:rsidR="00FA14B0" w:rsidRDefault="00FA14B0"/>
    <w:sectPr w:rsidR="00FA14B0">
      <w:headerReference w:type="default" r:id="rId8"/>
      <w:footerReference w:type="default" r:id="rId9"/>
      <w:pgSz w:w="12240" w:h="15840"/>
      <w:pgMar w:top="1418" w:right="1418" w:bottom="1418" w:left="1701" w:header="39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27B56E" w14:textId="77777777" w:rsidR="004B3E71" w:rsidRDefault="004B3E71">
      <w:pPr>
        <w:spacing w:after="0" w:line="240" w:lineRule="auto"/>
      </w:pPr>
      <w:r>
        <w:separator/>
      </w:r>
    </w:p>
  </w:endnote>
  <w:endnote w:type="continuationSeparator" w:id="0">
    <w:p w14:paraId="2E2DF1E7" w14:textId="77777777" w:rsidR="004B3E71" w:rsidRDefault="004B3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B8599EB1-175D-4E12-8685-BCABB9165A67}"/>
    <w:embedItalic r:id="rId2" w:fontKey="{325974D1-B45C-499E-9010-5C68992A5E65}"/>
  </w:font>
  <w:font w:name="Aptos Display">
    <w:altName w:val="Arial"/>
    <w:charset w:val="00"/>
    <w:family w:val="swiss"/>
    <w:pitch w:val="variable"/>
    <w:sig w:usb0="20000287" w:usb1="00000003" w:usb2="00000000" w:usb3="00000000" w:csb0="0000019F" w:csb1="00000000"/>
    <w:embedRegular r:id="rId3" w:fontKey="{E8E8D520-E9CB-4F2B-831E-54A86AC5E556}"/>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4" w:fontKey="{1B6D6960-4A5A-4288-9C5B-16F4449F2D61}"/>
    <w:embedBold r:id="rId5" w:fontKey="{79BCA581-942D-454A-A376-FD6D78FC65D4}"/>
    <w:embedItalic r:id="rId6" w:fontKey="{EA10B0D4-9FA2-49D8-9729-B61F75CF7F47}"/>
    <w:embedBoldItalic r:id="rId7" w:fontKey="{F86A7AF1-B675-406C-9350-13F30E178B21}"/>
  </w:font>
  <w:font w:name="Gill Sans">
    <w:altName w:val="Arial"/>
    <w:charset w:val="00"/>
    <w:family w:val="auto"/>
    <w:pitch w:val="default"/>
    <w:embedRegular r:id="rId8" w:fontKey="{624A2BC2-3E4C-4744-B1E3-BA3149AA8F89}"/>
  </w:font>
  <w:font w:name="Aptos">
    <w:altName w:val="Arial"/>
    <w:charset w:val="00"/>
    <w:family w:val="swiss"/>
    <w:pitch w:val="variable"/>
    <w:sig w:usb0="20000287" w:usb1="00000003" w:usb2="00000000" w:usb3="00000000" w:csb0="0000019F" w:csb1="00000000"/>
    <w:embedRegular r:id="rId9" w:fontKey="{599CF32D-F2FE-4551-893F-60DD621174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BD3FF" w14:textId="54492024" w:rsidR="00FA14B0" w:rsidRDefault="004960D6">
    <w:pPr>
      <w:pBdr>
        <w:top w:val="nil"/>
        <w:left w:val="nil"/>
        <w:bottom w:val="nil"/>
        <w:right w:val="nil"/>
        <w:between w:val="nil"/>
      </w:pBdr>
      <w:tabs>
        <w:tab w:val="center" w:pos="4252"/>
        <w:tab w:val="right" w:pos="8504"/>
      </w:tabs>
      <w:spacing w:after="0" w:line="240" w:lineRule="auto"/>
      <w:jc w:val="right"/>
      <w:rPr>
        <w:rFonts w:ascii="Garamond" w:eastAsia="Garamond" w:hAnsi="Garamond" w:cs="Garamond"/>
        <w:color w:val="000000"/>
        <w:sz w:val="24"/>
        <w:szCs w:val="24"/>
      </w:rPr>
    </w:pPr>
    <w:r>
      <w:rPr>
        <w:rFonts w:ascii="Garamond" w:eastAsia="Garamond" w:hAnsi="Garamond" w:cs="Garamond"/>
        <w:color w:val="000000"/>
        <w:sz w:val="24"/>
        <w:szCs w:val="24"/>
      </w:rPr>
      <w:t xml:space="preserve">Página </w:t>
    </w:r>
    <w:r>
      <w:rPr>
        <w:rFonts w:ascii="Garamond" w:eastAsia="Garamond" w:hAnsi="Garamond" w:cs="Garamond"/>
        <w:color w:val="000000"/>
        <w:sz w:val="24"/>
        <w:szCs w:val="24"/>
      </w:rPr>
      <w:fldChar w:fldCharType="begin"/>
    </w:r>
    <w:r>
      <w:rPr>
        <w:rFonts w:ascii="Garamond" w:eastAsia="Garamond" w:hAnsi="Garamond" w:cs="Garamond"/>
        <w:color w:val="000000"/>
        <w:sz w:val="24"/>
        <w:szCs w:val="24"/>
      </w:rPr>
      <w:instrText>PAGE</w:instrText>
    </w:r>
    <w:r>
      <w:rPr>
        <w:rFonts w:ascii="Garamond" w:eastAsia="Garamond" w:hAnsi="Garamond" w:cs="Garamond"/>
        <w:color w:val="000000"/>
        <w:sz w:val="24"/>
        <w:szCs w:val="24"/>
      </w:rPr>
      <w:fldChar w:fldCharType="separate"/>
    </w:r>
    <w:r w:rsidR="00D47559">
      <w:rPr>
        <w:rFonts w:ascii="Garamond" w:eastAsia="Garamond" w:hAnsi="Garamond" w:cs="Garamond"/>
        <w:noProof/>
        <w:color w:val="000000"/>
        <w:sz w:val="24"/>
        <w:szCs w:val="24"/>
      </w:rPr>
      <w:t>3</w:t>
    </w:r>
    <w:r>
      <w:rPr>
        <w:rFonts w:ascii="Garamond" w:eastAsia="Garamond" w:hAnsi="Garamond" w:cs="Garamond"/>
        <w:color w:val="000000"/>
        <w:sz w:val="24"/>
        <w:szCs w:val="24"/>
      </w:rPr>
      <w:fldChar w:fldCharType="end"/>
    </w:r>
    <w:r>
      <w:rPr>
        <w:rFonts w:ascii="Garamond" w:eastAsia="Garamond" w:hAnsi="Garamond" w:cs="Garamond"/>
        <w:color w:val="000000"/>
        <w:sz w:val="24"/>
        <w:szCs w:val="24"/>
      </w:rPr>
      <w:t xml:space="preserve"> de </w:t>
    </w:r>
    <w:r>
      <w:rPr>
        <w:rFonts w:ascii="Garamond" w:eastAsia="Garamond" w:hAnsi="Garamond" w:cs="Garamond"/>
        <w:color w:val="000000"/>
        <w:sz w:val="24"/>
        <w:szCs w:val="24"/>
      </w:rPr>
      <w:fldChar w:fldCharType="begin"/>
    </w:r>
    <w:r>
      <w:rPr>
        <w:rFonts w:ascii="Garamond" w:eastAsia="Garamond" w:hAnsi="Garamond" w:cs="Garamond"/>
        <w:color w:val="000000"/>
        <w:sz w:val="24"/>
        <w:szCs w:val="24"/>
      </w:rPr>
      <w:instrText>NUMPAGES</w:instrText>
    </w:r>
    <w:r>
      <w:rPr>
        <w:rFonts w:ascii="Garamond" w:eastAsia="Garamond" w:hAnsi="Garamond" w:cs="Garamond"/>
        <w:color w:val="000000"/>
        <w:sz w:val="24"/>
        <w:szCs w:val="24"/>
      </w:rPr>
      <w:fldChar w:fldCharType="separate"/>
    </w:r>
    <w:r w:rsidR="00D47559">
      <w:rPr>
        <w:rFonts w:ascii="Garamond" w:eastAsia="Garamond" w:hAnsi="Garamond" w:cs="Garamond"/>
        <w:noProof/>
        <w:color w:val="000000"/>
        <w:sz w:val="24"/>
        <w:szCs w:val="24"/>
      </w:rPr>
      <w:t>14</w:t>
    </w:r>
    <w:r>
      <w:rPr>
        <w:rFonts w:ascii="Garamond" w:eastAsia="Garamond" w:hAnsi="Garamond" w:cs="Garamond"/>
        <w:color w:val="000000"/>
        <w:sz w:val="24"/>
        <w:szCs w:val="24"/>
      </w:rPr>
      <w:fldChar w:fldCharType="end"/>
    </w:r>
  </w:p>
  <w:p w14:paraId="5C6097EE" w14:textId="77777777" w:rsidR="00FA14B0" w:rsidRDefault="00FA14B0">
    <w:pPr>
      <w:tabs>
        <w:tab w:val="center" w:pos="4419"/>
        <w:tab w:val="right" w:pos="8838"/>
      </w:tabs>
      <w:spacing w:after="0" w:line="240" w:lineRule="auto"/>
      <w:jc w:val="center"/>
      <w:rPr>
        <w:rFonts w:ascii="Gill Sans" w:eastAsia="Gill Sans" w:hAnsi="Gill Sans" w:cs="Gill Sa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CC3567" w14:textId="77777777" w:rsidR="004B3E71" w:rsidRDefault="004B3E71">
      <w:pPr>
        <w:spacing w:after="0" w:line="240" w:lineRule="auto"/>
      </w:pPr>
      <w:r>
        <w:separator/>
      </w:r>
    </w:p>
  </w:footnote>
  <w:footnote w:type="continuationSeparator" w:id="0">
    <w:p w14:paraId="68FAD68E" w14:textId="77777777" w:rsidR="004B3E71" w:rsidRDefault="004B3E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BE73D" w14:textId="77777777" w:rsidR="00FA14B0" w:rsidRDefault="004960D6">
    <w:pPr>
      <w:pBdr>
        <w:top w:val="nil"/>
        <w:left w:val="nil"/>
        <w:bottom w:val="nil"/>
        <w:right w:val="nil"/>
        <w:between w:val="nil"/>
      </w:pBdr>
      <w:tabs>
        <w:tab w:val="center" w:pos="4252"/>
        <w:tab w:val="right" w:pos="8504"/>
      </w:tabs>
      <w:spacing w:after="0" w:line="240" w:lineRule="auto"/>
      <w:jc w:val="center"/>
      <w:rPr>
        <w:color w:val="000000"/>
      </w:rPr>
    </w:pPr>
    <w:r>
      <w:rPr>
        <w:noProof/>
        <w:color w:val="000000"/>
        <w:lang w:val="es-CO" w:eastAsia="es-CO"/>
      </w:rPr>
      <w:drawing>
        <wp:inline distT="0" distB="0" distL="0" distR="0" wp14:anchorId="38763B9F" wp14:editId="2ADA0C75">
          <wp:extent cx="2352351" cy="693612"/>
          <wp:effectExtent l="0" t="0" r="0" b="0"/>
          <wp:docPr id="3" name="image1.png" descr="Imagen que contiene dibujo, cer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dibujo, cerca&#10;&#10;Descripción generada automáticamente"/>
                  <pic:cNvPicPr preferRelativeResize="0"/>
                </pic:nvPicPr>
                <pic:blipFill>
                  <a:blip r:embed="rId1"/>
                  <a:srcRect/>
                  <a:stretch>
                    <a:fillRect/>
                  </a:stretch>
                </pic:blipFill>
                <pic:spPr>
                  <a:xfrm>
                    <a:off x="0" y="0"/>
                    <a:ext cx="2352351" cy="693612"/>
                  </a:xfrm>
                  <a:prstGeom prst="rect">
                    <a:avLst/>
                  </a:prstGeom>
                  <a:ln/>
                </pic:spPr>
              </pic:pic>
            </a:graphicData>
          </a:graphic>
        </wp:inline>
      </w:drawing>
    </w:r>
    <w:r>
      <w:rPr>
        <w:color w:val="000000"/>
      </w:rPr>
      <w:tab/>
    </w:r>
    <w:r>
      <w:rPr>
        <w:color w:val="000000"/>
      </w:rPr>
      <w:tab/>
    </w:r>
    <w:r>
      <w:rPr>
        <w:noProof/>
        <w:color w:val="000000"/>
        <w:lang w:val="es-CO" w:eastAsia="es-CO"/>
      </w:rPr>
      <w:drawing>
        <wp:inline distT="0" distB="0" distL="0" distR="0" wp14:anchorId="0A1C9D74" wp14:editId="06D1206B">
          <wp:extent cx="2245019" cy="664868"/>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1769" r="2675" b="4482"/>
                  <a:stretch>
                    <a:fillRect/>
                  </a:stretch>
                </pic:blipFill>
                <pic:spPr>
                  <a:xfrm>
                    <a:off x="0" y="0"/>
                    <a:ext cx="2245019" cy="664868"/>
                  </a:xfrm>
                  <a:prstGeom prst="rect">
                    <a:avLst/>
                  </a:prstGeom>
                  <a:ln/>
                </pic:spPr>
              </pic:pic>
            </a:graphicData>
          </a:graphic>
        </wp:inline>
      </w:drawing>
    </w:r>
  </w:p>
  <w:p w14:paraId="7202E15B" w14:textId="77777777" w:rsidR="00FA14B0" w:rsidRDefault="00FA14B0">
    <w:pPr>
      <w:pBdr>
        <w:top w:val="nil"/>
        <w:left w:val="nil"/>
        <w:bottom w:val="nil"/>
        <w:right w:val="nil"/>
        <w:between w:val="nil"/>
      </w:pBdr>
      <w:tabs>
        <w:tab w:val="center" w:pos="4252"/>
        <w:tab w:val="right" w:pos="8504"/>
      </w:tabs>
      <w:spacing w:after="0" w:line="240" w:lineRule="auto"/>
      <w:jc w:val="center"/>
      <w:rPr>
        <w:color w:val="000000"/>
      </w:rPr>
    </w:pPr>
  </w:p>
  <w:p w14:paraId="738C43DC" w14:textId="77777777" w:rsidR="00FA14B0" w:rsidRDefault="00FA14B0">
    <w:pPr>
      <w:pBdr>
        <w:top w:val="nil"/>
        <w:left w:val="nil"/>
        <w:bottom w:val="nil"/>
        <w:right w:val="nil"/>
        <w:between w:val="nil"/>
      </w:pBdr>
      <w:tabs>
        <w:tab w:val="center" w:pos="4252"/>
        <w:tab w:val="right" w:pos="8504"/>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1D109A"/>
    <w:multiLevelType w:val="multilevel"/>
    <w:tmpl w:val="146E06D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4B0"/>
    <w:rsid w:val="004960D6"/>
    <w:rsid w:val="004B3E71"/>
    <w:rsid w:val="00D47559"/>
    <w:rsid w:val="00F72D21"/>
    <w:rsid w:val="00FA14B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C2A4E"/>
  <w15:docId w15:val="{05FC045A-4CD2-4874-8FB3-646C6CF38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1"/>
        <w:szCs w:val="21"/>
        <w:lang w:val="es-ES" w:eastAsia="es-CO"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6E18"/>
    <w:rPr>
      <w:lang w:eastAsia="es-ES"/>
    </w:rPr>
  </w:style>
  <w:style w:type="paragraph" w:styleId="Ttulo1">
    <w:name w:val="heading 1"/>
    <w:basedOn w:val="Normal"/>
    <w:next w:val="Normal"/>
    <w:link w:val="Ttulo1Car"/>
    <w:uiPriority w:val="9"/>
    <w:qFormat/>
    <w:rsid w:val="00616E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16E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16E1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16E1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16E1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16E1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16E1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16E1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16E1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616E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616E1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16E1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16E1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16E1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16E1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16E1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16E1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16E1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16E18"/>
    <w:rPr>
      <w:rFonts w:eastAsiaTheme="majorEastAsia" w:cstheme="majorBidi"/>
      <w:color w:val="272727" w:themeColor="text1" w:themeTint="D8"/>
    </w:rPr>
  </w:style>
  <w:style w:type="character" w:customStyle="1" w:styleId="TtuloCar">
    <w:name w:val="Título Car"/>
    <w:basedOn w:val="Fuentedeprrafopredeter"/>
    <w:link w:val="Ttulo"/>
    <w:uiPriority w:val="10"/>
    <w:rsid w:val="00616E1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616E1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16E18"/>
    <w:pPr>
      <w:spacing w:before="160"/>
      <w:jc w:val="center"/>
    </w:pPr>
    <w:rPr>
      <w:i/>
      <w:iCs/>
      <w:color w:val="404040" w:themeColor="text1" w:themeTint="BF"/>
    </w:rPr>
  </w:style>
  <w:style w:type="character" w:customStyle="1" w:styleId="CitaCar">
    <w:name w:val="Cita Car"/>
    <w:basedOn w:val="Fuentedeprrafopredeter"/>
    <w:link w:val="Cita"/>
    <w:uiPriority w:val="29"/>
    <w:rsid w:val="00616E18"/>
    <w:rPr>
      <w:i/>
      <w:iCs/>
      <w:color w:val="404040" w:themeColor="text1" w:themeTint="BF"/>
    </w:rPr>
  </w:style>
  <w:style w:type="paragraph" w:styleId="Prrafodelista">
    <w:name w:val="List Paragraph"/>
    <w:basedOn w:val="Normal"/>
    <w:uiPriority w:val="34"/>
    <w:qFormat/>
    <w:rsid w:val="00616E18"/>
    <w:pPr>
      <w:ind w:left="720"/>
      <w:contextualSpacing/>
    </w:pPr>
  </w:style>
  <w:style w:type="character" w:styleId="nfasisintenso">
    <w:name w:val="Intense Emphasis"/>
    <w:basedOn w:val="Fuentedeprrafopredeter"/>
    <w:uiPriority w:val="21"/>
    <w:qFormat/>
    <w:rsid w:val="00616E18"/>
    <w:rPr>
      <w:i/>
      <w:iCs/>
      <w:color w:val="0F4761" w:themeColor="accent1" w:themeShade="BF"/>
    </w:rPr>
  </w:style>
  <w:style w:type="paragraph" w:styleId="Citadestacada">
    <w:name w:val="Intense Quote"/>
    <w:basedOn w:val="Normal"/>
    <w:next w:val="Normal"/>
    <w:link w:val="CitadestacadaCar"/>
    <w:uiPriority w:val="30"/>
    <w:qFormat/>
    <w:rsid w:val="00616E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16E18"/>
    <w:rPr>
      <w:i/>
      <w:iCs/>
      <w:color w:val="0F4761" w:themeColor="accent1" w:themeShade="BF"/>
    </w:rPr>
  </w:style>
  <w:style w:type="character" w:styleId="Referenciaintensa">
    <w:name w:val="Intense Reference"/>
    <w:basedOn w:val="Fuentedeprrafopredeter"/>
    <w:uiPriority w:val="32"/>
    <w:qFormat/>
    <w:rsid w:val="00616E18"/>
    <w:rPr>
      <w:b/>
      <w:bCs/>
      <w:smallCaps/>
      <w:color w:val="0F4761" w:themeColor="accent1" w:themeShade="BF"/>
      <w:spacing w:val="5"/>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oXFQU7xsGxQ3ZpJsScD17CxOuw==">CgMxLjA4AHIhMXBKZXF4bXVUMzJrVzd0UGpXZ1c3V0FzWjBXdTZZUmlp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4114</Words>
  <Characters>22627</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 Saade Ortega</dc:creator>
  <cp:lastModifiedBy>Alex Fabian Castillo Rojas</cp:lastModifiedBy>
  <cp:revision>2</cp:revision>
  <dcterms:created xsi:type="dcterms:W3CDTF">2024-06-19T02:40:00Z</dcterms:created>
  <dcterms:modified xsi:type="dcterms:W3CDTF">2024-06-19T02:40:00Z</dcterms:modified>
</cp:coreProperties>
</file>