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187" w:rsidRDefault="00267187">
      <w:pPr>
        <w:widowControl w:val="0"/>
        <w:pBdr>
          <w:top w:val="nil"/>
          <w:left w:val="nil"/>
          <w:bottom w:val="nil"/>
          <w:right w:val="nil"/>
          <w:between w:val="nil"/>
        </w:pBdr>
        <w:spacing w:after="0" w:line="276" w:lineRule="auto"/>
      </w:pPr>
    </w:p>
    <w:p w:rsidR="00267187" w:rsidRDefault="00267187">
      <w:pPr>
        <w:rPr>
          <w:rFonts w:ascii="Arial Narrow" w:eastAsia="Arial Narrow" w:hAnsi="Arial Narrow" w:cs="Arial Narrow"/>
          <w:b/>
          <w:sz w:val="24"/>
          <w:szCs w:val="24"/>
        </w:rPr>
      </w:pPr>
    </w:p>
    <w:p w:rsidR="00267187" w:rsidRDefault="002B2E2D">
      <w:pPr>
        <w:jc w:val="right"/>
        <w:rPr>
          <w:rFonts w:ascii="Arial Narrow" w:eastAsia="Arial Narrow" w:hAnsi="Arial Narrow" w:cs="Arial Narrow"/>
          <w:b/>
          <w:sz w:val="24"/>
          <w:szCs w:val="24"/>
        </w:rPr>
      </w:pPr>
      <w:r>
        <w:rPr>
          <w:rFonts w:ascii="Arial Narrow" w:eastAsia="Arial Narrow" w:hAnsi="Arial Narrow" w:cs="Arial Narrow"/>
          <w:b/>
          <w:sz w:val="24"/>
          <w:szCs w:val="24"/>
        </w:rPr>
        <w:t>Bogotá D.C, 13 de noviembre de 2024</w:t>
      </w:r>
    </w:p>
    <w:p w:rsidR="00267187" w:rsidRDefault="002B2E2D">
      <w:pPr>
        <w:spacing w:after="0"/>
        <w:rPr>
          <w:rFonts w:ascii="Arial Narrow" w:eastAsia="Arial Narrow" w:hAnsi="Arial Narrow" w:cs="Arial Narrow"/>
          <w:b/>
          <w:sz w:val="24"/>
          <w:szCs w:val="24"/>
        </w:rPr>
      </w:pPr>
      <w:bookmarkStart w:id="0" w:name="_heading=h.gjdgxs" w:colFirst="0" w:colLast="0"/>
      <w:bookmarkEnd w:id="0"/>
      <w:r>
        <w:rPr>
          <w:rFonts w:ascii="Arial Narrow" w:eastAsia="Arial Narrow" w:hAnsi="Arial Narrow" w:cs="Arial Narrow"/>
          <w:sz w:val="24"/>
          <w:szCs w:val="24"/>
        </w:rPr>
        <w:br/>
        <w:t>Doctora</w:t>
      </w:r>
      <w:r>
        <w:rPr>
          <w:rFonts w:ascii="Arial Narrow" w:eastAsia="Arial Narrow" w:hAnsi="Arial Narrow" w:cs="Arial Narrow"/>
          <w:sz w:val="24"/>
          <w:szCs w:val="24"/>
        </w:rPr>
        <w:br/>
      </w:r>
      <w:r>
        <w:rPr>
          <w:rFonts w:ascii="Arial Narrow" w:eastAsia="Arial Narrow" w:hAnsi="Arial Narrow" w:cs="Arial Narrow"/>
          <w:b/>
          <w:sz w:val="24"/>
          <w:szCs w:val="24"/>
        </w:rPr>
        <w:t>ANA PAOLA GARCIA SOTO</w:t>
      </w:r>
    </w:p>
    <w:p w:rsidR="00267187" w:rsidRDefault="002B2E2D">
      <w:pPr>
        <w:pBdr>
          <w:top w:val="none" w:sz="0" w:space="0" w:color="000000"/>
          <w:left w:val="none" w:sz="0" w:space="0" w:color="000000"/>
          <w:bottom w:val="none" w:sz="0" w:space="0" w:color="000000"/>
          <w:right w:val="none" w:sz="0" w:space="0" w:color="000000"/>
          <w:between w:val="none" w:sz="0" w:space="0" w:color="000000"/>
        </w:pBdr>
        <w:jc w:val="both"/>
        <w:rPr>
          <w:rFonts w:ascii="Arial Narrow" w:eastAsia="Arial Narrow" w:hAnsi="Arial Narrow" w:cs="Arial Narrow"/>
          <w:sz w:val="24"/>
          <w:szCs w:val="24"/>
        </w:rPr>
      </w:pPr>
      <w:r>
        <w:rPr>
          <w:rFonts w:ascii="Arial Narrow" w:eastAsia="Arial Narrow" w:hAnsi="Arial Narrow" w:cs="Arial Narrow"/>
          <w:b/>
          <w:sz w:val="24"/>
          <w:szCs w:val="24"/>
        </w:rPr>
        <w:t>Presidenta de la Comisión Primera</w:t>
      </w:r>
      <w:r>
        <w:rPr>
          <w:rFonts w:ascii="Arial Narrow" w:eastAsia="Arial Narrow" w:hAnsi="Arial Narrow" w:cs="Arial Narrow"/>
          <w:sz w:val="24"/>
          <w:szCs w:val="24"/>
        </w:rPr>
        <w:tab/>
      </w:r>
      <w:r>
        <w:rPr>
          <w:rFonts w:ascii="Arial Narrow" w:eastAsia="Arial Narrow" w:hAnsi="Arial Narrow" w:cs="Arial Narrow"/>
          <w:sz w:val="24"/>
          <w:szCs w:val="24"/>
        </w:rPr>
        <w:br/>
        <w:t>Honorable Cámara de Representantes</w:t>
      </w:r>
    </w:p>
    <w:p w:rsidR="00267187" w:rsidRDefault="00267187">
      <w:pPr>
        <w:pBdr>
          <w:top w:val="none" w:sz="0" w:space="0" w:color="000000"/>
          <w:left w:val="none" w:sz="0" w:space="0" w:color="000000"/>
          <w:bottom w:val="none" w:sz="0" w:space="0" w:color="000000"/>
          <w:right w:val="none" w:sz="0" w:space="0" w:color="000000"/>
          <w:between w:val="none" w:sz="0" w:space="0" w:color="000000"/>
        </w:pBdr>
        <w:jc w:val="both"/>
        <w:rPr>
          <w:rFonts w:ascii="Arial Narrow" w:eastAsia="Arial Narrow" w:hAnsi="Arial Narrow" w:cs="Arial Narrow"/>
          <w:sz w:val="24"/>
          <w:szCs w:val="24"/>
        </w:rPr>
      </w:pPr>
    </w:p>
    <w:p w:rsidR="00267187" w:rsidRDefault="002B2E2D">
      <w:pPr>
        <w:ind w:left="2160"/>
        <w:jc w:val="both"/>
        <w:rPr>
          <w:rFonts w:ascii="Arial Narrow" w:eastAsia="Arial Narrow" w:hAnsi="Arial Narrow" w:cs="Arial Narrow"/>
          <w:sz w:val="24"/>
          <w:szCs w:val="24"/>
        </w:rPr>
      </w:pPr>
      <w:r>
        <w:rPr>
          <w:rFonts w:ascii="Arial Narrow" w:eastAsia="Arial Narrow" w:hAnsi="Arial Narrow" w:cs="Arial Narrow"/>
          <w:b/>
          <w:sz w:val="24"/>
          <w:szCs w:val="24"/>
        </w:rPr>
        <w:t>Ref:</w:t>
      </w:r>
      <w:r>
        <w:rPr>
          <w:rFonts w:ascii="Arial Narrow" w:eastAsia="Arial Narrow" w:hAnsi="Arial Narrow" w:cs="Arial Narrow"/>
          <w:sz w:val="24"/>
          <w:szCs w:val="24"/>
        </w:rPr>
        <w:t xml:space="preserve"> Informe de ponencia para segundo debate en segunda vuelta del </w:t>
      </w:r>
      <w:r>
        <w:rPr>
          <w:rFonts w:ascii="Arial Narrow" w:eastAsia="Arial Narrow" w:hAnsi="Arial Narrow" w:cs="Arial Narrow"/>
          <w:b/>
          <w:sz w:val="24"/>
          <w:szCs w:val="24"/>
        </w:rPr>
        <w:t>Proyecto de Acto Legislativo No. 436 de 2024 Cámara - 020 de 2024 Senado “Por el cual se modifica el artículo 65 de la Constitución Política de Colombia”.</w:t>
      </w:r>
    </w:p>
    <w:p w:rsidR="00267187" w:rsidRDefault="00267187">
      <w:pPr>
        <w:pBdr>
          <w:top w:val="none" w:sz="0" w:space="0" w:color="000000"/>
          <w:left w:val="none" w:sz="0" w:space="0" w:color="000000"/>
          <w:bottom w:val="none" w:sz="0" w:space="0" w:color="000000"/>
          <w:right w:val="none" w:sz="0" w:space="0" w:color="000000"/>
          <w:between w:val="none" w:sz="0" w:space="0" w:color="000000"/>
        </w:pBdr>
        <w:ind w:left="2160"/>
        <w:jc w:val="both"/>
        <w:rPr>
          <w:rFonts w:ascii="Arial Narrow" w:eastAsia="Arial Narrow" w:hAnsi="Arial Narrow" w:cs="Arial Narrow"/>
          <w:sz w:val="24"/>
          <w:szCs w:val="24"/>
        </w:rPr>
      </w:pPr>
    </w:p>
    <w:p w:rsidR="00267187" w:rsidRDefault="002B2E2D">
      <w:pPr>
        <w:pBdr>
          <w:top w:val="none" w:sz="0" w:space="0" w:color="000000"/>
          <w:left w:val="none" w:sz="0" w:space="0" w:color="000000"/>
          <w:bottom w:val="none" w:sz="0" w:space="0" w:color="000000"/>
          <w:right w:val="none" w:sz="0" w:space="0" w:color="000000"/>
          <w:between w:val="none" w:sz="0" w:space="0" w:color="000000"/>
        </w:pBdr>
        <w:jc w:val="both"/>
        <w:rPr>
          <w:rFonts w:ascii="Arial Narrow" w:eastAsia="Arial Narrow" w:hAnsi="Arial Narrow" w:cs="Arial Narrow"/>
          <w:sz w:val="24"/>
          <w:szCs w:val="24"/>
        </w:rPr>
      </w:pPr>
      <w:r>
        <w:rPr>
          <w:rFonts w:ascii="Arial Narrow" w:eastAsia="Arial Narrow" w:hAnsi="Arial Narrow" w:cs="Arial Narrow"/>
          <w:sz w:val="24"/>
          <w:szCs w:val="24"/>
        </w:rPr>
        <w:t>En cumplimiento de la designación que me hizo la Mesa Directiva de la Comisión Primera de la Honorab</w:t>
      </w:r>
      <w:r>
        <w:rPr>
          <w:rFonts w:ascii="Arial Narrow" w:eastAsia="Arial Narrow" w:hAnsi="Arial Narrow" w:cs="Arial Narrow"/>
          <w:sz w:val="24"/>
          <w:szCs w:val="24"/>
        </w:rPr>
        <w:t>le Cámara de Representantes, y de conformidad con lo establecido en el Artículo 156 de la Ley 5ª de 1992, procedo a rendir informe de ponencia para segundo debate en segunda vuelta al Proyecto de Acto Legislativo No. 436 de 2024 Cámara - 020 de 2024 Senado</w:t>
      </w:r>
      <w:r>
        <w:rPr>
          <w:rFonts w:ascii="Arial Narrow" w:eastAsia="Arial Narrow" w:hAnsi="Arial Narrow" w:cs="Arial Narrow"/>
          <w:sz w:val="24"/>
          <w:szCs w:val="24"/>
        </w:rPr>
        <w:t xml:space="preserve"> - “Por el cual se modifica el artículo 65 de la Constitución Política de Colombia”.</w:t>
      </w:r>
    </w:p>
    <w:p w:rsidR="00267187" w:rsidRDefault="00267187">
      <w:pPr>
        <w:pBdr>
          <w:top w:val="none" w:sz="0" w:space="0" w:color="000000"/>
          <w:left w:val="none" w:sz="0" w:space="0" w:color="000000"/>
          <w:bottom w:val="none" w:sz="0" w:space="0" w:color="000000"/>
          <w:right w:val="none" w:sz="0" w:space="0" w:color="000000"/>
          <w:between w:val="none" w:sz="0" w:space="0" w:color="000000"/>
        </w:pBdr>
        <w:jc w:val="both"/>
        <w:rPr>
          <w:rFonts w:ascii="Arial Narrow" w:eastAsia="Arial Narrow" w:hAnsi="Arial Narrow" w:cs="Arial Narrow"/>
          <w:sz w:val="24"/>
          <w:szCs w:val="24"/>
        </w:rPr>
      </w:pPr>
    </w:p>
    <w:p w:rsidR="00267187" w:rsidRDefault="00267187">
      <w:pPr>
        <w:pBdr>
          <w:top w:val="none" w:sz="0" w:space="0" w:color="000000"/>
          <w:left w:val="none" w:sz="0" w:space="0" w:color="000000"/>
          <w:bottom w:val="none" w:sz="0" w:space="0" w:color="000000"/>
          <w:right w:val="none" w:sz="0" w:space="0" w:color="000000"/>
          <w:between w:val="none" w:sz="0" w:space="0" w:color="000000"/>
        </w:pBdr>
        <w:jc w:val="both"/>
        <w:rPr>
          <w:rFonts w:ascii="Arial Narrow" w:eastAsia="Arial Narrow" w:hAnsi="Arial Narrow" w:cs="Arial Narrow"/>
          <w:sz w:val="24"/>
          <w:szCs w:val="24"/>
        </w:rPr>
      </w:pPr>
    </w:p>
    <w:p w:rsidR="00267187" w:rsidRDefault="002B2E2D">
      <w:pPr>
        <w:pBdr>
          <w:top w:val="none" w:sz="0" w:space="0" w:color="000000"/>
          <w:left w:val="none" w:sz="0" w:space="0" w:color="000000"/>
          <w:bottom w:val="none" w:sz="0" w:space="0" w:color="000000"/>
          <w:right w:val="none" w:sz="0" w:space="0" w:color="000000"/>
          <w:between w:val="none" w:sz="0" w:space="0" w:color="000000"/>
        </w:pBdr>
        <w:jc w:val="both"/>
        <w:rPr>
          <w:rFonts w:ascii="Arial Narrow" w:eastAsia="Arial Narrow" w:hAnsi="Arial Narrow" w:cs="Arial Narrow"/>
          <w:sz w:val="24"/>
          <w:szCs w:val="24"/>
        </w:rPr>
      </w:pPr>
      <w:r>
        <w:rPr>
          <w:rFonts w:ascii="Arial Narrow" w:eastAsia="Arial Narrow" w:hAnsi="Arial Narrow" w:cs="Arial Narrow"/>
          <w:sz w:val="24"/>
          <w:szCs w:val="24"/>
        </w:rPr>
        <w:t>Cordialmente,</w:t>
      </w:r>
    </w:p>
    <w:p w:rsidR="00267187" w:rsidRDefault="00267187">
      <w:pPr>
        <w:ind w:hanging="2"/>
        <w:jc w:val="both"/>
        <w:rPr>
          <w:rFonts w:ascii="Arial Narrow" w:eastAsia="Arial Narrow" w:hAnsi="Arial Narrow" w:cs="Arial Narrow"/>
          <w:sz w:val="24"/>
          <w:szCs w:val="24"/>
        </w:rPr>
      </w:pPr>
    </w:p>
    <w:tbl>
      <w:tblPr>
        <w:tblStyle w:val="a5"/>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267187">
        <w:trPr>
          <w:trHeight w:val="2500"/>
        </w:trPr>
        <w:tc>
          <w:tcPr>
            <w:tcW w:w="4419" w:type="dxa"/>
            <w:shd w:val="clear" w:color="auto" w:fill="auto"/>
            <w:tcMar>
              <w:top w:w="100" w:type="dxa"/>
              <w:left w:w="100" w:type="dxa"/>
              <w:bottom w:w="100" w:type="dxa"/>
              <w:right w:w="100" w:type="dxa"/>
            </w:tcMar>
          </w:tcPr>
          <w:p w:rsidR="00267187" w:rsidRDefault="00267187">
            <w:pPr>
              <w:rPr>
                <w:rFonts w:ascii="Arial Narrow" w:eastAsia="Arial Narrow" w:hAnsi="Arial Narrow" w:cs="Arial Narrow"/>
                <w:b/>
                <w:sz w:val="24"/>
                <w:szCs w:val="24"/>
              </w:rPr>
            </w:pPr>
          </w:p>
          <w:p w:rsidR="00267187" w:rsidRDefault="00267187">
            <w:pPr>
              <w:rPr>
                <w:rFonts w:ascii="Arial Narrow" w:eastAsia="Arial Narrow" w:hAnsi="Arial Narrow" w:cs="Arial Narrow"/>
                <w:b/>
                <w:sz w:val="24"/>
                <w:szCs w:val="24"/>
              </w:rPr>
            </w:pPr>
          </w:p>
          <w:p w:rsidR="00267187" w:rsidRDefault="00267187">
            <w:pPr>
              <w:rPr>
                <w:rFonts w:ascii="Arial Narrow" w:eastAsia="Arial Narrow" w:hAnsi="Arial Narrow" w:cs="Arial Narrow"/>
                <w:b/>
                <w:sz w:val="24"/>
                <w:szCs w:val="24"/>
              </w:rPr>
            </w:pPr>
          </w:p>
          <w:p w:rsidR="00267187" w:rsidRDefault="00267187">
            <w:pPr>
              <w:rPr>
                <w:rFonts w:ascii="Arial Narrow" w:eastAsia="Arial Narrow" w:hAnsi="Arial Narrow" w:cs="Arial Narrow"/>
                <w:b/>
                <w:sz w:val="24"/>
                <w:szCs w:val="24"/>
              </w:rPr>
            </w:pPr>
          </w:p>
          <w:p w:rsidR="00267187" w:rsidRDefault="00267187">
            <w:pPr>
              <w:rPr>
                <w:rFonts w:ascii="Arial Narrow" w:eastAsia="Arial Narrow" w:hAnsi="Arial Narrow" w:cs="Arial Narrow"/>
                <w:b/>
                <w:sz w:val="24"/>
                <w:szCs w:val="24"/>
              </w:rPr>
            </w:pPr>
          </w:p>
          <w:p w:rsidR="00267187" w:rsidRDefault="00267187">
            <w:pPr>
              <w:rPr>
                <w:rFonts w:ascii="Arial Narrow" w:eastAsia="Arial Narrow" w:hAnsi="Arial Narrow" w:cs="Arial Narrow"/>
                <w:b/>
                <w:sz w:val="24"/>
                <w:szCs w:val="24"/>
              </w:rPr>
            </w:pPr>
          </w:p>
          <w:p w:rsidR="00267187" w:rsidRDefault="00267187">
            <w:pPr>
              <w:rPr>
                <w:rFonts w:ascii="Arial Narrow" w:eastAsia="Arial Narrow" w:hAnsi="Arial Narrow" w:cs="Arial Narrow"/>
                <w:b/>
                <w:sz w:val="24"/>
                <w:szCs w:val="24"/>
              </w:rPr>
            </w:pPr>
          </w:p>
          <w:p w:rsidR="00267187" w:rsidRDefault="00267187">
            <w:pPr>
              <w:rPr>
                <w:rFonts w:ascii="Arial Narrow" w:eastAsia="Arial Narrow" w:hAnsi="Arial Narrow" w:cs="Arial Narrow"/>
                <w:b/>
                <w:sz w:val="24"/>
                <w:szCs w:val="24"/>
              </w:rPr>
            </w:pPr>
          </w:p>
          <w:p w:rsidR="00267187" w:rsidRDefault="00267187">
            <w:pPr>
              <w:rPr>
                <w:rFonts w:ascii="Arial Narrow" w:eastAsia="Arial Narrow" w:hAnsi="Arial Narrow" w:cs="Arial Narrow"/>
                <w:b/>
                <w:sz w:val="24"/>
                <w:szCs w:val="24"/>
              </w:rPr>
            </w:pPr>
          </w:p>
          <w:p w:rsidR="00267187" w:rsidRDefault="002B2E2D">
            <w:pPr>
              <w:jc w:val="center"/>
              <w:rPr>
                <w:rFonts w:ascii="Arial Narrow" w:eastAsia="Arial Narrow" w:hAnsi="Arial Narrow" w:cs="Arial Narrow"/>
                <w:sz w:val="24"/>
                <w:szCs w:val="24"/>
              </w:rPr>
            </w:pPr>
            <w:r>
              <w:rPr>
                <w:rFonts w:ascii="Arial Narrow" w:eastAsia="Arial Narrow" w:hAnsi="Arial Narrow" w:cs="Arial Narrow"/>
                <w:b/>
                <w:sz w:val="24"/>
                <w:szCs w:val="24"/>
              </w:rPr>
              <w:t>EDUARD SARMIENTO HIDALGO</w:t>
            </w:r>
            <w:r>
              <w:rPr>
                <w:rFonts w:ascii="Arial Narrow" w:eastAsia="Arial Narrow" w:hAnsi="Arial Narrow" w:cs="Arial Narrow"/>
                <w:sz w:val="24"/>
                <w:szCs w:val="24"/>
              </w:rPr>
              <w:t xml:space="preserve"> </w:t>
            </w:r>
          </w:p>
          <w:p w:rsidR="00267187" w:rsidRDefault="002B2E2D">
            <w:pPr>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 Por Cundinamarca</w:t>
            </w:r>
          </w:p>
          <w:p w:rsidR="00267187" w:rsidRDefault="002B2E2D">
            <w:pPr>
              <w:jc w:val="center"/>
              <w:rPr>
                <w:rFonts w:ascii="Arial Narrow" w:eastAsia="Arial Narrow" w:hAnsi="Arial Narrow" w:cs="Arial Narrow"/>
                <w:b/>
                <w:sz w:val="24"/>
                <w:szCs w:val="24"/>
              </w:rPr>
            </w:pPr>
            <w:r>
              <w:rPr>
                <w:rFonts w:ascii="Arial Narrow" w:eastAsia="Arial Narrow" w:hAnsi="Arial Narrow" w:cs="Arial Narrow"/>
                <w:sz w:val="24"/>
                <w:szCs w:val="24"/>
              </w:rPr>
              <w:t>Pacto Histórico</w:t>
            </w:r>
            <w:r>
              <w:rPr>
                <w:rFonts w:ascii="Arial Narrow" w:eastAsia="Arial Narrow" w:hAnsi="Arial Narrow" w:cs="Arial Narrow"/>
                <w:sz w:val="24"/>
                <w:szCs w:val="24"/>
              </w:rPr>
              <w:br/>
              <w:t>Coordinador Ponente</w:t>
            </w:r>
          </w:p>
        </w:tc>
        <w:tc>
          <w:tcPr>
            <w:tcW w:w="4419" w:type="dxa"/>
            <w:shd w:val="clear" w:color="auto" w:fill="auto"/>
            <w:tcMar>
              <w:top w:w="100" w:type="dxa"/>
              <w:left w:w="100" w:type="dxa"/>
              <w:bottom w:w="100" w:type="dxa"/>
              <w:right w:w="100" w:type="dxa"/>
            </w:tcMar>
          </w:tcPr>
          <w:p w:rsidR="00267187" w:rsidRDefault="00267187">
            <w:pPr>
              <w:widowControl w:val="0"/>
              <w:pBdr>
                <w:top w:val="nil"/>
                <w:left w:val="nil"/>
                <w:bottom w:val="nil"/>
                <w:right w:val="nil"/>
                <w:between w:val="nil"/>
              </w:pBdr>
              <w:rPr>
                <w:rFonts w:ascii="Arial Narrow" w:eastAsia="Arial Narrow" w:hAnsi="Arial Narrow" w:cs="Arial Narrow"/>
                <w:sz w:val="24"/>
                <w:szCs w:val="24"/>
              </w:rPr>
            </w:pPr>
          </w:p>
          <w:p w:rsidR="00267187" w:rsidRDefault="00267187">
            <w:pPr>
              <w:widowControl w:val="0"/>
              <w:pBdr>
                <w:top w:val="nil"/>
                <w:left w:val="nil"/>
                <w:bottom w:val="nil"/>
                <w:right w:val="nil"/>
                <w:between w:val="nil"/>
              </w:pBdr>
              <w:rPr>
                <w:rFonts w:ascii="Arial Narrow" w:eastAsia="Arial Narrow" w:hAnsi="Arial Narrow" w:cs="Arial Narrow"/>
                <w:sz w:val="24"/>
                <w:szCs w:val="24"/>
              </w:rPr>
            </w:pPr>
          </w:p>
          <w:p w:rsidR="00267187" w:rsidRDefault="00267187">
            <w:pPr>
              <w:widowControl w:val="0"/>
              <w:pBdr>
                <w:top w:val="nil"/>
                <w:left w:val="nil"/>
                <w:bottom w:val="nil"/>
                <w:right w:val="nil"/>
                <w:between w:val="nil"/>
              </w:pBdr>
              <w:rPr>
                <w:rFonts w:ascii="Arial Narrow" w:eastAsia="Arial Narrow" w:hAnsi="Arial Narrow" w:cs="Arial Narrow"/>
                <w:sz w:val="24"/>
                <w:szCs w:val="24"/>
              </w:rPr>
            </w:pPr>
          </w:p>
          <w:p w:rsidR="00267187" w:rsidRDefault="00267187">
            <w:pPr>
              <w:widowControl w:val="0"/>
              <w:pBdr>
                <w:top w:val="nil"/>
                <w:left w:val="nil"/>
                <w:bottom w:val="nil"/>
                <w:right w:val="nil"/>
                <w:between w:val="nil"/>
              </w:pBdr>
              <w:rPr>
                <w:rFonts w:ascii="Arial Narrow" w:eastAsia="Arial Narrow" w:hAnsi="Arial Narrow" w:cs="Arial Narrow"/>
                <w:sz w:val="24"/>
                <w:szCs w:val="24"/>
              </w:rPr>
            </w:pPr>
          </w:p>
          <w:p w:rsidR="00267187" w:rsidRDefault="00267187">
            <w:pPr>
              <w:widowControl w:val="0"/>
              <w:pBdr>
                <w:top w:val="nil"/>
                <w:left w:val="nil"/>
                <w:bottom w:val="nil"/>
                <w:right w:val="nil"/>
                <w:between w:val="nil"/>
              </w:pBdr>
              <w:rPr>
                <w:rFonts w:ascii="Arial Narrow" w:eastAsia="Arial Narrow" w:hAnsi="Arial Narrow" w:cs="Arial Narrow"/>
                <w:sz w:val="24"/>
                <w:szCs w:val="24"/>
              </w:rPr>
            </w:pPr>
          </w:p>
          <w:p w:rsidR="00267187" w:rsidRDefault="00267187">
            <w:pPr>
              <w:widowControl w:val="0"/>
              <w:pBdr>
                <w:top w:val="nil"/>
                <w:left w:val="nil"/>
                <w:bottom w:val="nil"/>
                <w:right w:val="nil"/>
                <w:between w:val="nil"/>
              </w:pBdr>
              <w:rPr>
                <w:rFonts w:ascii="Arial Narrow" w:eastAsia="Arial Narrow" w:hAnsi="Arial Narrow" w:cs="Arial Narrow"/>
                <w:sz w:val="24"/>
                <w:szCs w:val="24"/>
              </w:rPr>
            </w:pPr>
          </w:p>
          <w:p w:rsidR="00267187" w:rsidRDefault="00267187">
            <w:pPr>
              <w:widowControl w:val="0"/>
              <w:pBdr>
                <w:top w:val="nil"/>
                <w:left w:val="nil"/>
                <w:bottom w:val="nil"/>
                <w:right w:val="nil"/>
                <w:between w:val="nil"/>
              </w:pBdr>
              <w:rPr>
                <w:rFonts w:ascii="Arial Narrow" w:eastAsia="Arial Narrow" w:hAnsi="Arial Narrow" w:cs="Arial Narrow"/>
                <w:sz w:val="24"/>
                <w:szCs w:val="24"/>
              </w:rPr>
            </w:pPr>
          </w:p>
          <w:p w:rsidR="00267187" w:rsidRDefault="00267187">
            <w:pPr>
              <w:widowControl w:val="0"/>
              <w:pBdr>
                <w:top w:val="nil"/>
                <w:left w:val="nil"/>
                <w:bottom w:val="nil"/>
                <w:right w:val="nil"/>
                <w:between w:val="nil"/>
              </w:pBdr>
              <w:rPr>
                <w:rFonts w:ascii="Arial Narrow" w:eastAsia="Arial Narrow" w:hAnsi="Arial Narrow" w:cs="Arial Narrow"/>
                <w:sz w:val="24"/>
                <w:szCs w:val="24"/>
              </w:rPr>
            </w:pPr>
          </w:p>
          <w:p w:rsidR="00267187" w:rsidRDefault="00267187">
            <w:pPr>
              <w:widowControl w:val="0"/>
              <w:pBdr>
                <w:top w:val="nil"/>
                <w:left w:val="nil"/>
                <w:bottom w:val="nil"/>
                <w:right w:val="nil"/>
                <w:between w:val="nil"/>
              </w:pBdr>
              <w:rPr>
                <w:rFonts w:ascii="Arial Narrow" w:eastAsia="Arial Narrow" w:hAnsi="Arial Narrow" w:cs="Arial Narrow"/>
                <w:sz w:val="24"/>
                <w:szCs w:val="24"/>
              </w:rPr>
            </w:pPr>
          </w:p>
          <w:p w:rsidR="00267187" w:rsidRDefault="002B2E2D">
            <w:pPr>
              <w:widowControl w:val="0"/>
              <w:pBdr>
                <w:top w:val="nil"/>
                <w:left w:val="nil"/>
                <w:bottom w:val="nil"/>
                <w:right w:val="nil"/>
                <w:between w:val="nil"/>
              </w:pBdr>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ANA PAOLA GARCÍA SOTO </w:t>
            </w:r>
          </w:p>
          <w:p w:rsidR="00267187" w:rsidRDefault="002B2E2D">
            <w:pPr>
              <w:widowControl w:val="0"/>
              <w:pBdr>
                <w:top w:val="nil"/>
                <w:left w:val="nil"/>
                <w:bottom w:val="nil"/>
                <w:right w:val="nil"/>
                <w:between w:val="nil"/>
              </w:pBdr>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 por Córdoba</w:t>
            </w:r>
          </w:p>
          <w:p w:rsidR="00267187" w:rsidRDefault="002B2E2D">
            <w:pPr>
              <w:widowControl w:val="0"/>
              <w:pBdr>
                <w:top w:val="nil"/>
                <w:left w:val="nil"/>
                <w:bottom w:val="nil"/>
                <w:right w:val="nil"/>
                <w:between w:val="nil"/>
              </w:pBdr>
              <w:jc w:val="center"/>
              <w:rPr>
                <w:rFonts w:ascii="Arial Narrow" w:eastAsia="Arial Narrow" w:hAnsi="Arial Narrow" w:cs="Arial Narrow"/>
                <w:sz w:val="24"/>
                <w:szCs w:val="24"/>
              </w:rPr>
            </w:pPr>
            <w:r>
              <w:rPr>
                <w:rFonts w:ascii="Arial Narrow" w:eastAsia="Arial Narrow" w:hAnsi="Arial Narrow" w:cs="Arial Narrow"/>
                <w:sz w:val="24"/>
                <w:szCs w:val="24"/>
              </w:rPr>
              <w:t>Partido de la U</w:t>
            </w:r>
          </w:p>
          <w:p w:rsidR="00267187" w:rsidRDefault="002B2E2D">
            <w:pPr>
              <w:widowControl w:val="0"/>
              <w:pBdr>
                <w:top w:val="nil"/>
                <w:left w:val="nil"/>
                <w:bottom w:val="nil"/>
                <w:right w:val="nil"/>
                <w:between w:val="nil"/>
              </w:pBdr>
              <w:jc w:val="center"/>
              <w:rPr>
                <w:rFonts w:ascii="Arial Narrow" w:eastAsia="Arial Narrow" w:hAnsi="Arial Narrow" w:cs="Arial Narrow"/>
                <w:sz w:val="24"/>
                <w:szCs w:val="24"/>
              </w:rPr>
            </w:pPr>
            <w:r>
              <w:rPr>
                <w:rFonts w:ascii="Arial Narrow" w:eastAsia="Arial Narrow" w:hAnsi="Arial Narrow" w:cs="Arial Narrow"/>
                <w:sz w:val="24"/>
                <w:szCs w:val="24"/>
              </w:rPr>
              <w:t>Coordinadora Ponente</w:t>
            </w:r>
          </w:p>
        </w:tc>
      </w:tr>
      <w:tr w:rsidR="00267187">
        <w:tc>
          <w:tcPr>
            <w:tcW w:w="4419" w:type="dxa"/>
            <w:shd w:val="clear" w:color="auto" w:fill="auto"/>
            <w:tcMar>
              <w:top w:w="100" w:type="dxa"/>
              <w:left w:w="100" w:type="dxa"/>
              <w:bottom w:w="100" w:type="dxa"/>
              <w:right w:w="100" w:type="dxa"/>
            </w:tcMar>
          </w:tcPr>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B2E2D">
            <w:pPr>
              <w:jc w:val="center"/>
              <w:rPr>
                <w:rFonts w:ascii="Arial Narrow" w:eastAsia="Arial Narrow" w:hAnsi="Arial Narrow" w:cs="Arial Narrow"/>
                <w:sz w:val="24"/>
                <w:szCs w:val="24"/>
              </w:rPr>
            </w:pPr>
            <w:r>
              <w:rPr>
                <w:rFonts w:ascii="Arial Narrow" w:eastAsia="Arial Narrow" w:hAnsi="Arial Narrow" w:cs="Arial Narrow"/>
                <w:b/>
                <w:sz w:val="24"/>
                <w:szCs w:val="24"/>
              </w:rPr>
              <w:t>ÁLVARO LEONEL RUEDA CABALLERO</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Coordinador Ponente</w:t>
            </w:r>
          </w:p>
        </w:tc>
        <w:tc>
          <w:tcPr>
            <w:tcW w:w="4419" w:type="dxa"/>
            <w:shd w:val="clear" w:color="auto" w:fill="auto"/>
            <w:tcMar>
              <w:top w:w="100" w:type="dxa"/>
              <w:left w:w="100" w:type="dxa"/>
              <w:bottom w:w="100" w:type="dxa"/>
              <w:right w:w="100" w:type="dxa"/>
            </w:tcMar>
          </w:tcPr>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B2E2D">
            <w:pPr>
              <w:jc w:val="center"/>
              <w:rPr>
                <w:rFonts w:ascii="Arial Narrow" w:eastAsia="Arial Narrow" w:hAnsi="Arial Narrow" w:cs="Arial Narrow"/>
                <w:sz w:val="24"/>
                <w:szCs w:val="24"/>
              </w:rPr>
            </w:pPr>
            <w:r>
              <w:rPr>
                <w:rFonts w:ascii="Arial Narrow" w:eastAsia="Arial Narrow" w:hAnsi="Arial Narrow" w:cs="Arial Narrow"/>
                <w:b/>
                <w:sz w:val="24"/>
                <w:szCs w:val="24"/>
              </w:rPr>
              <w:t>JULIO CÉSAR TRIANA QUINTERO</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Coordinador Ponente</w:t>
            </w:r>
          </w:p>
        </w:tc>
      </w:tr>
      <w:tr w:rsidR="00267187">
        <w:tc>
          <w:tcPr>
            <w:tcW w:w="4419" w:type="dxa"/>
            <w:shd w:val="clear" w:color="auto" w:fill="auto"/>
            <w:tcMar>
              <w:top w:w="100" w:type="dxa"/>
              <w:left w:w="100" w:type="dxa"/>
              <w:bottom w:w="100" w:type="dxa"/>
              <w:right w:w="100" w:type="dxa"/>
            </w:tcMar>
          </w:tcPr>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B2E2D">
            <w:pPr>
              <w:ind w:left="-2"/>
              <w:jc w:val="center"/>
              <w:rPr>
                <w:rFonts w:ascii="Arial Narrow" w:eastAsia="Arial Narrow" w:hAnsi="Arial Narrow" w:cs="Arial Narrow"/>
                <w:sz w:val="24"/>
                <w:szCs w:val="24"/>
              </w:rPr>
            </w:pPr>
            <w:r>
              <w:rPr>
                <w:rFonts w:ascii="Arial Narrow" w:eastAsia="Arial Narrow" w:hAnsi="Arial Narrow" w:cs="Arial Narrow"/>
                <w:b/>
                <w:sz w:val="24"/>
                <w:szCs w:val="24"/>
              </w:rPr>
              <w:t>RUTH AMELIA CAYCEDO ROSERO</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Ponente</w:t>
            </w:r>
          </w:p>
        </w:tc>
        <w:tc>
          <w:tcPr>
            <w:tcW w:w="4419" w:type="dxa"/>
            <w:shd w:val="clear" w:color="auto" w:fill="auto"/>
            <w:tcMar>
              <w:top w:w="100" w:type="dxa"/>
              <w:left w:w="100" w:type="dxa"/>
              <w:bottom w:w="100" w:type="dxa"/>
              <w:right w:w="100" w:type="dxa"/>
            </w:tcMar>
          </w:tcPr>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B2E2D">
            <w:pPr>
              <w:jc w:val="center"/>
              <w:rPr>
                <w:rFonts w:ascii="Arial Narrow" w:eastAsia="Arial Narrow" w:hAnsi="Arial Narrow" w:cs="Arial Narrow"/>
                <w:sz w:val="24"/>
                <w:szCs w:val="24"/>
              </w:rPr>
            </w:pPr>
            <w:r>
              <w:rPr>
                <w:rFonts w:ascii="Arial Narrow" w:eastAsia="Arial Narrow" w:hAnsi="Arial Narrow" w:cs="Arial Narrow"/>
                <w:b/>
                <w:sz w:val="24"/>
                <w:szCs w:val="24"/>
              </w:rPr>
              <w:t>JOSE JAIME USCÁTEGUI PASTRANA</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Ponente</w:t>
            </w:r>
          </w:p>
        </w:tc>
      </w:tr>
      <w:tr w:rsidR="00267187">
        <w:tc>
          <w:tcPr>
            <w:tcW w:w="4419" w:type="dxa"/>
            <w:shd w:val="clear" w:color="auto" w:fill="auto"/>
            <w:tcMar>
              <w:top w:w="100" w:type="dxa"/>
              <w:left w:w="100" w:type="dxa"/>
              <w:bottom w:w="100" w:type="dxa"/>
              <w:right w:w="100" w:type="dxa"/>
            </w:tcMar>
          </w:tcPr>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B2E2D">
            <w:pPr>
              <w:ind w:left="-2"/>
              <w:jc w:val="center"/>
              <w:rPr>
                <w:rFonts w:ascii="Arial Narrow" w:eastAsia="Arial Narrow" w:hAnsi="Arial Narrow" w:cs="Arial Narrow"/>
                <w:sz w:val="24"/>
                <w:szCs w:val="24"/>
              </w:rPr>
            </w:pPr>
            <w:r>
              <w:rPr>
                <w:rFonts w:ascii="Arial Narrow" w:eastAsia="Arial Narrow" w:hAnsi="Arial Narrow" w:cs="Arial Narrow"/>
                <w:b/>
                <w:sz w:val="24"/>
                <w:szCs w:val="24"/>
              </w:rPr>
              <w:t>ORLANDO CASTILLO ADVÍNCULA</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Ponente</w:t>
            </w:r>
          </w:p>
        </w:tc>
        <w:tc>
          <w:tcPr>
            <w:tcW w:w="4419" w:type="dxa"/>
            <w:shd w:val="clear" w:color="auto" w:fill="auto"/>
            <w:tcMar>
              <w:top w:w="100" w:type="dxa"/>
              <w:left w:w="100" w:type="dxa"/>
              <w:bottom w:w="100" w:type="dxa"/>
              <w:right w:w="100" w:type="dxa"/>
            </w:tcMar>
          </w:tcPr>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B2E2D">
            <w:pPr>
              <w:ind w:left="-2"/>
              <w:jc w:val="center"/>
              <w:rPr>
                <w:rFonts w:ascii="Arial Narrow" w:eastAsia="Arial Narrow" w:hAnsi="Arial Narrow" w:cs="Arial Narrow"/>
                <w:sz w:val="24"/>
                <w:szCs w:val="24"/>
              </w:rPr>
            </w:pPr>
            <w:r>
              <w:rPr>
                <w:rFonts w:ascii="Arial Narrow" w:eastAsia="Arial Narrow" w:hAnsi="Arial Narrow" w:cs="Arial Narrow"/>
                <w:b/>
                <w:sz w:val="24"/>
                <w:szCs w:val="24"/>
              </w:rPr>
              <w:t>DUVALIER SÁNCHEZ ARANGO</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Ponente</w:t>
            </w:r>
          </w:p>
        </w:tc>
      </w:tr>
      <w:tr w:rsidR="00267187">
        <w:tc>
          <w:tcPr>
            <w:tcW w:w="4419" w:type="dxa"/>
            <w:shd w:val="clear" w:color="auto" w:fill="auto"/>
            <w:tcMar>
              <w:top w:w="100" w:type="dxa"/>
              <w:left w:w="100" w:type="dxa"/>
              <w:bottom w:w="100" w:type="dxa"/>
              <w:right w:w="100" w:type="dxa"/>
            </w:tcMar>
          </w:tcPr>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B2E2D">
            <w:pPr>
              <w:ind w:left="-2"/>
              <w:jc w:val="center"/>
              <w:rPr>
                <w:rFonts w:ascii="Arial Narrow" w:eastAsia="Arial Narrow" w:hAnsi="Arial Narrow" w:cs="Arial Narrow"/>
                <w:sz w:val="24"/>
                <w:szCs w:val="24"/>
              </w:rPr>
            </w:pPr>
            <w:r>
              <w:rPr>
                <w:rFonts w:ascii="Arial Narrow" w:eastAsia="Arial Narrow" w:hAnsi="Arial Narrow" w:cs="Arial Narrow"/>
                <w:b/>
                <w:sz w:val="24"/>
                <w:szCs w:val="24"/>
              </w:rPr>
              <w:t>MARELEN CASTILLO TORRES</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Ponente</w:t>
            </w:r>
          </w:p>
        </w:tc>
        <w:tc>
          <w:tcPr>
            <w:tcW w:w="4419" w:type="dxa"/>
            <w:shd w:val="clear" w:color="auto" w:fill="auto"/>
            <w:tcMar>
              <w:top w:w="100" w:type="dxa"/>
              <w:left w:w="100" w:type="dxa"/>
              <w:bottom w:w="100" w:type="dxa"/>
              <w:right w:w="100" w:type="dxa"/>
            </w:tcMar>
          </w:tcPr>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B2E2D">
            <w:pPr>
              <w:ind w:left="-2"/>
              <w:jc w:val="center"/>
              <w:rPr>
                <w:rFonts w:ascii="Arial Narrow" w:eastAsia="Arial Narrow" w:hAnsi="Arial Narrow" w:cs="Arial Narrow"/>
                <w:sz w:val="24"/>
                <w:szCs w:val="24"/>
              </w:rPr>
            </w:pPr>
            <w:r>
              <w:rPr>
                <w:rFonts w:ascii="Arial Narrow" w:eastAsia="Arial Narrow" w:hAnsi="Arial Narrow" w:cs="Arial Narrow"/>
                <w:b/>
                <w:sz w:val="24"/>
                <w:szCs w:val="24"/>
              </w:rPr>
              <w:t>LUIS ALBERTO ALBÁN URBANO</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Ponente</w:t>
            </w:r>
          </w:p>
        </w:tc>
      </w:tr>
    </w:tbl>
    <w:p w:rsidR="00267187" w:rsidRDefault="00267187">
      <w:pPr>
        <w:ind w:hanging="2"/>
        <w:jc w:val="both"/>
        <w:rPr>
          <w:rFonts w:ascii="Arial Narrow" w:eastAsia="Arial Narrow" w:hAnsi="Arial Narrow" w:cs="Arial Narrow"/>
          <w:sz w:val="24"/>
          <w:szCs w:val="24"/>
        </w:rPr>
      </w:pPr>
    </w:p>
    <w:p w:rsidR="00267187" w:rsidRDefault="00267187">
      <w:pPr>
        <w:spacing w:line="240" w:lineRule="auto"/>
        <w:jc w:val="both"/>
        <w:rPr>
          <w:rFonts w:ascii="Arial Narrow" w:eastAsia="Arial Narrow" w:hAnsi="Arial Narrow" w:cs="Arial Narrow"/>
          <w:sz w:val="24"/>
          <w:szCs w:val="24"/>
        </w:rPr>
      </w:pPr>
    </w:p>
    <w:p w:rsidR="00267187" w:rsidRDefault="00267187">
      <w:pPr>
        <w:spacing w:line="240" w:lineRule="auto"/>
        <w:jc w:val="both"/>
        <w:rPr>
          <w:rFonts w:ascii="Arial Narrow" w:eastAsia="Arial Narrow" w:hAnsi="Arial Narrow" w:cs="Arial Narrow"/>
          <w:sz w:val="24"/>
          <w:szCs w:val="24"/>
        </w:rPr>
      </w:pPr>
    </w:p>
    <w:p w:rsidR="00267187" w:rsidRDefault="00267187">
      <w:pPr>
        <w:spacing w:line="240" w:lineRule="auto"/>
        <w:jc w:val="both"/>
        <w:rPr>
          <w:rFonts w:ascii="Arial Narrow" w:eastAsia="Arial Narrow" w:hAnsi="Arial Narrow" w:cs="Arial Narrow"/>
          <w:sz w:val="24"/>
          <w:szCs w:val="24"/>
        </w:rPr>
      </w:pPr>
    </w:p>
    <w:p w:rsidR="00267187" w:rsidRDefault="00267187">
      <w:pPr>
        <w:spacing w:line="240" w:lineRule="auto"/>
        <w:jc w:val="both"/>
        <w:rPr>
          <w:rFonts w:ascii="Arial Narrow" w:eastAsia="Arial Narrow" w:hAnsi="Arial Narrow" w:cs="Arial Narrow"/>
          <w:sz w:val="24"/>
          <w:szCs w:val="24"/>
        </w:rPr>
      </w:pPr>
    </w:p>
    <w:p w:rsidR="00267187" w:rsidRDefault="002B2E2D">
      <w:pPr>
        <w:pBdr>
          <w:top w:val="single" w:sz="4" w:space="0" w:color="000000"/>
          <w:left w:val="single" w:sz="4" w:space="0" w:color="000000"/>
          <w:bottom w:val="single" w:sz="4" w:space="0" w:color="000000"/>
          <w:right w:val="single" w:sz="4" w:space="0" w:color="000000"/>
        </w:pBdr>
        <w:ind w:hanging="2"/>
        <w:jc w:val="center"/>
        <w:rPr>
          <w:rFonts w:ascii="Arial Narrow" w:eastAsia="Arial Narrow" w:hAnsi="Arial Narrow" w:cs="Arial Narrow"/>
          <w:sz w:val="24"/>
          <w:szCs w:val="24"/>
        </w:rPr>
      </w:pPr>
      <w:r>
        <w:rPr>
          <w:rFonts w:ascii="Arial Narrow" w:eastAsia="Arial Narrow" w:hAnsi="Arial Narrow" w:cs="Arial Narrow"/>
          <w:b/>
          <w:sz w:val="24"/>
          <w:szCs w:val="24"/>
        </w:rPr>
        <w:lastRenderedPageBreak/>
        <w:t xml:space="preserve">OBJETO DEL PROYECTO </w:t>
      </w:r>
    </w:p>
    <w:p w:rsidR="00267187" w:rsidRDefault="002B2E2D">
      <w:pPr>
        <w:jc w:val="both"/>
        <w:rPr>
          <w:rFonts w:ascii="Arial Narrow" w:eastAsia="Arial Narrow" w:hAnsi="Arial Narrow" w:cs="Arial Narrow"/>
          <w:sz w:val="24"/>
          <w:szCs w:val="24"/>
        </w:rPr>
      </w:pPr>
      <w:r>
        <w:rPr>
          <w:rFonts w:ascii="Arial Narrow" w:eastAsia="Arial Narrow" w:hAnsi="Arial Narrow" w:cs="Arial Narrow"/>
          <w:sz w:val="24"/>
          <w:szCs w:val="24"/>
        </w:rPr>
        <w:t>El proyecto de Acto Legislativo que se pone a consideración del Honorable Congreso de la República tiene por objeto establecer la obligación del Estado de dirigir sus políticas hacia el aseguramiento del derecho a la alimentación, a proteger contra el hamb</w:t>
      </w:r>
      <w:r>
        <w:rPr>
          <w:rFonts w:ascii="Arial Narrow" w:eastAsia="Arial Narrow" w:hAnsi="Arial Narrow" w:cs="Arial Narrow"/>
          <w:sz w:val="24"/>
          <w:szCs w:val="24"/>
        </w:rPr>
        <w:t>re, la desnutrición y la malnutrición, a promover condiciones de seguridad y autonomías alimentarias de su población.</w:t>
      </w:r>
    </w:p>
    <w:p w:rsidR="00267187" w:rsidRDefault="002B2E2D">
      <w:pPr>
        <w:jc w:val="both"/>
        <w:rPr>
          <w:rFonts w:ascii="Arial Narrow" w:eastAsia="Arial Narrow" w:hAnsi="Arial Narrow" w:cs="Arial Narrow"/>
          <w:sz w:val="24"/>
          <w:szCs w:val="24"/>
        </w:rPr>
      </w:pPr>
      <w:r>
        <w:rPr>
          <w:rFonts w:ascii="Arial Narrow" w:eastAsia="Arial Narrow" w:hAnsi="Arial Narrow" w:cs="Arial Narrow"/>
          <w:sz w:val="24"/>
          <w:szCs w:val="24"/>
        </w:rPr>
        <w:t>Al respecto, es necesario mencionar que dicha prerrogativa, se encuentra consagrada en sendos instrumentos internacionales ratificados por</w:t>
      </w:r>
      <w:r>
        <w:rPr>
          <w:rFonts w:ascii="Arial Narrow" w:eastAsia="Arial Narrow" w:hAnsi="Arial Narrow" w:cs="Arial Narrow"/>
          <w:sz w:val="24"/>
          <w:szCs w:val="24"/>
        </w:rPr>
        <w:t xml:space="preserve"> el Estado colombiano</w:t>
      </w:r>
      <w:r>
        <w:rPr>
          <w:rFonts w:ascii="Arial Narrow" w:eastAsia="Arial Narrow" w:hAnsi="Arial Narrow" w:cs="Arial Narrow"/>
          <w:sz w:val="24"/>
          <w:szCs w:val="24"/>
          <w:vertAlign w:val="superscript"/>
        </w:rPr>
        <w:footnoteReference w:id="1"/>
      </w:r>
      <w:r>
        <w:rPr>
          <w:rFonts w:ascii="Arial Narrow" w:eastAsia="Arial Narrow" w:hAnsi="Arial Narrow" w:cs="Arial Narrow"/>
          <w:sz w:val="24"/>
          <w:szCs w:val="24"/>
        </w:rPr>
        <w:t xml:space="preserve"> y, adicionalmente, se pretende dar cumplimiento a obligaciones internacionales que el Estado colombiano ha adquirido y que se encuentran en completa consonancia con lo consagrado en el ordenamiento interno,  en virtud de lo estableci</w:t>
      </w:r>
      <w:r>
        <w:rPr>
          <w:rFonts w:ascii="Arial Narrow" w:eastAsia="Arial Narrow" w:hAnsi="Arial Narrow" w:cs="Arial Narrow"/>
          <w:sz w:val="24"/>
          <w:szCs w:val="24"/>
        </w:rPr>
        <w:t>do en diversas disposiciones constitucionales y en particular con lo dispuesto en el artículo 93 de la Constitución Política de 1991.</w:t>
      </w:r>
    </w:p>
    <w:p w:rsidR="00267187" w:rsidRDefault="00267187">
      <w:pPr>
        <w:jc w:val="both"/>
        <w:rPr>
          <w:rFonts w:ascii="Arial Narrow" w:eastAsia="Arial Narrow" w:hAnsi="Arial Narrow" w:cs="Arial Narrow"/>
          <w:sz w:val="24"/>
          <w:szCs w:val="24"/>
        </w:rPr>
      </w:pPr>
    </w:p>
    <w:p w:rsidR="00267187" w:rsidRDefault="002B2E2D">
      <w:pPr>
        <w:pBdr>
          <w:top w:val="single" w:sz="4" w:space="0" w:color="000000"/>
          <w:left w:val="single" w:sz="4" w:space="0" w:color="000000"/>
          <w:bottom w:val="single" w:sz="4" w:space="0" w:color="000000"/>
          <w:right w:val="single" w:sz="4" w:space="0" w:color="000000"/>
        </w:pBdr>
        <w:ind w:hanging="2"/>
        <w:jc w:val="center"/>
        <w:rPr>
          <w:rFonts w:ascii="Arial Narrow" w:eastAsia="Arial Narrow" w:hAnsi="Arial Narrow" w:cs="Arial Narrow"/>
          <w:sz w:val="24"/>
          <w:szCs w:val="24"/>
        </w:rPr>
      </w:pPr>
      <w:r>
        <w:rPr>
          <w:rFonts w:ascii="Arial Narrow" w:eastAsia="Arial Narrow" w:hAnsi="Arial Narrow" w:cs="Arial Narrow"/>
          <w:b/>
          <w:sz w:val="24"/>
          <w:szCs w:val="24"/>
        </w:rPr>
        <w:t>ANTECEDENTES DEL PROYECTO</w:t>
      </w:r>
    </w:p>
    <w:p w:rsidR="00267187" w:rsidRDefault="002B2E2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 Senadora Maritza Martínez Aristizábal como congresista del Partido de la U, presentó esta in</w:t>
      </w:r>
      <w:r>
        <w:rPr>
          <w:rFonts w:ascii="Arial Narrow" w:eastAsia="Arial Narrow" w:hAnsi="Arial Narrow" w:cs="Arial Narrow"/>
          <w:color w:val="000000"/>
          <w:sz w:val="24"/>
          <w:szCs w:val="24"/>
        </w:rPr>
        <w:t>iciativa en cuatro ocasiones: Proyecto de Acto Legislativo  Nº 36/19, el Nº 13/19, el Nº 01/20, y el Nº 11/21. Este último, logró tener cuatro debates de los ocho necesarios que se necesitan para que se aprueben este tipo de propuestas legislativas, que bu</w:t>
      </w:r>
      <w:r>
        <w:rPr>
          <w:rFonts w:ascii="Arial Narrow" w:eastAsia="Arial Narrow" w:hAnsi="Arial Narrow" w:cs="Arial Narrow"/>
          <w:color w:val="000000"/>
          <w:sz w:val="24"/>
          <w:szCs w:val="24"/>
        </w:rPr>
        <w:t>scan modificar artículos de la Constitución Política de Colombia.</w:t>
      </w:r>
    </w:p>
    <w:p w:rsidR="00267187" w:rsidRDefault="002B2E2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En la legislatura 2022-2023 se radicó como Proyecto de Acto Legislativo 001 de 2022 Senado, y fue aprobado hasta el primer debate de segunda vuelta en la Comisión Primera del Senado. </w:t>
      </w:r>
    </w:p>
    <w:p w:rsidR="00267187" w:rsidRDefault="002B2E2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Igualm</w:t>
      </w:r>
      <w:r>
        <w:rPr>
          <w:rFonts w:ascii="Arial Narrow" w:eastAsia="Arial Narrow" w:hAnsi="Arial Narrow" w:cs="Arial Narrow"/>
          <w:color w:val="000000"/>
          <w:sz w:val="24"/>
          <w:szCs w:val="24"/>
        </w:rPr>
        <w:t xml:space="preserve">ente, el 20 de julio de 2023, para el primer periodo de la legislatura 2023-2024, se radicó como proyecto de Acto Legislativo 004 de 2023 Senado y surtió su trámite de primera vuelta en Senado, </w:t>
      </w:r>
      <w:r>
        <w:rPr>
          <w:rFonts w:ascii="Arial Narrow" w:eastAsia="Arial Narrow" w:hAnsi="Arial Narrow" w:cs="Arial Narrow"/>
          <w:color w:val="000000"/>
          <w:sz w:val="24"/>
          <w:szCs w:val="24"/>
        </w:rPr>
        <w:lastRenderedPageBreak/>
        <w:t>pero por tiempos fue archivado al no alcanzar en dicho periodo</w:t>
      </w:r>
      <w:r>
        <w:rPr>
          <w:rFonts w:ascii="Arial Narrow" w:eastAsia="Arial Narrow" w:hAnsi="Arial Narrow" w:cs="Arial Narrow"/>
          <w:color w:val="000000"/>
          <w:sz w:val="24"/>
          <w:szCs w:val="24"/>
        </w:rPr>
        <w:t xml:space="preserve"> los otros dos debates en Cámara de Representantes.</w:t>
      </w:r>
    </w:p>
    <w:p w:rsidR="00267187" w:rsidRDefault="002B2E2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dichos proyectos de Acto Legislativo se mantuvo el mismo espíritu de este proyecto: establecer constitucionalmente que el Estado garantice el derecho a la alimentación adecuada y a proteger contra el h</w:t>
      </w:r>
      <w:r>
        <w:rPr>
          <w:rFonts w:ascii="Arial Narrow" w:eastAsia="Arial Narrow" w:hAnsi="Arial Narrow" w:cs="Arial Narrow"/>
          <w:color w:val="000000"/>
          <w:sz w:val="24"/>
          <w:szCs w:val="24"/>
        </w:rPr>
        <w:t>ambre y la desnutrición, promoviendo además, condiciones de seguridad alimentaria y autonomías alimentaria en el territorio nacional.</w:t>
      </w:r>
    </w:p>
    <w:p w:rsidR="00267187" w:rsidRDefault="002B2E2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Así, este proyecto de Acto Legislativo se convierte en la séptima iniciativa tendiente a establecer de manera expresa en l</w:t>
      </w:r>
      <w:r>
        <w:rPr>
          <w:rFonts w:ascii="Arial Narrow" w:eastAsia="Arial Narrow" w:hAnsi="Arial Narrow" w:cs="Arial Narrow"/>
          <w:color w:val="000000"/>
          <w:sz w:val="24"/>
          <w:szCs w:val="24"/>
        </w:rPr>
        <w:t>a máxima norma del ordenamiento jurídico nacional el derecho que le asiste a cada ser humano a estar protegido contra el hambre y la desnutrición.</w:t>
      </w:r>
    </w:p>
    <w:p w:rsidR="00267187" w:rsidRDefault="002B2E2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Colombia, un país con vocación agrícola, se mantienen alarmantes cifras de desnutrición e inseguridad alim</w:t>
      </w:r>
      <w:r>
        <w:rPr>
          <w:rFonts w:ascii="Arial Narrow" w:eastAsia="Arial Narrow" w:hAnsi="Arial Narrow" w:cs="Arial Narrow"/>
          <w:color w:val="000000"/>
          <w:sz w:val="24"/>
          <w:szCs w:val="24"/>
        </w:rPr>
        <w:t>entaria. Si bien existen instrumentos normativos y de política tendientes a alcanzar objetivos relacionados con seguridad alimentaria y alimentación adecuada, en nuestra norma fundante no hay un reconocimiento expreso al derecho humano a la alimentación, t</w:t>
      </w:r>
      <w:r>
        <w:rPr>
          <w:rFonts w:ascii="Arial Narrow" w:eastAsia="Arial Narrow" w:hAnsi="Arial Narrow" w:cs="Arial Narrow"/>
          <w:color w:val="000000"/>
          <w:sz w:val="24"/>
          <w:szCs w:val="24"/>
        </w:rPr>
        <w:t>al y como se ha concebido y desarrollado en el derecho internacional de los derechos humanos. Se hace necesario contar con disposiciones jurídicas que permitan al Gobierno Nacional reconocer la importancia debida a la garantía de la Seguridad Alimentaria p</w:t>
      </w:r>
      <w:r>
        <w:rPr>
          <w:rFonts w:ascii="Arial Narrow" w:eastAsia="Arial Narrow" w:hAnsi="Arial Narrow" w:cs="Arial Narrow"/>
          <w:color w:val="000000"/>
          <w:sz w:val="24"/>
          <w:szCs w:val="24"/>
        </w:rPr>
        <w:t>ara la población, al tiempo que a través de la consagración constitucional de esta prerrogativa fundamental se otorgan herramientas que le permiten a la ciudadanía ser veedora y exigir el cumplimiento progresivo de la garantía de uno de los derechos más bá</w:t>
      </w:r>
      <w:r>
        <w:rPr>
          <w:rFonts w:ascii="Arial Narrow" w:eastAsia="Arial Narrow" w:hAnsi="Arial Narrow" w:cs="Arial Narrow"/>
          <w:color w:val="000000"/>
          <w:sz w:val="24"/>
          <w:szCs w:val="24"/>
        </w:rPr>
        <w:t xml:space="preserve">sicos y esenciales: el poder alimentarse dignamente. </w:t>
      </w:r>
    </w:p>
    <w:p w:rsidR="00267187" w:rsidRDefault="002B2E2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Según el Banco Mundial (2022), en el mundo los niveles de hambre siguen siendo alarmantemente altos. En el año 2021, sobrepasaron todos los registros anteriores según la edición de 2022 del Informe mund</w:t>
      </w:r>
      <w:r>
        <w:rPr>
          <w:rFonts w:ascii="Arial Narrow" w:eastAsia="Arial Narrow" w:hAnsi="Arial Narrow" w:cs="Arial Narrow"/>
          <w:color w:val="000000"/>
          <w:sz w:val="24"/>
          <w:szCs w:val="24"/>
        </w:rPr>
        <w:t>ial sobre las crisis alimentarias, cerca de 193 millones de personas sufren inseguridad alimentaria grave, o sea aproximadamente 40 millones más que en 2020 cuando se registró el anterior récord. Los conflictos y la inseguridad se identifican como los prin</w:t>
      </w:r>
      <w:r>
        <w:rPr>
          <w:rFonts w:ascii="Arial Narrow" w:eastAsia="Arial Narrow" w:hAnsi="Arial Narrow" w:cs="Arial Narrow"/>
          <w:color w:val="000000"/>
          <w:sz w:val="24"/>
          <w:szCs w:val="24"/>
        </w:rPr>
        <w:t xml:space="preserve">cipales factores que impulsan el aumento de la inseguridad alimentaria. </w:t>
      </w:r>
    </w:p>
    <w:p w:rsidR="00267187" w:rsidRDefault="002B2E2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 hecho, en el mencionado informe sobre el estado de la seguridad alimentaria y nutricional, en el mundo (2020) realizado por FAO, IFAD, UNICEF, el Programa Mundial de Alimentos y la</w:t>
      </w:r>
      <w:r>
        <w:rPr>
          <w:rFonts w:ascii="Arial Narrow" w:eastAsia="Arial Narrow" w:hAnsi="Arial Narrow" w:cs="Arial Narrow"/>
          <w:color w:val="000000"/>
          <w:sz w:val="24"/>
          <w:szCs w:val="24"/>
        </w:rPr>
        <w:t xml:space="preserve"> Organización Mundial de la Salud, el 8,9% del total de la población global (690 millones de personas) padece hambre, y alrededor del 25,6% del total de la población global (2000 millones de personas, aproximadamente) se encuentran en condiciones de insegu</w:t>
      </w:r>
      <w:r>
        <w:rPr>
          <w:rFonts w:ascii="Arial Narrow" w:eastAsia="Arial Narrow" w:hAnsi="Arial Narrow" w:cs="Arial Narrow"/>
          <w:color w:val="000000"/>
          <w:sz w:val="24"/>
          <w:szCs w:val="24"/>
        </w:rPr>
        <w:t xml:space="preserve">ridad alimentaria severa o moderada. </w:t>
      </w:r>
    </w:p>
    <w:p w:rsidR="00267187" w:rsidRDefault="002B2E2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Las anteriores cifras demuestran una tendencia creciente desde el año 2014, que indican que el mundo, previo a la pandemia, no lograba cumplir con el Objetivo de Desarrollo Sostenible Nº 2: Hambre cero a 2030, esto deb</w:t>
      </w:r>
      <w:r>
        <w:rPr>
          <w:rFonts w:ascii="Arial Narrow" w:eastAsia="Arial Narrow" w:hAnsi="Arial Narrow" w:cs="Arial Narrow"/>
          <w:color w:val="000000"/>
          <w:sz w:val="24"/>
          <w:szCs w:val="24"/>
        </w:rPr>
        <w:t xml:space="preserve">ido a factores como (1) conflictos y violencia; (2) condiciones climáticas adversas producto del calentamiento global y; (3) la desaceleración económica, las cuales afectaban especialmente a África, Asia y América Latina.      </w:t>
      </w:r>
    </w:p>
    <w:p w:rsidR="00267187" w:rsidRDefault="002B2E2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Así pues, de continuar con l</w:t>
      </w:r>
      <w:r>
        <w:rPr>
          <w:rFonts w:ascii="Arial Narrow" w:eastAsia="Arial Narrow" w:hAnsi="Arial Narrow" w:cs="Arial Narrow"/>
          <w:color w:val="000000"/>
          <w:sz w:val="24"/>
          <w:szCs w:val="24"/>
        </w:rPr>
        <w:t xml:space="preserve">a tendencia evidenciada en los años anteriores, de acuerdo con el informe, el mundo podría encontrarse en una situación peor a la del punto de partida del ODS 2, ya que mientras </w:t>
      </w:r>
      <w:r>
        <w:rPr>
          <w:rFonts w:ascii="Arial Narrow" w:eastAsia="Arial Narrow" w:hAnsi="Arial Narrow" w:cs="Arial Narrow"/>
          <w:color w:val="000000"/>
          <w:sz w:val="24"/>
          <w:szCs w:val="24"/>
        </w:rPr>
        <w:lastRenderedPageBreak/>
        <w:t>que en 2015 alrededor de 795 millones de personas pasaban hambre, en 2030 esta</w:t>
      </w:r>
      <w:r>
        <w:rPr>
          <w:rFonts w:ascii="Arial Narrow" w:eastAsia="Arial Narrow" w:hAnsi="Arial Narrow" w:cs="Arial Narrow"/>
          <w:color w:val="000000"/>
          <w:sz w:val="24"/>
          <w:szCs w:val="24"/>
        </w:rPr>
        <w:t xml:space="preserve"> cifra puede llegar a los 840 millones.                                                                                                                                                                            </w:t>
      </w:r>
    </w:p>
    <w:p w:rsidR="00267187" w:rsidRDefault="002B2E2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Sin embargo, esta perspectiva no toma en con</w:t>
      </w:r>
      <w:r>
        <w:rPr>
          <w:rFonts w:ascii="Arial Narrow" w:eastAsia="Arial Narrow" w:hAnsi="Arial Narrow" w:cs="Arial Narrow"/>
          <w:color w:val="000000"/>
          <w:sz w:val="24"/>
          <w:szCs w:val="24"/>
        </w:rPr>
        <w:t>sideración el impacto que generará la pandemia, que tiene el potencial de adicionar entre 83 millones y 132 millones de personas al número de seres humanos que padecen hambre en el año 2020, esto último dependiendo del escenario de crecimiento económico gl</w:t>
      </w:r>
      <w:r>
        <w:rPr>
          <w:rFonts w:ascii="Arial Narrow" w:eastAsia="Arial Narrow" w:hAnsi="Arial Narrow" w:cs="Arial Narrow"/>
          <w:color w:val="000000"/>
          <w:sz w:val="24"/>
          <w:szCs w:val="24"/>
        </w:rPr>
        <w:t>obal, el cual aún no resulta del todo claro o predecible. Esta coyuntura hace entonces que sea aún más dudoso que se cumplan las metas y objetivos trazados en el ODS 2, si no se toman medidas necesarias para frenar el hambre en el mundo.</w:t>
      </w:r>
    </w:p>
    <w:p w:rsidR="00267187" w:rsidRDefault="002B2E2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 necesario señal</w:t>
      </w:r>
      <w:r>
        <w:rPr>
          <w:rFonts w:ascii="Arial Narrow" w:eastAsia="Arial Narrow" w:hAnsi="Arial Narrow" w:cs="Arial Narrow"/>
          <w:color w:val="000000"/>
          <w:sz w:val="24"/>
          <w:szCs w:val="24"/>
        </w:rPr>
        <w:t xml:space="preserve">ar que, de acuerdo con el informe, son múltiples las formas en las cuales la pandemia – y las medidas destinadas a su contención – pueden llegar a incidir en los sistemas de producción alimentarios y por extensión en la seguridad alimentaria. </w:t>
      </w:r>
    </w:p>
    <w:p w:rsidR="00267187" w:rsidRDefault="002B2E2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En ese senti</w:t>
      </w:r>
      <w:r>
        <w:rPr>
          <w:rFonts w:ascii="Arial Narrow" w:eastAsia="Arial Narrow" w:hAnsi="Arial Narrow" w:cs="Arial Narrow"/>
          <w:color w:val="000000"/>
          <w:sz w:val="24"/>
          <w:szCs w:val="24"/>
        </w:rPr>
        <w:t>do, se resalta que a pesar de que no se ha registrado escasez grave en cultivos como el trigo, el maíz, el arroz o la soya, medidas como la restricción de la movilidad, los aislamientos preventivos obligatorios y la desaceleración económica generalizada ge</w:t>
      </w:r>
      <w:r>
        <w:rPr>
          <w:rFonts w:ascii="Arial Narrow" w:eastAsia="Arial Narrow" w:hAnsi="Arial Narrow" w:cs="Arial Narrow"/>
          <w:color w:val="000000"/>
          <w:sz w:val="24"/>
          <w:szCs w:val="24"/>
        </w:rPr>
        <w:t>nerarán que sea mucho más difícil acceder a alimentos para los grupos más vulnerables de la población, sobre todo en los países de ingreso bajo o medio (como es el caso de Colombia y de la mayoría de países de América Latina y el Caribe), ya que los Estado</w:t>
      </w:r>
      <w:r>
        <w:rPr>
          <w:rFonts w:ascii="Arial Narrow" w:eastAsia="Arial Narrow" w:hAnsi="Arial Narrow" w:cs="Arial Narrow"/>
          <w:color w:val="000000"/>
          <w:sz w:val="24"/>
          <w:szCs w:val="24"/>
        </w:rPr>
        <w:t>s no contaban con los mecanismos de contingencia y los fondos necesarios para estimular las economías y proteger a la población más vulnerable, razón por la cual las consecuencias de la crisis económica derivada de la pandemia se sentirán en mayor medida e</w:t>
      </w:r>
      <w:r>
        <w:rPr>
          <w:rFonts w:ascii="Arial Narrow" w:eastAsia="Arial Narrow" w:hAnsi="Arial Narrow" w:cs="Arial Narrow"/>
          <w:color w:val="000000"/>
          <w:sz w:val="24"/>
          <w:szCs w:val="24"/>
        </w:rPr>
        <w:t>n países como los nuestros, sin que en este momento sea posible contar con un estimado puntual (o la magnitud del impacto) dado el desconocimiento, la falta de información y lo impredecible de la situación.</w:t>
      </w:r>
    </w:p>
    <w:p w:rsidR="00267187" w:rsidRDefault="002B2E2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Además, los precios de los alimentos han aumentad</w:t>
      </w:r>
      <w:r>
        <w:rPr>
          <w:rFonts w:ascii="Arial Narrow" w:eastAsia="Arial Narrow" w:hAnsi="Arial Narrow" w:cs="Arial Narrow"/>
          <w:color w:val="000000"/>
          <w:sz w:val="24"/>
          <w:szCs w:val="24"/>
        </w:rPr>
        <w:t>o de manera exponencial en gran medida a los elevados precios de los insumos que, combinados con los altos costos del transporte y las interrupciones del comercio provocadas por la guerra en Ucrania, están aumentando el costo de las importaciones, impactan</w:t>
      </w:r>
      <w:r>
        <w:rPr>
          <w:rFonts w:ascii="Arial Narrow" w:eastAsia="Arial Narrow" w:hAnsi="Arial Narrow" w:cs="Arial Narrow"/>
          <w:color w:val="000000"/>
          <w:sz w:val="24"/>
          <w:szCs w:val="24"/>
        </w:rPr>
        <w:t>do más fuertemente a los países pobres y en desarrollo, que son los que más dependen de las importaciones de alimentos. (Banco Mundial 2022).</w:t>
      </w:r>
    </w:p>
    <w:p w:rsidR="00267187" w:rsidRDefault="002B2E2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 hecho, para corte del 19 de mayo de 2022, el índice de precios agrícolas aumentó en un 42 % respecto a enero de</w:t>
      </w:r>
      <w:r>
        <w:rPr>
          <w:rFonts w:ascii="Arial Narrow" w:eastAsia="Arial Narrow" w:hAnsi="Arial Narrow" w:cs="Arial Narrow"/>
          <w:color w:val="000000"/>
          <w:sz w:val="24"/>
          <w:szCs w:val="24"/>
        </w:rPr>
        <w:t xml:space="preserve"> 2021. Los precios del maíz y el trigo son un 55 % y un 91 % más altos, respectivamente, que los de enero de 2021, y los precios del arroz son un 12 % más bajos. Esto, genera procesos inflacionarios de los precios internos, así por ejemplo, entre enero de </w:t>
      </w:r>
      <w:r>
        <w:rPr>
          <w:rFonts w:ascii="Arial Narrow" w:eastAsia="Arial Narrow" w:hAnsi="Arial Narrow" w:cs="Arial Narrow"/>
          <w:color w:val="000000"/>
          <w:sz w:val="24"/>
          <w:szCs w:val="24"/>
        </w:rPr>
        <w:t>2022 y abril de 2022, el 92,9 % de los países de ingreso bajo, el 84,2 % de los países de ingreso mediano bajo y el 78 % de los países de ingreso mediano alto han registrado niveles de inflación superiores al 5 %, y muchos experimentaron una inflación de d</w:t>
      </w:r>
      <w:r>
        <w:rPr>
          <w:rFonts w:ascii="Arial Narrow" w:eastAsia="Arial Narrow" w:hAnsi="Arial Narrow" w:cs="Arial Narrow"/>
          <w:color w:val="000000"/>
          <w:sz w:val="24"/>
          <w:szCs w:val="24"/>
        </w:rPr>
        <w:t xml:space="preserve">os dígitos. (Banco Mundial 2022). Esta tendencia ha continuado (Banco Mundial, 2023) y, en Colombia, por ejemplo, se ha registrado un alza en el precio del arroz desde julio de 2022 impulsada por los altos costos y la reducción de la producción. </w:t>
      </w:r>
    </w:p>
    <w:p w:rsidR="00267187" w:rsidRDefault="002B2E2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Si bien C</w:t>
      </w:r>
      <w:r>
        <w:rPr>
          <w:rFonts w:ascii="Arial Narrow" w:eastAsia="Arial Narrow" w:hAnsi="Arial Narrow" w:cs="Arial Narrow"/>
          <w:color w:val="000000"/>
          <w:sz w:val="24"/>
          <w:szCs w:val="24"/>
        </w:rPr>
        <w:t xml:space="preserve">olombia ha avanzado en materia de disminución de la población que padece de desnutrición (pasó de 11,3% - por encima de la media de América del Sur – a 5.5% - acorde con la media de la </w:t>
      </w:r>
      <w:r>
        <w:rPr>
          <w:rFonts w:ascii="Arial Narrow" w:eastAsia="Arial Narrow" w:hAnsi="Arial Narrow" w:cs="Arial Narrow"/>
          <w:color w:val="000000"/>
          <w:sz w:val="24"/>
          <w:szCs w:val="24"/>
        </w:rPr>
        <w:lastRenderedPageBreak/>
        <w:t>región –), no es menos cierto que, como bien lo advierte la FAO, el imp</w:t>
      </w:r>
      <w:r>
        <w:rPr>
          <w:rFonts w:ascii="Arial Narrow" w:eastAsia="Arial Narrow" w:hAnsi="Arial Narrow" w:cs="Arial Narrow"/>
          <w:color w:val="000000"/>
          <w:sz w:val="24"/>
          <w:szCs w:val="24"/>
        </w:rPr>
        <w:t>acto que generará la pandemia y   la guerra en Ucrania se sentirá en mayor medida en países como el nuestro – situación que se evidenció con la proliferación de banderas rojas en las viviendas y el clamor de gran parte de la ciudadanía de abrir la economía</w:t>
      </w:r>
      <w:r>
        <w:rPr>
          <w:rFonts w:ascii="Arial Narrow" w:eastAsia="Arial Narrow" w:hAnsi="Arial Narrow" w:cs="Arial Narrow"/>
          <w:color w:val="000000"/>
          <w:sz w:val="24"/>
          <w:szCs w:val="24"/>
        </w:rPr>
        <w:t xml:space="preserve"> para poder contar con los recursos económicos para poder subsistir y alimentarse, así como por el fuerte alza en los precios de la canasta básica.</w:t>
      </w:r>
    </w:p>
    <w:p w:rsidR="00267187" w:rsidRDefault="002B2E2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De hecho, de acuerdo con la última actualización del Informe sobre Seguridad Alimentaria del Banco Mundial (</w:t>
      </w:r>
      <w:r>
        <w:rPr>
          <w:rFonts w:ascii="Arial Narrow" w:eastAsia="Arial Narrow" w:hAnsi="Arial Narrow" w:cs="Arial Narrow"/>
          <w:color w:val="000000"/>
          <w:sz w:val="24"/>
          <w:szCs w:val="24"/>
        </w:rPr>
        <w:t>2023), Colombia resultó ser una de las mayores 10 economías con alta tasa de inflación real en alimentos (13%) y dentro de los 20 países con inflación nominal en precios de alimentos superior al 30%. Por lo tanto, resulta entonces necesario actuar de maner</w:t>
      </w:r>
      <w:r>
        <w:rPr>
          <w:rFonts w:ascii="Arial Narrow" w:eastAsia="Arial Narrow" w:hAnsi="Arial Narrow" w:cs="Arial Narrow"/>
          <w:color w:val="000000"/>
          <w:sz w:val="24"/>
          <w:szCs w:val="24"/>
        </w:rPr>
        <w:t>a proactiva y contar con los mecanismos que permitan al país establecer una política pública coherente para responder y garantizar los derechos fundamentales de la ciudadanía.</w:t>
      </w:r>
    </w:p>
    <w:p w:rsidR="00267187" w:rsidRDefault="00267187">
      <w:pPr>
        <w:jc w:val="both"/>
        <w:rPr>
          <w:rFonts w:ascii="Arial Narrow" w:eastAsia="Arial Narrow" w:hAnsi="Arial Narrow" w:cs="Arial Narrow"/>
          <w:color w:val="000000"/>
          <w:sz w:val="24"/>
          <w:szCs w:val="24"/>
        </w:rPr>
      </w:pPr>
    </w:p>
    <w:p w:rsidR="00267187" w:rsidRDefault="002B2E2D">
      <w:pPr>
        <w:pBdr>
          <w:top w:val="single" w:sz="4" w:space="0" w:color="000000"/>
          <w:left w:val="single" w:sz="4" w:space="0" w:color="000000"/>
          <w:bottom w:val="single" w:sz="4" w:space="0" w:color="000000"/>
          <w:right w:val="single" w:sz="4" w:space="0" w:color="000000"/>
        </w:pBdr>
        <w:ind w:hanging="2"/>
        <w:jc w:val="center"/>
        <w:rPr>
          <w:rFonts w:ascii="Arial Narrow" w:eastAsia="Arial Narrow" w:hAnsi="Arial Narrow" w:cs="Arial Narrow"/>
          <w:sz w:val="24"/>
          <w:szCs w:val="24"/>
        </w:rPr>
      </w:pPr>
      <w:r>
        <w:rPr>
          <w:rFonts w:ascii="Arial Narrow" w:eastAsia="Arial Narrow" w:hAnsi="Arial Narrow" w:cs="Arial Narrow"/>
          <w:b/>
          <w:sz w:val="24"/>
          <w:szCs w:val="24"/>
        </w:rPr>
        <w:t>COMENTARIOS DEL PONENTE</w:t>
      </w:r>
    </w:p>
    <w:p w:rsidR="00267187" w:rsidRDefault="002B2E2D">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De acuerdo con la más reciente ronda de la encuesta de Pulso Social (DANE, 2023), es crítica la situación de los hogares en materia económica y de seguridad alimentaria. Así las cosas, para junio del año 2023, indica el DANE que en promedio 67,1% de las pe</w:t>
      </w:r>
      <w:r>
        <w:rPr>
          <w:rFonts w:ascii="Arial Narrow" w:eastAsia="Arial Narrow" w:hAnsi="Arial Narrow" w:cs="Arial Narrow"/>
          <w:sz w:val="24"/>
          <w:szCs w:val="24"/>
        </w:rPr>
        <w:t>rsonas encuestadas señalaron que cuentan con una menor posibilidad de comprar alimentos, ropa, zapatos y artículos de primera necesidad comparando su situación económica con la del año anterior. Esta situación resulta ligeramente mayor para aquellas famili</w:t>
      </w:r>
      <w:r>
        <w:rPr>
          <w:rFonts w:ascii="Arial Narrow" w:eastAsia="Arial Narrow" w:hAnsi="Arial Narrow" w:cs="Arial Narrow"/>
          <w:sz w:val="24"/>
          <w:szCs w:val="24"/>
        </w:rPr>
        <w:t xml:space="preserve">as conformadas por cuatro o más integrantes. </w:t>
      </w:r>
    </w:p>
    <w:p w:rsidR="00267187" w:rsidRDefault="002B2E2D">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El deterioro en las condiciones de seguridad alimentaria (que se explica como la capacidad de acceder a alimentos suficientes y adecuados para garantizar la ingesta calórica y nutricional requerida para mantene</w:t>
      </w:r>
      <w:r>
        <w:rPr>
          <w:rFonts w:ascii="Arial Narrow" w:eastAsia="Arial Narrow" w:hAnsi="Arial Narrow" w:cs="Arial Narrow"/>
          <w:sz w:val="24"/>
          <w:szCs w:val="24"/>
        </w:rPr>
        <w:t xml:space="preserve">r una vida sana y desarrollar actividades básicas) es preocupante de acuerdo con las estimaciones realizadas por el DANE (2023), en la misma encuesta de Pulso Social. </w:t>
      </w:r>
    </w:p>
    <w:p w:rsidR="00267187" w:rsidRDefault="002B2E2D">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Antes del inicio del Aislamiento Preventivo Obligatorio, 9 de cada 10 hogares en Colombi</w:t>
      </w:r>
      <w:r>
        <w:rPr>
          <w:rFonts w:ascii="Arial Narrow" w:eastAsia="Arial Narrow" w:hAnsi="Arial Narrow" w:cs="Arial Narrow"/>
          <w:sz w:val="24"/>
          <w:szCs w:val="24"/>
        </w:rPr>
        <w:t>a (el 90,1%) consumía como mínimo tres comidas diarias. A junio de 2022, se tiene que dicha proporción se redujo a 8 de cada 10 hogares (el 77,3%), lo que representa una caída de 16,3% de hogares en situación de inseguridad alimentaria. Para junio de 2023,</w:t>
      </w:r>
      <w:r>
        <w:rPr>
          <w:rFonts w:ascii="Arial Narrow" w:eastAsia="Arial Narrow" w:hAnsi="Arial Narrow" w:cs="Arial Narrow"/>
          <w:sz w:val="24"/>
          <w:szCs w:val="24"/>
        </w:rPr>
        <w:t xml:space="preserve"> apenas un 69,1% de los hogares consumía tres comidas diarias, evidenciando una variación anual negativa de 7%. Vale la pena anotar que más de 10 de las 23 ciudades objeto de análisis por parte del DANE se encuentran por debajo de la media nacional.</w:t>
      </w:r>
    </w:p>
    <w:p w:rsidR="00267187" w:rsidRDefault="002B2E2D">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Se pre</w:t>
      </w:r>
      <w:r>
        <w:rPr>
          <w:rFonts w:ascii="Arial Narrow" w:eastAsia="Arial Narrow" w:hAnsi="Arial Narrow" w:cs="Arial Narrow"/>
          <w:sz w:val="24"/>
          <w:szCs w:val="24"/>
        </w:rPr>
        <w:t>senta una notoria disminución en el número de comidas diarias entre antes de la medida de aislamiento preventivo por Covid-19, junio de 2022 y junio de 2023. A pesar de que han existido diversas estrategias tendientes a mitigar la grave crisis económica qu</w:t>
      </w:r>
      <w:r>
        <w:rPr>
          <w:rFonts w:ascii="Arial Narrow" w:eastAsia="Arial Narrow" w:hAnsi="Arial Narrow" w:cs="Arial Narrow"/>
          <w:sz w:val="24"/>
          <w:szCs w:val="24"/>
        </w:rPr>
        <w:t>e enfrentan la mayoría de los hogares colombianos, en materia de acceso a alimentos suficientes por parte de los hogares queda un enorme camino por recorrer. Entre los resultados de la encuesta del DANE en cuanto a seguridad alimentaria, se evidenció que d</w:t>
      </w:r>
      <w:r>
        <w:rPr>
          <w:rFonts w:ascii="Arial Narrow" w:eastAsia="Arial Narrow" w:hAnsi="Arial Narrow" w:cs="Arial Narrow"/>
          <w:sz w:val="24"/>
          <w:szCs w:val="24"/>
        </w:rPr>
        <w:t>urante e incluso luego de la pandemia, son cada vez menos los hogares que pueden acceder a las 3 comidas diarias.  Así, se estableció que, en junio de 2023, 29% de los encuestados consume 2 comidas y 1,0% consume 1 al día.</w:t>
      </w:r>
    </w:p>
    <w:p w:rsidR="00267187" w:rsidRDefault="002B2E2D">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Por su parte, el 69,1% de la pobl</w:t>
      </w:r>
      <w:r>
        <w:rPr>
          <w:rFonts w:ascii="Arial Narrow" w:eastAsia="Arial Narrow" w:hAnsi="Arial Narrow" w:cs="Arial Narrow"/>
          <w:sz w:val="24"/>
          <w:szCs w:val="24"/>
        </w:rPr>
        <w:t>ación total logró acceder a 3 comidas al día. Esta cifra es bien preocupante, en cuanto refleja la difícil situación de los colombianos, quienes antes de la pandemia, para marzo 2019, 93,4% de ellos, accedían a 3 comidas al día.</w:t>
      </w:r>
    </w:p>
    <w:p w:rsidR="00267187" w:rsidRDefault="002B2E2D">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El panorama anteriormente e</w:t>
      </w:r>
      <w:r>
        <w:rPr>
          <w:rFonts w:ascii="Arial Narrow" w:eastAsia="Arial Narrow" w:hAnsi="Arial Narrow" w:cs="Arial Narrow"/>
          <w:sz w:val="24"/>
          <w:szCs w:val="24"/>
        </w:rPr>
        <w:t xml:space="preserve">sbozado se ha agravado. Sin embargo, no pueden dejarse de lado las cifras que nos brindaba la Encuesta de Situación Nutricional (ENSIN, 2015), previa a la pandemia, cuyos resultados son francamente preocupantes: En Colombia, previo a la pandemia, el 54,2% </w:t>
      </w:r>
      <w:r>
        <w:rPr>
          <w:rFonts w:ascii="Arial Narrow" w:eastAsia="Arial Narrow" w:hAnsi="Arial Narrow" w:cs="Arial Narrow"/>
          <w:sz w:val="24"/>
          <w:szCs w:val="24"/>
        </w:rPr>
        <w:t>de los hogares se encuentran en situación de inseguridad alimentaria (ISAH)</w:t>
      </w:r>
      <w:r>
        <w:rPr>
          <w:rFonts w:ascii="Arial Narrow" w:eastAsia="Arial Narrow" w:hAnsi="Arial Narrow" w:cs="Arial Narrow"/>
          <w:sz w:val="24"/>
          <w:szCs w:val="24"/>
          <w:vertAlign w:val="superscript"/>
        </w:rPr>
        <w:t>1</w:t>
      </w:r>
      <w:r>
        <w:rPr>
          <w:rFonts w:ascii="Arial Narrow" w:eastAsia="Arial Narrow" w:hAnsi="Arial Narrow" w:cs="Arial Narrow"/>
          <w:sz w:val="24"/>
          <w:szCs w:val="24"/>
        </w:rPr>
        <w:t xml:space="preserve"> (39,1% en inseguridad alimentaria leve, 13,8% moderada y 8,5% severa).</w:t>
      </w:r>
    </w:p>
    <w:p w:rsidR="00267187" w:rsidRDefault="002B2E2D">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Esta información se puede desagregar en diferentes variables, a saber: </w:t>
      </w:r>
      <w:r>
        <w:rPr>
          <w:rFonts w:ascii="Arial Narrow" w:eastAsia="Arial Narrow" w:hAnsi="Arial Narrow" w:cs="Arial Narrow"/>
          <w:b/>
          <w:sz w:val="24"/>
          <w:szCs w:val="24"/>
        </w:rPr>
        <w:t>(1)</w:t>
      </w:r>
      <w:r>
        <w:rPr>
          <w:rFonts w:ascii="Arial Narrow" w:eastAsia="Arial Narrow" w:hAnsi="Arial Narrow" w:cs="Arial Narrow"/>
          <w:sz w:val="24"/>
          <w:szCs w:val="24"/>
        </w:rPr>
        <w:t xml:space="preserve"> </w:t>
      </w:r>
      <w:r>
        <w:rPr>
          <w:rFonts w:ascii="Arial Narrow" w:eastAsia="Arial Narrow" w:hAnsi="Arial Narrow" w:cs="Arial Narrow"/>
          <w:b/>
          <w:sz w:val="24"/>
          <w:szCs w:val="24"/>
        </w:rPr>
        <w:t>Género:</w:t>
      </w:r>
      <w:r>
        <w:rPr>
          <w:rFonts w:ascii="Arial Narrow" w:eastAsia="Arial Narrow" w:hAnsi="Arial Narrow" w:cs="Arial Narrow"/>
          <w:sz w:val="24"/>
          <w:szCs w:val="24"/>
        </w:rPr>
        <w:t xml:space="preserve"> de los hogares que se encuentran en esta situación, se tiene que el 57% tienen una jefatura femenina y un 52% tienen a un hombre en cabeza del hogar; </w:t>
      </w:r>
      <w:r>
        <w:rPr>
          <w:rFonts w:ascii="Arial Narrow" w:eastAsia="Arial Narrow" w:hAnsi="Arial Narrow" w:cs="Arial Narrow"/>
          <w:b/>
          <w:sz w:val="24"/>
          <w:szCs w:val="24"/>
        </w:rPr>
        <w:t xml:space="preserve">(2) Pertenencia étnica: </w:t>
      </w:r>
      <w:r>
        <w:rPr>
          <w:rFonts w:ascii="Arial Narrow" w:eastAsia="Arial Narrow" w:hAnsi="Arial Narrow" w:cs="Arial Narrow"/>
          <w:sz w:val="24"/>
          <w:szCs w:val="24"/>
        </w:rPr>
        <w:t>77% de los hogares indígenas se encuentran en inseguridad alimentaria. Esta condi</w:t>
      </w:r>
      <w:r>
        <w:rPr>
          <w:rFonts w:ascii="Arial Narrow" w:eastAsia="Arial Narrow" w:hAnsi="Arial Narrow" w:cs="Arial Narrow"/>
          <w:sz w:val="24"/>
          <w:szCs w:val="24"/>
        </w:rPr>
        <w:t xml:space="preserve">ción se replica para el 68.9% de los hogares afrodescendientes y para el reseñado 54.2% de los hogares que se consideran sin pertenencia étnica; </w:t>
      </w:r>
      <w:r>
        <w:rPr>
          <w:rFonts w:ascii="Arial Narrow" w:eastAsia="Arial Narrow" w:hAnsi="Arial Narrow" w:cs="Arial Narrow"/>
          <w:b/>
          <w:sz w:val="24"/>
          <w:szCs w:val="24"/>
        </w:rPr>
        <w:t xml:space="preserve">(3) Regiones: </w:t>
      </w:r>
      <w:r>
        <w:rPr>
          <w:rFonts w:ascii="Arial Narrow" w:eastAsia="Arial Narrow" w:hAnsi="Arial Narrow" w:cs="Arial Narrow"/>
          <w:sz w:val="24"/>
          <w:szCs w:val="24"/>
        </w:rPr>
        <w:t>La inseguridad alimentaria de los hogares en las regiones se reporta de la siguiente forma: 65% d</w:t>
      </w:r>
      <w:r>
        <w:rPr>
          <w:rFonts w:ascii="Arial Narrow" w:eastAsia="Arial Narrow" w:hAnsi="Arial Narrow" w:cs="Arial Narrow"/>
          <w:sz w:val="24"/>
          <w:szCs w:val="24"/>
        </w:rPr>
        <w:t xml:space="preserve">el total de los hogares de la región atlántica; 64% de la región de la Orinoquia y la Amazonia; 57.4% de la Pacífica; 52% de la Oriental; 50,2% en Bogotá y 49.3% en la Central; </w:t>
      </w:r>
      <w:r>
        <w:rPr>
          <w:rFonts w:ascii="Arial Narrow" w:eastAsia="Arial Narrow" w:hAnsi="Arial Narrow" w:cs="Arial Narrow"/>
          <w:b/>
          <w:sz w:val="24"/>
          <w:szCs w:val="24"/>
        </w:rPr>
        <w:t xml:space="preserve">(4) Índice de riqueza: </w:t>
      </w:r>
      <w:r>
        <w:rPr>
          <w:rFonts w:ascii="Arial Narrow" w:eastAsia="Arial Narrow" w:hAnsi="Arial Narrow" w:cs="Arial Narrow"/>
          <w:sz w:val="24"/>
          <w:szCs w:val="24"/>
        </w:rPr>
        <w:t>71.2% de los hogares con ingresos más bajos se encuentra</w:t>
      </w:r>
      <w:r>
        <w:rPr>
          <w:rFonts w:ascii="Arial Narrow" w:eastAsia="Arial Narrow" w:hAnsi="Arial Narrow" w:cs="Arial Narrow"/>
          <w:sz w:val="24"/>
          <w:szCs w:val="24"/>
        </w:rPr>
        <w:t>n en situación de inseguridad alimentaria; esta situación se replica para el 62.7% de quienes reportan índice de riqueza bajo; 49.3% de quienes reportan índice de riqueza medio y 33% de quienes reportan ingresos altos.</w:t>
      </w:r>
    </w:p>
    <w:p w:rsidR="00267187" w:rsidRDefault="002B2E2D">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lo que respecta a la situación de </w:t>
      </w:r>
      <w:r>
        <w:rPr>
          <w:rFonts w:ascii="Arial Narrow" w:eastAsia="Arial Narrow" w:hAnsi="Arial Narrow" w:cs="Arial Narrow"/>
          <w:sz w:val="24"/>
          <w:szCs w:val="24"/>
        </w:rPr>
        <w:t>la infancia y la niñez, la ENSIN (2015) resalta que La desnutrición crónica (que mide el retraso en la talla para la edad) se situó en un 10,8% y la desnutrición aguda en menores de 5 años se ubicó en 2,3%, muy por encima del 0.9% evidenciado en la ENSIN (</w:t>
      </w:r>
      <w:r>
        <w:rPr>
          <w:rFonts w:ascii="Arial Narrow" w:eastAsia="Arial Narrow" w:hAnsi="Arial Narrow" w:cs="Arial Narrow"/>
          <w:sz w:val="24"/>
          <w:szCs w:val="24"/>
        </w:rPr>
        <w:t xml:space="preserve">2010). </w:t>
      </w:r>
    </w:p>
    <w:p w:rsidR="00267187" w:rsidRDefault="002B2E2D">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Ahora bien, la anterior situación se contrasta con el más reciente informe de la FAO, sobre seguridad alimentaria y nutrición</w:t>
      </w:r>
      <w:r>
        <w:rPr>
          <w:rFonts w:ascii="Arial Narrow" w:eastAsia="Arial Narrow" w:hAnsi="Arial Narrow" w:cs="Arial Narrow"/>
          <w:sz w:val="24"/>
          <w:szCs w:val="24"/>
          <w:vertAlign w:val="superscript"/>
        </w:rPr>
        <w:footnoteReference w:id="2"/>
      </w:r>
      <w:r>
        <w:rPr>
          <w:rFonts w:ascii="Arial Narrow" w:eastAsia="Arial Narrow" w:hAnsi="Arial Narrow" w:cs="Arial Narrow"/>
          <w:sz w:val="24"/>
          <w:szCs w:val="24"/>
        </w:rPr>
        <w:t>. De acuerdo con esta organización internacional, el 6.5% de los colombianos están en condición de hambre, ubicando al paí</w:t>
      </w:r>
      <w:r>
        <w:rPr>
          <w:rFonts w:ascii="Arial Narrow" w:eastAsia="Arial Narrow" w:hAnsi="Arial Narrow" w:cs="Arial Narrow"/>
          <w:sz w:val="24"/>
          <w:szCs w:val="24"/>
        </w:rPr>
        <w:t>s en un lugar vergonzoso, por encima de la media regional, situado en un 6,1%. En cuanto a desnutrición global, que marca el peso para la edad, se tiene que ésta afecta a 3,7% de los menores del país.</w:t>
      </w:r>
    </w:p>
    <w:p w:rsidR="00267187" w:rsidRDefault="002B2E2D">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En lo que respecta a los menores de 5 a 12 años se tien</w:t>
      </w:r>
      <w:r>
        <w:rPr>
          <w:rFonts w:ascii="Arial Narrow" w:eastAsia="Arial Narrow" w:hAnsi="Arial Narrow" w:cs="Arial Narrow"/>
          <w:sz w:val="24"/>
          <w:szCs w:val="24"/>
        </w:rPr>
        <w:t>e que 7 de cada 100 menores en edad escolar presentan desnutrición crónica. Situación que es más grave para los menores indígenas, donde 30 de cada 100 menores presentan este problema, mientras que esta situación se extiende a 11 de cada 100 niños de los h</w:t>
      </w:r>
      <w:r>
        <w:rPr>
          <w:rFonts w:ascii="Arial Narrow" w:eastAsia="Arial Narrow" w:hAnsi="Arial Narrow" w:cs="Arial Narrow"/>
          <w:sz w:val="24"/>
          <w:szCs w:val="24"/>
        </w:rPr>
        <w:t>ogares más pobres del país.</w:t>
      </w:r>
    </w:p>
    <w:p w:rsidR="00267187" w:rsidRDefault="002B2E2D">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t>Por su parte, la Encuesta Nacional de Calidad de Vida realizada para 2022 por el DANE reveló que la inseguridad alimentaria moderada o grave es el 28,1 % y alcanza el 32,5 % en centros poblados y rurales dispersos.</w:t>
      </w:r>
    </w:p>
    <w:p w:rsidR="00267187" w:rsidRDefault="002B2E2D">
      <w:pPr>
        <w:shd w:val="clear" w:color="auto" w:fill="FFFFFF"/>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Teniendo en c</w:t>
      </w:r>
      <w:r>
        <w:rPr>
          <w:rFonts w:ascii="Arial Narrow" w:eastAsia="Arial Narrow" w:hAnsi="Arial Narrow" w:cs="Arial Narrow"/>
          <w:sz w:val="24"/>
          <w:szCs w:val="24"/>
        </w:rPr>
        <w:t>uenta la situación anteriormente descrita, y reiterando que el derecho a la alimentación es considerado un derecho humano en el derecho internacional de los derechos humanos, se presenta nuevamente esta iniciativa que busca consagrar en la Constitución Pol</w:t>
      </w:r>
      <w:r>
        <w:rPr>
          <w:rFonts w:ascii="Arial Narrow" w:eastAsia="Arial Narrow" w:hAnsi="Arial Narrow" w:cs="Arial Narrow"/>
          <w:sz w:val="24"/>
          <w:szCs w:val="24"/>
        </w:rPr>
        <w:t>ítica de manera expresa el derecho a la alimentación adecuada y el deber del Estado de garantizarlo de manera progresiva.</w:t>
      </w:r>
    </w:p>
    <w:p w:rsidR="00267187" w:rsidRDefault="002B2E2D">
      <w:pPr>
        <w:pBdr>
          <w:top w:val="single" w:sz="4" w:space="0" w:color="000000"/>
          <w:left w:val="single" w:sz="4" w:space="0" w:color="000000"/>
          <w:bottom w:val="single" w:sz="4" w:space="0" w:color="000000"/>
          <w:right w:val="single" w:sz="4" w:space="0" w:color="000000"/>
        </w:pBdr>
        <w:ind w:hanging="2"/>
        <w:jc w:val="center"/>
        <w:rPr>
          <w:rFonts w:ascii="Arial Narrow" w:eastAsia="Arial Narrow" w:hAnsi="Arial Narrow" w:cs="Arial Narrow"/>
          <w:sz w:val="24"/>
          <w:szCs w:val="24"/>
        </w:rPr>
      </w:pPr>
      <w:r>
        <w:rPr>
          <w:rFonts w:ascii="Arial Narrow" w:eastAsia="Arial Narrow" w:hAnsi="Arial Narrow" w:cs="Arial Narrow"/>
          <w:b/>
          <w:sz w:val="24"/>
          <w:szCs w:val="24"/>
        </w:rPr>
        <w:t>MARCO JURÍDICO</w:t>
      </w:r>
    </w:p>
    <w:p w:rsidR="00267187" w:rsidRDefault="002B2E2D">
      <w:pPr>
        <w:numPr>
          <w:ilvl w:val="0"/>
          <w:numId w:val="3"/>
        </w:numPr>
        <w:spacing w:before="85" w:after="57"/>
        <w:jc w:val="both"/>
        <w:rPr>
          <w:rFonts w:ascii="Arial Narrow" w:eastAsia="Arial Narrow" w:hAnsi="Arial Narrow" w:cs="Arial Narrow"/>
          <w:b/>
          <w:sz w:val="24"/>
          <w:szCs w:val="24"/>
        </w:rPr>
      </w:pPr>
      <w:r>
        <w:rPr>
          <w:rFonts w:ascii="Arial Narrow" w:eastAsia="Arial Narrow" w:hAnsi="Arial Narrow" w:cs="Arial Narrow"/>
          <w:b/>
          <w:sz w:val="24"/>
          <w:szCs w:val="24"/>
        </w:rPr>
        <w:t>Referencia al Sistema Internacional de los Derechos Humanos y al Derecho Humano a la Alimentación</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Derechos Humanos </w:t>
      </w:r>
      <w:r>
        <w:rPr>
          <w:rFonts w:ascii="Arial Narrow" w:eastAsia="Arial Narrow" w:hAnsi="Arial Narrow" w:cs="Arial Narrow"/>
          <w:sz w:val="24"/>
          <w:szCs w:val="24"/>
        </w:rPr>
        <w:t xml:space="preserve">se constituyen como aquellas prerrogativas que resultan ser inherentes al ser humano en tanto miembro perteneciente a la especie. El goce de los mismos debe garantizarse y protegerse sin distinción alguna de nacionalidad, lugar de residencia, sexo, origen </w:t>
      </w:r>
      <w:r>
        <w:rPr>
          <w:rFonts w:ascii="Arial Narrow" w:eastAsia="Arial Narrow" w:hAnsi="Arial Narrow" w:cs="Arial Narrow"/>
          <w:sz w:val="24"/>
          <w:szCs w:val="24"/>
        </w:rPr>
        <w:t>nacional o étnico, color, religión, lengua, o cualquier otra condición</w:t>
      </w:r>
      <w:r>
        <w:rPr>
          <w:rFonts w:ascii="Arial Narrow" w:eastAsia="Arial Narrow" w:hAnsi="Arial Narrow" w:cs="Arial Narrow"/>
          <w:sz w:val="24"/>
          <w:szCs w:val="24"/>
          <w:vertAlign w:val="superscript"/>
        </w:rPr>
        <w:footnoteReference w:id="3"/>
      </w:r>
      <w:r>
        <w:rPr>
          <w:rFonts w:ascii="Arial Narrow" w:eastAsia="Arial Narrow" w:hAnsi="Arial Narrow" w:cs="Arial Narrow"/>
          <w:sz w:val="24"/>
          <w:szCs w:val="24"/>
        </w:rPr>
        <w:t>. De esta forma, todo ser humano es titular y debe gozar de estos derechos en igualdad y sin discriminación</w:t>
      </w:r>
      <w:r>
        <w:rPr>
          <w:rFonts w:ascii="Arial Narrow" w:eastAsia="Arial Narrow" w:hAnsi="Arial Narrow" w:cs="Arial Narrow"/>
          <w:sz w:val="24"/>
          <w:szCs w:val="24"/>
          <w:vertAlign w:val="superscript"/>
        </w:rPr>
        <w:footnoteReference w:id="4"/>
      </w:r>
      <w:r>
        <w:rPr>
          <w:rFonts w:ascii="Arial Narrow" w:eastAsia="Arial Narrow" w:hAnsi="Arial Narrow" w:cs="Arial Narrow"/>
          <w:sz w:val="24"/>
          <w:szCs w:val="24"/>
        </w:rPr>
        <w:t>. Estos derechos son universales</w:t>
      </w:r>
      <w:r>
        <w:rPr>
          <w:rFonts w:ascii="Arial Narrow" w:eastAsia="Arial Narrow" w:hAnsi="Arial Narrow" w:cs="Arial Narrow"/>
          <w:sz w:val="24"/>
          <w:szCs w:val="24"/>
          <w:vertAlign w:val="superscript"/>
        </w:rPr>
        <w:footnoteReference w:id="5"/>
      </w:r>
      <w:r>
        <w:rPr>
          <w:rFonts w:ascii="Arial Narrow" w:eastAsia="Arial Narrow" w:hAnsi="Arial Narrow" w:cs="Arial Narrow"/>
          <w:sz w:val="24"/>
          <w:szCs w:val="24"/>
        </w:rPr>
        <w:t xml:space="preserve"> e inalienables</w:t>
      </w:r>
      <w:r>
        <w:rPr>
          <w:rFonts w:ascii="Arial Narrow" w:eastAsia="Arial Narrow" w:hAnsi="Arial Narrow" w:cs="Arial Narrow"/>
          <w:sz w:val="24"/>
          <w:szCs w:val="24"/>
          <w:vertAlign w:val="superscript"/>
        </w:rPr>
        <w:footnoteReference w:id="6"/>
      </w:r>
      <w:r>
        <w:rPr>
          <w:rFonts w:ascii="Arial Narrow" w:eastAsia="Arial Narrow" w:hAnsi="Arial Narrow" w:cs="Arial Narrow"/>
          <w:sz w:val="24"/>
          <w:szCs w:val="24"/>
        </w:rPr>
        <w:t>. Así mismo, se consideran e</w:t>
      </w:r>
      <w:r>
        <w:rPr>
          <w:rFonts w:ascii="Arial Narrow" w:eastAsia="Arial Narrow" w:hAnsi="Arial Narrow" w:cs="Arial Narrow"/>
          <w:sz w:val="24"/>
          <w:szCs w:val="24"/>
        </w:rPr>
        <w:t>n todo caso interrelacionados, interdependientes e indivisibles</w:t>
      </w:r>
      <w:r>
        <w:rPr>
          <w:rFonts w:ascii="Arial Narrow" w:eastAsia="Arial Narrow" w:hAnsi="Arial Narrow" w:cs="Arial Narrow"/>
          <w:sz w:val="24"/>
          <w:szCs w:val="24"/>
          <w:vertAlign w:val="superscript"/>
        </w:rPr>
        <w:footnoteReference w:id="7"/>
      </w:r>
      <w:r>
        <w:rPr>
          <w:rFonts w:ascii="Arial Narrow" w:eastAsia="Arial Narrow" w:hAnsi="Arial Narrow" w:cs="Arial Narrow"/>
          <w:sz w:val="24"/>
          <w:szCs w:val="24"/>
        </w:rPr>
        <w:t>. Ahora, pese a estar contemplados en la denominada Carta Internacional de los Derechos Humanos</w:t>
      </w:r>
      <w:r>
        <w:rPr>
          <w:rFonts w:ascii="Arial Narrow" w:eastAsia="Arial Narrow" w:hAnsi="Arial Narrow" w:cs="Arial Narrow"/>
          <w:sz w:val="24"/>
          <w:szCs w:val="24"/>
          <w:vertAlign w:val="superscript"/>
        </w:rPr>
        <w:footnoteReference w:id="8"/>
      </w:r>
      <w:r>
        <w:rPr>
          <w:rFonts w:ascii="Arial Narrow" w:eastAsia="Arial Narrow" w:hAnsi="Arial Narrow" w:cs="Arial Narrow"/>
          <w:sz w:val="24"/>
          <w:szCs w:val="24"/>
        </w:rPr>
        <w:t>, compuesta por la Declaración Universal de los Derechos Humanos de 1948 y por los sucesivos Pac</w:t>
      </w:r>
      <w:r>
        <w:rPr>
          <w:rFonts w:ascii="Arial Narrow" w:eastAsia="Arial Narrow" w:hAnsi="Arial Narrow" w:cs="Arial Narrow"/>
          <w:sz w:val="24"/>
          <w:szCs w:val="24"/>
        </w:rPr>
        <w:t xml:space="preserve">tos a los que se hará referencia a continuación, doctrinalmente, los Derechos Humanos se han categorizado  en tres grupos, a saber: Derechos Civiles y Políticos o de primera generación, los cuales se encuentran contenidos tanto en la Declaración Universal </w:t>
      </w:r>
      <w:r>
        <w:rPr>
          <w:rFonts w:ascii="Arial Narrow" w:eastAsia="Arial Narrow" w:hAnsi="Arial Narrow" w:cs="Arial Narrow"/>
          <w:sz w:val="24"/>
          <w:szCs w:val="24"/>
        </w:rPr>
        <w:t xml:space="preserve">de los Derechos Humanos de </w:t>
      </w:r>
      <w:r>
        <w:rPr>
          <w:rFonts w:ascii="Arial Narrow" w:eastAsia="Arial Narrow" w:hAnsi="Arial Narrow" w:cs="Arial Narrow"/>
          <w:sz w:val="24"/>
          <w:szCs w:val="24"/>
        </w:rPr>
        <w:lastRenderedPageBreak/>
        <w:t>1948, de manera general, como en el Pacto Internacional de Derechos Civiles y Políticos de 1966; Derechos Económicos, Sociales y Culturales o de segunda generación, los cuales se encuentran consagrados ya en la Declaración Univer</w:t>
      </w:r>
      <w:r>
        <w:rPr>
          <w:rFonts w:ascii="Arial Narrow" w:eastAsia="Arial Narrow" w:hAnsi="Arial Narrow" w:cs="Arial Narrow"/>
          <w:sz w:val="24"/>
          <w:szCs w:val="24"/>
        </w:rPr>
        <w:t xml:space="preserve">sal de los Derechos Humanos de 1948, </w:t>
      </w:r>
      <w:r>
        <w:rPr>
          <w:rFonts w:ascii="Arial Narrow" w:eastAsia="Arial Narrow" w:hAnsi="Arial Narrow" w:cs="Arial Narrow"/>
          <w:i/>
          <w:sz w:val="24"/>
          <w:szCs w:val="24"/>
        </w:rPr>
        <w:t>grosso modo</w:t>
      </w:r>
      <w:r>
        <w:rPr>
          <w:rFonts w:ascii="Arial Narrow" w:eastAsia="Arial Narrow" w:hAnsi="Arial Narrow" w:cs="Arial Narrow"/>
          <w:sz w:val="24"/>
          <w:szCs w:val="24"/>
        </w:rPr>
        <w:t>, como en el Pacto Internacional de Derechos Económicos, Sociales y Culturales de 1966; y Derechos Colectivos o de tercera generación</w:t>
      </w:r>
      <w:r>
        <w:rPr>
          <w:rFonts w:ascii="Arial Narrow" w:eastAsia="Arial Narrow" w:hAnsi="Arial Narrow" w:cs="Arial Narrow"/>
          <w:sz w:val="24"/>
          <w:szCs w:val="24"/>
          <w:vertAlign w:val="superscript"/>
        </w:rPr>
        <w:footnoteReference w:id="9"/>
      </w:r>
      <w:r>
        <w:rPr>
          <w:rFonts w:ascii="Arial Narrow" w:eastAsia="Arial Narrow" w:hAnsi="Arial Narrow" w:cs="Arial Narrow"/>
          <w:sz w:val="24"/>
          <w:szCs w:val="24"/>
        </w:rPr>
        <w:t>.  Al respecto, es menester resaltar nuevamente la interdependencia y unid</w:t>
      </w:r>
      <w:r>
        <w:rPr>
          <w:rFonts w:ascii="Arial Narrow" w:eastAsia="Arial Narrow" w:hAnsi="Arial Narrow" w:cs="Arial Narrow"/>
          <w:sz w:val="24"/>
          <w:szCs w:val="24"/>
        </w:rPr>
        <w:t>ad de los Derechos Humanos</w:t>
      </w:r>
      <w:r>
        <w:rPr>
          <w:rFonts w:ascii="Arial Narrow" w:eastAsia="Arial Narrow" w:hAnsi="Arial Narrow" w:cs="Arial Narrow"/>
          <w:sz w:val="24"/>
          <w:szCs w:val="24"/>
          <w:vertAlign w:val="superscript"/>
        </w:rPr>
        <w:footnoteReference w:id="10"/>
      </w:r>
      <w:r>
        <w:rPr>
          <w:rFonts w:ascii="Arial Narrow" w:eastAsia="Arial Narrow" w:hAnsi="Arial Narrow" w:cs="Arial Narrow"/>
          <w:sz w:val="24"/>
          <w:szCs w:val="24"/>
        </w:rPr>
        <w:t>, la cual cobra especial importancia, de conformidad con la Corte Constitucional, en el marco de un Estado Social de Derecho, fórmula acogida por la Constitución Política de 1991</w:t>
      </w:r>
      <w:r>
        <w:rPr>
          <w:rFonts w:ascii="Arial Narrow" w:eastAsia="Arial Narrow" w:hAnsi="Arial Narrow" w:cs="Arial Narrow"/>
          <w:sz w:val="24"/>
          <w:szCs w:val="24"/>
          <w:vertAlign w:val="superscript"/>
        </w:rPr>
        <w:footnoteReference w:id="11"/>
      </w:r>
      <w:r>
        <w:rPr>
          <w:rFonts w:ascii="Arial Narrow" w:eastAsia="Arial Narrow" w:hAnsi="Arial Narrow" w:cs="Arial Narrow"/>
          <w:sz w:val="24"/>
          <w:szCs w:val="24"/>
        </w:rPr>
        <w:t>.</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Del mismo modo, es preciso anotar que los Derech</w:t>
      </w:r>
      <w:r>
        <w:rPr>
          <w:rFonts w:ascii="Arial Narrow" w:eastAsia="Arial Narrow" w:hAnsi="Arial Narrow" w:cs="Arial Narrow"/>
          <w:sz w:val="24"/>
          <w:szCs w:val="24"/>
        </w:rPr>
        <w:t>os Humanos representan los valores universales y constituyen imperativos éticos destinados a salvaguardar la dignidad de cada ser humano mediante el establecimiento de normas, lineamientos y procedimientos tendientes al aseguramiento y garantía de la preci</w:t>
      </w:r>
      <w:r>
        <w:rPr>
          <w:rFonts w:ascii="Arial Narrow" w:eastAsia="Arial Narrow" w:hAnsi="Arial Narrow" w:cs="Arial Narrow"/>
          <w:sz w:val="24"/>
          <w:szCs w:val="24"/>
        </w:rPr>
        <w:t>tada finalidad</w:t>
      </w:r>
      <w:r>
        <w:rPr>
          <w:rFonts w:ascii="Arial Narrow" w:eastAsia="Arial Narrow" w:hAnsi="Arial Narrow" w:cs="Arial Narrow"/>
          <w:sz w:val="24"/>
          <w:szCs w:val="24"/>
          <w:vertAlign w:val="superscript"/>
        </w:rPr>
        <w:footnoteReference w:id="12"/>
      </w:r>
      <w:r>
        <w:rPr>
          <w:rFonts w:ascii="Arial Narrow" w:eastAsia="Arial Narrow" w:hAnsi="Arial Narrow" w:cs="Arial Narrow"/>
          <w:sz w:val="24"/>
          <w:szCs w:val="24"/>
        </w:rPr>
        <w:t>.</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 xml:space="preserve">Al respecto, es menester resaltar que el Derecho Internacional de los Derechos Humanos impone a los Estados obligaciones positivas y negativas, entendidas en todo caso como obligaciones destinadas </w:t>
      </w:r>
      <w:r>
        <w:rPr>
          <w:rFonts w:ascii="Arial Narrow" w:eastAsia="Arial Narrow" w:hAnsi="Arial Narrow" w:cs="Arial Narrow"/>
          <w:sz w:val="24"/>
          <w:szCs w:val="24"/>
        </w:rPr>
        <w:lastRenderedPageBreak/>
        <w:t>al respeto</w:t>
      </w:r>
      <w:r>
        <w:rPr>
          <w:rFonts w:ascii="Arial Narrow" w:eastAsia="Arial Narrow" w:hAnsi="Arial Narrow" w:cs="Arial Narrow"/>
          <w:sz w:val="24"/>
          <w:szCs w:val="24"/>
          <w:vertAlign w:val="superscript"/>
        </w:rPr>
        <w:footnoteReference w:id="13"/>
      </w:r>
      <w:r>
        <w:rPr>
          <w:rFonts w:ascii="Arial Narrow" w:eastAsia="Arial Narrow" w:hAnsi="Arial Narrow" w:cs="Arial Narrow"/>
          <w:sz w:val="24"/>
          <w:szCs w:val="24"/>
        </w:rPr>
        <w:t>, protección</w:t>
      </w:r>
      <w:r>
        <w:rPr>
          <w:rFonts w:ascii="Arial Narrow" w:eastAsia="Arial Narrow" w:hAnsi="Arial Narrow" w:cs="Arial Narrow"/>
          <w:sz w:val="24"/>
          <w:szCs w:val="24"/>
          <w:vertAlign w:val="superscript"/>
        </w:rPr>
        <w:footnoteReference w:id="14"/>
      </w:r>
      <w:r>
        <w:rPr>
          <w:rFonts w:ascii="Arial Narrow" w:eastAsia="Arial Narrow" w:hAnsi="Arial Narrow" w:cs="Arial Narrow"/>
          <w:sz w:val="24"/>
          <w:szCs w:val="24"/>
        </w:rPr>
        <w:t xml:space="preserve"> y realización</w:t>
      </w:r>
      <w:r>
        <w:rPr>
          <w:rFonts w:ascii="Arial Narrow" w:eastAsia="Arial Narrow" w:hAnsi="Arial Narrow" w:cs="Arial Narrow"/>
          <w:sz w:val="24"/>
          <w:szCs w:val="24"/>
          <w:vertAlign w:val="superscript"/>
        </w:rPr>
        <w:footnoteReference w:id="15"/>
      </w:r>
      <w:r>
        <w:rPr>
          <w:rFonts w:ascii="Arial Narrow" w:eastAsia="Arial Narrow" w:hAnsi="Arial Narrow" w:cs="Arial Narrow"/>
          <w:sz w:val="24"/>
          <w:szCs w:val="24"/>
        </w:rPr>
        <w:t xml:space="preserve"> de los mismos. Es precisamente en atención a los precitados deberes, de los cuales el Estado colombiano es titular de garantizar el Derecho Humano a la alimentación y la nutrición adecuada.</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En ese sentido, vale la pena resaltar que los diversos instrument</w:t>
      </w:r>
      <w:r>
        <w:rPr>
          <w:rFonts w:ascii="Arial Narrow" w:eastAsia="Arial Narrow" w:hAnsi="Arial Narrow" w:cs="Arial Narrow"/>
          <w:sz w:val="24"/>
          <w:szCs w:val="24"/>
        </w:rPr>
        <w:t>os internacionales a los cuales se ha hecho referencia en la presente exposición de motivos han facultado a los Estados para que éstos adopten las medidas internas que consideren más apropiadas, de conformidad con sus contextos y realidades internas, con e</w:t>
      </w:r>
      <w:r>
        <w:rPr>
          <w:rFonts w:ascii="Arial Narrow" w:eastAsia="Arial Narrow" w:hAnsi="Arial Narrow" w:cs="Arial Narrow"/>
          <w:sz w:val="24"/>
          <w:szCs w:val="24"/>
        </w:rPr>
        <w:t>l propósito de lograr la efectiva realización de los Derechos contemplados en la Carta Internacional de Derechos Humanos y de los sucesivos instrumentos de carácter regional que consagran disposiciones similares</w:t>
      </w:r>
      <w:r>
        <w:rPr>
          <w:rFonts w:ascii="Arial Narrow" w:eastAsia="Arial Narrow" w:hAnsi="Arial Narrow" w:cs="Arial Narrow"/>
          <w:sz w:val="24"/>
          <w:szCs w:val="24"/>
          <w:vertAlign w:val="superscript"/>
        </w:rPr>
        <w:footnoteReference w:id="16"/>
      </w:r>
      <w:r>
        <w:rPr>
          <w:rFonts w:ascii="Arial Narrow" w:eastAsia="Arial Narrow" w:hAnsi="Arial Narrow" w:cs="Arial Narrow"/>
          <w:sz w:val="24"/>
          <w:szCs w:val="24"/>
        </w:rPr>
        <w:t xml:space="preserve">. </w:t>
      </w:r>
    </w:p>
    <w:p w:rsidR="00267187" w:rsidRDefault="00267187">
      <w:pPr>
        <w:spacing w:before="85" w:after="57"/>
        <w:jc w:val="both"/>
        <w:rPr>
          <w:rFonts w:ascii="Arial Narrow" w:eastAsia="Arial Narrow" w:hAnsi="Arial Narrow" w:cs="Arial Narrow"/>
          <w:sz w:val="24"/>
          <w:szCs w:val="24"/>
        </w:rPr>
      </w:pPr>
    </w:p>
    <w:p w:rsidR="00267187" w:rsidRDefault="002B2E2D">
      <w:pPr>
        <w:numPr>
          <w:ilvl w:val="0"/>
          <w:numId w:val="3"/>
        </w:numPr>
        <w:spacing w:before="85" w:after="57"/>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El Derecho Humano a la Alimentación com</w:t>
      </w:r>
      <w:r>
        <w:rPr>
          <w:rFonts w:ascii="Arial Narrow" w:eastAsia="Arial Narrow" w:hAnsi="Arial Narrow" w:cs="Arial Narrow"/>
          <w:b/>
          <w:sz w:val="24"/>
          <w:szCs w:val="24"/>
        </w:rPr>
        <w:t>o Derecho Económico, Social y Cultural (DESC).</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Respecto al derecho humano a la alimentación, que puede calificarse como el núcleo duro del presente proyecto de Ley, es pertinente resaltar que el mismo se ha considerado como parte de los denominados Derechos Económicos Sociales y Culturales y, en adició</w:t>
      </w:r>
      <w:r>
        <w:rPr>
          <w:rFonts w:ascii="Arial Narrow" w:eastAsia="Arial Narrow" w:hAnsi="Arial Narrow" w:cs="Arial Narrow"/>
          <w:sz w:val="24"/>
          <w:szCs w:val="24"/>
        </w:rPr>
        <w:t>n a lo anterior, ha sido aceptado universalmente. Así, éste se encuentra contemplado en diversos instrumentos y doctrina de Derecho Internacional relacionados con los Derechos Humanos, entre estos:</w:t>
      </w:r>
    </w:p>
    <w:p w:rsidR="00267187" w:rsidRDefault="002B2E2D">
      <w:pPr>
        <w:numPr>
          <w:ilvl w:val="0"/>
          <w:numId w:val="1"/>
        </w:num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El Artículo 25.1 de la Declaración Universal de los Derech</w:t>
      </w:r>
      <w:r>
        <w:rPr>
          <w:rFonts w:ascii="Arial Narrow" w:eastAsia="Arial Narrow" w:hAnsi="Arial Narrow" w:cs="Arial Narrow"/>
          <w:sz w:val="24"/>
          <w:szCs w:val="24"/>
        </w:rPr>
        <w:t>os Humanos de la Asamblea General de las Naciones Unidas de 1948</w:t>
      </w:r>
      <w:r>
        <w:rPr>
          <w:rFonts w:ascii="Arial Narrow" w:eastAsia="Arial Narrow" w:hAnsi="Arial Narrow" w:cs="Arial Narrow"/>
          <w:sz w:val="24"/>
          <w:szCs w:val="24"/>
          <w:vertAlign w:val="superscript"/>
        </w:rPr>
        <w:footnoteReference w:id="17"/>
      </w:r>
    </w:p>
    <w:p w:rsidR="00267187" w:rsidRDefault="002B2E2D">
      <w:pPr>
        <w:numPr>
          <w:ilvl w:val="0"/>
          <w:numId w:val="1"/>
        </w:num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El Artículo 11 Pacto Internacional de Derechos Económicos, Sociales y Culturales de 1966</w:t>
      </w:r>
      <w:r>
        <w:rPr>
          <w:rFonts w:ascii="Arial Narrow" w:eastAsia="Arial Narrow" w:hAnsi="Arial Narrow" w:cs="Arial Narrow"/>
          <w:sz w:val="24"/>
          <w:szCs w:val="24"/>
          <w:vertAlign w:val="superscript"/>
        </w:rPr>
        <w:footnoteReference w:id="18"/>
      </w:r>
      <w:r>
        <w:rPr>
          <w:rFonts w:ascii="Arial Narrow" w:eastAsia="Arial Narrow" w:hAnsi="Arial Narrow" w:cs="Arial Narrow"/>
          <w:sz w:val="24"/>
          <w:szCs w:val="24"/>
        </w:rPr>
        <w:t xml:space="preserve"> en conjunto con la Observación General No. 12 del Comité de Derechos Económicos, Sociales y Cultural</w:t>
      </w:r>
      <w:r>
        <w:rPr>
          <w:rFonts w:ascii="Arial Narrow" w:eastAsia="Arial Narrow" w:hAnsi="Arial Narrow" w:cs="Arial Narrow"/>
          <w:sz w:val="24"/>
          <w:szCs w:val="24"/>
        </w:rPr>
        <w:t>es de las Naciones Unidas</w:t>
      </w:r>
      <w:r>
        <w:rPr>
          <w:rFonts w:ascii="Arial Narrow" w:eastAsia="Arial Narrow" w:hAnsi="Arial Narrow" w:cs="Arial Narrow"/>
          <w:sz w:val="24"/>
          <w:szCs w:val="24"/>
          <w:vertAlign w:val="superscript"/>
        </w:rPr>
        <w:footnoteReference w:id="19"/>
      </w:r>
      <w:r>
        <w:rPr>
          <w:rFonts w:ascii="Arial Narrow" w:eastAsia="Arial Narrow" w:hAnsi="Arial Narrow" w:cs="Arial Narrow"/>
          <w:sz w:val="24"/>
          <w:szCs w:val="24"/>
        </w:rPr>
        <w:t xml:space="preserve">. </w:t>
      </w:r>
    </w:p>
    <w:p w:rsidR="00267187" w:rsidRDefault="002B2E2D">
      <w:pPr>
        <w:numPr>
          <w:ilvl w:val="0"/>
          <w:numId w:val="1"/>
        </w:num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El Artículo 24 de la Convención de los Derechos del Niño</w:t>
      </w:r>
      <w:r>
        <w:rPr>
          <w:rFonts w:ascii="Arial Narrow" w:eastAsia="Arial Narrow" w:hAnsi="Arial Narrow" w:cs="Arial Narrow"/>
          <w:sz w:val="24"/>
          <w:szCs w:val="24"/>
          <w:vertAlign w:val="superscript"/>
        </w:rPr>
        <w:footnoteReference w:id="20"/>
      </w:r>
    </w:p>
    <w:p w:rsidR="00267187" w:rsidRDefault="002B2E2D">
      <w:pPr>
        <w:numPr>
          <w:ilvl w:val="0"/>
          <w:numId w:val="1"/>
        </w:num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El Artículo 12.2 de la Convención sobre la Eliminación de Todas las Formas de Discriminación contra la Mujer</w:t>
      </w:r>
      <w:r>
        <w:rPr>
          <w:rFonts w:ascii="Arial Narrow" w:eastAsia="Arial Narrow" w:hAnsi="Arial Narrow" w:cs="Arial Narrow"/>
          <w:sz w:val="24"/>
          <w:szCs w:val="24"/>
          <w:vertAlign w:val="superscript"/>
        </w:rPr>
        <w:footnoteReference w:id="21"/>
      </w:r>
      <w:r>
        <w:rPr>
          <w:rFonts w:ascii="Arial Narrow" w:eastAsia="Arial Narrow" w:hAnsi="Arial Narrow" w:cs="Arial Narrow"/>
          <w:sz w:val="24"/>
          <w:szCs w:val="24"/>
        </w:rPr>
        <w:t>.</w:t>
      </w:r>
    </w:p>
    <w:p w:rsidR="00267187" w:rsidRDefault="002B2E2D">
      <w:pPr>
        <w:numPr>
          <w:ilvl w:val="0"/>
          <w:numId w:val="1"/>
        </w:num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El literal f del Artículo 25, en el contexto del derecho a</w:t>
      </w:r>
      <w:r>
        <w:rPr>
          <w:rFonts w:ascii="Arial Narrow" w:eastAsia="Arial Narrow" w:hAnsi="Arial Narrow" w:cs="Arial Narrow"/>
          <w:sz w:val="24"/>
          <w:szCs w:val="24"/>
        </w:rPr>
        <w:t xml:space="preserve"> la salud, y el literal l del artículo 28 en el contexto del derecho a un nivel de vida adecuado y a la protección social, de la Convención sobre los Derechos de las Personas con Discapacidad</w:t>
      </w:r>
      <w:r>
        <w:rPr>
          <w:rFonts w:ascii="Arial Narrow" w:eastAsia="Arial Narrow" w:hAnsi="Arial Narrow" w:cs="Arial Narrow"/>
          <w:sz w:val="24"/>
          <w:szCs w:val="24"/>
          <w:vertAlign w:val="superscript"/>
        </w:rPr>
        <w:footnoteReference w:id="22"/>
      </w:r>
      <w:r>
        <w:rPr>
          <w:rFonts w:ascii="Arial Narrow" w:eastAsia="Arial Narrow" w:hAnsi="Arial Narrow" w:cs="Arial Narrow"/>
          <w:sz w:val="24"/>
          <w:szCs w:val="24"/>
        </w:rPr>
        <w:t xml:space="preserve">. </w:t>
      </w:r>
    </w:p>
    <w:p w:rsidR="00267187" w:rsidRDefault="002B2E2D">
      <w:pPr>
        <w:numPr>
          <w:ilvl w:val="0"/>
          <w:numId w:val="1"/>
        </w:num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El Artículo 12 del Protocolo Adicional a la Convención Americ</w:t>
      </w:r>
      <w:r>
        <w:rPr>
          <w:rFonts w:ascii="Arial Narrow" w:eastAsia="Arial Narrow" w:hAnsi="Arial Narrow" w:cs="Arial Narrow"/>
          <w:sz w:val="24"/>
          <w:szCs w:val="24"/>
        </w:rPr>
        <w:t>ana sobre Derechos Humanos en Materia de Derechos Económicos, Sociales y Culturales - Protocolo de San Salvador – de 1988</w:t>
      </w:r>
      <w:r>
        <w:rPr>
          <w:rFonts w:ascii="Arial Narrow" w:eastAsia="Arial Narrow" w:hAnsi="Arial Narrow" w:cs="Arial Narrow"/>
          <w:sz w:val="24"/>
          <w:szCs w:val="24"/>
          <w:vertAlign w:val="superscript"/>
        </w:rPr>
        <w:footnoteReference w:id="23"/>
      </w:r>
    </w:p>
    <w:p w:rsidR="00267187" w:rsidRDefault="002B2E2D">
      <w:pPr>
        <w:numPr>
          <w:ilvl w:val="0"/>
          <w:numId w:val="1"/>
        </w:num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 xml:space="preserve">Los literales c, y d del Artículo 14.2 de la Carta Africana sobre los Derecho y Bienestar del Niño, en conexidad con el derecho a la </w:t>
      </w:r>
      <w:r>
        <w:rPr>
          <w:rFonts w:ascii="Arial Narrow" w:eastAsia="Arial Narrow" w:hAnsi="Arial Narrow" w:cs="Arial Narrow"/>
          <w:sz w:val="24"/>
          <w:szCs w:val="24"/>
        </w:rPr>
        <w:t>salud y a los servicios de salud.</w:t>
      </w:r>
    </w:p>
    <w:p w:rsidR="00267187" w:rsidRDefault="002B2E2D">
      <w:pPr>
        <w:numPr>
          <w:ilvl w:val="0"/>
          <w:numId w:val="1"/>
        </w:num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El Artículo 14 y 15 del Protocolo de la Carta Africana de Derechos Humanos y de los Pueblos sobre los Derechos de la Mujer en África.</w:t>
      </w:r>
    </w:p>
    <w:p w:rsidR="00267187" w:rsidRDefault="002B2E2D">
      <w:pPr>
        <w:numPr>
          <w:ilvl w:val="0"/>
          <w:numId w:val="1"/>
        </w:num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Jurisprudencialmente, la Comisión Africana de Derechos Humanos y de los Pueblos ha inter</w:t>
      </w:r>
      <w:r>
        <w:rPr>
          <w:rFonts w:ascii="Arial Narrow" w:eastAsia="Arial Narrow" w:hAnsi="Arial Narrow" w:cs="Arial Narrow"/>
          <w:sz w:val="24"/>
          <w:szCs w:val="24"/>
        </w:rPr>
        <w:t>pretado que el derecho a la alimentación se encuentra enunciado implícitamente en la Carta Africana de los Derechos Humanos y de los Pueblos de 1981, esto último a través de la conexidad que existe con los derechos a la vida, a la salud y al desarrollo eco</w:t>
      </w:r>
      <w:r>
        <w:rPr>
          <w:rFonts w:ascii="Arial Narrow" w:eastAsia="Arial Narrow" w:hAnsi="Arial Narrow" w:cs="Arial Narrow"/>
          <w:sz w:val="24"/>
          <w:szCs w:val="24"/>
        </w:rPr>
        <w:t>nómico, social y cultural</w:t>
      </w:r>
      <w:r>
        <w:rPr>
          <w:rFonts w:ascii="Arial Narrow" w:eastAsia="Arial Narrow" w:hAnsi="Arial Narrow" w:cs="Arial Narrow"/>
          <w:sz w:val="24"/>
          <w:szCs w:val="24"/>
          <w:vertAlign w:val="superscript"/>
        </w:rPr>
        <w:footnoteReference w:id="24"/>
      </w:r>
      <w:r>
        <w:rPr>
          <w:rFonts w:ascii="Arial Narrow" w:eastAsia="Arial Narrow" w:hAnsi="Arial Narrow" w:cs="Arial Narrow"/>
          <w:sz w:val="24"/>
          <w:szCs w:val="24"/>
        </w:rPr>
        <w:t>.</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adición a lo anterior, el mismo ha sido mencionado, complementado, reconocido y/o desarrollado en diferentes instrumentos de </w:t>
      </w:r>
      <w:r>
        <w:rPr>
          <w:rFonts w:ascii="Arial Narrow" w:eastAsia="Arial Narrow" w:hAnsi="Arial Narrow" w:cs="Arial Narrow"/>
          <w:i/>
          <w:sz w:val="24"/>
          <w:szCs w:val="24"/>
        </w:rPr>
        <w:t xml:space="preserve">soft-law </w:t>
      </w:r>
      <w:r>
        <w:rPr>
          <w:rFonts w:ascii="Arial Narrow" w:eastAsia="Arial Narrow" w:hAnsi="Arial Narrow" w:cs="Arial Narrow"/>
          <w:sz w:val="24"/>
          <w:szCs w:val="24"/>
        </w:rPr>
        <w:t>de derecho internacional, como lo son, entre otros:</w:t>
      </w:r>
    </w:p>
    <w:p w:rsidR="00267187" w:rsidRDefault="002B2E2D">
      <w:pPr>
        <w:numPr>
          <w:ilvl w:val="0"/>
          <w:numId w:val="2"/>
        </w:num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La Declaración Universal sobre la Errad</w:t>
      </w:r>
      <w:r>
        <w:rPr>
          <w:rFonts w:ascii="Arial Narrow" w:eastAsia="Arial Narrow" w:hAnsi="Arial Narrow" w:cs="Arial Narrow"/>
          <w:sz w:val="24"/>
          <w:szCs w:val="24"/>
        </w:rPr>
        <w:t>icación del Hambre y la Malnutrición de 1974.</w:t>
      </w:r>
    </w:p>
    <w:p w:rsidR="00267187" w:rsidRDefault="002B2E2D">
      <w:pPr>
        <w:numPr>
          <w:ilvl w:val="0"/>
          <w:numId w:val="2"/>
        </w:num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La Declaración Mundial sobre la Nutrición de 1992.</w:t>
      </w:r>
    </w:p>
    <w:p w:rsidR="00267187" w:rsidRDefault="002B2E2D">
      <w:pPr>
        <w:numPr>
          <w:ilvl w:val="0"/>
          <w:numId w:val="2"/>
        </w:num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La Declaración de Roma sobre la Seguridad Alimentaria Mundial de 1966.</w:t>
      </w:r>
    </w:p>
    <w:p w:rsidR="00267187" w:rsidRDefault="002B2E2D">
      <w:pPr>
        <w:numPr>
          <w:ilvl w:val="0"/>
          <w:numId w:val="2"/>
        </w:num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La Resolución 2004/19 de la Asamblea General de las Naciones Unidas.</w:t>
      </w:r>
    </w:p>
    <w:p w:rsidR="00267187" w:rsidRDefault="002B2E2D">
      <w:pPr>
        <w:numPr>
          <w:ilvl w:val="0"/>
          <w:numId w:val="2"/>
        </w:num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El Folleto Informat</w:t>
      </w:r>
      <w:r>
        <w:rPr>
          <w:rFonts w:ascii="Arial Narrow" w:eastAsia="Arial Narrow" w:hAnsi="Arial Narrow" w:cs="Arial Narrow"/>
          <w:sz w:val="24"/>
          <w:szCs w:val="24"/>
        </w:rPr>
        <w:t>ivo No. 34 de la Oficina del Alto Comisionado de las Naciones Unidas para los Derechos Humanos y la FAO respecto al Derecho a la Alimentación Adecuada.</w:t>
      </w:r>
    </w:p>
    <w:p w:rsidR="00267187" w:rsidRDefault="002B2E2D">
      <w:pPr>
        <w:numPr>
          <w:ilvl w:val="0"/>
          <w:numId w:val="2"/>
        </w:num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 xml:space="preserve">El Informe de fecha 11 de agosto de 2010 del Relator Especial de las Naciones Unidas sobre el derecho a </w:t>
      </w:r>
      <w:r>
        <w:rPr>
          <w:rFonts w:ascii="Arial Narrow" w:eastAsia="Arial Narrow" w:hAnsi="Arial Narrow" w:cs="Arial Narrow"/>
          <w:sz w:val="24"/>
          <w:szCs w:val="24"/>
        </w:rPr>
        <w:t>la alimentación, en donde se señala que “</w:t>
      </w:r>
      <w:r>
        <w:rPr>
          <w:rFonts w:ascii="Arial Narrow" w:eastAsia="Arial Narrow" w:hAnsi="Arial Narrow" w:cs="Arial Narrow"/>
          <w:i/>
          <w:sz w:val="24"/>
          <w:szCs w:val="24"/>
        </w:rPr>
        <w:t xml:space="preserve">El acceso a la tierra y la seguridad de la tenencia son esenciales para asegurar el disfrute no solo del derecho a la alimentación, </w:t>
      </w:r>
      <w:r>
        <w:rPr>
          <w:rFonts w:ascii="Arial Narrow" w:eastAsia="Arial Narrow" w:hAnsi="Arial Narrow" w:cs="Arial Narrow"/>
          <w:i/>
          <w:sz w:val="24"/>
          <w:szCs w:val="24"/>
        </w:rPr>
        <w:lastRenderedPageBreak/>
        <w:t>sino también de otros derechos humanos, incluidos el derecho al trabajo (de los cam</w:t>
      </w:r>
      <w:r>
        <w:rPr>
          <w:rFonts w:ascii="Arial Narrow" w:eastAsia="Arial Narrow" w:hAnsi="Arial Narrow" w:cs="Arial Narrow"/>
          <w:i/>
          <w:sz w:val="24"/>
          <w:szCs w:val="24"/>
        </w:rPr>
        <w:t>pesinos que no poseen tierras) y el derecho a la vivienda</w:t>
      </w:r>
      <w:r>
        <w:rPr>
          <w:rFonts w:ascii="Arial Narrow" w:eastAsia="Arial Narrow" w:hAnsi="Arial Narrow" w:cs="Arial Narrow"/>
          <w:sz w:val="24"/>
          <w:szCs w:val="24"/>
        </w:rPr>
        <w:t xml:space="preserve">”. </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lo referente a su contenido y alcance, es preciso atender a las disposiciones contempladas en la Observación General No. 12 del Comité de Derechos Económicos, Sociales y Culturales de las Naciones Unidas. Así pues, dicho Comité de expertos ha resaltado </w:t>
      </w:r>
      <w:r>
        <w:rPr>
          <w:rFonts w:ascii="Arial Narrow" w:eastAsia="Arial Narrow" w:hAnsi="Arial Narrow" w:cs="Arial Narrow"/>
          <w:sz w:val="24"/>
          <w:szCs w:val="24"/>
        </w:rPr>
        <w:t>que el Derecho Humano a la alimentación adecuada se encuentra intrínsecamente relacionado con la dignidad humana y resulta ser un presupuesto indispensable para el goce efectivo de cualquier otro Derecho. De la misma forma, ha establecido que existe una co</w:t>
      </w:r>
      <w:r>
        <w:rPr>
          <w:rFonts w:ascii="Arial Narrow" w:eastAsia="Arial Narrow" w:hAnsi="Arial Narrow" w:cs="Arial Narrow"/>
          <w:sz w:val="24"/>
          <w:szCs w:val="24"/>
        </w:rPr>
        <w:t>nexidad entre el mismo y con los postulados inherentes a la justicia social, en tanto requiere la adopción de políticas de índole económico, social y ambiental adecuadas que permitan su garantía y, de paso, implementar políticas públicas tendientes a la er</w:t>
      </w:r>
      <w:r>
        <w:rPr>
          <w:rFonts w:ascii="Arial Narrow" w:eastAsia="Arial Narrow" w:hAnsi="Arial Narrow" w:cs="Arial Narrow"/>
          <w:sz w:val="24"/>
          <w:szCs w:val="24"/>
        </w:rPr>
        <w:t>radicación de la pobreza y la efectiva realización de otros derechos.</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En lo referente al contenido sustancial del mentado derecho, el mismo ha sido entendido por parte del Comité como:</w:t>
      </w:r>
    </w:p>
    <w:p w:rsidR="00267187" w:rsidRDefault="002B2E2D">
      <w:pPr>
        <w:spacing w:before="85" w:after="57"/>
        <w:jc w:val="both"/>
        <w:rPr>
          <w:rFonts w:ascii="Arial Narrow" w:eastAsia="Arial Narrow" w:hAnsi="Arial Narrow" w:cs="Arial Narrow"/>
          <w:i/>
          <w:sz w:val="24"/>
          <w:szCs w:val="24"/>
        </w:rPr>
      </w:pPr>
      <w:r>
        <w:rPr>
          <w:rFonts w:ascii="Arial Narrow" w:eastAsia="Arial Narrow" w:hAnsi="Arial Narrow" w:cs="Arial Narrow"/>
          <w:i/>
          <w:sz w:val="24"/>
          <w:szCs w:val="24"/>
        </w:rPr>
        <w:t>“El derecho a la alimentación adecuada se ejerce cuando todo hombre, mu</w:t>
      </w:r>
      <w:r>
        <w:rPr>
          <w:rFonts w:ascii="Arial Narrow" w:eastAsia="Arial Narrow" w:hAnsi="Arial Narrow" w:cs="Arial Narrow"/>
          <w:i/>
          <w:sz w:val="24"/>
          <w:szCs w:val="24"/>
        </w:rPr>
        <w:t>jer o niño, ya sea sólo o en común con otros, tiene acceso físico y económico, en todo momento, a la alimentación adecuada o a medios para obtenerla. El derecho a la alimentación adecuada no debe interpretarse, por consiguiente, en forma estrecha o restric</w:t>
      </w:r>
      <w:r>
        <w:rPr>
          <w:rFonts w:ascii="Arial Narrow" w:eastAsia="Arial Narrow" w:hAnsi="Arial Narrow" w:cs="Arial Narrow"/>
          <w:i/>
          <w:sz w:val="24"/>
          <w:szCs w:val="24"/>
        </w:rPr>
        <w:t>tiva asimilándolo a un conjunto de calorías, proteínas y otros elementos nutritivos concretos. El derecho a la alimentación adecuada tendrá que alcanzarse progresivamente. No obstante, los Estados tienen la obligación básica de adoptar las medidas necesari</w:t>
      </w:r>
      <w:r>
        <w:rPr>
          <w:rFonts w:ascii="Arial Narrow" w:eastAsia="Arial Narrow" w:hAnsi="Arial Narrow" w:cs="Arial Narrow"/>
          <w:i/>
          <w:sz w:val="24"/>
          <w:szCs w:val="24"/>
        </w:rPr>
        <w:t>as para mitigar y aliviar el hambre tal como se dispone en el párrafo 2 del artículo 11, incluso en caso de desastre natural o de otra índole.”</w:t>
      </w:r>
      <w:r>
        <w:rPr>
          <w:rFonts w:ascii="Arial Narrow" w:eastAsia="Arial Narrow" w:hAnsi="Arial Narrow" w:cs="Arial Narrow"/>
          <w:i/>
          <w:sz w:val="24"/>
          <w:szCs w:val="24"/>
          <w:vertAlign w:val="superscript"/>
        </w:rPr>
        <w:footnoteReference w:id="25"/>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De la misma manera, el Relator Especial de las Naciones Unidas sobre el Derecho a la alimentación ha contribuid</w:t>
      </w:r>
      <w:r>
        <w:rPr>
          <w:rFonts w:ascii="Arial Narrow" w:eastAsia="Arial Narrow" w:hAnsi="Arial Narrow" w:cs="Arial Narrow"/>
          <w:sz w:val="24"/>
          <w:szCs w:val="24"/>
        </w:rPr>
        <w:t>o a la definición sustantiva de dicho derecho, estableciendo que el mismo consiste en:</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i/>
          <w:sz w:val="24"/>
          <w:szCs w:val="24"/>
        </w:rPr>
        <w:t>El derecho a tener acceso, de manera regular, permanente y libre, sea directamente, sea mediante compra en dinero, a una alimentación cuantitativa y cualitativamente ad</w:t>
      </w:r>
      <w:r>
        <w:rPr>
          <w:rFonts w:ascii="Arial Narrow" w:eastAsia="Arial Narrow" w:hAnsi="Arial Narrow" w:cs="Arial Narrow"/>
          <w:i/>
          <w:sz w:val="24"/>
          <w:szCs w:val="24"/>
        </w:rPr>
        <w:t>ecuada y suficiente, que corresponda a las tradiciones culturales de la población a que pertenece el consumidor y que garantice una vida psíquica y física, individual y colectiva, libre de angustias, satisfactoria y digna.</w:t>
      </w:r>
      <w:r>
        <w:rPr>
          <w:rFonts w:ascii="Arial Narrow" w:eastAsia="Arial Narrow" w:hAnsi="Arial Narrow" w:cs="Arial Narrow"/>
          <w:sz w:val="24"/>
          <w:szCs w:val="24"/>
        </w:rPr>
        <w:t>”</w:t>
      </w:r>
      <w:r>
        <w:rPr>
          <w:rFonts w:ascii="Arial Narrow" w:eastAsia="Arial Narrow" w:hAnsi="Arial Narrow" w:cs="Arial Narrow"/>
          <w:sz w:val="24"/>
          <w:szCs w:val="24"/>
          <w:vertAlign w:val="superscript"/>
        </w:rPr>
        <w:footnoteReference w:id="26"/>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Al respecto, surgen ciertos con</w:t>
      </w:r>
      <w:r>
        <w:rPr>
          <w:rFonts w:ascii="Arial Narrow" w:eastAsia="Arial Narrow" w:hAnsi="Arial Narrow" w:cs="Arial Narrow"/>
          <w:sz w:val="24"/>
          <w:szCs w:val="24"/>
        </w:rPr>
        <w:t xml:space="preserve">ceptos que resultan destacables con respecto al derecho a la alimentación, a saber: </w:t>
      </w:r>
      <w:r>
        <w:rPr>
          <w:rFonts w:ascii="Arial Narrow" w:eastAsia="Arial Narrow" w:hAnsi="Arial Narrow" w:cs="Arial Narrow"/>
          <w:b/>
          <w:sz w:val="24"/>
          <w:szCs w:val="24"/>
        </w:rPr>
        <w:t>disponibilidad, accesibilidad, adecuación y sostenibilidad</w:t>
      </w:r>
      <w:r>
        <w:rPr>
          <w:rFonts w:ascii="Arial Narrow" w:eastAsia="Arial Narrow" w:hAnsi="Arial Narrow" w:cs="Arial Narrow"/>
          <w:sz w:val="24"/>
          <w:szCs w:val="24"/>
        </w:rPr>
        <w:t xml:space="preserve">. </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Por disponible, debe entenderse que el alimento pueda ser obtenido ya a través de la producción de alimentos, e</w:t>
      </w:r>
      <w:r>
        <w:rPr>
          <w:rFonts w:ascii="Arial Narrow" w:eastAsia="Arial Narrow" w:hAnsi="Arial Narrow" w:cs="Arial Narrow"/>
          <w:sz w:val="24"/>
          <w:szCs w:val="24"/>
        </w:rPr>
        <w:t>l cultivo de la tierra y/o la ganadería, la caza o la recolección, y que también se encuentre disponible para su venta y acceso en mercados y comercio. Este concepto ha sido en parte desarrollado en el Plan Nacional de Seguridad Alimentaria y Nutricional 2</w:t>
      </w:r>
      <w:r>
        <w:rPr>
          <w:rFonts w:ascii="Arial Narrow" w:eastAsia="Arial Narrow" w:hAnsi="Arial Narrow" w:cs="Arial Narrow"/>
          <w:sz w:val="24"/>
          <w:szCs w:val="24"/>
        </w:rPr>
        <w:t xml:space="preserve">012 – 2019 (PNSAN), en donde se entiende por disponible como </w:t>
      </w:r>
      <w:r>
        <w:rPr>
          <w:rFonts w:ascii="Arial Narrow" w:eastAsia="Arial Narrow" w:hAnsi="Arial Narrow" w:cs="Arial Narrow"/>
          <w:i/>
          <w:sz w:val="24"/>
          <w:szCs w:val="24"/>
        </w:rPr>
        <w:t xml:space="preserve">“la cantidad de alimentos con que se cuenta a nivel nacional, regional y local; </w:t>
      </w:r>
      <w:r>
        <w:rPr>
          <w:rFonts w:ascii="Arial Narrow" w:eastAsia="Arial Narrow" w:hAnsi="Arial Narrow" w:cs="Arial Narrow"/>
          <w:sz w:val="24"/>
          <w:szCs w:val="24"/>
        </w:rPr>
        <w:t xml:space="preserve">(y) </w:t>
      </w:r>
      <w:r>
        <w:rPr>
          <w:rFonts w:ascii="Arial Narrow" w:eastAsia="Arial Narrow" w:hAnsi="Arial Narrow" w:cs="Arial Narrow"/>
          <w:i/>
          <w:sz w:val="24"/>
          <w:szCs w:val="24"/>
        </w:rPr>
        <w:t xml:space="preserve">está relacionada con el suministro suficiente de estos frente a los requerimientos </w:t>
      </w:r>
      <w:r>
        <w:rPr>
          <w:rFonts w:ascii="Arial Narrow" w:eastAsia="Arial Narrow" w:hAnsi="Arial Narrow" w:cs="Arial Narrow"/>
          <w:i/>
          <w:sz w:val="24"/>
          <w:szCs w:val="24"/>
        </w:rPr>
        <w:lastRenderedPageBreak/>
        <w:t>de la población y depende fu</w:t>
      </w:r>
      <w:r>
        <w:rPr>
          <w:rFonts w:ascii="Arial Narrow" w:eastAsia="Arial Narrow" w:hAnsi="Arial Narrow" w:cs="Arial Narrow"/>
          <w:i/>
          <w:sz w:val="24"/>
          <w:szCs w:val="24"/>
        </w:rPr>
        <w:t>ndamentalmente de la producción y la importación. Está determinada por: La estructura productiva (agropecuaria, agroindustrial); los sistemas de comercialización y distribución internos y externos; los factores productivos (tierra, financiamiento, agua, te</w:t>
      </w:r>
      <w:r>
        <w:rPr>
          <w:rFonts w:ascii="Arial Narrow" w:eastAsia="Arial Narrow" w:hAnsi="Arial Narrow" w:cs="Arial Narrow"/>
          <w:i/>
          <w:sz w:val="24"/>
          <w:szCs w:val="24"/>
        </w:rPr>
        <w:t>cnología, recurso humano); las condiciones ecosistémicas (clima, recursos genéticos y biodiversidad); las políticas de producción y comercio; y el conflicto sociopolítico (relaciones económicas, sociales y políticas entre actores).</w:t>
      </w:r>
      <w:r>
        <w:rPr>
          <w:rFonts w:ascii="Arial Narrow" w:eastAsia="Arial Narrow" w:hAnsi="Arial Narrow" w:cs="Arial Narrow"/>
          <w:sz w:val="24"/>
          <w:szCs w:val="24"/>
        </w:rPr>
        <w:t xml:space="preserve">” </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Del mismo modo, el ali</w:t>
      </w:r>
      <w:r>
        <w:rPr>
          <w:rFonts w:ascii="Arial Narrow" w:eastAsia="Arial Narrow" w:hAnsi="Arial Narrow" w:cs="Arial Narrow"/>
          <w:sz w:val="24"/>
          <w:szCs w:val="24"/>
        </w:rPr>
        <w:t xml:space="preserve">mento debe ser </w:t>
      </w:r>
      <w:r>
        <w:rPr>
          <w:rFonts w:ascii="Arial Narrow" w:eastAsia="Arial Narrow" w:hAnsi="Arial Narrow" w:cs="Arial Narrow"/>
          <w:b/>
          <w:sz w:val="24"/>
          <w:szCs w:val="24"/>
        </w:rPr>
        <w:t>accesible</w:t>
      </w:r>
      <w:r>
        <w:rPr>
          <w:rFonts w:ascii="Arial Narrow" w:eastAsia="Arial Narrow" w:hAnsi="Arial Narrow" w:cs="Arial Narrow"/>
          <w:sz w:val="24"/>
          <w:szCs w:val="24"/>
        </w:rPr>
        <w:t>, ya en el plano económico como en el plano físico. En cuanto a la accesibilidad económica, dicho aspecto hace referencia a que debe garantizarse que las personas se encuentren en condiciones adecuadas de permitirse la adquisición d</w:t>
      </w:r>
      <w:r>
        <w:rPr>
          <w:rFonts w:ascii="Arial Narrow" w:eastAsia="Arial Narrow" w:hAnsi="Arial Narrow" w:cs="Arial Narrow"/>
          <w:sz w:val="24"/>
          <w:szCs w:val="24"/>
        </w:rPr>
        <w:t>e los alimentos sin perjuicio de otras erogaciones que resulten necesarias para atender necesidades básicas. En cuanto a la accesibilidad física, dicho criterio hace referencia a que los alimentos deben ser accesibles de manera universal y prestando especi</w:t>
      </w:r>
      <w:r>
        <w:rPr>
          <w:rFonts w:ascii="Arial Narrow" w:eastAsia="Arial Narrow" w:hAnsi="Arial Narrow" w:cs="Arial Narrow"/>
          <w:sz w:val="24"/>
          <w:szCs w:val="24"/>
        </w:rPr>
        <w:t>al atención a aquellas comunidades y ciudadanos que se encuentran en situaciones de vulnerabilidad. Al respecto, el PNSAN 2012 – 2019 ha dispuesto que debe entenderse por acceso como “</w:t>
      </w:r>
      <w:r>
        <w:rPr>
          <w:rFonts w:ascii="Arial Narrow" w:eastAsia="Arial Narrow" w:hAnsi="Arial Narrow" w:cs="Arial Narrow"/>
          <w:i/>
          <w:sz w:val="24"/>
          <w:szCs w:val="24"/>
        </w:rPr>
        <w:t>la posibilidad de todas las personas de alcanzar una alimentación adecua</w:t>
      </w:r>
      <w:r>
        <w:rPr>
          <w:rFonts w:ascii="Arial Narrow" w:eastAsia="Arial Narrow" w:hAnsi="Arial Narrow" w:cs="Arial Narrow"/>
          <w:i/>
          <w:sz w:val="24"/>
          <w:szCs w:val="24"/>
        </w:rPr>
        <w:t>da y sostenible. Se refiere a los alimentos que puede obtener o comprar una familia, comunidad o país. Sus determinantes básicos son: Nivel y distribución de ingresos (monetarios y no monetarios) y los precios de los alimentos.</w:t>
      </w:r>
      <w:r>
        <w:rPr>
          <w:rFonts w:ascii="Arial Narrow" w:eastAsia="Arial Narrow" w:hAnsi="Arial Narrow" w:cs="Arial Narrow"/>
          <w:sz w:val="24"/>
          <w:szCs w:val="24"/>
        </w:rPr>
        <w:t>”</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tercer lugar, el alimento debe ser </w:t>
      </w:r>
      <w:r>
        <w:rPr>
          <w:rFonts w:ascii="Arial Narrow" w:eastAsia="Arial Narrow" w:hAnsi="Arial Narrow" w:cs="Arial Narrow"/>
          <w:b/>
          <w:sz w:val="24"/>
          <w:szCs w:val="24"/>
        </w:rPr>
        <w:t>adecuado.</w:t>
      </w:r>
      <w:r>
        <w:rPr>
          <w:rFonts w:ascii="Arial Narrow" w:eastAsia="Arial Narrow" w:hAnsi="Arial Narrow" w:cs="Arial Narrow"/>
          <w:sz w:val="24"/>
          <w:szCs w:val="24"/>
        </w:rPr>
        <w:t xml:space="preserve"> Dicho criterio se refiere a que la alimentación debe satisfacer las necesidades básicas de dieta teniendo en cuenta la condición de la persona. Dentro de dicho criterio se contempla también la necesidad de ga</w:t>
      </w:r>
      <w:r>
        <w:rPr>
          <w:rFonts w:ascii="Arial Narrow" w:eastAsia="Arial Narrow" w:hAnsi="Arial Narrow" w:cs="Arial Narrow"/>
          <w:sz w:val="24"/>
          <w:szCs w:val="24"/>
        </w:rPr>
        <w:t>rantizar que los alimentos sean seguros para el consumo humano, es decir, que se encuentren libres de sustancias nocivas y/o contaminantes que puedan atentar contra la salud humana. También se encuentra contemplado el concepto de alimento culturalmente ace</w:t>
      </w:r>
      <w:r>
        <w:rPr>
          <w:rFonts w:ascii="Arial Narrow" w:eastAsia="Arial Narrow" w:hAnsi="Arial Narrow" w:cs="Arial Narrow"/>
          <w:sz w:val="24"/>
          <w:szCs w:val="24"/>
        </w:rPr>
        <w:t>ptable, el cual se refiere a la necesidad de que los alimentos que se provean no se encuentren prescritos por las tradiciones ni los valores culturales o religiosos de las comunidades. Respecto a este criterio establecido como fundamental por la doctrina i</w:t>
      </w:r>
      <w:r>
        <w:rPr>
          <w:rFonts w:ascii="Arial Narrow" w:eastAsia="Arial Narrow" w:hAnsi="Arial Narrow" w:cs="Arial Narrow"/>
          <w:sz w:val="24"/>
          <w:szCs w:val="24"/>
        </w:rPr>
        <w:t>nternacional, el PNSAN 2012 – 2019 no hace ninguna referencia explícita respecto al mismo, aunque se hacen tangenciales referencias al mismo dentro de los criterios previamente mencionados.</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Respecto a las obligaciones que impone el derecho a la alimentació</w:t>
      </w:r>
      <w:r>
        <w:rPr>
          <w:rFonts w:ascii="Arial Narrow" w:eastAsia="Arial Narrow" w:hAnsi="Arial Narrow" w:cs="Arial Narrow"/>
          <w:sz w:val="24"/>
          <w:szCs w:val="24"/>
        </w:rPr>
        <w:t>n adecuada a los Estados, las cuales fueron esbozadas anteriormente, es preciso desarrollar. Así pues, es preciso entonces acudir nuevamente a lo estipulado en la Observación General No. 12, el cual establece que:</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w:t>
      </w:r>
      <w:r>
        <w:rPr>
          <w:rFonts w:ascii="Arial Narrow" w:eastAsia="Arial Narrow" w:hAnsi="Arial Narrow" w:cs="Arial Narrow"/>
          <w:i/>
          <w:sz w:val="24"/>
          <w:szCs w:val="24"/>
        </w:rPr>
        <w:t>El derecho a la alimentación adecuada, al</w:t>
      </w:r>
      <w:r>
        <w:rPr>
          <w:rFonts w:ascii="Arial Narrow" w:eastAsia="Arial Narrow" w:hAnsi="Arial Narrow" w:cs="Arial Narrow"/>
          <w:i/>
          <w:sz w:val="24"/>
          <w:szCs w:val="24"/>
        </w:rPr>
        <w:t xml:space="preserve"> igual que cualquier otro derecho humano, impone tres tipos o niveles de obligaciones a los Estados Partes: las obligaciones de </w:t>
      </w:r>
      <w:r>
        <w:rPr>
          <w:rFonts w:ascii="Arial Narrow" w:eastAsia="Arial Narrow" w:hAnsi="Arial Narrow" w:cs="Arial Narrow"/>
          <w:b/>
          <w:i/>
          <w:sz w:val="24"/>
          <w:szCs w:val="24"/>
        </w:rPr>
        <w:t>respetar, proteger y realizar</w:t>
      </w:r>
      <w:r>
        <w:rPr>
          <w:rFonts w:ascii="Arial Narrow" w:eastAsia="Arial Narrow" w:hAnsi="Arial Narrow" w:cs="Arial Narrow"/>
          <w:i/>
          <w:sz w:val="24"/>
          <w:szCs w:val="24"/>
        </w:rPr>
        <w:t>. A su vez, la obligación de realizar entraña tanto la obligación de facilitar como la obligación d</w:t>
      </w:r>
      <w:r>
        <w:rPr>
          <w:rFonts w:ascii="Arial Narrow" w:eastAsia="Arial Narrow" w:hAnsi="Arial Narrow" w:cs="Arial Narrow"/>
          <w:i/>
          <w:sz w:val="24"/>
          <w:szCs w:val="24"/>
        </w:rPr>
        <w:t>e hacer efectivo. La obligación de respetar el acceso existente a una alimentación adecuada requiere que los Estados no adopten medidas de ningún tipo que tengan por resultado impedir ese acceso. La obligación de proteger requiere que el Estado Parte adopt</w:t>
      </w:r>
      <w:r>
        <w:rPr>
          <w:rFonts w:ascii="Arial Narrow" w:eastAsia="Arial Narrow" w:hAnsi="Arial Narrow" w:cs="Arial Narrow"/>
          <w:i/>
          <w:sz w:val="24"/>
          <w:szCs w:val="24"/>
        </w:rPr>
        <w:t>e medidas para velar por que las empresas o los particulares no priven a las personas del acceso a una alimentación adecuada. La obligación de realizar (facilitar) significa que el Estado debe procurar iniciar actividades con el fin de fortalecer el acceso</w:t>
      </w:r>
      <w:r>
        <w:rPr>
          <w:rFonts w:ascii="Arial Narrow" w:eastAsia="Arial Narrow" w:hAnsi="Arial Narrow" w:cs="Arial Narrow"/>
          <w:i/>
          <w:sz w:val="24"/>
          <w:szCs w:val="24"/>
        </w:rPr>
        <w:t xml:space="preserve"> y la utilización por parte de la población de los recursos y medios que aseguren sus medios de vida, incluida la seguridad alimentaria. Por último, cuando un individuo o un grupo sea incapaz, por </w:t>
      </w:r>
      <w:r>
        <w:rPr>
          <w:rFonts w:ascii="Arial Narrow" w:eastAsia="Arial Narrow" w:hAnsi="Arial Narrow" w:cs="Arial Narrow"/>
          <w:i/>
          <w:sz w:val="24"/>
          <w:szCs w:val="24"/>
        </w:rPr>
        <w:lastRenderedPageBreak/>
        <w:t>razones que escapen a su control, de disfrutar el derecho a</w:t>
      </w:r>
      <w:r>
        <w:rPr>
          <w:rFonts w:ascii="Arial Narrow" w:eastAsia="Arial Narrow" w:hAnsi="Arial Narrow" w:cs="Arial Narrow"/>
          <w:i/>
          <w:sz w:val="24"/>
          <w:szCs w:val="24"/>
        </w:rPr>
        <w:t xml:space="preserve"> una alimentación adecuada por los medios a su alcance, los Estados tienen la obligación de realizar (hacer efectivo) ese derecho directamente. Esta obligación también se aplica a las personas que son víctimas de catástrofes naturales o de otra índole.</w:t>
      </w:r>
      <w:r>
        <w:rPr>
          <w:rFonts w:ascii="Arial Narrow" w:eastAsia="Arial Narrow" w:hAnsi="Arial Narrow" w:cs="Arial Narrow"/>
          <w:sz w:val="24"/>
          <w:szCs w:val="24"/>
        </w:rPr>
        <w:t>”</w:t>
      </w:r>
      <w:r>
        <w:rPr>
          <w:rFonts w:ascii="Arial Narrow" w:eastAsia="Arial Narrow" w:hAnsi="Arial Narrow" w:cs="Arial Narrow"/>
          <w:sz w:val="24"/>
          <w:szCs w:val="24"/>
          <w:vertAlign w:val="superscript"/>
        </w:rPr>
        <w:footnoteReference w:id="27"/>
      </w:r>
      <w:r>
        <w:rPr>
          <w:rFonts w:ascii="Arial Narrow" w:eastAsia="Arial Narrow" w:hAnsi="Arial Narrow" w:cs="Arial Narrow"/>
          <w:sz w:val="24"/>
          <w:szCs w:val="24"/>
        </w:rPr>
        <w:t xml:space="preserve"> (</w:t>
      </w:r>
      <w:r>
        <w:rPr>
          <w:rFonts w:ascii="Arial Narrow" w:eastAsia="Arial Narrow" w:hAnsi="Arial Narrow" w:cs="Arial Narrow"/>
          <w:sz w:val="24"/>
          <w:szCs w:val="24"/>
        </w:rPr>
        <w:t>se resalta)</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 xml:space="preserve">Finalmente, el derecho a la alimentación tiene una dimensión de </w:t>
      </w:r>
      <w:r>
        <w:rPr>
          <w:rFonts w:ascii="Arial Narrow" w:eastAsia="Arial Narrow" w:hAnsi="Arial Narrow" w:cs="Arial Narrow"/>
          <w:b/>
          <w:sz w:val="24"/>
          <w:szCs w:val="24"/>
        </w:rPr>
        <w:t>sostenibilidad</w:t>
      </w:r>
      <w:r>
        <w:rPr>
          <w:rFonts w:ascii="Arial Narrow" w:eastAsia="Arial Narrow" w:hAnsi="Arial Narrow" w:cs="Arial Narrow"/>
          <w:sz w:val="24"/>
          <w:szCs w:val="24"/>
        </w:rPr>
        <w:t>, que implica i) la disponibilidad y acceso hacia el futuro; y ii) su producción y consumo ambiental, económica y socialmente sostenible.</w:t>
      </w:r>
    </w:p>
    <w:p w:rsidR="00267187" w:rsidRDefault="00267187">
      <w:pPr>
        <w:spacing w:before="85" w:after="57"/>
        <w:jc w:val="both"/>
        <w:rPr>
          <w:rFonts w:ascii="Arial Narrow" w:eastAsia="Arial Narrow" w:hAnsi="Arial Narrow" w:cs="Arial Narrow"/>
          <w:sz w:val="24"/>
          <w:szCs w:val="24"/>
        </w:rPr>
      </w:pPr>
    </w:p>
    <w:p w:rsidR="00267187" w:rsidRDefault="002B2E2D">
      <w:pPr>
        <w:numPr>
          <w:ilvl w:val="0"/>
          <w:numId w:val="3"/>
        </w:numPr>
        <w:spacing w:before="85" w:after="57"/>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 Consideraciones frente a la exigibilidad del derecho en los términos planteados en el proyecto.</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 xml:space="preserve">En lo que respecta a la exigibilidad del derecho, en los términos que se plantean en el articulado, se ha reconocido que los medios para garantizar el mentado </w:t>
      </w:r>
      <w:r>
        <w:rPr>
          <w:rFonts w:ascii="Arial Narrow" w:eastAsia="Arial Narrow" w:hAnsi="Arial Narrow" w:cs="Arial Narrow"/>
          <w:sz w:val="24"/>
          <w:szCs w:val="24"/>
        </w:rPr>
        <w:t>derecho variarán de manera inevitable y considerable de un Estado Parte a otro. En virtud de lo anterior, existe una libertad de aproximación y enfoques al momento de formular políticas públicas que estén destinadas a cumplir con las obligaciones que se en</w:t>
      </w:r>
      <w:r>
        <w:rPr>
          <w:rFonts w:ascii="Arial Narrow" w:eastAsia="Arial Narrow" w:hAnsi="Arial Narrow" w:cs="Arial Narrow"/>
          <w:sz w:val="24"/>
          <w:szCs w:val="24"/>
        </w:rPr>
        <w:t>cuentran contempladas en el artículo 11 del Pacto Internacional de Derechos Económicos, Sociales y Culturales</w:t>
      </w:r>
      <w:r>
        <w:rPr>
          <w:rFonts w:ascii="Arial Narrow" w:eastAsia="Arial Narrow" w:hAnsi="Arial Narrow" w:cs="Arial Narrow"/>
          <w:sz w:val="24"/>
          <w:szCs w:val="24"/>
          <w:vertAlign w:val="superscript"/>
        </w:rPr>
        <w:footnoteReference w:id="28"/>
      </w:r>
      <w:r>
        <w:rPr>
          <w:rFonts w:ascii="Arial Narrow" w:eastAsia="Arial Narrow" w:hAnsi="Arial Narrow" w:cs="Arial Narrow"/>
          <w:sz w:val="24"/>
          <w:szCs w:val="24"/>
        </w:rPr>
        <w:t>, cuya realización en sí (salvo en aquellos casos en los cuales se vean involucrados Niños, Niñas y Adolescentes) se debe materializar de manera p</w:t>
      </w:r>
      <w:r>
        <w:rPr>
          <w:rFonts w:ascii="Arial Narrow" w:eastAsia="Arial Narrow" w:hAnsi="Arial Narrow" w:cs="Arial Narrow"/>
          <w:sz w:val="24"/>
          <w:szCs w:val="24"/>
        </w:rPr>
        <w:t>rogresiva, conforme a la disponibilidad presupuestal de los Estados.</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En ese sentido, resulta necesario traer a colación lo dispuesto por el economista y premio Nobel de economía Amartya Sen en su escrito “</w:t>
      </w:r>
      <w:r>
        <w:rPr>
          <w:rFonts w:ascii="Arial Narrow" w:eastAsia="Arial Narrow" w:hAnsi="Arial Narrow" w:cs="Arial Narrow"/>
          <w:i/>
          <w:sz w:val="24"/>
          <w:szCs w:val="24"/>
        </w:rPr>
        <w:t>The right not to be hungry</w:t>
      </w:r>
      <w:r>
        <w:rPr>
          <w:rFonts w:ascii="Arial Narrow" w:eastAsia="Arial Narrow" w:hAnsi="Arial Narrow" w:cs="Arial Narrow"/>
          <w:sz w:val="24"/>
          <w:szCs w:val="24"/>
        </w:rPr>
        <w:t>” (1982) quien plantea la</w:t>
      </w:r>
      <w:r>
        <w:rPr>
          <w:rFonts w:ascii="Arial Narrow" w:eastAsia="Arial Narrow" w:hAnsi="Arial Narrow" w:cs="Arial Narrow"/>
          <w:sz w:val="24"/>
          <w:szCs w:val="24"/>
        </w:rPr>
        <w:t xml:space="preserve"> existencia de una nueva categoría de derechos que denomina “metaderechos”. En ese sentido, Sen plantea que “</w:t>
      </w:r>
      <w:r>
        <w:rPr>
          <w:rFonts w:ascii="Arial Narrow" w:eastAsia="Arial Narrow" w:hAnsi="Arial Narrow" w:cs="Arial Narrow"/>
          <w:i/>
          <w:sz w:val="24"/>
          <w:szCs w:val="24"/>
        </w:rPr>
        <w:t>un metaderecho a algo x puede ser definido como el derecho a tener políticas p(x) que persigan genuinamente el objetivo de hacer realizable el dere</w:t>
      </w:r>
      <w:r>
        <w:rPr>
          <w:rFonts w:ascii="Arial Narrow" w:eastAsia="Arial Narrow" w:hAnsi="Arial Narrow" w:cs="Arial Narrow"/>
          <w:i/>
          <w:sz w:val="24"/>
          <w:szCs w:val="24"/>
        </w:rPr>
        <w:t>cho a x</w:t>
      </w:r>
      <w:r>
        <w:rPr>
          <w:rFonts w:ascii="Arial Narrow" w:eastAsia="Arial Narrow" w:hAnsi="Arial Narrow" w:cs="Arial Narrow"/>
          <w:sz w:val="24"/>
          <w:szCs w:val="24"/>
        </w:rPr>
        <w:t>”</w:t>
      </w:r>
      <w:r>
        <w:rPr>
          <w:rFonts w:ascii="Arial Narrow" w:eastAsia="Arial Narrow" w:hAnsi="Arial Narrow" w:cs="Arial Narrow"/>
          <w:sz w:val="24"/>
          <w:szCs w:val="24"/>
          <w:vertAlign w:val="superscript"/>
        </w:rPr>
        <w:footnoteReference w:id="29"/>
      </w:r>
      <w:r>
        <w:rPr>
          <w:rFonts w:ascii="Arial Narrow" w:eastAsia="Arial Narrow" w:hAnsi="Arial Narrow" w:cs="Arial Narrow"/>
          <w:sz w:val="24"/>
          <w:szCs w:val="24"/>
        </w:rPr>
        <w:t xml:space="preserve"> Con el propósito de ejemplificar su afirmación, el autor plantea un ejemplo de la Constitución de la India en donde claramente se esboza una redacción “</w:t>
      </w:r>
      <w:r>
        <w:rPr>
          <w:rFonts w:ascii="Arial Narrow" w:eastAsia="Arial Narrow" w:hAnsi="Arial Narrow" w:cs="Arial Narrow"/>
          <w:i/>
          <w:sz w:val="24"/>
          <w:szCs w:val="24"/>
        </w:rPr>
        <w:t xml:space="preserve">suficientemente cuidadosa para evitar aseverar que tal derecho existe de antemano </w:t>
      </w:r>
      <w:r>
        <w:rPr>
          <w:rFonts w:ascii="Arial Narrow" w:eastAsia="Arial Narrow" w:hAnsi="Arial Narrow" w:cs="Arial Narrow"/>
          <w:sz w:val="24"/>
          <w:szCs w:val="24"/>
        </w:rPr>
        <w:t xml:space="preserve">(pese a que </w:t>
      </w:r>
      <w:r>
        <w:rPr>
          <w:rFonts w:ascii="Arial Narrow" w:eastAsia="Arial Narrow" w:hAnsi="Arial Narrow" w:cs="Arial Narrow"/>
          <w:sz w:val="24"/>
          <w:szCs w:val="24"/>
        </w:rPr>
        <w:t xml:space="preserve">es deseable su existencia y puede argumentarse desde el ámbito de la conexidad con Derechos Fundamentales de corte no prestacional), </w:t>
      </w:r>
      <w:r>
        <w:rPr>
          <w:rFonts w:ascii="Arial Narrow" w:eastAsia="Arial Narrow" w:hAnsi="Arial Narrow" w:cs="Arial Narrow"/>
          <w:i/>
          <w:sz w:val="24"/>
          <w:szCs w:val="24"/>
        </w:rPr>
        <w:t>al decir que tan solo las políticas deben ser dirigidas a hacer posible tener medios adecuados para la realización del fin</w:t>
      </w:r>
      <w:r>
        <w:rPr>
          <w:rFonts w:ascii="Arial Narrow" w:eastAsia="Arial Narrow" w:hAnsi="Arial Narrow" w:cs="Arial Narrow"/>
          <w:sz w:val="24"/>
          <w:szCs w:val="24"/>
        </w:rPr>
        <w:t>”</w:t>
      </w:r>
      <w:r>
        <w:rPr>
          <w:rFonts w:ascii="Arial Narrow" w:eastAsia="Arial Narrow" w:hAnsi="Arial Narrow" w:cs="Arial Narrow"/>
          <w:sz w:val="24"/>
          <w:szCs w:val="24"/>
          <w:vertAlign w:val="superscript"/>
        </w:rPr>
        <w:footnoteReference w:id="30"/>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El eje central de la teoría esbozada por Sen parte de una sencilla premisa: la redacción consignada, de ser aceptada y positivizada en el texto constitucional, plantea que tan solo se le otorgaría el reconocimiento y las herramientas para exigir al Gobie</w:t>
      </w:r>
      <w:r>
        <w:rPr>
          <w:rFonts w:ascii="Arial Narrow" w:eastAsia="Arial Narrow" w:hAnsi="Arial Narrow" w:cs="Arial Narrow"/>
          <w:sz w:val="24"/>
          <w:szCs w:val="24"/>
        </w:rPr>
        <w:t xml:space="preserve">rno el derecho a que se pongan en práctica las </w:t>
      </w:r>
      <w:r>
        <w:rPr>
          <w:rFonts w:ascii="Arial Narrow" w:eastAsia="Arial Narrow" w:hAnsi="Arial Narrow" w:cs="Arial Narrow"/>
          <w:sz w:val="24"/>
          <w:szCs w:val="24"/>
        </w:rPr>
        <w:lastRenderedPageBreak/>
        <w:t xml:space="preserve">políticas (definidas por el autor como p(x)) y que sean conducentes para la realización y materialización del fin perseguido (definido como x por el Autor). </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En ese sentido, de acuerdo con Sen “</w:t>
      </w:r>
      <w:r>
        <w:rPr>
          <w:rFonts w:ascii="Arial Narrow" w:eastAsia="Arial Narrow" w:hAnsi="Arial Narrow" w:cs="Arial Narrow"/>
          <w:i/>
          <w:sz w:val="24"/>
          <w:szCs w:val="24"/>
        </w:rPr>
        <w:t>no resulta difí</w:t>
      </w:r>
      <w:r>
        <w:rPr>
          <w:rFonts w:ascii="Arial Narrow" w:eastAsia="Arial Narrow" w:hAnsi="Arial Narrow" w:cs="Arial Narrow"/>
          <w:i/>
          <w:sz w:val="24"/>
          <w:szCs w:val="24"/>
        </w:rPr>
        <w:t xml:space="preserve">cil observar por qué los metaderechos de este tipo tienen relevancia particular para objetivos económicos tales como la remoción de la pobreza o el hambre. En muchos países en donde </w:t>
      </w:r>
      <w:r>
        <w:rPr>
          <w:rFonts w:ascii="Arial Narrow" w:eastAsia="Arial Narrow" w:hAnsi="Arial Narrow" w:cs="Arial Narrow"/>
          <w:sz w:val="24"/>
          <w:szCs w:val="24"/>
        </w:rPr>
        <w:t xml:space="preserve">(estas dos situaciones) </w:t>
      </w:r>
      <w:r>
        <w:rPr>
          <w:rFonts w:ascii="Arial Narrow" w:eastAsia="Arial Narrow" w:hAnsi="Arial Narrow" w:cs="Arial Narrow"/>
          <w:i/>
          <w:sz w:val="24"/>
          <w:szCs w:val="24"/>
        </w:rPr>
        <w:t>están diseminados, puede que no exista ningún modo</w:t>
      </w:r>
      <w:r>
        <w:rPr>
          <w:rFonts w:ascii="Arial Narrow" w:eastAsia="Arial Narrow" w:hAnsi="Arial Narrow" w:cs="Arial Narrow"/>
          <w:i/>
          <w:sz w:val="24"/>
          <w:szCs w:val="24"/>
        </w:rPr>
        <w:t xml:space="preserve"> factible mediante el cual en un futuro cercano se le garantice a todos ser liberados de aquellas, pero sí políticas que rápidamente conducirán a tal liberación</w:t>
      </w:r>
      <w:r>
        <w:rPr>
          <w:rFonts w:ascii="Arial Narrow" w:eastAsia="Arial Narrow" w:hAnsi="Arial Narrow" w:cs="Arial Narrow"/>
          <w:sz w:val="24"/>
          <w:szCs w:val="24"/>
        </w:rPr>
        <w:t>.”</w:t>
      </w:r>
      <w:r>
        <w:rPr>
          <w:rFonts w:ascii="Arial Narrow" w:eastAsia="Arial Narrow" w:hAnsi="Arial Narrow" w:cs="Arial Narrow"/>
          <w:sz w:val="24"/>
          <w:szCs w:val="24"/>
          <w:vertAlign w:val="superscript"/>
        </w:rPr>
        <w:footnoteReference w:id="31"/>
      </w:r>
      <w:r>
        <w:rPr>
          <w:rFonts w:ascii="Arial Narrow" w:eastAsia="Arial Narrow" w:hAnsi="Arial Narrow" w:cs="Arial Narrow"/>
          <w:sz w:val="24"/>
          <w:szCs w:val="24"/>
        </w:rPr>
        <w:t xml:space="preserve"> Tomando en consideración el anterior panorama, se cree que establecer el metaderecho a ser l</w:t>
      </w:r>
      <w:r>
        <w:rPr>
          <w:rFonts w:ascii="Arial Narrow" w:eastAsia="Arial Narrow" w:hAnsi="Arial Narrow" w:cs="Arial Narrow"/>
          <w:sz w:val="24"/>
          <w:szCs w:val="24"/>
        </w:rPr>
        <w:t>iberado del hambre es el derecho no a la provisión y prestación permanente de los alimentos, sino a la acción, a exigirle al Estado que despliegue una serie de medidas y políticas públicas serias a través de las cuales se materialice el derecho-objetivo de</w:t>
      </w:r>
      <w:r>
        <w:rPr>
          <w:rFonts w:ascii="Arial Narrow" w:eastAsia="Arial Narrow" w:hAnsi="Arial Narrow" w:cs="Arial Narrow"/>
          <w:sz w:val="24"/>
          <w:szCs w:val="24"/>
        </w:rPr>
        <w:t xml:space="preserve"> contar con una población libre del flagelo del hambre.</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 xml:space="preserve">Tomando en consideración la teoría expuesta por Sen, se establece una redacción a través de la cual se positivice en la Constitución Política la obligación del Estado a actuar e implementar políticas </w:t>
      </w:r>
      <w:r>
        <w:rPr>
          <w:rFonts w:ascii="Arial Narrow" w:eastAsia="Arial Narrow" w:hAnsi="Arial Narrow" w:cs="Arial Narrow"/>
          <w:sz w:val="24"/>
          <w:szCs w:val="24"/>
        </w:rPr>
        <w:t>públicas a través de las cuales se pueda llegar a garantizar de manera universal (aunque progresiva y conforme a la realidad económica del país) el derecho a la alimentación adecuada, a la seguridad y a las autonomías alimentarias.</w:t>
      </w:r>
    </w:p>
    <w:p w:rsidR="00267187" w:rsidRDefault="00267187">
      <w:pPr>
        <w:spacing w:before="85" w:after="57"/>
        <w:jc w:val="both"/>
        <w:rPr>
          <w:rFonts w:ascii="Arial Narrow" w:eastAsia="Arial Narrow" w:hAnsi="Arial Narrow" w:cs="Arial Narrow"/>
          <w:sz w:val="24"/>
          <w:szCs w:val="24"/>
        </w:rPr>
      </w:pPr>
    </w:p>
    <w:p w:rsidR="00267187" w:rsidRDefault="002B2E2D">
      <w:pPr>
        <w:numPr>
          <w:ilvl w:val="0"/>
          <w:numId w:val="3"/>
        </w:numPr>
        <w:spacing w:before="85" w:after="57"/>
        <w:jc w:val="both"/>
        <w:rPr>
          <w:rFonts w:ascii="Arial Narrow" w:eastAsia="Arial Narrow" w:hAnsi="Arial Narrow" w:cs="Arial Narrow"/>
          <w:b/>
          <w:sz w:val="24"/>
          <w:szCs w:val="24"/>
        </w:rPr>
      </w:pPr>
      <w:r>
        <w:rPr>
          <w:rFonts w:ascii="Arial Narrow" w:eastAsia="Arial Narrow" w:hAnsi="Arial Narrow" w:cs="Arial Narrow"/>
          <w:b/>
          <w:sz w:val="24"/>
          <w:szCs w:val="24"/>
        </w:rPr>
        <w:t>El derecho a estar prot</w:t>
      </w:r>
      <w:r>
        <w:rPr>
          <w:rFonts w:ascii="Arial Narrow" w:eastAsia="Arial Narrow" w:hAnsi="Arial Narrow" w:cs="Arial Narrow"/>
          <w:b/>
          <w:sz w:val="24"/>
          <w:szCs w:val="24"/>
        </w:rPr>
        <w:t>egido contra el hambre y la desnutrición en el derecho comparado.</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Son varios los Estados los que, a pesar de haber ratificado y adoptado el Pacto Internacional de Derechos Económicos, Sociales y Culturales los que han consagrado explícitamente en sus const</w:t>
      </w:r>
      <w:r>
        <w:rPr>
          <w:rFonts w:ascii="Arial Narrow" w:eastAsia="Arial Narrow" w:hAnsi="Arial Narrow" w:cs="Arial Narrow"/>
          <w:sz w:val="24"/>
          <w:szCs w:val="24"/>
        </w:rPr>
        <w:t>ituciones el reconocimiento del derecho a estar protegido contra el hambre y la desnutrición, así</w:t>
      </w:r>
      <w:r>
        <w:rPr>
          <w:rFonts w:ascii="Arial Narrow" w:eastAsia="Arial Narrow" w:hAnsi="Arial Narrow" w:cs="Arial Narrow"/>
          <w:sz w:val="24"/>
          <w:szCs w:val="24"/>
          <w:vertAlign w:val="superscript"/>
        </w:rPr>
        <w:footnoteReference w:id="32"/>
      </w:r>
      <w:r>
        <w:rPr>
          <w:rFonts w:ascii="Arial Narrow" w:eastAsia="Arial Narrow" w:hAnsi="Arial Narrow" w:cs="Arial Narrow"/>
          <w:sz w:val="24"/>
          <w:szCs w:val="24"/>
        </w:rPr>
        <w:t>:</w:t>
      </w:r>
    </w:p>
    <w:p w:rsidR="00267187" w:rsidRDefault="00267187">
      <w:pPr>
        <w:spacing w:before="85" w:after="57"/>
        <w:jc w:val="both"/>
        <w:rPr>
          <w:rFonts w:ascii="Arial Narrow" w:eastAsia="Arial Narrow" w:hAnsi="Arial Narrow" w:cs="Arial Narrow"/>
          <w:sz w:val="24"/>
          <w:szCs w:val="24"/>
        </w:rPr>
      </w:pPr>
    </w:p>
    <w:tbl>
      <w:tblPr>
        <w:tblStyle w:val="a6"/>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600" w:firstRow="0" w:lastRow="0" w:firstColumn="0" w:lastColumn="0" w:noHBand="1" w:noVBand="1"/>
      </w:tblPr>
      <w:tblGrid>
        <w:gridCol w:w="1521"/>
        <w:gridCol w:w="7307"/>
      </w:tblGrid>
      <w:tr w:rsidR="00267187" w:rsidTr="00267187">
        <w:tc>
          <w:tcPr>
            <w:tcW w:w="1521" w:type="dxa"/>
          </w:tcPr>
          <w:p w:rsidR="00267187" w:rsidRDefault="002B2E2D">
            <w:pPr>
              <w:spacing w:before="85" w:after="57"/>
              <w:jc w:val="center"/>
              <w:rPr>
                <w:rFonts w:ascii="Arial Narrow" w:eastAsia="Arial Narrow" w:hAnsi="Arial Narrow" w:cs="Arial Narrow"/>
                <w:b/>
                <w:sz w:val="14"/>
                <w:szCs w:val="14"/>
              </w:rPr>
            </w:pPr>
            <w:r>
              <w:rPr>
                <w:rFonts w:ascii="Arial Narrow" w:eastAsia="Arial Narrow" w:hAnsi="Arial Narrow" w:cs="Arial Narrow"/>
                <w:b/>
                <w:sz w:val="14"/>
                <w:szCs w:val="14"/>
              </w:rPr>
              <w:t>País</w:t>
            </w:r>
          </w:p>
        </w:tc>
        <w:tc>
          <w:tcPr>
            <w:tcW w:w="7307" w:type="dxa"/>
          </w:tcPr>
          <w:p w:rsidR="00267187" w:rsidRDefault="002B2E2D">
            <w:pPr>
              <w:spacing w:before="85" w:after="57"/>
              <w:jc w:val="center"/>
              <w:rPr>
                <w:rFonts w:ascii="Arial Narrow" w:eastAsia="Arial Narrow" w:hAnsi="Arial Narrow" w:cs="Arial Narrow"/>
                <w:b/>
                <w:sz w:val="14"/>
                <w:szCs w:val="14"/>
              </w:rPr>
            </w:pPr>
            <w:r>
              <w:rPr>
                <w:rFonts w:ascii="Arial Narrow" w:eastAsia="Arial Narrow" w:hAnsi="Arial Narrow" w:cs="Arial Narrow"/>
                <w:b/>
                <w:sz w:val="14"/>
                <w:szCs w:val="14"/>
              </w:rPr>
              <w:t>Texto constitucional</w:t>
            </w:r>
          </w:p>
        </w:tc>
      </w:tr>
      <w:tr w:rsidR="00267187" w:rsidTr="00267187">
        <w:tc>
          <w:tcPr>
            <w:tcW w:w="1521"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Bolivia</w:t>
            </w:r>
          </w:p>
          <w:p w:rsidR="00267187" w:rsidRDefault="00267187">
            <w:pPr>
              <w:spacing w:before="85" w:after="57"/>
              <w:jc w:val="both"/>
              <w:rPr>
                <w:rFonts w:ascii="Arial Narrow" w:eastAsia="Arial Narrow" w:hAnsi="Arial Narrow" w:cs="Arial Narrow"/>
                <w:sz w:val="14"/>
                <w:szCs w:val="14"/>
              </w:rPr>
            </w:pPr>
          </w:p>
        </w:tc>
        <w:tc>
          <w:tcPr>
            <w:tcW w:w="7307"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Artículo 16: 1. Toda persona tiene derecho al agua y a la alimentación. (…) El Estado tiene la obligación de garantizar la seguridad alimentaria, a través de una alimentación sana, adecuada y suficiente para toda la población.</w:t>
            </w:r>
          </w:p>
        </w:tc>
      </w:tr>
      <w:tr w:rsidR="00267187" w:rsidTr="00267187">
        <w:tc>
          <w:tcPr>
            <w:tcW w:w="1521"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Cuba</w:t>
            </w:r>
          </w:p>
          <w:p w:rsidR="00267187" w:rsidRDefault="00267187">
            <w:pPr>
              <w:spacing w:before="85" w:after="57"/>
              <w:jc w:val="both"/>
              <w:rPr>
                <w:rFonts w:ascii="Arial Narrow" w:eastAsia="Arial Narrow" w:hAnsi="Arial Narrow" w:cs="Arial Narrow"/>
                <w:sz w:val="14"/>
                <w:szCs w:val="14"/>
              </w:rPr>
            </w:pPr>
          </w:p>
        </w:tc>
        <w:tc>
          <w:tcPr>
            <w:tcW w:w="7307"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Artículo 77. Todas las</w:t>
            </w:r>
            <w:r>
              <w:rPr>
                <w:rFonts w:ascii="Arial Narrow" w:eastAsia="Arial Narrow" w:hAnsi="Arial Narrow" w:cs="Arial Narrow"/>
                <w:sz w:val="14"/>
                <w:szCs w:val="14"/>
              </w:rPr>
              <w:t xml:space="preserve"> personas tienen derecho a la alimentación sana y adecuada. El Estado crea las condiciones para fortalecer la seguridad alimentaria de toda la población.</w:t>
            </w:r>
          </w:p>
        </w:tc>
      </w:tr>
      <w:tr w:rsidR="00267187" w:rsidTr="00267187">
        <w:tc>
          <w:tcPr>
            <w:tcW w:w="1521"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Ecuador</w:t>
            </w:r>
          </w:p>
          <w:p w:rsidR="00267187" w:rsidRDefault="00267187">
            <w:pPr>
              <w:spacing w:before="85" w:after="57"/>
              <w:jc w:val="both"/>
              <w:rPr>
                <w:rFonts w:ascii="Arial Narrow" w:eastAsia="Arial Narrow" w:hAnsi="Arial Narrow" w:cs="Arial Narrow"/>
                <w:sz w:val="14"/>
                <w:szCs w:val="14"/>
              </w:rPr>
            </w:pPr>
          </w:p>
        </w:tc>
        <w:tc>
          <w:tcPr>
            <w:tcW w:w="7307"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Artículo 3. Son deberes primordiales del Estado: (…) 1. Garantizar sin discriminación alguna</w:t>
            </w:r>
            <w:r>
              <w:rPr>
                <w:rFonts w:ascii="Arial Narrow" w:eastAsia="Arial Narrow" w:hAnsi="Arial Narrow" w:cs="Arial Narrow"/>
                <w:sz w:val="14"/>
                <w:szCs w:val="14"/>
              </w:rPr>
              <w:t xml:space="preserve"> el efectivo goce de los derechos establecidos en la Constitución y en los instrumentos internacionales, en particular la educación, la salud, la alimentación, la seguridad social y el agua para sus habitantes.</w:t>
            </w:r>
          </w:p>
          <w:p w:rsidR="00267187" w:rsidRDefault="00267187">
            <w:pPr>
              <w:spacing w:before="85" w:after="57"/>
              <w:jc w:val="both"/>
              <w:rPr>
                <w:rFonts w:ascii="Arial Narrow" w:eastAsia="Arial Narrow" w:hAnsi="Arial Narrow" w:cs="Arial Narrow"/>
                <w:sz w:val="14"/>
                <w:szCs w:val="14"/>
              </w:rPr>
            </w:pPr>
          </w:p>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Artículo 32. La salud es un derecho que gara</w:t>
            </w:r>
            <w:r>
              <w:rPr>
                <w:rFonts w:ascii="Arial Narrow" w:eastAsia="Arial Narrow" w:hAnsi="Arial Narrow" w:cs="Arial Narrow"/>
                <w:sz w:val="14"/>
                <w:szCs w:val="14"/>
              </w:rPr>
              <w:t>ntiza el Estado, cuya realización se vincula al ejercicio de otros derechos, entre ellos el derecho al agua, la alimentación, la educación, la cultura física, el trabajo, la seguridad social, los ambientes sanos y otros que sustentan el buen vivir.</w:t>
            </w:r>
          </w:p>
          <w:p w:rsidR="00267187" w:rsidRDefault="00267187">
            <w:pPr>
              <w:spacing w:before="85" w:after="57"/>
              <w:jc w:val="both"/>
              <w:rPr>
                <w:rFonts w:ascii="Arial Narrow" w:eastAsia="Arial Narrow" w:hAnsi="Arial Narrow" w:cs="Arial Narrow"/>
                <w:sz w:val="14"/>
                <w:szCs w:val="14"/>
              </w:rPr>
            </w:pPr>
          </w:p>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Artícu</w:t>
            </w:r>
            <w:r>
              <w:rPr>
                <w:rFonts w:ascii="Arial Narrow" w:eastAsia="Arial Narrow" w:hAnsi="Arial Narrow" w:cs="Arial Narrow"/>
                <w:sz w:val="14"/>
                <w:szCs w:val="14"/>
              </w:rPr>
              <w:t>lo 66. Se reconoce y garantizará a las personas: (…) 2. El derecho a una vida digna, que asegure la salud, alimentación y nutrición, agua potable, vivienda, saneamiento ambiental, educación, trabajo, empleo, descanso y ocio, cultura física, vestido, seguri</w:t>
            </w:r>
            <w:r>
              <w:rPr>
                <w:rFonts w:ascii="Arial Narrow" w:eastAsia="Arial Narrow" w:hAnsi="Arial Narrow" w:cs="Arial Narrow"/>
                <w:sz w:val="14"/>
                <w:szCs w:val="14"/>
              </w:rPr>
              <w:t>dad social y otros servicios sociales necesarios.</w:t>
            </w:r>
          </w:p>
        </w:tc>
      </w:tr>
      <w:tr w:rsidR="00267187" w:rsidTr="00267187">
        <w:tc>
          <w:tcPr>
            <w:tcW w:w="1521"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lastRenderedPageBreak/>
              <w:t>Haití</w:t>
            </w:r>
          </w:p>
        </w:tc>
        <w:tc>
          <w:tcPr>
            <w:tcW w:w="7307"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Artículo 22. El Estado reconoce el derecho de todo ciudadano a una vivienda digna, a la educación, a la alimentación y a la seguridad social.</w:t>
            </w:r>
          </w:p>
        </w:tc>
      </w:tr>
      <w:tr w:rsidR="00267187" w:rsidTr="00267187">
        <w:tc>
          <w:tcPr>
            <w:tcW w:w="1521"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República Islámica de Irán</w:t>
            </w:r>
          </w:p>
          <w:p w:rsidR="00267187" w:rsidRDefault="00267187">
            <w:pPr>
              <w:spacing w:before="85" w:after="57"/>
              <w:jc w:val="both"/>
              <w:rPr>
                <w:rFonts w:ascii="Arial Narrow" w:eastAsia="Arial Narrow" w:hAnsi="Arial Narrow" w:cs="Arial Narrow"/>
                <w:sz w:val="14"/>
                <w:szCs w:val="14"/>
              </w:rPr>
            </w:pPr>
          </w:p>
        </w:tc>
        <w:tc>
          <w:tcPr>
            <w:tcW w:w="7307"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Principio 3. Para alcanzar los objetivos mencionados en el principio segundo, el Gobierno de la República Islámica tiene la responsabilidad de poner en funcionamiento todos los medios a su alcance para conseguir los siguientes fines: (…) 12. Cimentar una e</w:t>
            </w:r>
            <w:r>
              <w:rPr>
                <w:rFonts w:ascii="Arial Narrow" w:eastAsia="Arial Narrow" w:hAnsi="Arial Narrow" w:cs="Arial Narrow"/>
                <w:sz w:val="14"/>
                <w:szCs w:val="14"/>
              </w:rPr>
              <w:t>conomía sana y equitativa, de acuerdo con los principios islámicos, para crear bienestar, erradicar la pobreza y eliminar todo tipo de miseria en los campos de la </w:t>
            </w:r>
            <w:r>
              <w:rPr>
                <w:rFonts w:ascii="Arial Narrow" w:eastAsia="Arial Narrow" w:hAnsi="Arial Narrow" w:cs="Arial Narrow"/>
                <w:b/>
                <w:sz w:val="14"/>
                <w:szCs w:val="14"/>
              </w:rPr>
              <w:t>a</w:t>
            </w:r>
            <w:r>
              <w:rPr>
                <w:rFonts w:ascii="Arial Narrow" w:eastAsia="Arial Narrow" w:hAnsi="Arial Narrow" w:cs="Arial Narrow"/>
                <w:sz w:val="14"/>
                <w:szCs w:val="14"/>
              </w:rPr>
              <w:t>limentación, de la vivienda, del trabajo, de la salud y generalizar la aseguración.</w:t>
            </w:r>
          </w:p>
          <w:p w:rsidR="00267187" w:rsidRDefault="00267187">
            <w:pPr>
              <w:spacing w:before="85" w:after="57"/>
              <w:jc w:val="both"/>
              <w:rPr>
                <w:rFonts w:ascii="Arial Narrow" w:eastAsia="Arial Narrow" w:hAnsi="Arial Narrow" w:cs="Arial Narrow"/>
                <w:sz w:val="14"/>
                <w:szCs w:val="14"/>
              </w:rPr>
            </w:pPr>
          </w:p>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Princip</w:t>
            </w:r>
            <w:r>
              <w:rPr>
                <w:rFonts w:ascii="Arial Narrow" w:eastAsia="Arial Narrow" w:hAnsi="Arial Narrow" w:cs="Arial Narrow"/>
                <w:sz w:val="14"/>
                <w:szCs w:val="14"/>
              </w:rPr>
              <w:t>io 43. Al objeto de garantizar la independencia económica de la sociedad, erradicar la pobreza y la miseria y satisfacer las necesidades humanas en el curso de su crecimiento salvaguardando su libertad, la economía de la República Islámica de Irán se basar</w:t>
            </w:r>
            <w:r>
              <w:rPr>
                <w:rFonts w:ascii="Arial Narrow" w:eastAsia="Arial Narrow" w:hAnsi="Arial Narrow" w:cs="Arial Narrow"/>
                <w:sz w:val="14"/>
                <w:szCs w:val="14"/>
              </w:rPr>
              <w:t>á en los siguientes principios: (…) 1. Garantizar las necesidades básicas para todos: vivienda, alimentación, vestido, servicios sanitarios, medicamentos, educación, enseñanza, así como los medios necesarios para constituir la familia.</w:t>
            </w:r>
          </w:p>
        </w:tc>
      </w:tr>
      <w:tr w:rsidR="00267187" w:rsidTr="00267187">
        <w:tc>
          <w:tcPr>
            <w:tcW w:w="1521"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Kenia</w:t>
            </w:r>
          </w:p>
        </w:tc>
        <w:tc>
          <w:tcPr>
            <w:tcW w:w="7307"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 xml:space="preserve">Artículo 43. </w:t>
            </w:r>
            <w:r>
              <w:rPr>
                <w:rFonts w:ascii="Arial Narrow" w:eastAsia="Arial Narrow" w:hAnsi="Arial Narrow" w:cs="Arial Narrow"/>
                <w:sz w:val="14"/>
                <w:szCs w:val="14"/>
              </w:rPr>
              <w:t>1. Todas las personas tienen derecho: (…) c. A no padecer hambre y a tener alimentos adecuados de aceptable calidad.</w:t>
            </w:r>
          </w:p>
        </w:tc>
      </w:tr>
      <w:tr w:rsidR="00267187" w:rsidTr="00267187">
        <w:tc>
          <w:tcPr>
            <w:tcW w:w="1521"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México</w:t>
            </w:r>
          </w:p>
          <w:p w:rsidR="00267187" w:rsidRDefault="00267187">
            <w:pPr>
              <w:spacing w:before="85" w:after="57"/>
              <w:jc w:val="both"/>
              <w:rPr>
                <w:rFonts w:ascii="Arial Narrow" w:eastAsia="Arial Narrow" w:hAnsi="Arial Narrow" w:cs="Arial Narrow"/>
                <w:sz w:val="14"/>
                <w:szCs w:val="14"/>
              </w:rPr>
            </w:pPr>
          </w:p>
        </w:tc>
        <w:tc>
          <w:tcPr>
            <w:tcW w:w="7307"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Artículo 4. Toda persona tiene derecho a la alimentación nutritiva, suficiente y de calidad. El Estado lo garantizará. (…) En toda</w:t>
            </w:r>
            <w:r>
              <w:rPr>
                <w:rFonts w:ascii="Arial Narrow" w:eastAsia="Arial Narrow" w:hAnsi="Arial Narrow" w:cs="Arial Narrow"/>
                <w:sz w:val="14"/>
                <w:szCs w:val="14"/>
              </w:rPr>
              <w:t>s las decisiones y actuaciones del Estado se velará y cumplirá con el principio del interés superior de la niñez, garantizando de manera plena sus derechos. Los niños y las niñas tienen derecho a la satisfacción de sus necesidades de alimentación, salud, e</w:t>
            </w:r>
            <w:r>
              <w:rPr>
                <w:rFonts w:ascii="Arial Narrow" w:eastAsia="Arial Narrow" w:hAnsi="Arial Narrow" w:cs="Arial Narrow"/>
                <w:sz w:val="14"/>
                <w:szCs w:val="14"/>
              </w:rPr>
              <w:t>ducación y sano esparcimiento para su desarrollo integral. Este principio deberá guiar el diseño, ejecución, seguimiento y evaluación de las políticas públicas dirigidas a la niñez.</w:t>
            </w:r>
          </w:p>
        </w:tc>
      </w:tr>
      <w:tr w:rsidR="00267187" w:rsidTr="00267187">
        <w:tc>
          <w:tcPr>
            <w:tcW w:w="1521"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Nicaragua</w:t>
            </w:r>
          </w:p>
        </w:tc>
        <w:tc>
          <w:tcPr>
            <w:tcW w:w="7307"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Es derecho de los nicaragüenses estar protegidos contra el hamb</w:t>
            </w:r>
            <w:r>
              <w:rPr>
                <w:rFonts w:ascii="Arial Narrow" w:eastAsia="Arial Narrow" w:hAnsi="Arial Narrow" w:cs="Arial Narrow"/>
                <w:sz w:val="14"/>
                <w:szCs w:val="14"/>
              </w:rPr>
              <w:t>re. El Estado promoverá programas que aseguren una adecuada disponibilidad de alimentos y una distribución equitativa de los mismos.</w:t>
            </w:r>
          </w:p>
        </w:tc>
      </w:tr>
      <w:tr w:rsidR="00267187" w:rsidTr="00267187">
        <w:tc>
          <w:tcPr>
            <w:tcW w:w="1521"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Nigeria</w:t>
            </w:r>
          </w:p>
        </w:tc>
        <w:tc>
          <w:tcPr>
            <w:tcW w:w="7307"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2. El Estado dirigirá su política con el fin de garantizar: (…) d. que se le proporcionen a todos los ciudadanos u</w:t>
            </w:r>
            <w:r>
              <w:rPr>
                <w:rFonts w:ascii="Arial Narrow" w:eastAsia="Arial Narrow" w:hAnsi="Arial Narrow" w:cs="Arial Narrow"/>
                <w:sz w:val="14"/>
                <w:szCs w:val="14"/>
              </w:rPr>
              <w:t>n alojamiento adecuado y suficiente, alimentación adecuada y suficiente, un salario mínimo nacional razonables, cuidados y pensiones para la tercera edad; prestaciones en caso de desempleo y enfermedad, y asistencia social para los incapacitados.</w:t>
            </w:r>
          </w:p>
        </w:tc>
      </w:tr>
      <w:tr w:rsidR="00267187" w:rsidTr="00267187">
        <w:tc>
          <w:tcPr>
            <w:tcW w:w="1521"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Panamá</w:t>
            </w:r>
          </w:p>
        </w:tc>
        <w:tc>
          <w:tcPr>
            <w:tcW w:w="7307"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E</w:t>
            </w:r>
            <w:r>
              <w:rPr>
                <w:rFonts w:ascii="Arial Narrow" w:eastAsia="Arial Narrow" w:hAnsi="Arial Narrow" w:cs="Arial Narrow"/>
                <w:sz w:val="14"/>
                <w:szCs w:val="14"/>
              </w:rPr>
              <w:t>n materia de salud, corresponde primordialmente al Estado el desarrollo de las siguientes actividades, integrando las funciones de prevención, curación y rehabilitación: (…) 1. Desarrollar una política nacional de alimentación y nutrición que asegure un óp</w:t>
            </w:r>
            <w:r>
              <w:rPr>
                <w:rFonts w:ascii="Arial Narrow" w:eastAsia="Arial Narrow" w:hAnsi="Arial Narrow" w:cs="Arial Narrow"/>
                <w:sz w:val="14"/>
                <w:szCs w:val="14"/>
              </w:rPr>
              <w:t>timo estado nutricional para toda la población, al promover la disponibilidad, el consumo y el aprovechamiento biológico de los alimentos adecuados.</w:t>
            </w:r>
          </w:p>
          <w:p w:rsidR="00267187" w:rsidRDefault="00267187">
            <w:pPr>
              <w:spacing w:before="85" w:after="57"/>
              <w:jc w:val="both"/>
              <w:rPr>
                <w:rFonts w:ascii="Arial Narrow" w:eastAsia="Arial Narrow" w:hAnsi="Arial Narrow" w:cs="Arial Narrow"/>
                <w:sz w:val="14"/>
                <w:szCs w:val="14"/>
              </w:rPr>
            </w:pPr>
          </w:p>
        </w:tc>
      </w:tr>
      <w:tr w:rsidR="00267187" w:rsidTr="00267187">
        <w:tc>
          <w:tcPr>
            <w:tcW w:w="1521"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Paraguay</w:t>
            </w:r>
          </w:p>
        </w:tc>
        <w:tc>
          <w:tcPr>
            <w:tcW w:w="7307"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Artículo 57. La familia, la sociedad y los poderes públicos promoverán su bienestar mediante servicios sociales que se ocupen de sus necesidades de alimentación, salud, vivienda, cultura y ocio.</w:t>
            </w:r>
          </w:p>
        </w:tc>
      </w:tr>
      <w:tr w:rsidR="00267187" w:rsidTr="00267187">
        <w:tc>
          <w:tcPr>
            <w:tcW w:w="1521"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República Dominicana</w:t>
            </w:r>
          </w:p>
        </w:tc>
        <w:tc>
          <w:tcPr>
            <w:tcW w:w="7307" w:type="dxa"/>
          </w:tcPr>
          <w:p w:rsidR="00267187" w:rsidRDefault="002B2E2D">
            <w:pPr>
              <w:spacing w:before="85" w:after="57"/>
              <w:jc w:val="both"/>
              <w:rPr>
                <w:rFonts w:ascii="Arial Narrow" w:eastAsia="Arial Narrow" w:hAnsi="Arial Narrow" w:cs="Arial Narrow"/>
                <w:sz w:val="14"/>
                <w:szCs w:val="14"/>
              </w:rPr>
            </w:pPr>
            <w:r>
              <w:rPr>
                <w:rFonts w:ascii="Arial Narrow" w:eastAsia="Arial Narrow" w:hAnsi="Arial Narrow" w:cs="Arial Narrow"/>
                <w:sz w:val="14"/>
                <w:szCs w:val="14"/>
              </w:rPr>
              <w:t>Artículo 61. Toda persona tiene derecho</w:t>
            </w:r>
            <w:r>
              <w:rPr>
                <w:rFonts w:ascii="Arial Narrow" w:eastAsia="Arial Narrow" w:hAnsi="Arial Narrow" w:cs="Arial Narrow"/>
                <w:sz w:val="14"/>
                <w:szCs w:val="14"/>
              </w:rPr>
              <w:t xml:space="preserve"> a la salud integral. En consecuencia: (…) 1. El Estado debe velar por la protección de la salud de todas las personas, el acceso al agua potable, el mejoramiento de la alimentación, de los servicios sanitarios, las condiciones higiénicas, el saneamiento a</w:t>
            </w:r>
            <w:r>
              <w:rPr>
                <w:rFonts w:ascii="Arial Narrow" w:eastAsia="Arial Narrow" w:hAnsi="Arial Narrow" w:cs="Arial Narrow"/>
                <w:sz w:val="14"/>
                <w:szCs w:val="14"/>
              </w:rPr>
              <w:t>mbiental, así como procurar los medios para la prevención y tratamiento de todas las enfermedades, asegurando el acceso a medicamentos de calidad y dando asistencia médica y hospitalaria gratuita a quienes la requieran;</w:t>
            </w:r>
          </w:p>
        </w:tc>
      </w:tr>
    </w:tbl>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Es necesario resaltar que la totali</w:t>
      </w:r>
      <w:r>
        <w:rPr>
          <w:rFonts w:ascii="Arial Narrow" w:eastAsia="Arial Narrow" w:hAnsi="Arial Narrow" w:cs="Arial Narrow"/>
          <w:sz w:val="24"/>
          <w:szCs w:val="24"/>
        </w:rPr>
        <w:t>dad de los Estados que consagran de una u otra forma el derecho a estar protegidos contra el hambre y la desnutrición – bien sea de manera directa o en conexidad con el derecho a la salud – son Estados en vías de desarrollo, tal y como es el caso de Colomb</w:t>
      </w:r>
      <w:r>
        <w:rPr>
          <w:rFonts w:ascii="Arial Narrow" w:eastAsia="Arial Narrow" w:hAnsi="Arial Narrow" w:cs="Arial Narrow"/>
          <w:sz w:val="24"/>
          <w:szCs w:val="24"/>
        </w:rPr>
        <w:t>ia, por lo que no es de recibo un argumento que indique que el país no puede consagrar en su ordenamiento jurídico este derecho -  en las condiciones señaladas en el acápite de exigibilidad – ya que en al menos 13 países (la mayoría de ellos pertenecientes</w:t>
      </w:r>
      <w:r>
        <w:rPr>
          <w:rFonts w:ascii="Arial Narrow" w:eastAsia="Arial Narrow" w:hAnsi="Arial Narrow" w:cs="Arial Narrow"/>
          <w:sz w:val="24"/>
          <w:szCs w:val="24"/>
        </w:rPr>
        <w:t xml:space="preserve"> a la región de América Latina y el Caribe) ha sido posible elevar a rango constitucional el derecho a estar protegido contra el hambre y la desnutrición, y con base en esta disposición jurídica, tener la legitimidad así como la obligación de adoptar medid</w:t>
      </w:r>
      <w:r>
        <w:rPr>
          <w:rFonts w:ascii="Arial Narrow" w:eastAsia="Arial Narrow" w:hAnsi="Arial Narrow" w:cs="Arial Narrow"/>
          <w:sz w:val="24"/>
          <w:szCs w:val="24"/>
        </w:rPr>
        <w:t>as que permitan garantizar la protección de este derecho esencial para cualquier ser humano.</w:t>
      </w:r>
    </w:p>
    <w:p w:rsidR="00267187" w:rsidRDefault="00267187">
      <w:pPr>
        <w:spacing w:before="85" w:after="57"/>
        <w:jc w:val="both"/>
        <w:rPr>
          <w:rFonts w:ascii="Arial Narrow" w:eastAsia="Arial Narrow" w:hAnsi="Arial Narrow" w:cs="Arial Narrow"/>
          <w:sz w:val="24"/>
          <w:szCs w:val="24"/>
        </w:rPr>
      </w:pPr>
    </w:p>
    <w:p w:rsidR="00267187" w:rsidRDefault="002B2E2D">
      <w:pPr>
        <w:numPr>
          <w:ilvl w:val="0"/>
          <w:numId w:val="3"/>
        </w:numPr>
        <w:spacing w:before="85" w:after="57"/>
        <w:jc w:val="both"/>
        <w:rPr>
          <w:rFonts w:ascii="Arial Narrow" w:eastAsia="Arial Narrow" w:hAnsi="Arial Narrow" w:cs="Arial Narrow"/>
          <w:b/>
          <w:sz w:val="24"/>
          <w:szCs w:val="24"/>
        </w:rPr>
      </w:pPr>
      <w:r>
        <w:rPr>
          <w:rFonts w:ascii="Arial Narrow" w:eastAsia="Arial Narrow" w:hAnsi="Arial Narrow" w:cs="Arial Narrow"/>
          <w:b/>
          <w:sz w:val="24"/>
          <w:szCs w:val="24"/>
        </w:rPr>
        <w:lastRenderedPageBreak/>
        <w:t xml:space="preserve">Concepto de Seguridad Alimentaria en el contexto internacional. </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Pese a ser un concepto que se encuentra intrínsecamente relacionado con los objetivos del Derecho a la Alimentación Adecuada, es necesario entrar a distinguir la Seguridad Alimentaria, como concepto doctrinario carente de significancia en el ámbito jurídic</w:t>
      </w:r>
      <w:r>
        <w:rPr>
          <w:rFonts w:ascii="Arial Narrow" w:eastAsia="Arial Narrow" w:hAnsi="Arial Narrow" w:cs="Arial Narrow"/>
          <w:sz w:val="24"/>
          <w:szCs w:val="24"/>
        </w:rPr>
        <w:t xml:space="preserve">o, del Derecho a la Alimentación, el cual es completamente vinculante para el Estado colombiano al ser reconocido como un Derecho Humano. </w:t>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Así pues, tradicionalmente se ha entendido a la seguridad alimentaria como “</w:t>
      </w:r>
      <w:r>
        <w:rPr>
          <w:rFonts w:ascii="Arial Narrow" w:eastAsia="Arial Narrow" w:hAnsi="Arial Narrow" w:cs="Arial Narrow"/>
          <w:i/>
          <w:sz w:val="24"/>
          <w:szCs w:val="24"/>
        </w:rPr>
        <w:t xml:space="preserve">la posibilidad de acceso a los alimentos </w:t>
      </w:r>
      <w:r>
        <w:rPr>
          <w:rFonts w:ascii="Arial Narrow" w:eastAsia="Arial Narrow" w:hAnsi="Arial Narrow" w:cs="Arial Narrow"/>
          <w:i/>
          <w:sz w:val="24"/>
          <w:szCs w:val="24"/>
        </w:rPr>
        <w:t>por parte de las generaciones presentes y futuras</w:t>
      </w:r>
      <w:r>
        <w:rPr>
          <w:rFonts w:ascii="Arial Narrow" w:eastAsia="Arial Narrow" w:hAnsi="Arial Narrow" w:cs="Arial Narrow"/>
          <w:sz w:val="24"/>
          <w:szCs w:val="24"/>
        </w:rPr>
        <w:t>”</w:t>
      </w:r>
      <w:r>
        <w:rPr>
          <w:rFonts w:ascii="Arial Narrow" w:eastAsia="Arial Narrow" w:hAnsi="Arial Narrow" w:cs="Arial Narrow"/>
          <w:sz w:val="24"/>
          <w:szCs w:val="24"/>
          <w:vertAlign w:val="superscript"/>
        </w:rPr>
        <w:footnoteReference w:id="33"/>
      </w:r>
      <w:r>
        <w:rPr>
          <w:rFonts w:ascii="Arial Narrow" w:eastAsia="Arial Narrow" w:hAnsi="Arial Narrow" w:cs="Arial Narrow"/>
          <w:sz w:val="24"/>
          <w:szCs w:val="24"/>
        </w:rPr>
        <w:t>. Así mismo, de conformidad con la FAO, existe seguridad alimentaria “</w:t>
      </w:r>
      <w:r>
        <w:rPr>
          <w:rFonts w:ascii="Arial Narrow" w:eastAsia="Arial Narrow" w:hAnsi="Arial Narrow" w:cs="Arial Narrow"/>
          <w:i/>
          <w:sz w:val="24"/>
          <w:szCs w:val="24"/>
        </w:rPr>
        <w:t>cuando todas las personas tienen en todo momento el acceso físico, social y económico a alimentos suficientes, inocuos y nutritivos que</w:t>
      </w:r>
      <w:r>
        <w:rPr>
          <w:rFonts w:ascii="Arial Narrow" w:eastAsia="Arial Narrow" w:hAnsi="Arial Narrow" w:cs="Arial Narrow"/>
          <w:i/>
          <w:sz w:val="24"/>
          <w:szCs w:val="24"/>
        </w:rPr>
        <w:t xml:space="preserve"> satisfacen sus necesidades y preferencias alimentarias para llevar una vida activa y sana</w:t>
      </w:r>
      <w:r>
        <w:rPr>
          <w:rFonts w:ascii="Arial Narrow" w:eastAsia="Arial Narrow" w:hAnsi="Arial Narrow" w:cs="Arial Narrow"/>
          <w:sz w:val="24"/>
          <w:szCs w:val="24"/>
        </w:rPr>
        <w:t>”</w:t>
      </w:r>
      <w:r>
        <w:rPr>
          <w:rFonts w:ascii="Arial Narrow" w:eastAsia="Arial Narrow" w:hAnsi="Arial Narrow" w:cs="Arial Narrow"/>
          <w:sz w:val="24"/>
          <w:szCs w:val="24"/>
          <w:vertAlign w:val="superscript"/>
        </w:rPr>
        <w:footnoteReference w:id="34"/>
      </w:r>
      <w:r>
        <w:rPr>
          <w:rFonts w:ascii="Arial Narrow" w:eastAsia="Arial Narrow" w:hAnsi="Arial Narrow" w:cs="Arial Narrow"/>
          <w:sz w:val="24"/>
          <w:szCs w:val="24"/>
        </w:rPr>
        <w:t xml:space="preserve">. </w:t>
      </w:r>
      <w:r>
        <w:rPr>
          <w:rFonts w:ascii="Arial Narrow" w:eastAsia="Arial Narrow" w:hAnsi="Arial Narrow" w:cs="Arial Narrow"/>
          <w:i/>
          <w:sz w:val="24"/>
          <w:szCs w:val="24"/>
        </w:rPr>
        <w:t xml:space="preserve"> </w:t>
      </w:r>
      <w:r>
        <w:rPr>
          <w:rFonts w:ascii="Arial Narrow" w:eastAsia="Arial Narrow" w:hAnsi="Arial Narrow" w:cs="Arial Narrow"/>
          <w:sz w:val="24"/>
          <w:szCs w:val="24"/>
        </w:rPr>
        <w:t xml:space="preserve">Del mismo modo, la Oficina del Alto Comisionado de las Naciones Unidas para los Derechos Humanos y la FAO en el Folleto Informativo No. 34 sobre el derecho a la </w:t>
      </w:r>
      <w:r>
        <w:rPr>
          <w:rFonts w:ascii="Arial Narrow" w:eastAsia="Arial Narrow" w:hAnsi="Arial Narrow" w:cs="Arial Narrow"/>
          <w:sz w:val="24"/>
          <w:szCs w:val="24"/>
        </w:rPr>
        <w:t>alimentación adecuada ha establecido que “</w:t>
      </w:r>
      <w:r>
        <w:rPr>
          <w:rFonts w:ascii="Arial Narrow" w:eastAsia="Arial Narrow" w:hAnsi="Arial Narrow" w:cs="Arial Narrow"/>
          <w:i/>
          <w:sz w:val="24"/>
          <w:szCs w:val="24"/>
        </w:rPr>
        <w:t>Se trata de una condición previa del ejercicio pleno del derecho a la alimentación. No obstante, el propio concepto de seguridad alimentaria no es un concepto jurídico en sí mismo, no impone obligaciones a los inte</w:t>
      </w:r>
      <w:r>
        <w:rPr>
          <w:rFonts w:ascii="Arial Narrow" w:eastAsia="Arial Narrow" w:hAnsi="Arial Narrow" w:cs="Arial Narrow"/>
          <w:i/>
          <w:sz w:val="24"/>
          <w:szCs w:val="24"/>
        </w:rPr>
        <w:t>resados ni les otorga derechos</w:t>
      </w:r>
      <w:r>
        <w:rPr>
          <w:rFonts w:ascii="Arial Narrow" w:eastAsia="Arial Narrow" w:hAnsi="Arial Narrow" w:cs="Arial Narrow"/>
          <w:sz w:val="24"/>
          <w:szCs w:val="24"/>
        </w:rPr>
        <w:t>”</w:t>
      </w:r>
      <w:r>
        <w:rPr>
          <w:rFonts w:ascii="Arial Narrow" w:eastAsia="Arial Narrow" w:hAnsi="Arial Narrow" w:cs="Arial Narrow"/>
          <w:sz w:val="24"/>
          <w:szCs w:val="24"/>
          <w:vertAlign w:val="superscript"/>
        </w:rPr>
        <w:footnoteReference w:id="35"/>
      </w:r>
    </w:p>
    <w:p w:rsidR="00267187" w:rsidRDefault="002B2E2D">
      <w:pPr>
        <w:spacing w:before="85" w:after="57"/>
        <w:jc w:val="both"/>
        <w:rPr>
          <w:rFonts w:ascii="Arial Narrow" w:eastAsia="Arial Narrow" w:hAnsi="Arial Narrow" w:cs="Arial Narrow"/>
          <w:sz w:val="24"/>
          <w:szCs w:val="24"/>
        </w:rPr>
      </w:pPr>
      <w:r>
        <w:rPr>
          <w:rFonts w:ascii="Arial Narrow" w:eastAsia="Arial Narrow" w:hAnsi="Arial Narrow" w:cs="Arial Narrow"/>
          <w:sz w:val="24"/>
          <w:szCs w:val="24"/>
        </w:rPr>
        <w:t>Así pues, con el presente proyecto de ley se plantea establecer el derecho fundamental a la alimentación adecuada en el ordenamiento jurídico interno, en los términos establecidos por parte de la Organización de las Nacione</w:t>
      </w:r>
      <w:r>
        <w:rPr>
          <w:rFonts w:ascii="Arial Narrow" w:eastAsia="Arial Narrow" w:hAnsi="Arial Narrow" w:cs="Arial Narrow"/>
          <w:sz w:val="24"/>
          <w:szCs w:val="24"/>
        </w:rPr>
        <w:t>s Unidas para la Alimentación y la Agricultura, de la cual se toman los elementos fundantes para la elaboración del artículo propuesto en el presente proyecto, todo lo anterior con el propósito de dar cumplimiento a las disposiciones del corpus iuris de de</w:t>
      </w:r>
      <w:r>
        <w:rPr>
          <w:rFonts w:ascii="Arial Narrow" w:eastAsia="Arial Narrow" w:hAnsi="Arial Narrow" w:cs="Arial Narrow"/>
          <w:sz w:val="24"/>
          <w:szCs w:val="24"/>
        </w:rPr>
        <w:t>recho internacional que han sido suscritas por parte del Estado colombiano, hoy en día enteramente vinculantes y como paso necesario para la construcción de condiciones de seguridad alimentaria en el territorio nacional.</w:t>
      </w:r>
    </w:p>
    <w:p w:rsidR="00267187" w:rsidRDefault="002B2E2D">
      <w:pPr>
        <w:numPr>
          <w:ilvl w:val="0"/>
          <w:numId w:val="3"/>
        </w:numPr>
        <w:pBdr>
          <w:top w:val="nil"/>
          <w:left w:val="nil"/>
          <w:bottom w:val="nil"/>
          <w:right w:val="nil"/>
          <w:between w:val="nil"/>
        </w:pBdr>
        <w:spacing w:before="85" w:after="57"/>
        <w:jc w:val="both"/>
        <w:rPr>
          <w:rFonts w:ascii="Arial Narrow" w:eastAsia="Arial Narrow" w:hAnsi="Arial Narrow" w:cs="Arial Narrow"/>
          <w:color w:val="000000"/>
          <w:sz w:val="28"/>
          <w:szCs w:val="28"/>
        </w:rPr>
      </w:pPr>
      <w:r>
        <w:rPr>
          <w:rFonts w:ascii="Arial Narrow" w:eastAsia="Arial Narrow" w:hAnsi="Arial Narrow" w:cs="Arial Narrow"/>
          <w:b/>
          <w:color w:val="000000"/>
          <w:sz w:val="24"/>
          <w:szCs w:val="24"/>
        </w:rPr>
        <w:t>Evolución Del Derecho Humano A La Alimentación</w:t>
      </w:r>
      <w:r>
        <w:rPr>
          <w:rFonts w:ascii="Arial Narrow" w:eastAsia="Arial Narrow" w:hAnsi="Arial Narrow" w:cs="Arial Narrow"/>
          <w:b/>
          <w:color w:val="000000"/>
          <w:sz w:val="28"/>
          <w:szCs w:val="28"/>
        </w:rPr>
        <w:t>.</w:t>
      </w:r>
    </w:p>
    <w:tbl>
      <w:tblPr>
        <w:tblStyle w:val="a7"/>
        <w:tblW w:w="89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2853"/>
        <w:gridCol w:w="3762"/>
      </w:tblGrid>
      <w:tr w:rsidR="00267187">
        <w:tc>
          <w:tcPr>
            <w:tcW w:w="2295" w:type="dxa"/>
          </w:tcPr>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jc w:val="cente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jc w:val="center"/>
              <w:rPr>
                <w:rFonts w:ascii="Arial" w:eastAsia="Arial" w:hAnsi="Arial" w:cs="Arial"/>
              </w:rPr>
            </w:pPr>
          </w:p>
          <w:p w:rsidR="00267187" w:rsidRDefault="002B2E2D">
            <w:pPr>
              <w:jc w:val="center"/>
              <w:rPr>
                <w:rFonts w:ascii="Arial" w:eastAsia="Arial" w:hAnsi="Arial" w:cs="Arial"/>
              </w:rPr>
            </w:pPr>
            <w:r>
              <w:rPr>
                <w:rFonts w:ascii="Arial" w:eastAsia="Arial" w:hAnsi="Arial" w:cs="Arial"/>
              </w:rPr>
              <w:t>MARCO INTERNACIONAL</w:t>
            </w:r>
          </w:p>
        </w:tc>
        <w:tc>
          <w:tcPr>
            <w:tcW w:w="2853" w:type="dxa"/>
          </w:tcPr>
          <w:p w:rsidR="00267187" w:rsidRDefault="002B2E2D">
            <w:pPr>
              <w:jc w:val="both"/>
              <w:rPr>
                <w:rFonts w:ascii="Arial" w:eastAsia="Arial" w:hAnsi="Arial" w:cs="Arial"/>
              </w:rPr>
            </w:pPr>
            <w:r>
              <w:rPr>
                <w:rFonts w:ascii="Arial" w:eastAsia="Arial" w:hAnsi="Arial" w:cs="Arial"/>
              </w:rPr>
              <w:lastRenderedPageBreak/>
              <w:t>10 de diciembre de 1948 (Declaración Universal de los Derechos Humanos)</w:t>
            </w: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1966 – 1976 (Entrada en vigor)</w:t>
            </w:r>
          </w:p>
          <w:p w:rsidR="00267187" w:rsidRDefault="002B2E2D">
            <w:pPr>
              <w:jc w:val="both"/>
              <w:rPr>
                <w:rFonts w:ascii="Arial" w:eastAsia="Arial" w:hAnsi="Arial" w:cs="Arial"/>
              </w:rPr>
            </w:pPr>
            <w:r>
              <w:rPr>
                <w:rFonts w:ascii="Arial" w:eastAsia="Arial" w:hAnsi="Arial" w:cs="Arial"/>
              </w:rPr>
              <w:t>(Pacto Internacional de Derechos Económicos, Sociales y Culturales)</w:t>
            </w: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1988 (Protocolo Adicional a la Convención Americana sobre Derechos Humanos “San Salvador”)</w:t>
            </w:r>
          </w:p>
        </w:tc>
        <w:tc>
          <w:tcPr>
            <w:tcW w:w="3762" w:type="dxa"/>
          </w:tcPr>
          <w:p w:rsidR="00267187" w:rsidRDefault="002B2E2D">
            <w:pPr>
              <w:jc w:val="both"/>
              <w:rPr>
                <w:rFonts w:ascii="Arial" w:eastAsia="Arial" w:hAnsi="Arial" w:cs="Arial"/>
              </w:rPr>
            </w:pPr>
            <w:r>
              <w:rPr>
                <w:rFonts w:ascii="Arial" w:eastAsia="Arial" w:hAnsi="Arial" w:cs="Arial"/>
              </w:rPr>
              <w:lastRenderedPageBreak/>
              <w:t>Se expide la anterior, estableciendo en el Art. 25 de sus disposiciones lo siguiente:</w:t>
            </w:r>
          </w:p>
          <w:p w:rsidR="00267187" w:rsidRDefault="002B2E2D">
            <w:pPr>
              <w:jc w:val="both"/>
              <w:rPr>
                <w:rFonts w:ascii="Arial" w:eastAsia="Arial" w:hAnsi="Arial" w:cs="Arial"/>
              </w:rPr>
            </w:pPr>
            <w:r>
              <w:rPr>
                <w:rFonts w:ascii="Arial" w:eastAsia="Arial" w:hAnsi="Arial" w:cs="Arial"/>
              </w:rPr>
              <w:t xml:space="preserve"> </w:t>
            </w:r>
          </w:p>
          <w:p w:rsidR="00267187" w:rsidRDefault="002B2E2D">
            <w:pPr>
              <w:jc w:val="both"/>
              <w:rPr>
                <w:rFonts w:ascii="Arial" w:eastAsia="Arial" w:hAnsi="Arial" w:cs="Arial"/>
              </w:rPr>
            </w:pPr>
            <w:r>
              <w:rPr>
                <w:rFonts w:ascii="Arial" w:eastAsia="Arial" w:hAnsi="Arial" w:cs="Arial"/>
              </w:rPr>
              <w:t>“</w:t>
            </w:r>
            <w:r>
              <w:rPr>
                <w:rFonts w:ascii="Arial" w:eastAsia="Arial" w:hAnsi="Arial" w:cs="Arial"/>
              </w:rPr>
              <w:t xml:space="preserve">Toda persona tiene derecho a un nivel de vida adecuado que le asegure, así como a su familia, la salud y el bienestar, y en especial la </w:t>
            </w:r>
            <w:r>
              <w:rPr>
                <w:rFonts w:ascii="Arial" w:eastAsia="Arial" w:hAnsi="Arial" w:cs="Arial"/>
                <w:b/>
                <w:u w:val="single"/>
              </w:rPr>
              <w:t>alimentación</w:t>
            </w:r>
            <w:r>
              <w:rPr>
                <w:rFonts w:ascii="Arial" w:eastAsia="Arial" w:hAnsi="Arial" w:cs="Arial"/>
              </w:rPr>
              <w:t xml:space="preserve">, el vestido, la </w:t>
            </w:r>
            <w:r>
              <w:rPr>
                <w:rFonts w:ascii="Arial" w:eastAsia="Arial" w:hAnsi="Arial" w:cs="Arial"/>
              </w:rPr>
              <w:lastRenderedPageBreak/>
              <w:t xml:space="preserve">vivienda, la asistencia médica y los servicios sociales necesarios; tiene asimismo derecho </w:t>
            </w:r>
            <w:r>
              <w:rPr>
                <w:rFonts w:ascii="Arial" w:eastAsia="Arial" w:hAnsi="Arial" w:cs="Arial"/>
              </w:rPr>
              <w:t>a los seguros en caso de desempleo, enfermedad, invalidez, viudez, vejez u otros casos de pérdida de sus medios de subsistencia por circunstancias independientes de su voluntad.”</w:t>
            </w: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Es decir, todo ser humano, tiene derecho a la alimentación, como elemento in</w:t>
            </w:r>
            <w:r>
              <w:rPr>
                <w:rFonts w:ascii="Arial" w:eastAsia="Arial" w:hAnsi="Arial" w:cs="Arial"/>
              </w:rPr>
              <w:t>dispensable y de especial protección, con el objetivo de alcanzar un nivel de vida adecuado.</w:t>
            </w: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La presente menciona los aspectos anteriores, y complementa su contenido agregando la protección contra el hambre, de conformidad con el siguiente tenor del Art.1</w:t>
            </w:r>
            <w:r>
              <w:rPr>
                <w:rFonts w:ascii="Arial" w:eastAsia="Arial" w:hAnsi="Arial" w:cs="Arial"/>
              </w:rPr>
              <w:t xml:space="preserve">1: </w:t>
            </w: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 xml:space="preserve">“2. Los Estados Partes en el presente Pacto, reconociendo el derecho fundamental de toda persona a estar protegida contra el </w:t>
            </w:r>
            <w:r>
              <w:rPr>
                <w:rFonts w:ascii="Arial" w:eastAsia="Arial" w:hAnsi="Arial" w:cs="Arial"/>
                <w:b/>
                <w:u w:val="single"/>
              </w:rPr>
              <w:t>hambre</w:t>
            </w:r>
            <w:r>
              <w:rPr>
                <w:rFonts w:ascii="Arial" w:eastAsia="Arial" w:hAnsi="Arial" w:cs="Arial"/>
              </w:rPr>
              <w:t>, adoptarán, individualmente y mediante la cooperación internacional, las medidas, incluidos los programas concretos, qu</w:t>
            </w:r>
            <w:r>
              <w:rPr>
                <w:rFonts w:ascii="Arial" w:eastAsia="Arial" w:hAnsi="Arial" w:cs="Arial"/>
              </w:rPr>
              <w:t>e se necesitan para (…)”</w:t>
            </w: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 xml:space="preserve">Es decir, que con esta no solamente se formula el concepto en forma teórica, sino que establece disposiciones para su implementación a futuro. </w:t>
            </w: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Este protocolo fue firmado y debidamente ratificado por Colombia, donde se sostiene e</w:t>
            </w:r>
            <w:r>
              <w:rPr>
                <w:rFonts w:ascii="Arial" w:eastAsia="Arial" w:hAnsi="Arial" w:cs="Arial"/>
              </w:rPr>
              <w:t xml:space="preserve">ntre otros el siguiente tenor: </w:t>
            </w: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“Artículo 12</w:t>
            </w:r>
          </w:p>
          <w:p w:rsidR="00267187" w:rsidRDefault="002B2E2D">
            <w:pPr>
              <w:jc w:val="both"/>
              <w:rPr>
                <w:rFonts w:ascii="Arial" w:eastAsia="Arial" w:hAnsi="Arial" w:cs="Arial"/>
              </w:rPr>
            </w:pPr>
            <w:r>
              <w:rPr>
                <w:rFonts w:ascii="Arial" w:eastAsia="Arial" w:hAnsi="Arial" w:cs="Arial"/>
              </w:rPr>
              <w:t>Derecho a la alimentación</w:t>
            </w:r>
          </w:p>
          <w:p w:rsidR="00267187" w:rsidRDefault="002B2E2D">
            <w:pPr>
              <w:jc w:val="both"/>
              <w:rPr>
                <w:rFonts w:ascii="Arial" w:eastAsia="Arial" w:hAnsi="Arial" w:cs="Arial"/>
              </w:rPr>
            </w:pPr>
            <w:r>
              <w:rPr>
                <w:rFonts w:ascii="Arial" w:eastAsia="Arial" w:hAnsi="Arial" w:cs="Arial"/>
              </w:rPr>
              <w:t xml:space="preserve">Toda persona tiene derecho a una nutrición adecuada que le asegure la posibilidad de gozar del más alto </w:t>
            </w:r>
            <w:r>
              <w:rPr>
                <w:rFonts w:ascii="Arial" w:eastAsia="Arial" w:hAnsi="Arial" w:cs="Arial"/>
              </w:rPr>
              <w:lastRenderedPageBreak/>
              <w:t xml:space="preserve">nivel de desarrollo físico, emocional e intelectual. </w:t>
            </w:r>
          </w:p>
          <w:p w:rsidR="00267187" w:rsidRDefault="002B2E2D">
            <w:pPr>
              <w:jc w:val="both"/>
              <w:rPr>
                <w:rFonts w:ascii="Arial" w:eastAsia="Arial" w:hAnsi="Arial" w:cs="Arial"/>
              </w:rPr>
            </w:pPr>
            <w:r>
              <w:rPr>
                <w:rFonts w:ascii="Arial" w:eastAsia="Arial" w:hAnsi="Arial" w:cs="Arial"/>
              </w:rPr>
              <w:t>Con el objeto de hacer efectivo este derecho y a erradicar la desnutrición, los Estados Partes se comprometen a perfeccionar los métodos de producción, aprovisionamiento y distribución de alimentos, para lo cual se comprometen a promover una mayor cooperac</w:t>
            </w:r>
            <w:r>
              <w:rPr>
                <w:rFonts w:ascii="Arial" w:eastAsia="Arial" w:hAnsi="Arial" w:cs="Arial"/>
              </w:rPr>
              <w:t>ión internacional en apoyo de las políticas nacionales sobre la materia.”</w:t>
            </w: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En síntesis, ya no solamente se estaba hablando del derecho a la alimentación, sino también a una nutrición adecuada.</w:t>
            </w:r>
          </w:p>
        </w:tc>
      </w:tr>
      <w:tr w:rsidR="00267187">
        <w:tc>
          <w:tcPr>
            <w:tcW w:w="2295" w:type="dxa"/>
          </w:tcPr>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B2E2D">
            <w:pPr>
              <w:rPr>
                <w:rFonts w:ascii="Arial" w:eastAsia="Arial" w:hAnsi="Arial" w:cs="Arial"/>
              </w:rPr>
            </w:pPr>
            <w:r>
              <w:rPr>
                <w:rFonts w:ascii="Arial" w:eastAsia="Arial" w:hAnsi="Arial" w:cs="Arial"/>
              </w:rPr>
              <w:t>MARCO CONSTITUCIONAL Y LEGAL</w:t>
            </w:r>
          </w:p>
        </w:tc>
        <w:tc>
          <w:tcPr>
            <w:tcW w:w="2853" w:type="dxa"/>
          </w:tcPr>
          <w:p w:rsidR="00267187" w:rsidRDefault="002B2E2D">
            <w:pPr>
              <w:jc w:val="both"/>
              <w:rPr>
                <w:rFonts w:ascii="Arial" w:eastAsia="Arial" w:hAnsi="Arial" w:cs="Arial"/>
              </w:rPr>
            </w:pPr>
            <w:r>
              <w:rPr>
                <w:rFonts w:ascii="Arial" w:eastAsia="Arial" w:hAnsi="Arial" w:cs="Arial"/>
              </w:rPr>
              <w:lastRenderedPageBreak/>
              <w:t>Constitución Política de Colombia – 1991</w:t>
            </w: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PAL 436/2024c – 020/2024s</w:t>
            </w: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2005 (CONPES Social 91)</w:t>
            </w: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2008 (CONPES 113), complementaria de los compromisos: “Cumbre Mundial sobre la Alimentación: cinco años después (Junio de 2002)”, la cual ratifica los compromisos de la Cumbre Mundial de Alimentación de 1996, para el cumplimiento de los Objetivos de Desarr</w:t>
            </w:r>
            <w:r>
              <w:rPr>
                <w:rFonts w:ascii="Arial" w:eastAsia="Arial" w:hAnsi="Arial" w:cs="Arial"/>
              </w:rPr>
              <w:t>ollo del Milenio (ODM)”</w:t>
            </w: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 xml:space="preserve">2012-2019 </w:t>
            </w:r>
          </w:p>
          <w:p w:rsidR="00267187" w:rsidRDefault="002B2E2D">
            <w:pPr>
              <w:jc w:val="both"/>
              <w:rPr>
                <w:rFonts w:ascii="Arial" w:eastAsia="Arial" w:hAnsi="Arial" w:cs="Arial"/>
              </w:rPr>
            </w:pPr>
            <w:r>
              <w:rPr>
                <w:rFonts w:ascii="Arial" w:eastAsia="Arial" w:hAnsi="Arial" w:cs="Arial"/>
              </w:rPr>
              <w:t>Plan Nacional de Seguridad Alimentaria y Nutricional (PNSAN)</w:t>
            </w:r>
          </w:p>
        </w:tc>
        <w:tc>
          <w:tcPr>
            <w:tcW w:w="3762" w:type="dxa"/>
          </w:tcPr>
          <w:p w:rsidR="00267187" w:rsidRDefault="002B2E2D">
            <w:pPr>
              <w:jc w:val="both"/>
              <w:rPr>
                <w:rFonts w:ascii="Arial" w:eastAsia="Arial" w:hAnsi="Arial" w:cs="Arial"/>
              </w:rPr>
            </w:pPr>
            <w:r>
              <w:rPr>
                <w:rFonts w:ascii="Arial" w:eastAsia="Arial" w:hAnsi="Arial" w:cs="Arial"/>
              </w:rPr>
              <w:lastRenderedPageBreak/>
              <w:t>Nuestra Carta Política establece la alimentación en las siguientes:</w:t>
            </w: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“ARTICULO 44. Son derechos fundamentales de los niños: la vida, la integridad física, la s</w:t>
            </w:r>
            <w:r>
              <w:rPr>
                <w:rFonts w:ascii="Arial" w:eastAsia="Arial" w:hAnsi="Arial" w:cs="Arial"/>
              </w:rPr>
              <w:t>alud y la seguridad social, la alimentación equilibrada, su nombre y nacionalidad, tener una familia y no ser separados de ella, el cuidado y amor, la educación y la cultura, la recreación y la libre expresión de su opinión. Serán protegidos contra toda fo</w:t>
            </w:r>
            <w:r>
              <w:rPr>
                <w:rFonts w:ascii="Arial" w:eastAsia="Arial" w:hAnsi="Arial" w:cs="Arial"/>
              </w:rPr>
              <w:t>rma de abandono, violencia física o moral, secuestro, venta, abuso sexual, explotación laboral o económica y trabajos riesgosos. Gozarán también de los demás derechos consagrados en la Constitución, en las leyes y en los tratados internacionales ratificado</w:t>
            </w:r>
            <w:r>
              <w:rPr>
                <w:rFonts w:ascii="Arial" w:eastAsia="Arial" w:hAnsi="Arial" w:cs="Arial"/>
              </w:rPr>
              <w:t xml:space="preserve">s por Colombia. </w:t>
            </w: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w:t>
            </w:r>
          </w:p>
          <w:p w:rsidR="00267187" w:rsidRDefault="002B2E2D">
            <w:pPr>
              <w:jc w:val="both"/>
              <w:rPr>
                <w:rFonts w:ascii="Arial" w:eastAsia="Arial" w:hAnsi="Arial" w:cs="Arial"/>
              </w:rPr>
            </w:pPr>
            <w:r>
              <w:rPr>
                <w:rFonts w:ascii="Arial" w:eastAsia="Arial" w:hAnsi="Arial" w:cs="Arial"/>
              </w:rPr>
              <w:t xml:space="preserve">ARTICULO 65. La producción de alimentos gozará de la especial protección del Estado. Para tal efecto, se otorgará prioridad al desarrollo integral de las actividades agrícolas, pecuarias, pesqueras, forestales y agroindustriales, así </w:t>
            </w:r>
            <w:r>
              <w:rPr>
                <w:rFonts w:ascii="Arial" w:eastAsia="Arial" w:hAnsi="Arial" w:cs="Arial"/>
              </w:rPr>
              <w:lastRenderedPageBreak/>
              <w:t>como también a la construcción de obras de infraestructura física y adecuación de tierras.</w:t>
            </w: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De igual manera, el Estado promoverá la investigación y la transferencia de tecnología para la producción de alimentos y materias primas de origen agropecuario, con</w:t>
            </w:r>
            <w:r>
              <w:rPr>
                <w:rFonts w:ascii="Arial" w:eastAsia="Arial" w:hAnsi="Arial" w:cs="Arial"/>
              </w:rPr>
              <w:t xml:space="preserve"> el propósito de incrementar la productividad.”</w:t>
            </w: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Ahora bien, considera la curul que el articulado vigente sigue siendo insuficiente y que debe complementarse, porque si bien se menciona el derecho, y está establecido, sin embargo, se piensa que el siguient</w:t>
            </w:r>
            <w:r>
              <w:rPr>
                <w:rFonts w:ascii="Arial" w:eastAsia="Arial" w:hAnsi="Arial" w:cs="Arial"/>
              </w:rPr>
              <w:t>e texto del PAL 436/2023C – 020/2024S, puede resultar beneficioso en el siguiente sentido:</w:t>
            </w: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b/>
              </w:rPr>
              <w:t>“Artículo 1.</w:t>
            </w:r>
            <w:r>
              <w:rPr>
                <w:rFonts w:ascii="Arial" w:eastAsia="Arial" w:hAnsi="Arial" w:cs="Arial"/>
              </w:rPr>
              <w:t xml:space="preserve"> Modifíquese el artículo 65 de la Constitución Política de Colombia, el cual quedará así:</w:t>
            </w: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Artículo 65. El Estado garantizará el derecho humano a la ali</w:t>
            </w:r>
            <w:r>
              <w:rPr>
                <w:rFonts w:ascii="Arial" w:eastAsia="Arial" w:hAnsi="Arial" w:cs="Arial"/>
              </w:rPr>
              <w:t>mentación adecuada, de manera progresiva, con un enfoque intercultural y territorial, y a estar protegido contra el hambre y las distintas formas de malnutrición. Así mismo, promoverá condiciones de seguridad, soberanía y autonomías alimentarias en el terr</w:t>
            </w:r>
            <w:r>
              <w:rPr>
                <w:rFonts w:ascii="Arial" w:eastAsia="Arial" w:hAnsi="Arial" w:cs="Arial"/>
              </w:rPr>
              <w:t>itorio nacional y generará acciones para minimizar la pérdida de alimentos.</w:t>
            </w:r>
          </w:p>
          <w:p w:rsidR="00267187" w:rsidRDefault="002B2E2D">
            <w:pPr>
              <w:jc w:val="both"/>
              <w:rPr>
                <w:rFonts w:ascii="Arial" w:eastAsia="Arial" w:hAnsi="Arial" w:cs="Arial"/>
              </w:rPr>
            </w:pPr>
            <w:r>
              <w:rPr>
                <w:rFonts w:ascii="Arial" w:eastAsia="Arial" w:hAnsi="Arial" w:cs="Arial"/>
              </w:rPr>
              <w:t>La producción y acceso a alimentos gozará de la especial protección del Estado. Para tal efecto, se otorgará prioridad al desarrollo sostenible e integral de las actividades agríco</w:t>
            </w:r>
            <w:r>
              <w:rPr>
                <w:rFonts w:ascii="Arial" w:eastAsia="Arial" w:hAnsi="Arial" w:cs="Arial"/>
              </w:rPr>
              <w:t xml:space="preserve">las, agroalimentarias, agroindustriales, agroecológicas, pecuarias, pesqueras, acuáticas, forestales y campesinas, así como también a la adecuación de tierras, construcción </w:t>
            </w:r>
            <w:r>
              <w:rPr>
                <w:rFonts w:ascii="Arial" w:eastAsia="Arial" w:hAnsi="Arial" w:cs="Arial"/>
              </w:rPr>
              <w:lastRenderedPageBreak/>
              <w:t>de obras de infraestructura física y logística que facilite la disponibilidad de al</w:t>
            </w:r>
            <w:r>
              <w:rPr>
                <w:rFonts w:ascii="Arial" w:eastAsia="Arial" w:hAnsi="Arial" w:cs="Arial"/>
              </w:rPr>
              <w:t>imentos en todo el territorio nacional.</w:t>
            </w:r>
          </w:p>
          <w:p w:rsidR="00267187" w:rsidRDefault="002B2E2D">
            <w:pPr>
              <w:jc w:val="both"/>
              <w:rPr>
                <w:rFonts w:ascii="Arial" w:eastAsia="Arial" w:hAnsi="Arial" w:cs="Arial"/>
              </w:rPr>
            </w:pPr>
            <w:r>
              <w:rPr>
                <w:rFonts w:ascii="Arial" w:eastAsia="Arial" w:hAnsi="Arial" w:cs="Arial"/>
              </w:rPr>
              <w:t>De igual manera, el Estado promoverá la investigación y la transferencia de conocimiento y tecnología para la producción de alimentos y materias primas de origen agropecuario y acuícola, con el propósito de increment</w:t>
            </w:r>
            <w:r>
              <w:rPr>
                <w:rFonts w:ascii="Arial" w:eastAsia="Arial" w:hAnsi="Arial" w:cs="Arial"/>
              </w:rPr>
              <w:t>ar la productividad y disponibilidad, así como proteger y salvaguardar la biodiversidad y los medios e insumos de la actividad.</w:t>
            </w:r>
          </w:p>
          <w:p w:rsidR="00267187" w:rsidRDefault="002B2E2D">
            <w:pPr>
              <w:jc w:val="both"/>
              <w:rPr>
                <w:rFonts w:ascii="Arial" w:eastAsia="Arial" w:hAnsi="Arial" w:cs="Arial"/>
              </w:rPr>
            </w:pPr>
            <w:r>
              <w:rPr>
                <w:rFonts w:ascii="Arial" w:eastAsia="Arial" w:hAnsi="Arial" w:cs="Arial"/>
                <w:b/>
              </w:rPr>
              <w:t>Parágrafo Transitorio.</w:t>
            </w:r>
            <w:r>
              <w:rPr>
                <w:rFonts w:ascii="Arial" w:eastAsia="Arial" w:hAnsi="Arial" w:cs="Arial"/>
              </w:rPr>
              <w:t xml:space="preserve"> Dentro de los 6 meses siguientes a la promulgación del presente Acto Legislativo, el Gobierno Nacional pr</w:t>
            </w:r>
            <w:r>
              <w:rPr>
                <w:rFonts w:ascii="Arial" w:eastAsia="Arial" w:hAnsi="Arial" w:cs="Arial"/>
              </w:rPr>
              <w:t>esentará ante el Congreso de la República para su trámite un proyecto de ley estatutaria que desarrolle y reglamente lo dispuesto en este artículo.”</w:t>
            </w: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En medio de las estrategias para disminuir la tasa de pobreza, se implementa, como una de las metas la pro</w:t>
            </w:r>
            <w:r>
              <w:rPr>
                <w:rFonts w:ascii="Arial" w:eastAsia="Arial" w:hAnsi="Arial" w:cs="Arial"/>
              </w:rPr>
              <w:t>ducción de alimentos en el siguiente sentido:</w:t>
            </w: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“el crecimiento de los sectores en los cuales los pobres obtienen trabajo y bienes de consumo, como es el caso de la producción de alimentos y de algunos bienes de consumo básico, a través de cadenas productivas para productos agropecuarios como caucho, al</w:t>
            </w:r>
            <w:r>
              <w:rPr>
                <w:rFonts w:ascii="Arial" w:eastAsia="Arial" w:hAnsi="Arial" w:cs="Arial"/>
              </w:rPr>
              <w:t>godón-textiles, palma de aceite, maíz-soya, yuca industrial, forestal productivo, cacao y silvopastoril”</w:t>
            </w: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Se expide la Política Nacional de Seguridad Alimentaria y Nutricional, enmarcada en el Plan Nacional de Desarrollo vigente, y como complemento de norm</w:t>
            </w:r>
            <w:r>
              <w:rPr>
                <w:rFonts w:ascii="Arial" w:eastAsia="Arial" w:hAnsi="Arial" w:cs="Arial"/>
              </w:rPr>
              <w:t>as y compromisos internacionales.</w:t>
            </w: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 xml:space="preserve">Por medio de la cual se establecen las acciones que emprenderá el Estado por medio de sus entidades para mejorar la alimentación y la seguridad nutricional en todo el territorio, mismo que fue acompañado de otras normas </w:t>
            </w:r>
            <w:r>
              <w:rPr>
                <w:rFonts w:ascii="Arial" w:eastAsia="Arial" w:hAnsi="Arial" w:cs="Arial"/>
              </w:rPr>
              <w:t>hasta el 2019.</w:t>
            </w:r>
          </w:p>
        </w:tc>
      </w:tr>
      <w:tr w:rsidR="00267187">
        <w:tc>
          <w:tcPr>
            <w:tcW w:w="2295" w:type="dxa"/>
          </w:tcPr>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67187">
            <w:pPr>
              <w:rPr>
                <w:rFonts w:ascii="Arial" w:eastAsia="Arial" w:hAnsi="Arial" w:cs="Arial"/>
              </w:rPr>
            </w:pPr>
          </w:p>
          <w:p w:rsidR="00267187" w:rsidRDefault="002B2E2D">
            <w:pPr>
              <w:jc w:val="center"/>
              <w:rPr>
                <w:rFonts w:ascii="Arial" w:eastAsia="Arial" w:hAnsi="Arial" w:cs="Arial"/>
              </w:rPr>
            </w:pPr>
            <w:r>
              <w:rPr>
                <w:rFonts w:ascii="Arial" w:eastAsia="Arial" w:hAnsi="Arial" w:cs="Arial"/>
              </w:rPr>
              <w:t>RESPONSABILIDAD ESTATAL</w:t>
            </w:r>
          </w:p>
        </w:tc>
        <w:tc>
          <w:tcPr>
            <w:tcW w:w="2853" w:type="dxa"/>
          </w:tcPr>
          <w:p w:rsidR="00267187" w:rsidRDefault="002B2E2D">
            <w:pPr>
              <w:jc w:val="both"/>
              <w:rPr>
                <w:rFonts w:ascii="Arial" w:eastAsia="Arial" w:hAnsi="Arial" w:cs="Arial"/>
              </w:rPr>
            </w:pPr>
            <w:r>
              <w:rPr>
                <w:rFonts w:ascii="Arial" w:eastAsia="Arial" w:hAnsi="Arial" w:cs="Arial"/>
              </w:rPr>
              <w:t>2016 Acuerdo de Paz</w:t>
            </w: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2017</w:t>
            </w: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2020</w:t>
            </w: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2022</w:t>
            </w:r>
          </w:p>
        </w:tc>
        <w:tc>
          <w:tcPr>
            <w:tcW w:w="3762" w:type="dxa"/>
          </w:tcPr>
          <w:p w:rsidR="00267187" w:rsidRDefault="002B2E2D">
            <w:pPr>
              <w:jc w:val="both"/>
              <w:rPr>
                <w:rFonts w:ascii="Arial" w:eastAsia="Arial" w:hAnsi="Arial" w:cs="Arial"/>
              </w:rPr>
            </w:pPr>
            <w:r>
              <w:rPr>
                <w:rFonts w:ascii="Arial" w:eastAsia="Arial" w:hAnsi="Arial" w:cs="Arial"/>
              </w:rPr>
              <w:t>El acuerdo de paz, en medio de los compromisos adquiridos por el Gobierno, establece el de implementar Reforma Rural Integral, misma que por consiguiente debe incluir el derecho a la alimentación y su garantía progresiva.</w:t>
            </w: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En la Resolución Número 464 de 20</w:t>
            </w:r>
            <w:r>
              <w:rPr>
                <w:rFonts w:ascii="Arial" w:eastAsia="Arial" w:hAnsi="Arial" w:cs="Arial"/>
              </w:rPr>
              <w:t>17, se adoptan lineamientos para ciertos sectores del país, y en la misma se establecen disposiciones que tienen que ver con la lucha contra el hambre y el derecho a la alimentación, sea directa o por remisión.</w:t>
            </w: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 xml:space="preserve">La pandemia por COVID 19, evidenció la poca </w:t>
            </w:r>
            <w:r>
              <w:rPr>
                <w:rFonts w:ascii="Arial" w:eastAsia="Arial" w:hAnsi="Arial" w:cs="Arial"/>
              </w:rPr>
              <w:t>preparación que tenía el país y en general el mundo para afrontar una escasez y reto cómo se enfrentó, misma que llevó a replantear las estrategias y pensar en la verdadera forma de garantizar el derecho humano a la alimentación, y dicho sea de paso, de fo</w:t>
            </w:r>
            <w:r>
              <w:rPr>
                <w:rFonts w:ascii="Arial" w:eastAsia="Arial" w:hAnsi="Arial" w:cs="Arial"/>
              </w:rPr>
              <w:t>rma conexa, a la nutrición adecuada.</w:t>
            </w:r>
          </w:p>
          <w:p w:rsidR="00267187" w:rsidRDefault="00267187">
            <w:pPr>
              <w:jc w:val="both"/>
              <w:rPr>
                <w:rFonts w:ascii="Arial" w:eastAsia="Arial" w:hAnsi="Arial" w:cs="Arial"/>
              </w:rPr>
            </w:pPr>
          </w:p>
          <w:p w:rsidR="00267187" w:rsidRDefault="002B2E2D">
            <w:pPr>
              <w:jc w:val="both"/>
              <w:rPr>
                <w:rFonts w:ascii="Arial" w:eastAsia="Arial" w:hAnsi="Arial" w:cs="Arial"/>
              </w:rPr>
            </w:pPr>
            <w:r>
              <w:rPr>
                <w:rFonts w:ascii="Arial" w:eastAsia="Arial" w:hAnsi="Arial" w:cs="Arial"/>
              </w:rPr>
              <w:t xml:space="preserve">Se publica el Plan Nacional Rural del Sistema para la Garantía Progresiva del Derecho a la Alimentación. Planteando un nuevo enfoque teniendo en cuenta lo ya relatado aquí y los momentos históricos que llevaron a esos </w:t>
            </w:r>
            <w:r>
              <w:rPr>
                <w:rFonts w:ascii="Arial" w:eastAsia="Arial" w:hAnsi="Arial" w:cs="Arial"/>
              </w:rPr>
              <w:t>nuevos planes y que abren la puerta para nuevas posibilidades.</w:t>
            </w:r>
          </w:p>
        </w:tc>
      </w:tr>
    </w:tbl>
    <w:p w:rsidR="00267187" w:rsidRDefault="00267187">
      <w:pPr>
        <w:spacing w:before="85" w:after="57"/>
        <w:jc w:val="both"/>
        <w:rPr>
          <w:rFonts w:ascii="Arial Narrow" w:eastAsia="Arial Narrow" w:hAnsi="Arial Narrow" w:cs="Arial Narrow"/>
          <w:sz w:val="24"/>
          <w:szCs w:val="24"/>
        </w:rPr>
      </w:pPr>
    </w:p>
    <w:p w:rsidR="00267187" w:rsidRDefault="002B2E2D">
      <w:pPr>
        <w:numPr>
          <w:ilvl w:val="0"/>
          <w:numId w:val="3"/>
        </w:numPr>
        <w:pBdr>
          <w:top w:val="nil"/>
          <w:left w:val="nil"/>
          <w:bottom w:val="nil"/>
          <w:right w:val="nil"/>
          <w:between w:val="nil"/>
        </w:pBdr>
        <w:spacing w:before="85" w:after="0"/>
        <w:jc w:val="both"/>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Realización del Derecho Humano a la Alimentación según la Jurisprudencia Nacional.</w:t>
      </w:r>
    </w:p>
    <w:p w:rsidR="00267187" w:rsidRDefault="00267187">
      <w:pPr>
        <w:pBdr>
          <w:top w:val="nil"/>
          <w:left w:val="nil"/>
          <w:bottom w:val="nil"/>
          <w:right w:val="nil"/>
          <w:between w:val="nil"/>
        </w:pBdr>
        <w:spacing w:after="57"/>
        <w:ind w:left="360"/>
        <w:jc w:val="both"/>
        <w:rPr>
          <w:rFonts w:ascii="Arial Narrow" w:eastAsia="Arial Narrow" w:hAnsi="Arial Narrow" w:cs="Arial Narrow"/>
          <w:color w:val="000000"/>
          <w:sz w:val="24"/>
          <w:szCs w:val="24"/>
        </w:rPr>
      </w:pPr>
    </w:p>
    <w:tbl>
      <w:tblPr>
        <w:tblStyle w:val="a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267187">
        <w:tc>
          <w:tcPr>
            <w:tcW w:w="4414" w:type="dxa"/>
          </w:tcPr>
          <w:p w:rsidR="00267187" w:rsidRDefault="002B2E2D">
            <w:pPr>
              <w:rPr>
                <w:rFonts w:ascii="Arial Narrow" w:eastAsia="Arial Narrow" w:hAnsi="Arial Narrow" w:cs="Arial Narrow"/>
              </w:rPr>
            </w:pPr>
            <w:r>
              <w:rPr>
                <w:rFonts w:ascii="Arial Narrow" w:eastAsia="Arial Narrow" w:hAnsi="Arial Narrow" w:cs="Arial Narrow"/>
              </w:rPr>
              <w:t>Sentencia /Año</w:t>
            </w:r>
          </w:p>
        </w:tc>
        <w:tc>
          <w:tcPr>
            <w:tcW w:w="4414" w:type="dxa"/>
          </w:tcPr>
          <w:p w:rsidR="00267187" w:rsidRDefault="002B2E2D">
            <w:pPr>
              <w:rPr>
                <w:rFonts w:ascii="Arial Narrow" w:eastAsia="Arial Narrow" w:hAnsi="Arial Narrow" w:cs="Arial Narrow"/>
              </w:rPr>
            </w:pPr>
            <w:r>
              <w:rPr>
                <w:rFonts w:ascii="Arial Narrow" w:eastAsia="Arial Narrow" w:hAnsi="Arial Narrow" w:cs="Arial Narrow"/>
              </w:rPr>
              <w:t>Aspectos relevantes</w:t>
            </w:r>
          </w:p>
        </w:tc>
      </w:tr>
      <w:tr w:rsidR="00267187">
        <w:tc>
          <w:tcPr>
            <w:tcW w:w="4414" w:type="dxa"/>
          </w:tcPr>
          <w:p w:rsidR="00267187" w:rsidRDefault="002B2E2D">
            <w:pPr>
              <w:rPr>
                <w:rFonts w:ascii="Arial Narrow" w:eastAsia="Arial Narrow" w:hAnsi="Arial Narrow" w:cs="Arial Narrow"/>
              </w:rPr>
            </w:pPr>
            <w:r>
              <w:rPr>
                <w:rFonts w:ascii="Arial Narrow" w:eastAsia="Arial Narrow" w:hAnsi="Arial Narrow" w:cs="Arial Narrow"/>
              </w:rPr>
              <w:t>Sentencia T-025 de 2004: Magistrado Ponente: Manuel José Cepeda Espinosa</w:t>
            </w:r>
          </w:p>
        </w:tc>
        <w:tc>
          <w:tcPr>
            <w:tcW w:w="4414" w:type="dxa"/>
          </w:tcPr>
          <w:p w:rsidR="00267187" w:rsidRDefault="002B2E2D">
            <w:pPr>
              <w:numPr>
                <w:ilvl w:val="0"/>
                <w:numId w:val="4"/>
              </w:numPr>
              <w:pBdr>
                <w:top w:val="nil"/>
                <w:left w:val="nil"/>
                <w:bottom w:val="nil"/>
                <w:right w:val="nil"/>
                <w:between w:val="nil"/>
              </w:pBdr>
              <w:spacing w:line="259" w:lineRule="auto"/>
              <w:rPr>
                <w:rFonts w:ascii="Arial Narrow" w:eastAsia="Arial Narrow" w:hAnsi="Arial Narrow" w:cs="Arial Narrow"/>
                <w:color w:val="000000"/>
              </w:rPr>
            </w:pPr>
            <w:r>
              <w:rPr>
                <w:rFonts w:ascii="Arial Narrow" w:eastAsia="Arial Narrow" w:hAnsi="Arial Narrow" w:cs="Arial Narrow"/>
                <w:color w:val="000000"/>
              </w:rPr>
              <w:t>Establece que los derechos fundamentales son de obligatorio cumplimiento por parte del Estado</w:t>
            </w:r>
          </w:p>
          <w:p w:rsidR="00267187" w:rsidRDefault="002B2E2D">
            <w:pPr>
              <w:numPr>
                <w:ilvl w:val="0"/>
                <w:numId w:val="4"/>
              </w:numPr>
              <w:pBdr>
                <w:top w:val="nil"/>
                <w:left w:val="nil"/>
                <w:bottom w:val="nil"/>
                <w:right w:val="nil"/>
                <w:between w:val="nil"/>
              </w:pBdr>
              <w:spacing w:line="259" w:lineRule="auto"/>
              <w:rPr>
                <w:rFonts w:ascii="Arial Narrow" w:eastAsia="Arial Narrow" w:hAnsi="Arial Narrow" w:cs="Arial Narrow"/>
                <w:color w:val="000000"/>
              </w:rPr>
            </w:pPr>
            <w:r>
              <w:rPr>
                <w:rFonts w:ascii="Arial Narrow" w:eastAsia="Arial Narrow" w:hAnsi="Arial Narrow" w:cs="Arial Narrow"/>
                <w:color w:val="000000"/>
              </w:rPr>
              <w:t>Define el concepto de “estado de cosas inconstitucional” en relación con la población desplazada</w:t>
            </w:r>
          </w:p>
          <w:p w:rsidR="00267187" w:rsidRDefault="002B2E2D">
            <w:pPr>
              <w:numPr>
                <w:ilvl w:val="0"/>
                <w:numId w:val="4"/>
              </w:numPr>
              <w:pBdr>
                <w:top w:val="nil"/>
                <w:left w:val="nil"/>
                <w:bottom w:val="nil"/>
                <w:right w:val="nil"/>
                <w:between w:val="nil"/>
              </w:pBdr>
              <w:spacing w:after="160" w:line="259" w:lineRule="auto"/>
              <w:rPr>
                <w:rFonts w:ascii="Arial Narrow" w:eastAsia="Arial Narrow" w:hAnsi="Arial Narrow" w:cs="Arial Narrow"/>
                <w:color w:val="000000"/>
              </w:rPr>
            </w:pPr>
            <w:r>
              <w:rPr>
                <w:rFonts w:ascii="Arial Narrow" w:eastAsia="Arial Narrow" w:hAnsi="Arial Narrow" w:cs="Arial Narrow"/>
                <w:color w:val="000000"/>
              </w:rPr>
              <w:t>Determina que la alimentación es un derecho fundamental por conexidad</w:t>
            </w:r>
          </w:p>
          <w:p w:rsidR="00267187" w:rsidRDefault="00267187">
            <w:pPr>
              <w:rPr>
                <w:rFonts w:ascii="Arial Narrow" w:eastAsia="Arial Narrow" w:hAnsi="Arial Narrow" w:cs="Arial Narrow"/>
              </w:rPr>
            </w:pPr>
          </w:p>
          <w:p w:rsidR="00267187" w:rsidRDefault="002B2E2D">
            <w:pPr>
              <w:numPr>
                <w:ilvl w:val="0"/>
                <w:numId w:val="4"/>
              </w:numPr>
              <w:pBdr>
                <w:top w:val="nil"/>
                <w:left w:val="nil"/>
                <w:bottom w:val="nil"/>
                <w:right w:val="nil"/>
                <w:between w:val="nil"/>
              </w:pBdr>
              <w:spacing w:line="259" w:lineRule="auto"/>
              <w:rPr>
                <w:rFonts w:ascii="Arial Narrow" w:eastAsia="Arial Narrow" w:hAnsi="Arial Narrow" w:cs="Arial Narrow"/>
                <w:color w:val="000000"/>
              </w:rPr>
            </w:pPr>
            <w:r>
              <w:rPr>
                <w:rFonts w:ascii="Arial Narrow" w:eastAsia="Arial Narrow" w:hAnsi="Arial Narrow" w:cs="Arial Narrow"/>
                <w:color w:val="000000"/>
              </w:rPr>
              <w:t>Ratio Decidendi: “La garantía de los derechos fundamentales no puede estar sujeta a la v</w:t>
            </w:r>
            <w:r>
              <w:rPr>
                <w:rFonts w:ascii="Arial Narrow" w:eastAsia="Arial Narrow" w:hAnsi="Arial Narrow" w:cs="Arial Narrow"/>
                <w:color w:val="000000"/>
              </w:rPr>
              <w:t>oluntad de actores privados”</w:t>
            </w:r>
          </w:p>
          <w:p w:rsidR="00267187" w:rsidRDefault="00267187">
            <w:pPr>
              <w:pBdr>
                <w:top w:val="nil"/>
                <w:left w:val="nil"/>
                <w:bottom w:val="nil"/>
                <w:right w:val="nil"/>
                <w:between w:val="nil"/>
              </w:pBdr>
              <w:spacing w:after="160" w:line="259" w:lineRule="auto"/>
              <w:ind w:left="720"/>
              <w:rPr>
                <w:rFonts w:ascii="Arial Narrow" w:eastAsia="Arial Narrow" w:hAnsi="Arial Narrow" w:cs="Arial Narrow"/>
                <w:color w:val="000000"/>
              </w:rPr>
            </w:pPr>
          </w:p>
          <w:p w:rsidR="00267187" w:rsidRDefault="002B2E2D">
            <w:pPr>
              <w:rPr>
                <w:rFonts w:ascii="Arial Narrow" w:eastAsia="Arial Narrow" w:hAnsi="Arial Narrow" w:cs="Arial Narrow"/>
              </w:rPr>
            </w:pPr>
            <w:r>
              <w:rPr>
                <w:rFonts w:ascii="Arial Narrow" w:eastAsia="Arial Narrow" w:hAnsi="Arial Narrow" w:cs="Arial Narrow"/>
              </w:rPr>
              <w:t>La Ratio Decidendi siempre versa sobre un derecho fundamental o un principio constitucional, para el concreto, en el desarrollo de los derechos o las garantías, se establece claramente que la garantía de los derechos fundamentales está en cabeza del Estado</w:t>
            </w:r>
            <w:r>
              <w:rPr>
                <w:rFonts w:ascii="Arial Narrow" w:eastAsia="Arial Narrow" w:hAnsi="Arial Narrow" w:cs="Arial Narrow"/>
              </w:rPr>
              <w:t xml:space="preserve"> y su cumplimiento y protección no puede recaer en propiedad a los privados, sino que por el contrario, estos solo podrían prestar el servicio bajo contrato con el Gobierno. Y sus entidades.</w:t>
            </w:r>
          </w:p>
        </w:tc>
      </w:tr>
      <w:tr w:rsidR="00267187">
        <w:tc>
          <w:tcPr>
            <w:tcW w:w="4414" w:type="dxa"/>
          </w:tcPr>
          <w:p w:rsidR="00267187" w:rsidRDefault="002B2E2D">
            <w:pPr>
              <w:rPr>
                <w:rFonts w:ascii="Arial Narrow" w:eastAsia="Arial Narrow" w:hAnsi="Arial Narrow" w:cs="Arial Narrow"/>
              </w:rPr>
            </w:pPr>
            <w:r>
              <w:rPr>
                <w:rFonts w:ascii="Arial Narrow" w:eastAsia="Arial Narrow" w:hAnsi="Arial Narrow" w:cs="Arial Narrow"/>
              </w:rPr>
              <w:t>Sentencia C-262 de 2013: Magistrado Ponente: Jorge Ignacio Prete</w:t>
            </w:r>
            <w:r>
              <w:rPr>
                <w:rFonts w:ascii="Arial Narrow" w:eastAsia="Arial Narrow" w:hAnsi="Arial Narrow" w:cs="Arial Narrow"/>
              </w:rPr>
              <w:t>lt Chaljub</w:t>
            </w:r>
          </w:p>
        </w:tc>
        <w:tc>
          <w:tcPr>
            <w:tcW w:w="4414" w:type="dxa"/>
          </w:tcPr>
          <w:p w:rsidR="00267187" w:rsidRDefault="002B2E2D">
            <w:pPr>
              <w:numPr>
                <w:ilvl w:val="0"/>
                <w:numId w:val="5"/>
              </w:numPr>
              <w:pBdr>
                <w:top w:val="nil"/>
                <w:left w:val="nil"/>
                <w:bottom w:val="nil"/>
                <w:right w:val="nil"/>
                <w:between w:val="nil"/>
              </w:pBdr>
              <w:spacing w:line="259" w:lineRule="auto"/>
              <w:rPr>
                <w:rFonts w:ascii="Arial Narrow" w:eastAsia="Arial Narrow" w:hAnsi="Arial Narrow" w:cs="Arial Narrow"/>
                <w:color w:val="000000"/>
              </w:rPr>
            </w:pPr>
            <w:r>
              <w:rPr>
                <w:rFonts w:ascii="Arial Narrow" w:eastAsia="Arial Narrow" w:hAnsi="Arial Narrow" w:cs="Arial Narrow"/>
                <w:color w:val="000000"/>
              </w:rPr>
              <w:t>Analiza la naturaleza del derecho a la alimentación</w:t>
            </w:r>
          </w:p>
          <w:p w:rsidR="00267187" w:rsidRDefault="002B2E2D">
            <w:pPr>
              <w:numPr>
                <w:ilvl w:val="0"/>
                <w:numId w:val="5"/>
              </w:numPr>
              <w:pBdr>
                <w:top w:val="nil"/>
                <w:left w:val="nil"/>
                <w:bottom w:val="nil"/>
                <w:right w:val="nil"/>
                <w:between w:val="nil"/>
              </w:pBdr>
              <w:spacing w:line="259" w:lineRule="auto"/>
              <w:rPr>
                <w:rFonts w:ascii="Arial Narrow" w:eastAsia="Arial Narrow" w:hAnsi="Arial Narrow" w:cs="Arial Narrow"/>
                <w:color w:val="000000"/>
              </w:rPr>
            </w:pPr>
            <w:r>
              <w:rPr>
                <w:rFonts w:ascii="Arial Narrow" w:eastAsia="Arial Narrow" w:hAnsi="Arial Narrow" w:cs="Arial Narrow"/>
                <w:color w:val="000000"/>
              </w:rPr>
              <w:t>Establece la conexión directa con la dignidad humana</w:t>
            </w:r>
          </w:p>
          <w:p w:rsidR="00267187" w:rsidRDefault="002B2E2D">
            <w:pPr>
              <w:numPr>
                <w:ilvl w:val="0"/>
                <w:numId w:val="5"/>
              </w:numPr>
              <w:pBdr>
                <w:top w:val="nil"/>
                <w:left w:val="nil"/>
                <w:bottom w:val="nil"/>
                <w:right w:val="nil"/>
                <w:between w:val="nil"/>
              </w:pBdr>
              <w:spacing w:line="259" w:lineRule="auto"/>
              <w:rPr>
                <w:rFonts w:ascii="Arial Narrow" w:eastAsia="Arial Narrow" w:hAnsi="Arial Narrow" w:cs="Arial Narrow"/>
                <w:color w:val="000000"/>
              </w:rPr>
            </w:pPr>
            <w:r>
              <w:rPr>
                <w:rFonts w:ascii="Arial Narrow" w:eastAsia="Arial Narrow" w:hAnsi="Arial Narrow" w:cs="Arial Narrow"/>
                <w:color w:val="000000"/>
              </w:rPr>
              <w:t>Define las obligaciones positivas del Estado</w:t>
            </w:r>
          </w:p>
          <w:p w:rsidR="00267187" w:rsidRDefault="002B2E2D">
            <w:pPr>
              <w:numPr>
                <w:ilvl w:val="0"/>
                <w:numId w:val="5"/>
              </w:numPr>
              <w:pBdr>
                <w:top w:val="nil"/>
                <w:left w:val="nil"/>
                <w:bottom w:val="nil"/>
                <w:right w:val="nil"/>
                <w:between w:val="nil"/>
              </w:pBdr>
              <w:spacing w:after="160" w:line="259" w:lineRule="auto"/>
              <w:rPr>
                <w:rFonts w:ascii="Arial Narrow" w:eastAsia="Arial Narrow" w:hAnsi="Arial Narrow" w:cs="Arial Narrow"/>
                <w:color w:val="000000"/>
              </w:rPr>
            </w:pPr>
            <w:r>
              <w:rPr>
                <w:rFonts w:ascii="Arial Narrow" w:eastAsia="Arial Narrow" w:hAnsi="Arial Narrow" w:cs="Arial Narrow"/>
                <w:color w:val="000000"/>
              </w:rPr>
              <w:t>Ratio Decidendi: “El Estado no puede delegar su responsabilidad fundamental en la garantía de d</w:t>
            </w:r>
            <w:r>
              <w:rPr>
                <w:rFonts w:ascii="Arial Narrow" w:eastAsia="Arial Narrow" w:hAnsi="Arial Narrow" w:cs="Arial Narrow"/>
                <w:color w:val="000000"/>
              </w:rPr>
              <w:t>erechos humanos”</w:t>
            </w:r>
          </w:p>
          <w:p w:rsidR="00267187" w:rsidRDefault="00267187">
            <w:pPr>
              <w:rPr>
                <w:rFonts w:ascii="Arial Narrow" w:eastAsia="Arial Narrow" w:hAnsi="Arial Narrow" w:cs="Arial Narrow"/>
              </w:rPr>
            </w:pPr>
          </w:p>
          <w:p w:rsidR="00267187" w:rsidRDefault="002B2E2D">
            <w:pPr>
              <w:rPr>
                <w:rFonts w:ascii="Arial Narrow" w:eastAsia="Arial Narrow" w:hAnsi="Arial Narrow" w:cs="Arial Narrow"/>
              </w:rPr>
            </w:pPr>
            <w:r>
              <w:rPr>
                <w:rFonts w:ascii="Arial Narrow" w:eastAsia="Arial Narrow" w:hAnsi="Arial Narrow" w:cs="Arial Narrow"/>
              </w:rPr>
              <w:t xml:space="preserve">Cuando la línea jurisprudencial va encaminada en un mismo sentido, buscando un mismo propósito, es porque el Constitucional decide que fehacientemente la norma superior debe contener </w:t>
            </w:r>
            <w:r>
              <w:rPr>
                <w:rFonts w:ascii="Arial Narrow" w:eastAsia="Arial Narrow" w:hAnsi="Arial Narrow" w:cs="Arial Narrow"/>
              </w:rPr>
              <w:lastRenderedPageBreak/>
              <w:t>obligaciones únicamente hacia el estado y entidades públicas, más no a la</w:t>
            </w:r>
            <w:r>
              <w:rPr>
                <w:rFonts w:ascii="Arial Narrow" w:eastAsia="Arial Narrow" w:hAnsi="Arial Narrow" w:cs="Arial Narrow"/>
              </w:rPr>
              <w:t>s entidades privadas.</w:t>
            </w:r>
          </w:p>
        </w:tc>
      </w:tr>
      <w:tr w:rsidR="00267187">
        <w:tc>
          <w:tcPr>
            <w:tcW w:w="4414" w:type="dxa"/>
          </w:tcPr>
          <w:p w:rsidR="00267187" w:rsidRDefault="002B2E2D">
            <w:pPr>
              <w:rPr>
                <w:rFonts w:ascii="Arial Narrow" w:eastAsia="Arial Narrow" w:hAnsi="Arial Narrow" w:cs="Arial Narrow"/>
              </w:rPr>
            </w:pPr>
            <w:r>
              <w:rPr>
                <w:rFonts w:ascii="Arial Narrow" w:eastAsia="Arial Narrow" w:hAnsi="Arial Narrow" w:cs="Arial Narrow"/>
              </w:rPr>
              <w:lastRenderedPageBreak/>
              <w:t>Sentencia T-302 de 2017: Magistrado Ponente: Aquiles Arrieta Gómez</w:t>
            </w:r>
          </w:p>
        </w:tc>
        <w:tc>
          <w:tcPr>
            <w:tcW w:w="4414" w:type="dxa"/>
          </w:tcPr>
          <w:p w:rsidR="00267187" w:rsidRDefault="002B2E2D">
            <w:pPr>
              <w:numPr>
                <w:ilvl w:val="0"/>
                <w:numId w:val="6"/>
              </w:numPr>
              <w:pBdr>
                <w:top w:val="nil"/>
                <w:left w:val="nil"/>
                <w:bottom w:val="nil"/>
                <w:right w:val="nil"/>
                <w:between w:val="nil"/>
              </w:pBdr>
              <w:spacing w:line="259" w:lineRule="auto"/>
              <w:rPr>
                <w:rFonts w:ascii="Arial Narrow" w:eastAsia="Arial Narrow" w:hAnsi="Arial Narrow" w:cs="Arial Narrow"/>
                <w:color w:val="000000"/>
              </w:rPr>
            </w:pPr>
            <w:r>
              <w:rPr>
                <w:rFonts w:ascii="Arial Narrow" w:eastAsia="Arial Narrow" w:hAnsi="Arial Narrow" w:cs="Arial Narrow"/>
                <w:color w:val="000000"/>
              </w:rPr>
              <w:t>Declara estado de cosas inconstitucional por desnutrición en La Guajira</w:t>
            </w:r>
          </w:p>
          <w:p w:rsidR="00267187" w:rsidRDefault="00267187">
            <w:pPr>
              <w:pBdr>
                <w:top w:val="nil"/>
                <w:left w:val="nil"/>
                <w:bottom w:val="nil"/>
                <w:right w:val="nil"/>
                <w:between w:val="nil"/>
              </w:pBdr>
              <w:spacing w:line="259" w:lineRule="auto"/>
              <w:ind w:left="720"/>
              <w:rPr>
                <w:rFonts w:ascii="Arial Narrow" w:eastAsia="Arial Narrow" w:hAnsi="Arial Narrow" w:cs="Arial Narrow"/>
                <w:color w:val="000000"/>
              </w:rPr>
            </w:pPr>
          </w:p>
          <w:p w:rsidR="00267187" w:rsidRDefault="002B2E2D">
            <w:pPr>
              <w:numPr>
                <w:ilvl w:val="0"/>
                <w:numId w:val="6"/>
              </w:numPr>
              <w:pBdr>
                <w:top w:val="nil"/>
                <w:left w:val="nil"/>
                <w:bottom w:val="nil"/>
                <w:right w:val="nil"/>
                <w:between w:val="nil"/>
              </w:pBdr>
              <w:spacing w:line="259" w:lineRule="auto"/>
              <w:rPr>
                <w:rFonts w:ascii="Arial Narrow" w:eastAsia="Arial Narrow" w:hAnsi="Arial Narrow" w:cs="Arial Narrow"/>
                <w:color w:val="000000"/>
              </w:rPr>
            </w:pPr>
            <w:r>
              <w:rPr>
                <w:rFonts w:ascii="Arial Narrow" w:eastAsia="Arial Narrow" w:hAnsi="Arial Narrow" w:cs="Arial Narrow"/>
                <w:color w:val="000000"/>
              </w:rPr>
              <w:t>Establece responsabilidades específicas del Estado</w:t>
            </w:r>
          </w:p>
          <w:p w:rsidR="00267187" w:rsidRDefault="00267187">
            <w:pPr>
              <w:pBdr>
                <w:top w:val="nil"/>
                <w:left w:val="nil"/>
                <w:bottom w:val="nil"/>
                <w:right w:val="nil"/>
                <w:between w:val="nil"/>
              </w:pBdr>
              <w:spacing w:line="259" w:lineRule="auto"/>
              <w:ind w:left="720"/>
              <w:rPr>
                <w:rFonts w:ascii="Arial Narrow" w:eastAsia="Arial Narrow" w:hAnsi="Arial Narrow" w:cs="Arial Narrow"/>
                <w:color w:val="000000"/>
              </w:rPr>
            </w:pPr>
          </w:p>
          <w:p w:rsidR="00267187" w:rsidRDefault="002B2E2D">
            <w:pPr>
              <w:numPr>
                <w:ilvl w:val="0"/>
                <w:numId w:val="6"/>
              </w:numPr>
              <w:pBdr>
                <w:top w:val="nil"/>
                <w:left w:val="nil"/>
                <w:bottom w:val="nil"/>
                <w:right w:val="nil"/>
                <w:between w:val="nil"/>
              </w:pBdr>
              <w:spacing w:line="259" w:lineRule="auto"/>
              <w:rPr>
                <w:rFonts w:ascii="Arial Narrow" w:eastAsia="Arial Narrow" w:hAnsi="Arial Narrow" w:cs="Arial Narrow"/>
                <w:color w:val="000000"/>
              </w:rPr>
            </w:pPr>
            <w:r>
              <w:rPr>
                <w:rFonts w:ascii="Arial Narrow" w:eastAsia="Arial Narrow" w:hAnsi="Arial Narrow" w:cs="Arial Narrow"/>
                <w:color w:val="000000"/>
              </w:rPr>
              <w:t>Define el alcance de la colaboración privada</w:t>
            </w:r>
          </w:p>
          <w:p w:rsidR="00267187" w:rsidRDefault="00267187">
            <w:pPr>
              <w:pBdr>
                <w:top w:val="nil"/>
                <w:left w:val="nil"/>
                <w:bottom w:val="nil"/>
                <w:right w:val="nil"/>
                <w:between w:val="nil"/>
              </w:pBdr>
              <w:spacing w:line="259" w:lineRule="auto"/>
              <w:ind w:left="720"/>
              <w:rPr>
                <w:rFonts w:ascii="Arial Narrow" w:eastAsia="Arial Narrow" w:hAnsi="Arial Narrow" w:cs="Arial Narrow"/>
                <w:color w:val="000000"/>
              </w:rPr>
            </w:pPr>
          </w:p>
          <w:p w:rsidR="00267187" w:rsidRDefault="002B2E2D">
            <w:pPr>
              <w:numPr>
                <w:ilvl w:val="0"/>
                <w:numId w:val="6"/>
              </w:numPr>
              <w:pBdr>
                <w:top w:val="nil"/>
                <w:left w:val="nil"/>
                <w:bottom w:val="nil"/>
                <w:right w:val="nil"/>
                <w:between w:val="nil"/>
              </w:pBdr>
              <w:spacing w:after="160" w:line="259" w:lineRule="auto"/>
              <w:rPr>
                <w:rFonts w:ascii="Arial Narrow" w:eastAsia="Arial Narrow" w:hAnsi="Arial Narrow" w:cs="Arial Narrow"/>
                <w:color w:val="000000"/>
              </w:rPr>
            </w:pPr>
            <w:r>
              <w:rPr>
                <w:rFonts w:ascii="Arial Narrow" w:eastAsia="Arial Narrow" w:hAnsi="Arial Narrow" w:cs="Arial Narrow"/>
                <w:color w:val="000000"/>
              </w:rPr>
              <w:t>Ratio Decidendi: “Las iniciativas privadas pueden complementar pero no sustituir la responsabilidad estatal”</w:t>
            </w:r>
          </w:p>
          <w:p w:rsidR="00267187" w:rsidRDefault="00267187">
            <w:pPr>
              <w:rPr>
                <w:rFonts w:ascii="Arial Narrow" w:eastAsia="Arial Narrow" w:hAnsi="Arial Narrow" w:cs="Arial Narrow"/>
              </w:rPr>
            </w:pPr>
          </w:p>
          <w:p w:rsidR="00267187" w:rsidRDefault="002B2E2D">
            <w:pPr>
              <w:rPr>
                <w:rFonts w:ascii="Arial Narrow" w:eastAsia="Arial Narrow" w:hAnsi="Arial Narrow" w:cs="Arial Narrow"/>
              </w:rPr>
            </w:pPr>
            <w:r>
              <w:rPr>
                <w:rFonts w:ascii="Arial Narrow" w:eastAsia="Arial Narrow" w:hAnsi="Arial Narrow" w:cs="Arial Narrow"/>
              </w:rPr>
              <w:t>Se entiende nuevamente que los privados pueden complementar la actividad pública, pero que nunca pue</w:t>
            </w:r>
            <w:r>
              <w:rPr>
                <w:rFonts w:ascii="Arial Narrow" w:eastAsia="Arial Narrow" w:hAnsi="Arial Narrow" w:cs="Arial Narrow"/>
              </w:rPr>
              <w:t>de reemplazarla o en su defecto tener servicios o mandatos constitucionales en su cabeza.</w:t>
            </w:r>
          </w:p>
        </w:tc>
      </w:tr>
      <w:tr w:rsidR="00267187">
        <w:tc>
          <w:tcPr>
            <w:tcW w:w="4414" w:type="dxa"/>
          </w:tcPr>
          <w:p w:rsidR="00267187" w:rsidRDefault="002B2E2D">
            <w:pPr>
              <w:rPr>
                <w:rFonts w:ascii="Arial Narrow" w:eastAsia="Arial Narrow" w:hAnsi="Arial Narrow" w:cs="Arial Narrow"/>
              </w:rPr>
            </w:pPr>
            <w:r>
              <w:rPr>
                <w:rFonts w:ascii="Arial Narrow" w:eastAsia="Arial Narrow" w:hAnsi="Arial Narrow" w:cs="Arial Narrow"/>
              </w:rPr>
              <w:t>Sentencia T-543 de 2017: Magistrado Ponente: Diana Fajardo Rivera</w:t>
            </w:r>
          </w:p>
        </w:tc>
        <w:tc>
          <w:tcPr>
            <w:tcW w:w="4414" w:type="dxa"/>
          </w:tcPr>
          <w:p w:rsidR="00267187" w:rsidRDefault="002B2E2D">
            <w:pPr>
              <w:numPr>
                <w:ilvl w:val="0"/>
                <w:numId w:val="7"/>
              </w:numPr>
              <w:pBdr>
                <w:top w:val="nil"/>
                <w:left w:val="nil"/>
                <w:bottom w:val="nil"/>
                <w:right w:val="nil"/>
                <w:between w:val="nil"/>
              </w:pBdr>
              <w:spacing w:line="259" w:lineRule="auto"/>
              <w:rPr>
                <w:rFonts w:ascii="Arial Narrow" w:eastAsia="Arial Narrow" w:hAnsi="Arial Narrow" w:cs="Arial Narrow"/>
                <w:color w:val="000000"/>
              </w:rPr>
            </w:pPr>
            <w:r>
              <w:rPr>
                <w:rFonts w:ascii="Arial Narrow" w:eastAsia="Arial Narrow" w:hAnsi="Arial Narrow" w:cs="Arial Narrow"/>
                <w:color w:val="000000"/>
              </w:rPr>
              <w:t>Analiza el derecho fundamental al mínimo vital</w:t>
            </w:r>
          </w:p>
          <w:p w:rsidR="00267187" w:rsidRDefault="002B2E2D">
            <w:pPr>
              <w:numPr>
                <w:ilvl w:val="0"/>
                <w:numId w:val="7"/>
              </w:numPr>
              <w:pBdr>
                <w:top w:val="nil"/>
                <w:left w:val="nil"/>
                <w:bottom w:val="nil"/>
                <w:right w:val="nil"/>
                <w:between w:val="nil"/>
              </w:pBdr>
              <w:spacing w:line="259" w:lineRule="auto"/>
              <w:rPr>
                <w:rFonts w:ascii="Arial Narrow" w:eastAsia="Arial Narrow" w:hAnsi="Arial Narrow" w:cs="Arial Narrow"/>
                <w:color w:val="000000"/>
              </w:rPr>
            </w:pPr>
            <w:r>
              <w:rPr>
                <w:rFonts w:ascii="Arial Narrow" w:eastAsia="Arial Narrow" w:hAnsi="Arial Narrow" w:cs="Arial Narrow"/>
                <w:color w:val="000000"/>
              </w:rPr>
              <w:t>Conecta alimentación con vida digna</w:t>
            </w:r>
          </w:p>
          <w:p w:rsidR="00267187" w:rsidRDefault="002B2E2D">
            <w:pPr>
              <w:numPr>
                <w:ilvl w:val="0"/>
                <w:numId w:val="7"/>
              </w:numPr>
              <w:pBdr>
                <w:top w:val="nil"/>
                <w:left w:val="nil"/>
                <w:bottom w:val="nil"/>
                <w:right w:val="nil"/>
                <w:between w:val="nil"/>
              </w:pBdr>
              <w:spacing w:line="259" w:lineRule="auto"/>
              <w:rPr>
                <w:rFonts w:ascii="Arial Narrow" w:eastAsia="Arial Narrow" w:hAnsi="Arial Narrow" w:cs="Arial Narrow"/>
                <w:color w:val="000000"/>
              </w:rPr>
            </w:pPr>
            <w:r>
              <w:rPr>
                <w:rFonts w:ascii="Arial Narrow" w:eastAsia="Arial Narrow" w:hAnsi="Arial Narrow" w:cs="Arial Narrow"/>
                <w:color w:val="000000"/>
              </w:rPr>
              <w:t>Establece parámetros de responsabilidad estatal</w:t>
            </w:r>
          </w:p>
          <w:p w:rsidR="00267187" w:rsidRDefault="00267187">
            <w:pPr>
              <w:pBdr>
                <w:top w:val="nil"/>
                <w:left w:val="nil"/>
                <w:bottom w:val="nil"/>
                <w:right w:val="nil"/>
                <w:between w:val="nil"/>
              </w:pBdr>
              <w:spacing w:line="259" w:lineRule="auto"/>
              <w:ind w:left="720"/>
              <w:rPr>
                <w:rFonts w:ascii="Arial Narrow" w:eastAsia="Arial Narrow" w:hAnsi="Arial Narrow" w:cs="Arial Narrow"/>
                <w:color w:val="000000"/>
              </w:rPr>
            </w:pPr>
          </w:p>
          <w:p w:rsidR="00267187" w:rsidRDefault="002B2E2D">
            <w:pPr>
              <w:numPr>
                <w:ilvl w:val="0"/>
                <w:numId w:val="7"/>
              </w:numPr>
              <w:pBdr>
                <w:top w:val="nil"/>
                <w:left w:val="nil"/>
                <w:bottom w:val="nil"/>
                <w:right w:val="nil"/>
                <w:between w:val="nil"/>
              </w:pBdr>
              <w:spacing w:after="160" w:line="259" w:lineRule="auto"/>
              <w:rPr>
                <w:rFonts w:ascii="Arial Narrow" w:eastAsia="Arial Narrow" w:hAnsi="Arial Narrow" w:cs="Arial Narrow"/>
                <w:color w:val="000000"/>
              </w:rPr>
            </w:pPr>
            <w:r>
              <w:rPr>
                <w:rFonts w:ascii="Arial Narrow" w:eastAsia="Arial Narrow" w:hAnsi="Arial Narrow" w:cs="Arial Narrow"/>
                <w:color w:val="000000"/>
              </w:rPr>
              <w:t>Ratio Decidendi: “El Estado es el garante principal del derecho a la alimentación”</w:t>
            </w:r>
          </w:p>
          <w:p w:rsidR="00267187" w:rsidRDefault="00267187">
            <w:pPr>
              <w:rPr>
                <w:rFonts w:ascii="Arial Narrow" w:eastAsia="Arial Narrow" w:hAnsi="Arial Narrow" w:cs="Arial Narrow"/>
              </w:rPr>
            </w:pPr>
          </w:p>
          <w:p w:rsidR="00267187" w:rsidRDefault="002B2E2D">
            <w:pPr>
              <w:rPr>
                <w:rFonts w:ascii="Arial Narrow" w:eastAsia="Arial Narrow" w:hAnsi="Arial Narrow" w:cs="Arial Narrow"/>
              </w:rPr>
            </w:pPr>
            <w:r>
              <w:rPr>
                <w:rFonts w:ascii="Arial Narrow" w:eastAsia="Arial Narrow" w:hAnsi="Arial Narrow" w:cs="Arial Narrow"/>
              </w:rPr>
              <w:t>Esta es una interpretación clave, toda vez que va de la mano con las disposiciones sobre la alimentación, no solamente como una noción vacía, sino como una alimentación saludable y suficiente.</w:t>
            </w:r>
          </w:p>
        </w:tc>
      </w:tr>
      <w:tr w:rsidR="00267187">
        <w:tc>
          <w:tcPr>
            <w:tcW w:w="4414" w:type="dxa"/>
          </w:tcPr>
          <w:p w:rsidR="00267187" w:rsidRDefault="002B2E2D">
            <w:pPr>
              <w:rPr>
                <w:rFonts w:ascii="Arial Narrow" w:eastAsia="Arial Narrow" w:hAnsi="Arial Narrow" w:cs="Arial Narrow"/>
              </w:rPr>
            </w:pPr>
            <w:r>
              <w:rPr>
                <w:rFonts w:ascii="Arial Narrow" w:eastAsia="Arial Narrow" w:hAnsi="Arial Narrow" w:cs="Arial Narrow"/>
              </w:rPr>
              <w:t>Sentencia T-348 de 2019: Magistrado Ponente: Luis Guillermo Gu</w:t>
            </w:r>
            <w:r>
              <w:rPr>
                <w:rFonts w:ascii="Arial Narrow" w:eastAsia="Arial Narrow" w:hAnsi="Arial Narrow" w:cs="Arial Narrow"/>
              </w:rPr>
              <w:t>errero Pérez</w:t>
            </w:r>
          </w:p>
          <w:p w:rsidR="00267187" w:rsidRDefault="00267187">
            <w:pPr>
              <w:rPr>
                <w:rFonts w:ascii="Arial Narrow" w:eastAsia="Arial Narrow" w:hAnsi="Arial Narrow" w:cs="Arial Narrow"/>
              </w:rPr>
            </w:pPr>
          </w:p>
        </w:tc>
        <w:tc>
          <w:tcPr>
            <w:tcW w:w="4414" w:type="dxa"/>
          </w:tcPr>
          <w:p w:rsidR="00267187" w:rsidRDefault="002B2E2D">
            <w:pPr>
              <w:numPr>
                <w:ilvl w:val="0"/>
                <w:numId w:val="8"/>
              </w:numPr>
              <w:pBdr>
                <w:top w:val="nil"/>
                <w:left w:val="nil"/>
                <w:bottom w:val="nil"/>
                <w:right w:val="nil"/>
                <w:between w:val="nil"/>
              </w:pBdr>
              <w:spacing w:line="259" w:lineRule="auto"/>
              <w:rPr>
                <w:rFonts w:ascii="Arial Narrow" w:eastAsia="Arial Narrow" w:hAnsi="Arial Narrow" w:cs="Arial Narrow"/>
                <w:color w:val="000000"/>
              </w:rPr>
            </w:pPr>
            <w:r>
              <w:rPr>
                <w:rFonts w:ascii="Arial Narrow" w:eastAsia="Arial Narrow" w:hAnsi="Arial Narrow" w:cs="Arial Narrow"/>
                <w:color w:val="000000"/>
              </w:rPr>
              <w:t>Desarrolla el concepto de seguridad alimentaria</w:t>
            </w:r>
          </w:p>
          <w:p w:rsidR="00267187" w:rsidRDefault="002B2E2D">
            <w:pPr>
              <w:numPr>
                <w:ilvl w:val="0"/>
                <w:numId w:val="8"/>
              </w:numPr>
              <w:pBdr>
                <w:top w:val="nil"/>
                <w:left w:val="nil"/>
                <w:bottom w:val="nil"/>
                <w:right w:val="nil"/>
                <w:between w:val="nil"/>
              </w:pBdr>
              <w:spacing w:line="259" w:lineRule="auto"/>
              <w:rPr>
                <w:rFonts w:ascii="Arial Narrow" w:eastAsia="Arial Narrow" w:hAnsi="Arial Narrow" w:cs="Arial Narrow"/>
                <w:color w:val="000000"/>
              </w:rPr>
            </w:pPr>
            <w:r>
              <w:rPr>
                <w:rFonts w:ascii="Arial Narrow" w:eastAsia="Arial Narrow" w:hAnsi="Arial Narrow" w:cs="Arial Narrow"/>
                <w:color w:val="000000"/>
              </w:rPr>
              <w:t>Establece obligaciones específicas del Estado</w:t>
            </w:r>
          </w:p>
          <w:p w:rsidR="00267187" w:rsidRDefault="002B2E2D">
            <w:pPr>
              <w:numPr>
                <w:ilvl w:val="0"/>
                <w:numId w:val="8"/>
              </w:numPr>
              <w:pBdr>
                <w:top w:val="nil"/>
                <w:left w:val="nil"/>
                <w:bottom w:val="nil"/>
                <w:right w:val="nil"/>
                <w:between w:val="nil"/>
              </w:pBdr>
              <w:spacing w:line="259" w:lineRule="auto"/>
              <w:rPr>
                <w:rFonts w:ascii="Arial Narrow" w:eastAsia="Arial Narrow" w:hAnsi="Arial Narrow" w:cs="Arial Narrow"/>
                <w:color w:val="000000"/>
              </w:rPr>
            </w:pPr>
            <w:r>
              <w:rPr>
                <w:rFonts w:ascii="Arial Narrow" w:eastAsia="Arial Narrow" w:hAnsi="Arial Narrow" w:cs="Arial Narrow"/>
                <w:color w:val="000000"/>
              </w:rPr>
              <w:t>Define límites de la participación privada</w:t>
            </w:r>
          </w:p>
          <w:p w:rsidR="00267187" w:rsidRDefault="002B2E2D">
            <w:pPr>
              <w:numPr>
                <w:ilvl w:val="0"/>
                <w:numId w:val="8"/>
              </w:numPr>
              <w:pBdr>
                <w:top w:val="nil"/>
                <w:left w:val="nil"/>
                <w:bottom w:val="nil"/>
                <w:right w:val="nil"/>
                <w:between w:val="nil"/>
              </w:pBdr>
              <w:spacing w:after="160" w:line="259" w:lineRule="auto"/>
              <w:rPr>
                <w:rFonts w:ascii="Arial Narrow" w:eastAsia="Arial Narrow" w:hAnsi="Arial Narrow" w:cs="Arial Narrow"/>
                <w:color w:val="000000"/>
              </w:rPr>
            </w:pPr>
            <w:r>
              <w:rPr>
                <w:rFonts w:ascii="Arial Narrow" w:eastAsia="Arial Narrow" w:hAnsi="Arial Narrow" w:cs="Arial Narrow"/>
                <w:color w:val="000000"/>
              </w:rPr>
              <w:lastRenderedPageBreak/>
              <w:t>Ratio Decidendi: “La participación de entidades privadas en la distribución de alimentos no exime al Estado de su responsabilidad principal”</w:t>
            </w:r>
          </w:p>
        </w:tc>
      </w:tr>
    </w:tbl>
    <w:p w:rsidR="00267187" w:rsidRDefault="00267187">
      <w:pPr>
        <w:spacing w:before="85" w:after="57"/>
        <w:jc w:val="both"/>
        <w:rPr>
          <w:rFonts w:ascii="Arial Narrow" w:eastAsia="Arial Narrow" w:hAnsi="Arial Narrow" w:cs="Arial Narrow"/>
          <w:sz w:val="24"/>
          <w:szCs w:val="24"/>
        </w:rPr>
      </w:pPr>
    </w:p>
    <w:p w:rsidR="00267187" w:rsidRDefault="002B2E2D">
      <w:pPr>
        <w:pBdr>
          <w:top w:val="single" w:sz="4" w:space="1" w:color="000000"/>
          <w:left w:val="single" w:sz="4" w:space="4" w:color="000000"/>
          <w:bottom w:val="single" w:sz="4" w:space="0" w:color="000000"/>
          <w:right w:val="single" w:sz="4" w:space="4" w:color="000000"/>
          <w:between w:val="none" w:sz="0" w:space="0" w:color="000000"/>
        </w:pBdr>
        <w:ind w:hanging="2"/>
        <w:jc w:val="center"/>
        <w:rPr>
          <w:rFonts w:ascii="Arial Narrow" w:eastAsia="Arial Narrow" w:hAnsi="Arial Narrow" w:cs="Arial Narrow"/>
          <w:sz w:val="24"/>
          <w:szCs w:val="24"/>
        </w:rPr>
      </w:pPr>
      <w:r>
        <w:rPr>
          <w:rFonts w:ascii="Arial Narrow" w:eastAsia="Arial Narrow" w:hAnsi="Arial Narrow" w:cs="Arial Narrow"/>
          <w:b/>
          <w:sz w:val="24"/>
          <w:szCs w:val="24"/>
        </w:rPr>
        <w:t>CONFLICTO DE INTERÉS</w:t>
      </w:r>
    </w:p>
    <w:p w:rsidR="00267187" w:rsidRDefault="002B2E2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Teniendo en cuenta el artículo 3 de la Ley 2003 de 2019, “Por la cual se modifica parcialmente la Ley 5 de 1992”, y de conformidad con el artículo 286 de la Ley 5 de 1992, modificado por el artículo 1 de la Ley 2003 de 2019, el cual establece que: </w:t>
      </w:r>
    </w:p>
    <w:p w:rsidR="00267187" w:rsidRDefault="002B2E2D">
      <w:pPr>
        <w:ind w:left="567"/>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“Artícu</w:t>
      </w:r>
      <w:r>
        <w:rPr>
          <w:rFonts w:ascii="Arial Narrow" w:eastAsia="Arial Narrow" w:hAnsi="Arial Narrow" w:cs="Arial Narrow"/>
          <w:color w:val="000000"/>
          <w:sz w:val="20"/>
          <w:szCs w:val="20"/>
        </w:rPr>
        <w:t xml:space="preserve">lo 286. Régimen de conflicto de interés de los congresistas. Todos los congresistas deberán declarar los conflictos </w:t>
      </w:r>
      <w:r>
        <w:rPr>
          <w:rFonts w:ascii="Arial Narrow" w:eastAsia="Arial Narrow" w:hAnsi="Arial Narrow" w:cs="Arial Narrow"/>
          <w:sz w:val="20"/>
          <w:szCs w:val="20"/>
        </w:rPr>
        <w:t>de intereses</w:t>
      </w:r>
      <w:r>
        <w:rPr>
          <w:rFonts w:ascii="Arial Narrow" w:eastAsia="Arial Narrow" w:hAnsi="Arial Narrow" w:cs="Arial Narrow"/>
          <w:color w:val="000000"/>
          <w:sz w:val="20"/>
          <w:szCs w:val="20"/>
        </w:rPr>
        <w:t xml:space="preserve"> que pudieran surgir </w:t>
      </w:r>
      <w:r>
        <w:rPr>
          <w:rFonts w:ascii="Arial Narrow" w:eastAsia="Arial Narrow" w:hAnsi="Arial Narrow" w:cs="Arial Narrow"/>
          <w:sz w:val="20"/>
          <w:szCs w:val="20"/>
        </w:rPr>
        <w:t>en el ejercicio</w:t>
      </w:r>
      <w:r>
        <w:rPr>
          <w:rFonts w:ascii="Arial Narrow" w:eastAsia="Arial Narrow" w:hAnsi="Arial Narrow" w:cs="Arial Narrow"/>
          <w:color w:val="000000"/>
          <w:sz w:val="20"/>
          <w:szCs w:val="20"/>
        </w:rPr>
        <w:t xml:space="preserve"> de sus funciones. Se entiende como conflicto de interés una situación donde la discusión o </w:t>
      </w:r>
      <w:r>
        <w:rPr>
          <w:rFonts w:ascii="Arial Narrow" w:eastAsia="Arial Narrow" w:hAnsi="Arial Narrow" w:cs="Arial Narrow"/>
          <w:color w:val="000000"/>
          <w:sz w:val="20"/>
          <w:szCs w:val="20"/>
        </w:rPr>
        <w:t>votación de un proyecto de ley o acto legislativo o artículo, pueda resultar en un beneficio particular, actual y directo a favor del congresista.</w:t>
      </w:r>
    </w:p>
    <w:p w:rsidR="00267187" w:rsidRDefault="002B2E2D">
      <w:pPr>
        <w:ind w:left="567"/>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a) Beneficio particular: aquel que otorga un privilegio o genera ganancias o crea indemnizaciones económicas</w:t>
      </w:r>
      <w:r>
        <w:rPr>
          <w:rFonts w:ascii="Arial Narrow" w:eastAsia="Arial Narrow" w:hAnsi="Arial Narrow" w:cs="Arial Narrow"/>
          <w:color w:val="000000"/>
          <w:sz w:val="20"/>
          <w:szCs w:val="20"/>
        </w:rPr>
        <w:t xml:space="preserve"> o elimina obligaciones a favor del congresista de las que no gozan el resto de los ciudadanos. Modifique normas que afecten investigaciones penales, disciplinarias, fiscales o administrativas a las que se encuentre formalmente vinculado. </w:t>
      </w:r>
    </w:p>
    <w:p w:rsidR="00267187" w:rsidRDefault="002B2E2D">
      <w:pPr>
        <w:ind w:left="567"/>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b) Beneficio act</w:t>
      </w:r>
      <w:r>
        <w:rPr>
          <w:rFonts w:ascii="Arial Narrow" w:eastAsia="Arial Narrow" w:hAnsi="Arial Narrow" w:cs="Arial Narrow"/>
          <w:color w:val="000000"/>
          <w:sz w:val="20"/>
          <w:szCs w:val="20"/>
        </w:rPr>
        <w:t xml:space="preserve">ual: aquel que efectivamente se configura en las circunstancias presentes y existentes al momento en el que el congresista participa de la decisión. </w:t>
      </w:r>
    </w:p>
    <w:p w:rsidR="00267187" w:rsidRDefault="002B2E2D">
      <w:pPr>
        <w:ind w:left="567"/>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 Beneficio directo: aquel que se produzca de forma específica respecto del congresista, de su cónyuge, c</w:t>
      </w:r>
      <w:r>
        <w:rPr>
          <w:rFonts w:ascii="Arial Narrow" w:eastAsia="Arial Narrow" w:hAnsi="Arial Narrow" w:cs="Arial Narrow"/>
          <w:color w:val="000000"/>
          <w:sz w:val="20"/>
          <w:szCs w:val="20"/>
        </w:rPr>
        <w:t>ompañero o compañera permanente, o parientes dentro del segundo grado de consanguinidad, segundo de afinidad o primero civil.</w:t>
      </w:r>
    </w:p>
    <w:p w:rsidR="00267187" w:rsidRDefault="002B2E2D">
      <w:pPr>
        <w:ind w:left="567"/>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w:t>
      </w:r>
    </w:p>
    <w:p w:rsidR="00267187" w:rsidRDefault="002B2E2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Igualmente, El Consejo de Estado en su sentencia 02830 del 16 de julio de 2019, determinó: </w:t>
      </w:r>
    </w:p>
    <w:p w:rsidR="00267187" w:rsidRDefault="002B2E2D">
      <w:pPr>
        <w:ind w:left="709"/>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“No cualquier interés configura </w:t>
      </w:r>
      <w:r>
        <w:rPr>
          <w:rFonts w:ascii="Arial Narrow" w:eastAsia="Arial Narrow" w:hAnsi="Arial Narrow" w:cs="Arial Narrow"/>
          <w:color w:val="000000"/>
          <w:sz w:val="20"/>
          <w:szCs w:val="20"/>
        </w:rPr>
        <w:t>la causal de desinvestidura en comento, pues se sabe que sólo lo será aquél del que se pueda predicar que es directo, esto es, que per se el alegado beneficio, provecho o utilidad encuentre su fuente en el asunto que fue conocido por el legislador; particu</w:t>
      </w:r>
      <w:r>
        <w:rPr>
          <w:rFonts w:ascii="Arial Narrow" w:eastAsia="Arial Narrow" w:hAnsi="Arial Narrow" w:cs="Arial Narrow"/>
          <w:color w:val="000000"/>
          <w:sz w:val="20"/>
          <w:szCs w:val="20"/>
        </w:rPr>
        <w:t>lar, que el mismo sea específico o personal, bien para el congresista o quienes se encuentren relacionados con él; y actual o inmediato, que concurra para el momento en que ocurrió la participación o votación del congresista, lo que excluye sucesos conting</w:t>
      </w:r>
      <w:r>
        <w:rPr>
          <w:rFonts w:ascii="Arial Narrow" w:eastAsia="Arial Narrow" w:hAnsi="Arial Narrow" w:cs="Arial Narrow"/>
          <w:color w:val="000000"/>
          <w:sz w:val="20"/>
          <w:szCs w:val="20"/>
        </w:rPr>
        <w:t xml:space="preserve">entes, futuros o imprevisibles…”. </w:t>
      </w:r>
    </w:p>
    <w:p w:rsidR="00267187" w:rsidRDefault="002B2E2D">
      <w:pP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Bajo este marco, se considera que la discusión y aprobación del presente Proyecto de Ley, a pesar de su carácter general y extenso en la materia que trata, podría crear conflictos de interés en tanto al congresista o pari</w:t>
      </w:r>
      <w:r>
        <w:rPr>
          <w:rFonts w:ascii="Arial Narrow" w:eastAsia="Arial Narrow" w:hAnsi="Arial Narrow" w:cs="Arial Narrow"/>
          <w:color w:val="000000"/>
          <w:sz w:val="24"/>
          <w:szCs w:val="24"/>
        </w:rPr>
        <w:t>ente dentro de los grados de ley sea beneficiario con los términos dispuestos en la presente ley. En este sentido, es importante subrayar que la descripción de los posibles conflictos de interés que se puedan presentar frente al trámite o votación de la in</w:t>
      </w:r>
      <w:r>
        <w:rPr>
          <w:rFonts w:ascii="Arial Narrow" w:eastAsia="Arial Narrow" w:hAnsi="Arial Narrow" w:cs="Arial Narrow"/>
          <w:color w:val="000000"/>
          <w:sz w:val="24"/>
          <w:szCs w:val="24"/>
        </w:rPr>
        <w:t xml:space="preserve">iciativa, conforme a lo dispuesto en el artículo 291 de la Ley 5 de 1992 modificado por la Ley 2003 de 2019, no exime al Congresista de identificar causales adicionales en las que pueda estar inmerso. </w:t>
      </w:r>
    </w:p>
    <w:p w:rsidR="00267187" w:rsidRDefault="002B2E2D">
      <w:pPr>
        <w:pBdr>
          <w:top w:val="single" w:sz="4" w:space="1" w:color="000000"/>
          <w:left w:val="single" w:sz="4" w:space="4" w:color="000000"/>
          <w:bottom w:val="single" w:sz="4" w:space="0" w:color="000000"/>
          <w:right w:val="single" w:sz="4" w:space="4" w:color="000000"/>
          <w:between w:val="none" w:sz="0" w:space="0" w:color="000000"/>
        </w:pBdr>
        <w:ind w:hanging="2"/>
        <w:jc w:val="center"/>
        <w:rPr>
          <w:rFonts w:ascii="Arial Narrow" w:eastAsia="Arial Narrow" w:hAnsi="Arial Narrow" w:cs="Arial Narrow"/>
          <w:sz w:val="24"/>
          <w:szCs w:val="24"/>
        </w:rPr>
      </w:pPr>
      <w:r>
        <w:rPr>
          <w:rFonts w:ascii="Arial Narrow" w:eastAsia="Arial Narrow" w:hAnsi="Arial Narrow" w:cs="Arial Narrow"/>
          <w:b/>
          <w:sz w:val="24"/>
          <w:szCs w:val="24"/>
        </w:rPr>
        <w:t>PLIEGO DE MODIFICACIONES</w:t>
      </w:r>
    </w:p>
    <w:p w:rsidR="00267187" w:rsidRDefault="002B2E2D">
      <w:pPr>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No se proponen modificaciones</w:t>
      </w:r>
      <w:r>
        <w:rPr>
          <w:rFonts w:ascii="Arial Narrow" w:eastAsia="Arial Narrow" w:hAnsi="Arial Narrow" w:cs="Arial Narrow"/>
          <w:sz w:val="24"/>
          <w:szCs w:val="24"/>
        </w:rPr>
        <w:t xml:space="preserve"> al texto aprobado en la Plenaria del Honorable Senado de la República.</w:t>
      </w:r>
    </w:p>
    <w:p w:rsidR="00267187" w:rsidRDefault="00267187">
      <w:pPr>
        <w:jc w:val="both"/>
        <w:rPr>
          <w:rFonts w:ascii="Arial Narrow" w:eastAsia="Arial Narrow" w:hAnsi="Arial Narrow" w:cs="Arial Narrow"/>
          <w:sz w:val="24"/>
          <w:szCs w:val="24"/>
        </w:rPr>
      </w:pPr>
    </w:p>
    <w:p w:rsidR="00267187" w:rsidRDefault="00267187">
      <w:pPr>
        <w:jc w:val="both"/>
        <w:rPr>
          <w:rFonts w:ascii="Arial Narrow" w:eastAsia="Arial Narrow" w:hAnsi="Arial Narrow" w:cs="Arial Narrow"/>
          <w:sz w:val="24"/>
          <w:szCs w:val="24"/>
        </w:rPr>
      </w:pPr>
    </w:p>
    <w:p w:rsidR="00267187" w:rsidRDefault="002B2E2D">
      <w:pPr>
        <w:pBdr>
          <w:top w:val="single" w:sz="4" w:space="1" w:color="000000"/>
          <w:left w:val="single" w:sz="4" w:space="4" w:color="000000"/>
          <w:bottom w:val="single" w:sz="4" w:space="0" w:color="000000"/>
          <w:right w:val="single" w:sz="4" w:space="4" w:color="000000"/>
          <w:between w:val="none" w:sz="0" w:space="0" w:color="000000"/>
        </w:pBdr>
        <w:ind w:hanging="2"/>
        <w:jc w:val="center"/>
        <w:rPr>
          <w:rFonts w:ascii="Arial Narrow" w:eastAsia="Arial Narrow" w:hAnsi="Arial Narrow" w:cs="Arial Narrow"/>
          <w:sz w:val="24"/>
          <w:szCs w:val="24"/>
        </w:rPr>
      </w:pPr>
      <w:r>
        <w:rPr>
          <w:rFonts w:ascii="Arial Narrow" w:eastAsia="Arial Narrow" w:hAnsi="Arial Narrow" w:cs="Arial Narrow"/>
          <w:b/>
          <w:sz w:val="24"/>
          <w:szCs w:val="24"/>
        </w:rPr>
        <w:t>PROPOSICIÓN</w:t>
      </w:r>
    </w:p>
    <w:p w:rsidR="00267187" w:rsidRDefault="002B2E2D">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Con fundamento en las anteriores consideraciones, en cumplimiento de los requisitos establecidos en la Ley 5 de 1992, presento </w:t>
      </w:r>
      <w:r>
        <w:rPr>
          <w:rFonts w:ascii="Arial Narrow" w:eastAsia="Arial Narrow" w:hAnsi="Arial Narrow" w:cs="Arial Narrow"/>
          <w:b/>
          <w:sz w:val="24"/>
          <w:szCs w:val="24"/>
          <w:u w:val="single"/>
        </w:rPr>
        <w:t>PONENCIA</w:t>
      </w:r>
      <w:r>
        <w:rPr>
          <w:rFonts w:ascii="Arial Narrow" w:eastAsia="Arial Narrow" w:hAnsi="Arial Narrow" w:cs="Arial Narrow"/>
          <w:sz w:val="24"/>
          <w:szCs w:val="24"/>
        </w:rPr>
        <w:t xml:space="preserve"> y en consecuencia solicito a la Ho</w:t>
      </w:r>
      <w:r>
        <w:rPr>
          <w:rFonts w:ascii="Arial Narrow" w:eastAsia="Arial Narrow" w:hAnsi="Arial Narrow" w:cs="Arial Narrow"/>
          <w:sz w:val="24"/>
          <w:szCs w:val="24"/>
        </w:rPr>
        <w:t xml:space="preserve">norable Cámara de Representantes dar </w:t>
      </w:r>
      <w:r>
        <w:rPr>
          <w:rFonts w:ascii="Arial Narrow" w:eastAsia="Arial Narrow" w:hAnsi="Arial Narrow" w:cs="Arial Narrow"/>
          <w:b/>
          <w:sz w:val="24"/>
          <w:szCs w:val="24"/>
          <w:u w:val="single"/>
        </w:rPr>
        <w:t>SEGUNDO DEBATE EN SEGUNDA VUELTA</w:t>
      </w:r>
      <w:r>
        <w:rPr>
          <w:rFonts w:ascii="Arial Narrow" w:eastAsia="Arial Narrow" w:hAnsi="Arial Narrow" w:cs="Arial Narrow"/>
          <w:b/>
          <w:sz w:val="24"/>
          <w:szCs w:val="24"/>
        </w:rPr>
        <w:t xml:space="preserve"> </w:t>
      </w:r>
      <w:r>
        <w:rPr>
          <w:rFonts w:ascii="Arial Narrow" w:eastAsia="Arial Narrow" w:hAnsi="Arial Narrow" w:cs="Arial Narrow"/>
          <w:sz w:val="24"/>
          <w:szCs w:val="24"/>
        </w:rPr>
        <w:t xml:space="preserve">al </w:t>
      </w:r>
      <w:r>
        <w:rPr>
          <w:rFonts w:ascii="Arial Narrow" w:eastAsia="Arial Narrow" w:hAnsi="Arial Narrow" w:cs="Arial Narrow"/>
          <w:b/>
          <w:sz w:val="24"/>
          <w:szCs w:val="24"/>
        </w:rPr>
        <w:t xml:space="preserve">PROYECTO DE ACTO LEGISLATIVO No. 436 DE 2024 CÁMARA - 020 DE 2024 SENADO “Por el cual se modifica el artículo 65 de la Constitución Política de Colombia”, </w:t>
      </w:r>
      <w:r>
        <w:rPr>
          <w:rFonts w:ascii="Arial Narrow" w:eastAsia="Arial Narrow" w:hAnsi="Arial Narrow" w:cs="Arial Narrow"/>
          <w:sz w:val="24"/>
          <w:szCs w:val="24"/>
        </w:rPr>
        <w:t>conforme al texto propuesto</w:t>
      </w:r>
      <w:r>
        <w:rPr>
          <w:rFonts w:ascii="Arial Narrow" w:eastAsia="Arial Narrow" w:hAnsi="Arial Narrow" w:cs="Arial Narrow"/>
          <w:color w:val="222222"/>
          <w:sz w:val="24"/>
          <w:szCs w:val="24"/>
          <w:highlight w:val="white"/>
        </w:rPr>
        <w:t>.</w:t>
      </w:r>
    </w:p>
    <w:p w:rsidR="00267187" w:rsidRDefault="002B2E2D">
      <w:pPr>
        <w:spacing w:line="264" w:lineRule="auto"/>
        <w:ind w:hanging="2"/>
        <w:jc w:val="both"/>
        <w:rPr>
          <w:rFonts w:ascii="Arial Narrow" w:eastAsia="Arial Narrow" w:hAnsi="Arial Narrow" w:cs="Arial Narrow"/>
          <w:sz w:val="24"/>
          <w:szCs w:val="24"/>
        </w:rPr>
      </w:pPr>
      <w:r>
        <w:rPr>
          <w:rFonts w:ascii="Arial Narrow" w:eastAsia="Arial Narrow" w:hAnsi="Arial Narrow" w:cs="Arial Narrow"/>
          <w:sz w:val="24"/>
          <w:szCs w:val="24"/>
        </w:rPr>
        <w:t>Cordialmente,</w:t>
      </w:r>
    </w:p>
    <w:p w:rsidR="00267187" w:rsidRDefault="00267187">
      <w:pPr>
        <w:ind w:hanging="2"/>
        <w:jc w:val="both"/>
        <w:rPr>
          <w:rFonts w:ascii="Arial Narrow" w:eastAsia="Arial Narrow" w:hAnsi="Arial Narrow" w:cs="Arial Narrow"/>
          <w:sz w:val="24"/>
          <w:szCs w:val="24"/>
        </w:rPr>
      </w:pPr>
    </w:p>
    <w:tbl>
      <w:tblPr>
        <w:tblStyle w:val="a9"/>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267187">
        <w:tc>
          <w:tcPr>
            <w:tcW w:w="4419" w:type="dxa"/>
            <w:shd w:val="clear" w:color="auto" w:fill="auto"/>
            <w:tcMar>
              <w:top w:w="100" w:type="dxa"/>
              <w:left w:w="100" w:type="dxa"/>
              <w:bottom w:w="100" w:type="dxa"/>
              <w:right w:w="100" w:type="dxa"/>
            </w:tcMar>
          </w:tcPr>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B2E2D">
            <w:pPr>
              <w:jc w:val="center"/>
              <w:rPr>
                <w:rFonts w:ascii="Arial Narrow" w:eastAsia="Arial Narrow" w:hAnsi="Arial Narrow" w:cs="Arial Narrow"/>
                <w:sz w:val="24"/>
                <w:szCs w:val="24"/>
              </w:rPr>
            </w:pPr>
            <w:r>
              <w:rPr>
                <w:rFonts w:ascii="Arial Narrow" w:eastAsia="Arial Narrow" w:hAnsi="Arial Narrow" w:cs="Arial Narrow"/>
                <w:b/>
                <w:sz w:val="24"/>
                <w:szCs w:val="24"/>
              </w:rPr>
              <w:t>EDUARD SARMIENTO HIDALGO</w:t>
            </w:r>
            <w:r>
              <w:rPr>
                <w:rFonts w:ascii="Arial Narrow" w:eastAsia="Arial Narrow" w:hAnsi="Arial Narrow" w:cs="Arial Narrow"/>
                <w:sz w:val="24"/>
                <w:szCs w:val="24"/>
              </w:rPr>
              <w:t xml:space="preserve"> </w:t>
            </w:r>
          </w:p>
          <w:p w:rsidR="00267187" w:rsidRDefault="002B2E2D">
            <w:pPr>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 Por Cundinamarca</w:t>
            </w:r>
          </w:p>
          <w:p w:rsidR="00267187" w:rsidRDefault="002B2E2D">
            <w:pPr>
              <w:jc w:val="center"/>
              <w:rPr>
                <w:rFonts w:ascii="Arial Narrow" w:eastAsia="Arial Narrow" w:hAnsi="Arial Narrow" w:cs="Arial Narrow"/>
                <w:b/>
                <w:sz w:val="24"/>
                <w:szCs w:val="24"/>
              </w:rPr>
            </w:pPr>
            <w:r>
              <w:rPr>
                <w:rFonts w:ascii="Arial Narrow" w:eastAsia="Arial Narrow" w:hAnsi="Arial Narrow" w:cs="Arial Narrow"/>
                <w:sz w:val="24"/>
                <w:szCs w:val="24"/>
              </w:rPr>
              <w:t>Pacto Histórico</w:t>
            </w:r>
            <w:r>
              <w:rPr>
                <w:rFonts w:ascii="Arial Narrow" w:eastAsia="Arial Narrow" w:hAnsi="Arial Narrow" w:cs="Arial Narrow"/>
                <w:sz w:val="24"/>
                <w:szCs w:val="24"/>
              </w:rPr>
              <w:br/>
              <w:t>Coordinador Ponente</w:t>
            </w:r>
          </w:p>
        </w:tc>
        <w:tc>
          <w:tcPr>
            <w:tcW w:w="4419" w:type="dxa"/>
            <w:shd w:val="clear" w:color="auto" w:fill="auto"/>
            <w:tcMar>
              <w:top w:w="100" w:type="dxa"/>
              <w:left w:w="100" w:type="dxa"/>
              <w:bottom w:w="100" w:type="dxa"/>
              <w:right w:w="100" w:type="dxa"/>
            </w:tcMar>
          </w:tcPr>
          <w:p w:rsidR="00267187" w:rsidRDefault="00267187">
            <w:pPr>
              <w:widowControl w:val="0"/>
              <w:rPr>
                <w:rFonts w:ascii="Arial Narrow" w:eastAsia="Arial Narrow" w:hAnsi="Arial Narrow" w:cs="Arial Narrow"/>
                <w:sz w:val="24"/>
                <w:szCs w:val="24"/>
              </w:rPr>
            </w:pPr>
          </w:p>
          <w:p w:rsidR="00267187" w:rsidRDefault="00267187">
            <w:pPr>
              <w:widowControl w:val="0"/>
              <w:rPr>
                <w:rFonts w:ascii="Arial Narrow" w:eastAsia="Arial Narrow" w:hAnsi="Arial Narrow" w:cs="Arial Narrow"/>
                <w:sz w:val="24"/>
                <w:szCs w:val="24"/>
              </w:rPr>
            </w:pPr>
          </w:p>
          <w:p w:rsidR="00267187" w:rsidRDefault="00267187">
            <w:pPr>
              <w:widowControl w:val="0"/>
              <w:rPr>
                <w:rFonts w:ascii="Arial Narrow" w:eastAsia="Arial Narrow" w:hAnsi="Arial Narrow" w:cs="Arial Narrow"/>
                <w:sz w:val="24"/>
                <w:szCs w:val="24"/>
              </w:rPr>
            </w:pPr>
          </w:p>
          <w:p w:rsidR="00267187" w:rsidRDefault="00267187">
            <w:pPr>
              <w:widowControl w:val="0"/>
              <w:rPr>
                <w:rFonts w:ascii="Arial Narrow" w:eastAsia="Arial Narrow" w:hAnsi="Arial Narrow" w:cs="Arial Narrow"/>
                <w:sz w:val="24"/>
                <w:szCs w:val="24"/>
              </w:rPr>
            </w:pPr>
          </w:p>
          <w:p w:rsidR="00267187" w:rsidRDefault="00267187">
            <w:pPr>
              <w:widowControl w:val="0"/>
              <w:rPr>
                <w:rFonts w:ascii="Arial Narrow" w:eastAsia="Arial Narrow" w:hAnsi="Arial Narrow" w:cs="Arial Narrow"/>
                <w:sz w:val="24"/>
                <w:szCs w:val="24"/>
              </w:rPr>
            </w:pPr>
          </w:p>
          <w:p w:rsidR="00267187" w:rsidRDefault="00267187">
            <w:pPr>
              <w:widowControl w:val="0"/>
              <w:rPr>
                <w:rFonts w:ascii="Arial Narrow" w:eastAsia="Arial Narrow" w:hAnsi="Arial Narrow" w:cs="Arial Narrow"/>
                <w:sz w:val="24"/>
                <w:szCs w:val="24"/>
              </w:rPr>
            </w:pPr>
          </w:p>
          <w:p w:rsidR="00267187" w:rsidRDefault="002B2E2D">
            <w:pPr>
              <w:widowControl w:val="0"/>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ANA PAOLA GARCÍA SOTO </w:t>
            </w:r>
          </w:p>
          <w:p w:rsidR="00267187" w:rsidRDefault="002B2E2D">
            <w:pPr>
              <w:widowControl w:val="0"/>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 por Córdoba</w:t>
            </w:r>
          </w:p>
          <w:p w:rsidR="00267187" w:rsidRDefault="002B2E2D">
            <w:pPr>
              <w:widowControl w:val="0"/>
              <w:jc w:val="center"/>
              <w:rPr>
                <w:rFonts w:ascii="Arial Narrow" w:eastAsia="Arial Narrow" w:hAnsi="Arial Narrow" w:cs="Arial Narrow"/>
                <w:sz w:val="24"/>
                <w:szCs w:val="24"/>
              </w:rPr>
            </w:pPr>
            <w:r>
              <w:rPr>
                <w:rFonts w:ascii="Arial Narrow" w:eastAsia="Arial Narrow" w:hAnsi="Arial Narrow" w:cs="Arial Narrow"/>
                <w:sz w:val="24"/>
                <w:szCs w:val="24"/>
              </w:rPr>
              <w:t>Partido de la U</w:t>
            </w:r>
          </w:p>
          <w:p w:rsidR="00267187" w:rsidRDefault="002B2E2D">
            <w:pPr>
              <w:widowControl w:val="0"/>
              <w:jc w:val="center"/>
              <w:rPr>
                <w:rFonts w:ascii="Arial Narrow" w:eastAsia="Arial Narrow" w:hAnsi="Arial Narrow" w:cs="Arial Narrow"/>
                <w:sz w:val="24"/>
                <w:szCs w:val="24"/>
              </w:rPr>
            </w:pPr>
            <w:r>
              <w:rPr>
                <w:rFonts w:ascii="Arial Narrow" w:eastAsia="Arial Narrow" w:hAnsi="Arial Narrow" w:cs="Arial Narrow"/>
                <w:sz w:val="24"/>
                <w:szCs w:val="24"/>
              </w:rPr>
              <w:t>Coordinadora Ponente</w:t>
            </w:r>
          </w:p>
        </w:tc>
      </w:tr>
      <w:tr w:rsidR="00267187">
        <w:tc>
          <w:tcPr>
            <w:tcW w:w="4419" w:type="dxa"/>
            <w:shd w:val="clear" w:color="auto" w:fill="auto"/>
            <w:tcMar>
              <w:top w:w="100" w:type="dxa"/>
              <w:left w:w="100" w:type="dxa"/>
              <w:bottom w:w="100" w:type="dxa"/>
              <w:right w:w="100" w:type="dxa"/>
            </w:tcMar>
          </w:tcPr>
          <w:p w:rsidR="00267187" w:rsidRDefault="00267187">
            <w:pPr>
              <w:jc w:val="center"/>
              <w:rPr>
                <w:rFonts w:ascii="Arial Narrow" w:eastAsia="Arial Narrow" w:hAnsi="Arial Narrow" w:cs="Arial Narrow"/>
                <w:b/>
                <w:sz w:val="24"/>
                <w:szCs w:val="24"/>
              </w:rPr>
            </w:pPr>
          </w:p>
          <w:p w:rsidR="00267187" w:rsidRDefault="00267187">
            <w:pPr>
              <w:rPr>
                <w:rFonts w:ascii="Arial Narrow" w:eastAsia="Arial Narrow" w:hAnsi="Arial Narrow" w:cs="Arial Narrow"/>
                <w:b/>
                <w:sz w:val="24"/>
                <w:szCs w:val="24"/>
              </w:rPr>
            </w:pPr>
          </w:p>
          <w:p w:rsidR="00267187" w:rsidRDefault="00267187">
            <w:pPr>
              <w:rPr>
                <w:rFonts w:ascii="Arial Narrow" w:eastAsia="Arial Narrow" w:hAnsi="Arial Narrow" w:cs="Arial Narrow"/>
                <w:b/>
                <w:sz w:val="24"/>
                <w:szCs w:val="24"/>
              </w:rPr>
            </w:pPr>
          </w:p>
          <w:p w:rsidR="00267187" w:rsidRDefault="002B2E2D">
            <w:pPr>
              <w:jc w:val="center"/>
              <w:rPr>
                <w:rFonts w:ascii="Arial Narrow" w:eastAsia="Arial Narrow" w:hAnsi="Arial Narrow" w:cs="Arial Narrow"/>
                <w:sz w:val="24"/>
                <w:szCs w:val="24"/>
              </w:rPr>
            </w:pPr>
            <w:r>
              <w:rPr>
                <w:rFonts w:ascii="Arial Narrow" w:eastAsia="Arial Narrow" w:hAnsi="Arial Narrow" w:cs="Arial Narrow"/>
                <w:b/>
                <w:sz w:val="24"/>
                <w:szCs w:val="24"/>
              </w:rPr>
              <w:t>ÁLVARO LEONEL RUEDA CABALLERO</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Coordinador Ponente</w:t>
            </w:r>
          </w:p>
        </w:tc>
        <w:tc>
          <w:tcPr>
            <w:tcW w:w="4419" w:type="dxa"/>
            <w:shd w:val="clear" w:color="auto" w:fill="auto"/>
            <w:tcMar>
              <w:top w:w="100" w:type="dxa"/>
              <w:left w:w="100" w:type="dxa"/>
              <w:bottom w:w="100" w:type="dxa"/>
              <w:right w:w="100" w:type="dxa"/>
            </w:tcMar>
          </w:tcPr>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67187">
            <w:pPr>
              <w:rPr>
                <w:rFonts w:ascii="Arial Narrow" w:eastAsia="Arial Narrow" w:hAnsi="Arial Narrow" w:cs="Arial Narrow"/>
                <w:b/>
                <w:sz w:val="24"/>
                <w:szCs w:val="24"/>
              </w:rPr>
            </w:pPr>
          </w:p>
          <w:p w:rsidR="00267187" w:rsidRDefault="002B2E2D">
            <w:pPr>
              <w:jc w:val="center"/>
              <w:rPr>
                <w:rFonts w:ascii="Arial Narrow" w:eastAsia="Arial Narrow" w:hAnsi="Arial Narrow" w:cs="Arial Narrow"/>
                <w:sz w:val="24"/>
                <w:szCs w:val="24"/>
              </w:rPr>
            </w:pPr>
            <w:r>
              <w:rPr>
                <w:rFonts w:ascii="Arial Narrow" w:eastAsia="Arial Narrow" w:hAnsi="Arial Narrow" w:cs="Arial Narrow"/>
                <w:b/>
                <w:sz w:val="24"/>
                <w:szCs w:val="24"/>
              </w:rPr>
              <w:t>JULIO CÉSAR TRIANA QUINTERO</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Coordinador Ponente</w:t>
            </w:r>
          </w:p>
        </w:tc>
      </w:tr>
      <w:tr w:rsidR="00267187">
        <w:tc>
          <w:tcPr>
            <w:tcW w:w="4419" w:type="dxa"/>
            <w:shd w:val="clear" w:color="auto" w:fill="auto"/>
            <w:tcMar>
              <w:top w:w="100" w:type="dxa"/>
              <w:left w:w="100" w:type="dxa"/>
              <w:bottom w:w="100" w:type="dxa"/>
              <w:right w:w="100" w:type="dxa"/>
            </w:tcMar>
          </w:tcPr>
          <w:p w:rsidR="00267187" w:rsidRDefault="00267187">
            <w:pPr>
              <w:ind w:left="-2"/>
              <w:jc w:val="center"/>
              <w:rPr>
                <w:rFonts w:ascii="Arial Narrow" w:eastAsia="Arial Narrow" w:hAnsi="Arial Narrow" w:cs="Arial Narrow"/>
                <w:b/>
                <w:sz w:val="24"/>
                <w:szCs w:val="24"/>
              </w:rPr>
            </w:pPr>
          </w:p>
          <w:p w:rsidR="00267187" w:rsidRDefault="00267187">
            <w:pPr>
              <w:ind w:left="-2"/>
              <w:rPr>
                <w:rFonts w:ascii="Arial Narrow" w:eastAsia="Arial Narrow" w:hAnsi="Arial Narrow" w:cs="Arial Narrow"/>
                <w:b/>
                <w:sz w:val="24"/>
                <w:szCs w:val="24"/>
              </w:rPr>
            </w:pPr>
          </w:p>
          <w:p w:rsidR="00267187" w:rsidRDefault="00267187">
            <w:pPr>
              <w:ind w:left="-2"/>
              <w:rPr>
                <w:rFonts w:ascii="Arial Narrow" w:eastAsia="Arial Narrow" w:hAnsi="Arial Narrow" w:cs="Arial Narrow"/>
                <w:b/>
                <w:sz w:val="24"/>
                <w:szCs w:val="24"/>
              </w:rPr>
            </w:pPr>
          </w:p>
          <w:p w:rsidR="00267187" w:rsidRDefault="00267187">
            <w:pPr>
              <w:ind w:left="-2"/>
              <w:rPr>
                <w:rFonts w:ascii="Arial Narrow" w:eastAsia="Arial Narrow" w:hAnsi="Arial Narrow" w:cs="Arial Narrow"/>
                <w:b/>
                <w:sz w:val="24"/>
                <w:szCs w:val="24"/>
              </w:rPr>
            </w:pPr>
          </w:p>
          <w:p w:rsidR="00267187" w:rsidRDefault="002B2E2D">
            <w:pPr>
              <w:ind w:left="-2"/>
              <w:jc w:val="center"/>
              <w:rPr>
                <w:rFonts w:ascii="Arial Narrow" w:eastAsia="Arial Narrow" w:hAnsi="Arial Narrow" w:cs="Arial Narrow"/>
                <w:sz w:val="24"/>
                <w:szCs w:val="24"/>
              </w:rPr>
            </w:pPr>
            <w:r>
              <w:rPr>
                <w:rFonts w:ascii="Arial Narrow" w:eastAsia="Arial Narrow" w:hAnsi="Arial Narrow" w:cs="Arial Narrow"/>
                <w:b/>
                <w:sz w:val="24"/>
                <w:szCs w:val="24"/>
              </w:rPr>
              <w:t>RUTH AMELIA CAYCEDO ROSERO</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Ponente</w:t>
            </w:r>
          </w:p>
        </w:tc>
        <w:tc>
          <w:tcPr>
            <w:tcW w:w="4419" w:type="dxa"/>
            <w:shd w:val="clear" w:color="auto" w:fill="auto"/>
            <w:tcMar>
              <w:top w:w="100" w:type="dxa"/>
              <w:left w:w="100" w:type="dxa"/>
              <w:bottom w:w="100" w:type="dxa"/>
              <w:right w:w="100" w:type="dxa"/>
            </w:tcMar>
          </w:tcPr>
          <w:p w:rsidR="00267187" w:rsidRDefault="00267187">
            <w:pPr>
              <w:jc w:val="center"/>
              <w:rPr>
                <w:rFonts w:ascii="Arial Narrow" w:eastAsia="Arial Narrow" w:hAnsi="Arial Narrow" w:cs="Arial Narrow"/>
                <w:b/>
                <w:sz w:val="24"/>
                <w:szCs w:val="24"/>
              </w:rPr>
            </w:pPr>
          </w:p>
          <w:p w:rsidR="00267187" w:rsidRDefault="00267187">
            <w:pPr>
              <w:rPr>
                <w:rFonts w:ascii="Arial Narrow" w:eastAsia="Arial Narrow" w:hAnsi="Arial Narrow" w:cs="Arial Narrow"/>
                <w:b/>
                <w:sz w:val="24"/>
                <w:szCs w:val="24"/>
              </w:rPr>
            </w:pPr>
          </w:p>
          <w:p w:rsidR="00267187" w:rsidRDefault="00267187">
            <w:pPr>
              <w:rPr>
                <w:rFonts w:ascii="Arial Narrow" w:eastAsia="Arial Narrow" w:hAnsi="Arial Narrow" w:cs="Arial Narrow"/>
                <w:b/>
                <w:sz w:val="24"/>
                <w:szCs w:val="24"/>
              </w:rPr>
            </w:pPr>
          </w:p>
          <w:p w:rsidR="00267187" w:rsidRDefault="00267187">
            <w:pPr>
              <w:rPr>
                <w:rFonts w:ascii="Arial Narrow" w:eastAsia="Arial Narrow" w:hAnsi="Arial Narrow" w:cs="Arial Narrow"/>
                <w:b/>
                <w:sz w:val="24"/>
                <w:szCs w:val="24"/>
              </w:rPr>
            </w:pPr>
          </w:p>
          <w:p w:rsidR="00267187" w:rsidRDefault="002B2E2D">
            <w:pPr>
              <w:jc w:val="center"/>
              <w:rPr>
                <w:rFonts w:ascii="Arial Narrow" w:eastAsia="Arial Narrow" w:hAnsi="Arial Narrow" w:cs="Arial Narrow"/>
                <w:sz w:val="24"/>
                <w:szCs w:val="24"/>
              </w:rPr>
            </w:pPr>
            <w:r>
              <w:rPr>
                <w:rFonts w:ascii="Arial Narrow" w:eastAsia="Arial Narrow" w:hAnsi="Arial Narrow" w:cs="Arial Narrow"/>
                <w:b/>
                <w:sz w:val="24"/>
                <w:szCs w:val="24"/>
              </w:rPr>
              <w:t>JOSE JAIME USCÁTEGUI PASTRANA</w:t>
            </w:r>
            <w:r>
              <w:rPr>
                <w:rFonts w:ascii="Arial Narrow" w:eastAsia="Arial Narrow" w:hAnsi="Arial Narrow" w:cs="Arial Narrow"/>
                <w:b/>
                <w:sz w:val="24"/>
                <w:szCs w:val="24"/>
              </w:rPr>
              <w:br/>
            </w:r>
            <w:r>
              <w:rPr>
                <w:rFonts w:ascii="Arial Narrow" w:eastAsia="Arial Narrow" w:hAnsi="Arial Narrow" w:cs="Arial Narrow"/>
                <w:b/>
                <w:sz w:val="24"/>
                <w:szCs w:val="24"/>
              </w:rP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Ponente</w:t>
            </w:r>
          </w:p>
        </w:tc>
      </w:tr>
      <w:tr w:rsidR="00267187">
        <w:tc>
          <w:tcPr>
            <w:tcW w:w="4419" w:type="dxa"/>
            <w:shd w:val="clear" w:color="auto" w:fill="auto"/>
            <w:tcMar>
              <w:top w:w="100" w:type="dxa"/>
              <w:left w:w="100" w:type="dxa"/>
              <w:bottom w:w="100" w:type="dxa"/>
              <w:right w:w="100" w:type="dxa"/>
            </w:tcMar>
          </w:tcPr>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B2E2D">
            <w:pPr>
              <w:ind w:left="-2"/>
              <w:jc w:val="center"/>
              <w:rPr>
                <w:rFonts w:ascii="Arial Narrow" w:eastAsia="Arial Narrow" w:hAnsi="Arial Narrow" w:cs="Arial Narrow"/>
                <w:sz w:val="24"/>
                <w:szCs w:val="24"/>
              </w:rPr>
            </w:pPr>
            <w:r>
              <w:rPr>
                <w:rFonts w:ascii="Arial Narrow" w:eastAsia="Arial Narrow" w:hAnsi="Arial Narrow" w:cs="Arial Narrow"/>
                <w:b/>
                <w:sz w:val="24"/>
                <w:szCs w:val="24"/>
              </w:rPr>
              <w:t>ORLANDO CASTILLO ADVÍNCULA</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Ponente</w:t>
            </w:r>
          </w:p>
        </w:tc>
        <w:tc>
          <w:tcPr>
            <w:tcW w:w="4419" w:type="dxa"/>
            <w:shd w:val="clear" w:color="auto" w:fill="auto"/>
            <w:tcMar>
              <w:top w:w="100" w:type="dxa"/>
              <w:left w:w="100" w:type="dxa"/>
              <w:bottom w:w="100" w:type="dxa"/>
              <w:right w:w="100" w:type="dxa"/>
            </w:tcMar>
          </w:tcPr>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B2E2D">
            <w:pPr>
              <w:ind w:left="-2"/>
              <w:jc w:val="center"/>
              <w:rPr>
                <w:rFonts w:ascii="Arial Narrow" w:eastAsia="Arial Narrow" w:hAnsi="Arial Narrow" w:cs="Arial Narrow"/>
                <w:sz w:val="24"/>
                <w:szCs w:val="24"/>
              </w:rPr>
            </w:pPr>
            <w:r>
              <w:rPr>
                <w:rFonts w:ascii="Arial Narrow" w:eastAsia="Arial Narrow" w:hAnsi="Arial Narrow" w:cs="Arial Narrow"/>
                <w:b/>
                <w:sz w:val="24"/>
                <w:szCs w:val="24"/>
              </w:rPr>
              <w:t>DUVALIER SÁNCHEZ ARANGO</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Ponente</w:t>
            </w:r>
          </w:p>
        </w:tc>
      </w:tr>
      <w:tr w:rsidR="00267187">
        <w:tc>
          <w:tcPr>
            <w:tcW w:w="4419" w:type="dxa"/>
            <w:shd w:val="clear" w:color="auto" w:fill="auto"/>
            <w:tcMar>
              <w:top w:w="100" w:type="dxa"/>
              <w:left w:w="100" w:type="dxa"/>
              <w:bottom w:w="100" w:type="dxa"/>
              <w:right w:w="100" w:type="dxa"/>
            </w:tcMar>
          </w:tcPr>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B2E2D">
            <w:pPr>
              <w:ind w:left="-2"/>
              <w:jc w:val="center"/>
              <w:rPr>
                <w:rFonts w:ascii="Arial Narrow" w:eastAsia="Arial Narrow" w:hAnsi="Arial Narrow" w:cs="Arial Narrow"/>
                <w:sz w:val="24"/>
                <w:szCs w:val="24"/>
              </w:rPr>
            </w:pPr>
            <w:r>
              <w:rPr>
                <w:rFonts w:ascii="Arial Narrow" w:eastAsia="Arial Narrow" w:hAnsi="Arial Narrow" w:cs="Arial Narrow"/>
                <w:b/>
                <w:sz w:val="24"/>
                <w:szCs w:val="24"/>
              </w:rPr>
              <w:t>MARELEN CASTILLO TORRES</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Ponente</w:t>
            </w:r>
          </w:p>
        </w:tc>
        <w:tc>
          <w:tcPr>
            <w:tcW w:w="4419" w:type="dxa"/>
            <w:shd w:val="clear" w:color="auto" w:fill="auto"/>
            <w:tcMar>
              <w:top w:w="100" w:type="dxa"/>
              <w:left w:w="100" w:type="dxa"/>
              <w:bottom w:w="100" w:type="dxa"/>
              <w:right w:w="100" w:type="dxa"/>
            </w:tcMar>
          </w:tcPr>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B2E2D">
            <w:pPr>
              <w:ind w:left="-2"/>
              <w:jc w:val="center"/>
              <w:rPr>
                <w:rFonts w:ascii="Arial Narrow" w:eastAsia="Arial Narrow" w:hAnsi="Arial Narrow" w:cs="Arial Narrow"/>
                <w:sz w:val="24"/>
                <w:szCs w:val="24"/>
              </w:rPr>
            </w:pPr>
            <w:r>
              <w:rPr>
                <w:rFonts w:ascii="Arial Narrow" w:eastAsia="Arial Narrow" w:hAnsi="Arial Narrow" w:cs="Arial Narrow"/>
                <w:b/>
                <w:sz w:val="24"/>
                <w:szCs w:val="24"/>
              </w:rPr>
              <w:t>LUIS ALBERTO ALBÁN URBANO</w:t>
            </w:r>
            <w:r>
              <w:rPr>
                <w:rFonts w:ascii="Arial Narrow" w:eastAsia="Arial Narrow" w:hAnsi="Arial Narrow" w:cs="Arial Narrow"/>
                <w:b/>
                <w:sz w:val="24"/>
                <w:szCs w:val="24"/>
              </w:rPr>
              <w:br/>
            </w:r>
            <w:r>
              <w:rPr>
                <w:rFonts w:ascii="Arial Narrow" w:eastAsia="Arial Narrow" w:hAnsi="Arial Narrow" w:cs="Arial Narrow"/>
                <w:b/>
                <w:sz w:val="24"/>
                <w:szCs w:val="24"/>
              </w:rP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Ponente</w:t>
            </w:r>
          </w:p>
        </w:tc>
      </w:tr>
    </w:tbl>
    <w:p w:rsidR="00267187" w:rsidRDefault="00267187">
      <w:pPr>
        <w:ind w:hanging="2"/>
        <w:jc w:val="both"/>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pPr>
        <w:spacing w:after="0"/>
        <w:jc w:val="center"/>
        <w:rPr>
          <w:rFonts w:ascii="Arial Narrow" w:eastAsia="Arial Narrow" w:hAnsi="Arial Narrow" w:cs="Arial Narrow"/>
          <w:sz w:val="24"/>
          <w:szCs w:val="24"/>
        </w:rPr>
      </w:pPr>
    </w:p>
    <w:p w:rsidR="00267187" w:rsidRDefault="00267187" w:rsidP="00AA48EE">
      <w:pPr>
        <w:spacing w:after="0"/>
        <w:rPr>
          <w:rFonts w:ascii="Arial Narrow" w:eastAsia="Arial Narrow" w:hAnsi="Arial Narrow" w:cs="Arial Narrow"/>
          <w:sz w:val="24"/>
          <w:szCs w:val="24"/>
        </w:rPr>
      </w:pPr>
    </w:p>
    <w:p w:rsidR="00AA48EE" w:rsidRDefault="00AA48EE" w:rsidP="00AA48EE">
      <w:pPr>
        <w:spacing w:after="0"/>
        <w:rPr>
          <w:rFonts w:ascii="Arial Narrow" w:eastAsia="Arial Narrow" w:hAnsi="Arial Narrow" w:cs="Arial Narrow"/>
          <w:sz w:val="24"/>
          <w:szCs w:val="24"/>
        </w:rPr>
      </w:pPr>
    </w:p>
    <w:p w:rsidR="00267187" w:rsidRDefault="00267187">
      <w:pPr>
        <w:spacing w:after="0"/>
        <w:rPr>
          <w:rFonts w:ascii="Arial Narrow" w:eastAsia="Arial Narrow" w:hAnsi="Arial Narrow" w:cs="Arial Narrow"/>
          <w:sz w:val="24"/>
          <w:szCs w:val="24"/>
        </w:rPr>
      </w:pPr>
    </w:p>
    <w:p w:rsidR="00267187" w:rsidRDefault="002B2E2D">
      <w:pPr>
        <w:spacing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lastRenderedPageBreak/>
        <w:t xml:space="preserve">TEXTO PROPUESTO PARA SEGUNDO DEBATE EN SEGUNDA VUELTA EN LA PLENARIA DE LA CÁMARA DE REPRESENTANTES AL PROYECTO DE ACTO LEGISLATIVO No. 436 DE 2024 CÁMARA - 020 DE 2024 SENADO  </w:t>
      </w:r>
    </w:p>
    <w:p w:rsidR="00267187" w:rsidRDefault="002B2E2D">
      <w:pPr>
        <w:spacing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“Por el cual se modifica el artículo 65 de la Constitución Política de Colombia”</w:t>
      </w:r>
    </w:p>
    <w:p w:rsidR="00267187" w:rsidRDefault="002B2E2D">
      <w:pPr>
        <w:tabs>
          <w:tab w:val="center" w:pos="4252"/>
          <w:tab w:val="left" w:pos="6470"/>
        </w:tabs>
        <w:spacing w:line="240" w:lineRule="auto"/>
        <w:jc w:val="center"/>
        <w:rPr>
          <w:rFonts w:ascii="Arial Narrow" w:eastAsia="Arial Narrow" w:hAnsi="Arial Narrow" w:cs="Arial Narrow"/>
          <w:b/>
          <w:sz w:val="24"/>
          <w:szCs w:val="24"/>
        </w:rPr>
      </w:pPr>
      <w:r>
        <w:rPr>
          <w:rFonts w:ascii="Arial Narrow" w:eastAsia="Arial Narrow" w:hAnsi="Arial Narrow" w:cs="Arial Narrow"/>
          <w:b/>
          <w:sz w:val="24"/>
          <w:szCs w:val="24"/>
        </w:rPr>
        <w:t>El Congreso de Colombia,</w:t>
      </w:r>
      <w:r>
        <w:rPr>
          <w:rFonts w:ascii="Arial Narrow" w:eastAsia="Arial Narrow" w:hAnsi="Arial Narrow" w:cs="Arial Narrow"/>
          <w:b/>
          <w:sz w:val="24"/>
          <w:szCs w:val="24"/>
        </w:rPr>
        <w:br/>
        <w:t>DECRETA:</w:t>
      </w:r>
    </w:p>
    <w:p w:rsidR="00267187" w:rsidRDefault="002B2E2D">
      <w:pPr>
        <w:tabs>
          <w:tab w:val="center" w:pos="4252"/>
          <w:tab w:val="left" w:pos="6470"/>
        </w:tabs>
        <w:spacing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 xml:space="preserve">Artículo 1. </w:t>
      </w:r>
      <w:r>
        <w:rPr>
          <w:rFonts w:ascii="Arial Narrow" w:eastAsia="Arial Narrow" w:hAnsi="Arial Narrow" w:cs="Arial Narrow"/>
          <w:sz w:val="24"/>
          <w:szCs w:val="24"/>
        </w:rPr>
        <w:t>Modifíquese el artículo 65 de la Constitución Política de Colombia, el cual quedará así:</w:t>
      </w:r>
    </w:p>
    <w:p w:rsidR="00267187" w:rsidRDefault="002B2E2D">
      <w:pPr>
        <w:tabs>
          <w:tab w:val="center" w:pos="4252"/>
          <w:tab w:val="left" w:pos="6470"/>
        </w:tabs>
        <w:spacing w:line="240" w:lineRule="auto"/>
        <w:ind w:left="720"/>
        <w:jc w:val="both"/>
        <w:rPr>
          <w:rFonts w:ascii="Arial Narrow" w:eastAsia="Arial Narrow" w:hAnsi="Arial Narrow" w:cs="Arial Narrow"/>
          <w:sz w:val="24"/>
          <w:szCs w:val="24"/>
        </w:rPr>
      </w:pPr>
      <w:r>
        <w:rPr>
          <w:rFonts w:ascii="Arial Narrow" w:eastAsia="Arial Narrow" w:hAnsi="Arial Narrow" w:cs="Arial Narrow"/>
          <w:b/>
          <w:sz w:val="24"/>
          <w:szCs w:val="24"/>
        </w:rPr>
        <w:t>Artículo 65.</w:t>
      </w:r>
      <w:r>
        <w:rPr>
          <w:rFonts w:ascii="Arial Narrow" w:eastAsia="Arial Narrow" w:hAnsi="Arial Narrow" w:cs="Arial Narrow"/>
          <w:sz w:val="24"/>
          <w:szCs w:val="24"/>
        </w:rPr>
        <w:t xml:space="preserve"> El Estado garantizará el derecho humano a la alimentación adecuada, de manera progresiva, con un enfoque intercultural y territorial, y a estar protegido contra el hambre y las distintas formas de malnutrición. Así mismo, promoverá condiciones de segurida</w:t>
      </w:r>
      <w:r>
        <w:rPr>
          <w:rFonts w:ascii="Arial Narrow" w:eastAsia="Arial Narrow" w:hAnsi="Arial Narrow" w:cs="Arial Narrow"/>
          <w:sz w:val="24"/>
          <w:szCs w:val="24"/>
        </w:rPr>
        <w:t>d, soberanía y autonomías alimentarias en el territorio nacional y generará acciones para minimizar la pérdida de alimentos.</w:t>
      </w:r>
    </w:p>
    <w:p w:rsidR="00267187" w:rsidRDefault="002B2E2D">
      <w:pPr>
        <w:tabs>
          <w:tab w:val="center" w:pos="4252"/>
          <w:tab w:val="left" w:pos="6470"/>
        </w:tabs>
        <w:spacing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La producción y acceso a alimentos gozará de la especial protección del Estado. Para tal efecto, se otorgará prioridad al desarroll</w:t>
      </w:r>
      <w:r>
        <w:rPr>
          <w:rFonts w:ascii="Arial Narrow" w:eastAsia="Arial Narrow" w:hAnsi="Arial Narrow" w:cs="Arial Narrow"/>
          <w:sz w:val="24"/>
          <w:szCs w:val="24"/>
        </w:rPr>
        <w:t>o sostenible e integral de las actividades agrícolas, agroalimentarias, agroindustriales, agroecológicas, pecuarias, pesqueras, acuáticas, forestales y campesinas, así como también a la adecuación de tierras, construcción de obras de infraestructura física</w:t>
      </w:r>
      <w:r>
        <w:rPr>
          <w:rFonts w:ascii="Arial Narrow" w:eastAsia="Arial Narrow" w:hAnsi="Arial Narrow" w:cs="Arial Narrow"/>
          <w:sz w:val="24"/>
          <w:szCs w:val="24"/>
        </w:rPr>
        <w:t xml:space="preserve"> y logística que facilite la disponibilidad de alimentos en todo el territorio nacional.</w:t>
      </w:r>
    </w:p>
    <w:p w:rsidR="00267187" w:rsidRDefault="002B2E2D">
      <w:pPr>
        <w:tabs>
          <w:tab w:val="center" w:pos="4252"/>
          <w:tab w:val="left" w:pos="6470"/>
        </w:tabs>
        <w:spacing w:line="240" w:lineRule="auto"/>
        <w:ind w:left="720"/>
        <w:jc w:val="both"/>
        <w:rPr>
          <w:rFonts w:ascii="Arial Narrow" w:eastAsia="Arial Narrow" w:hAnsi="Arial Narrow" w:cs="Arial Narrow"/>
          <w:sz w:val="24"/>
          <w:szCs w:val="24"/>
        </w:rPr>
      </w:pPr>
      <w:r>
        <w:rPr>
          <w:rFonts w:ascii="Arial Narrow" w:eastAsia="Arial Narrow" w:hAnsi="Arial Narrow" w:cs="Arial Narrow"/>
          <w:sz w:val="24"/>
          <w:szCs w:val="24"/>
        </w:rPr>
        <w:t>De igual manera, el Estado promoverá la investigación y la transferencia de conocimiento y tecnología para la producción de alimentos y materias primas de origen agrop</w:t>
      </w:r>
      <w:r>
        <w:rPr>
          <w:rFonts w:ascii="Arial Narrow" w:eastAsia="Arial Narrow" w:hAnsi="Arial Narrow" w:cs="Arial Narrow"/>
          <w:sz w:val="24"/>
          <w:szCs w:val="24"/>
        </w:rPr>
        <w:t>ecuario y acuícola, con el propósito de incrementar la productividad y disponibilidad, así como proteger y salvaguardar la biodiversidad y los medios e insumos de la actividad.</w:t>
      </w:r>
    </w:p>
    <w:p w:rsidR="00267187" w:rsidRDefault="002B2E2D">
      <w:pPr>
        <w:tabs>
          <w:tab w:val="center" w:pos="4252"/>
          <w:tab w:val="left" w:pos="6470"/>
        </w:tabs>
        <w:spacing w:line="240" w:lineRule="auto"/>
        <w:ind w:left="720"/>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Parágrafo Transitorio. </w:t>
      </w:r>
      <w:r>
        <w:rPr>
          <w:rFonts w:ascii="Arial Narrow" w:eastAsia="Arial Narrow" w:hAnsi="Arial Narrow" w:cs="Arial Narrow"/>
          <w:sz w:val="24"/>
          <w:szCs w:val="24"/>
        </w:rPr>
        <w:t>Dentro de los 6 meses siguientes a la promulgación del p</w:t>
      </w:r>
      <w:r>
        <w:rPr>
          <w:rFonts w:ascii="Arial Narrow" w:eastAsia="Arial Narrow" w:hAnsi="Arial Narrow" w:cs="Arial Narrow"/>
          <w:sz w:val="24"/>
          <w:szCs w:val="24"/>
        </w:rPr>
        <w:t>resente Acto Legislativo, el Gobierno Nacional presentará ante el Congreso de la República para su trámite un proyecto de ley estatutaria que desarrolle y reglamente lo dispuesto en este artículo.</w:t>
      </w:r>
    </w:p>
    <w:p w:rsidR="00267187" w:rsidRDefault="002B2E2D">
      <w:pPr>
        <w:tabs>
          <w:tab w:val="center" w:pos="4252"/>
          <w:tab w:val="left" w:pos="6470"/>
        </w:tabs>
        <w:spacing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Artículo 2. Vigencia. </w:t>
      </w:r>
      <w:r>
        <w:rPr>
          <w:rFonts w:ascii="Arial Narrow" w:eastAsia="Arial Narrow" w:hAnsi="Arial Narrow" w:cs="Arial Narrow"/>
          <w:sz w:val="24"/>
          <w:szCs w:val="24"/>
        </w:rPr>
        <w:t xml:space="preserve">El presente Acto Legislativo entrará </w:t>
      </w:r>
      <w:r>
        <w:rPr>
          <w:rFonts w:ascii="Arial Narrow" w:eastAsia="Arial Narrow" w:hAnsi="Arial Narrow" w:cs="Arial Narrow"/>
          <w:sz w:val="24"/>
          <w:szCs w:val="24"/>
        </w:rPr>
        <w:t>en vigencia a partir de su promulgación.</w:t>
      </w:r>
    </w:p>
    <w:p w:rsidR="00267187" w:rsidRDefault="00267187">
      <w:pPr>
        <w:spacing w:line="240" w:lineRule="auto"/>
        <w:ind w:hanging="2"/>
        <w:jc w:val="both"/>
        <w:rPr>
          <w:rFonts w:ascii="Arial Narrow" w:eastAsia="Arial Narrow" w:hAnsi="Arial Narrow" w:cs="Arial Narrow"/>
          <w:b/>
          <w:sz w:val="24"/>
          <w:szCs w:val="24"/>
        </w:rPr>
      </w:pPr>
    </w:p>
    <w:p w:rsidR="00AA48EE" w:rsidRDefault="00AA48EE">
      <w:pPr>
        <w:spacing w:line="240" w:lineRule="auto"/>
        <w:ind w:hanging="2"/>
        <w:jc w:val="both"/>
        <w:rPr>
          <w:rFonts w:ascii="Arial Narrow" w:eastAsia="Arial Narrow" w:hAnsi="Arial Narrow" w:cs="Arial Narrow"/>
          <w:b/>
          <w:sz w:val="24"/>
          <w:szCs w:val="24"/>
        </w:rPr>
      </w:pPr>
    </w:p>
    <w:p w:rsidR="00267187" w:rsidRDefault="002B2E2D">
      <w:pPr>
        <w:spacing w:line="240" w:lineRule="auto"/>
        <w:ind w:hanging="2"/>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De los Honorables Congresistas </w:t>
      </w:r>
    </w:p>
    <w:tbl>
      <w:tblPr>
        <w:tblStyle w:val="aa"/>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267187">
        <w:tc>
          <w:tcPr>
            <w:tcW w:w="4419" w:type="dxa"/>
            <w:shd w:val="clear" w:color="auto" w:fill="auto"/>
            <w:tcMar>
              <w:top w:w="100" w:type="dxa"/>
              <w:left w:w="100" w:type="dxa"/>
              <w:bottom w:w="100" w:type="dxa"/>
              <w:right w:w="100" w:type="dxa"/>
            </w:tcMar>
          </w:tcPr>
          <w:p w:rsidR="00267187" w:rsidRDefault="00267187">
            <w:pP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B2E2D">
            <w:pPr>
              <w:jc w:val="center"/>
              <w:rPr>
                <w:rFonts w:ascii="Arial Narrow" w:eastAsia="Arial Narrow" w:hAnsi="Arial Narrow" w:cs="Arial Narrow"/>
                <w:sz w:val="24"/>
                <w:szCs w:val="24"/>
              </w:rPr>
            </w:pPr>
            <w:r>
              <w:rPr>
                <w:rFonts w:ascii="Arial Narrow" w:eastAsia="Arial Narrow" w:hAnsi="Arial Narrow" w:cs="Arial Narrow"/>
                <w:b/>
                <w:sz w:val="24"/>
                <w:szCs w:val="24"/>
              </w:rPr>
              <w:t>EDUARD SARMIENTO HIDALGO</w:t>
            </w:r>
            <w:r>
              <w:rPr>
                <w:rFonts w:ascii="Arial Narrow" w:eastAsia="Arial Narrow" w:hAnsi="Arial Narrow" w:cs="Arial Narrow"/>
                <w:sz w:val="24"/>
                <w:szCs w:val="24"/>
              </w:rPr>
              <w:t xml:space="preserve"> </w:t>
            </w:r>
          </w:p>
          <w:p w:rsidR="00267187" w:rsidRDefault="002B2E2D">
            <w:pPr>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 Por Cundinamarca</w:t>
            </w:r>
          </w:p>
          <w:p w:rsidR="00267187" w:rsidRDefault="002B2E2D">
            <w:pPr>
              <w:jc w:val="center"/>
              <w:rPr>
                <w:rFonts w:ascii="Arial Narrow" w:eastAsia="Arial Narrow" w:hAnsi="Arial Narrow" w:cs="Arial Narrow"/>
                <w:b/>
                <w:sz w:val="24"/>
                <w:szCs w:val="24"/>
              </w:rPr>
            </w:pPr>
            <w:r>
              <w:rPr>
                <w:rFonts w:ascii="Arial Narrow" w:eastAsia="Arial Narrow" w:hAnsi="Arial Narrow" w:cs="Arial Narrow"/>
                <w:sz w:val="24"/>
                <w:szCs w:val="24"/>
              </w:rPr>
              <w:t>Pacto Histórico</w:t>
            </w:r>
            <w:r>
              <w:rPr>
                <w:rFonts w:ascii="Arial Narrow" w:eastAsia="Arial Narrow" w:hAnsi="Arial Narrow" w:cs="Arial Narrow"/>
                <w:sz w:val="24"/>
                <w:szCs w:val="24"/>
              </w:rPr>
              <w:br/>
              <w:t>Coordinador Ponente</w:t>
            </w:r>
          </w:p>
        </w:tc>
        <w:tc>
          <w:tcPr>
            <w:tcW w:w="4419" w:type="dxa"/>
            <w:shd w:val="clear" w:color="auto" w:fill="auto"/>
            <w:tcMar>
              <w:top w:w="100" w:type="dxa"/>
              <w:left w:w="100" w:type="dxa"/>
              <w:bottom w:w="100" w:type="dxa"/>
              <w:right w:w="100" w:type="dxa"/>
            </w:tcMar>
          </w:tcPr>
          <w:p w:rsidR="00267187" w:rsidRDefault="00267187">
            <w:pPr>
              <w:widowControl w:val="0"/>
              <w:rPr>
                <w:rFonts w:ascii="Arial Narrow" w:eastAsia="Arial Narrow" w:hAnsi="Arial Narrow" w:cs="Arial Narrow"/>
                <w:sz w:val="24"/>
                <w:szCs w:val="24"/>
              </w:rPr>
            </w:pPr>
          </w:p>
          <w:p w:rsidR="00267187" w:rsidRDefault="00267187">
            <w:pPr>
              <w:widowControl w:val="0"/>
              <w:rPr>
                <w:rFonts w:ascii="Arial Narrow" w:eastAsia="Arial Narrow" w:hAnsi="Arial Narrow" w:cs="Arial Narrow"/>
                <w:sz w:val="24"/>
                <w:szCs w:val="24"/>
              </w:rPr>
            </w:pPr>
          </w:p>
          <w:p w:rsidR="00267187" w:rsidRDefault="00267187">
            <w:pPr>
              <w:widowControl w:val="0"/>
              <w:rPr>
                <w:rFonts w:ascii="Arial Narrow" w:eastAsia="Arial Narrow" w:hAnsi="Arial Narrow" w:cs="Arial Narrow"/>
                <w:sz w:val="24"/>
                <w:szCs w:val="24"/>
              </w:rPr>
            </w:pPr>
          </w:p>
          <w:p w:rsidR="00267187" w:rsidRDefault="00267187">
            <w:pPr>
              <w:widowControl w:val="0"/>
              <w:rPr>
                <w:rFonts w:ascii="Arial Narrow" w:eastAsia="Arial Narrow" w:hAnsi="Arial Narrow" w:cs="Arial Narrow"/>
                <w:sz w:val="24"/>
                <w:szCs w:val="24"/>
              </w:rPr>
            </w:pPr>
          </w:p>
          <w:p w:rsidR="00267187" w:rsidRDefault="002B2E2D">
            <w:pPr>
              <w:widowControl w:val="0"/>
              <w:jc w:val="center"/>
              <w:rPr>
                <w:rFonts w:ascii="Arial Narrow" w:eastAsia="Arial Narrow" w:hAnsi="Arial Narrow" w:cs="Arial Narrow"/>
                <w:b/>
                <w:sz w:val="24"/>
                <w:szCs w:val="24"/>
              </w:rPr>
            </w:pPr>
            <w:r>
              <w:rPr>
                <w:rFonts w:ascii="Arial Narrow" w:eastAsia="Arial Narrow" w:hAnsi="Arial Narrow" w:cs="Arial Narrow"/>
                <w:b/>
                <w:sz w:val="24"/>
                <w:szCs w:val="24"/>
              </w:rPr>
              <w:t xml:space="preserve">ANA PAOLA GARCÍA SOTO </w:t>
            </w:r>
          </w:p>
          <w:p w:rsidR="00267187" w:rsidRDefault="002B2E2D">
            <w:pPr>
              <w:widowControl w:val="0"/>
              <w:jc w:val="center"/>
              <w:rPr>
                <w:rFonts w:ascii="Arial Narrow" w:eastAsia="Arial Narrow" w:hAnsi="Arial Narrow" w:cs="Arial Narrow"/>
                <w:sz w:val="24"/>
                <w:szCs w:val="24"/>
              </w:rPr>
            </w:pPr>
            <w:r>
              <w:rPr>
                <w:rFonts w:ascii="Arial Narrow" w:eastAsia="Arial Narrow" w:hAnsi="Arial Narrow" w:cs="Arial Narrow"/>
                <w:sz w:val="24"/>
                <w:szCs w:val="24"/>
              </w:rPr>
              <w:t>Representante a la Cámara por Córdoba</w:t>
            </w:r>
          </w:p>
          <w:p w:rsidR="00267187" w:rsidRDefault="002B2E2D">
            <w:pPr>
              <w:widowControl w:val="0"/>
              <w:jc w:val="center"/>
              <w:rPr>
                <w:rFonts w:ascii="Arial Narrow" w:eastAsia="Arial Narrow" w:hAnsi="Arial Narrow" w:cs="Arial Narrow"/>
                <w:sz w:val="24"/>
                <w:szCs w:val="24"/>
              </w:rPr>
            </w:pPr>
            <w:r>
              <w:rPr>
                <w:rFonts w:ascii="Arial Narrow" w:eastAsia="Arial Narrow" w:hAnsi="Arial Narrow" w:cs="Arial Narrow"/>
                <w:sz w:val="24"/>
                <w:szCs w:val="24"/>
              </w:rPr>
              <w:t>Partido de la U</w:t>
            </w:r>
          </w:p>
          <w:p w:rsidR="00267187" w:rsidRDefault="002B2E2D">
            <w:pPr>
              <w:widowControl w:val="0"/>
              <w:jc w:val="center"/>
              <w:rPr>
                <w:rFonts w:ascii="Arial Narrow" w:eastAsia="Arial Narrow" w:hAnsi="Arial Narrow" w:cs="Arial Narrow"/>
                <w:sz w:val="24"/>
                <w:szCs w:val="24"/>
              </w:rPr>
            </w:pPr>
            <w:r>
              <w:rPr>
                <w:rFonts w:ascii="Arial Narrow" w:eastAsia="Arial Narrow" w:hAnsi="Arial Narrow" w:cs="Arial Narrow"/>
                <w:sz w:val="24"/>
                <w:szCs w:val="24"/>
              </w:rPr>
              <w:t>Coordinadora Ponente</w:t>
            </w:r>
          </w:p>
        </w:tc>
      </w:tr>
      <w:tr w:rsidR="00267187">
        <w:tc>
          <w:tcPr>
            <w:tcW w:w="4419" w:type="dxa"/>
            <w:shd w:val="clear" w:color="auto" w:fill="auto"/>
            <w:tcMar>
              <w:top w:w="100" w:type="dxa"/>
              <w:left w:w="100" w:type="dxa"/>
              <w:bottom w:w="100" w:type="dxa"/>
              <w:right w:w="100" w:type="dxa"/>
            </w:tcMar>
          </w:tcPr>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B2E2D">
            <w:pPr>
              <w:jc w:val="center"/>
              <w:rPr>
                <w:rFonts w:ascii="Arial Narrow" w:eastAsia="Arial Narrow" w:hAnsi="Arial Narrow" w:cs="Arial Narrow"/>
                <w:sz w:val="24"/>
                <w:szCs w:val="24"/>
              </w:rPr>
            </w:pPr>
            <w:r>
              <w:rPr>
                <w:rFonts w:ascii="Arial Narrow" w:eastAsia="Arial Narrow" w:hAnsi="Arial Narrow" w:cs="Arial Narrow"/>
                <w:b/>
                <w:sz w:val="24"/>
                <w:szCs w:val="24"/>
              </w:rPr>
              <w:t>ÁLVARO LEONEL RUEDA CABALLERO</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Coordinador Ponente</w:t>
            </w:r>
          </w:p>
        </w:tc>
        <w:tc>
          <w:tcPr>
            <w:tcW w:w="4419" w:type="dxa"/>
            <w:shd w:val="clear" w:color="auto" w:fill="auto"/>
            <w:tcMar>
              <w:top w:w="100" w:type="dxa"/>
              <w:left w:w="100" w:type="dxa"/>
              <w:bottom w:w="100" w:type="dxa"/>
              <w:right w:w="100" w:type="dxa"/>
            </w:tcMar>
          </w:tcPr>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B2E2D">
            <w:pPr>
              <w:jc w:val="center"/>
              <w:rPr>
                <w:rFonts w:ascii="Arial Narrow" w:eastAsia="Arial Narrow" w:hAnsi="Arial Narrow" w:cs="Arial Narrow"/>
                <w:sz w:val="24"/>
                <w:szCs w:val="24"/>
              </w:rPr>
            </w:pPr>
            <w:r>
              <w:rPr>
                <w:rFonts w:ascii="Arial Narrow" w:eastAsia="Arial Narrow" w:hAnsi="Arial Narrow" w:cs="Arial Narrow"/>
                <w:b/>
                <w:sz w:val="24"/>
                <w:szCs w:val="24"/>
              </w:rPr>
              <w:t>JULIO CÉSAR TRIANA QUINTERO</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Coordinador Ponente</w:t>
            </w:r>
          </w:p>
        </w:tc>
      </w:tr>
      <w:tr w:rsidR="00267187">
        <w:tc>
          <w:tcPr>
            <w:tcW w:w="4419" w:type="dxa"/>
            <w:shd w:val="clear" w:color="auto" w:fill="auto"/>
            <w:tcMar>
              <w:top w:w="100" w:type="dxa"/>
              <w:left w:w="100" w:type="dxa"/>
              <w:bottom w:w="100" w:type="dxa"/>
              <w:right w:w="100" w:type="dxa"/>
            </w:tcMar>
          </w:tcPr>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B2E2D">
            <w:pPr>
              <w:ind w:left="-2"/>
              <w:jc w:val="center"/>
              <w:rPr>
                <w:rFonts w:ascii="Arial Narrow" w:eastAsia="Arial Narrow" w:hAnsi="Arial Narrow" w:cs="Arial Narrow"/>
                <w:sz w:val="24"/>
                <w:szCs w:val="24"/>
              </w:rPr>
            </w:pPr>
            <w:r>
              <w:rPr>
                <w:rFonts w:ascii="Arial Narrow" w:eastAsia="Arial Narrow" w:hAnsi="Arial Narrow" w:cs="Arial Narrow"/>
                <w:b/>
                <w:sz w:val="24"/>
                <w:szCs w:val="24"/>
              </w:rPr>
              <w:t>RUTH AMELIA CAYCEDO ROSERO</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Ponente</w:t>
            </w:r>
          </w:p>
        </w:tc>
        <w:tc>
          <w:tcPr>
            <w:tcW w:w="4419" w:type="dxa"/>
            <w:shd w:val="clear" w:color="auto" w:fill="auto"/>
            <w:tcMar>
              <w:top w:w="100" w:type="dxa"/>
              <w:left w:w="100" w:type="dxa"/>
              <w:bottom w:w="100" w:type="dxa"/>
              <w:right w:w="100" w:type="dxa"/>
            </w:tcMar>
          </w:tcPr>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67187">
            <w:pPr>
              <w:jc w:val="center"/>
              <w:rPr>
                <w:rFonts w:ascii="Arial Narrow" w:eastAsia="Arial Narrow" w:hAnsi="Arial Narrow" w:cs="Arial Narrow"/>
                <w:b/>
                <w:sz w:val="24"/>
                <w:szCs w:val="24"/>
              </w:rPr>
            </w:pPr>
          </w:p>
          <w:p w:rsidR="00267187" w:rsidRDefault="002B2E2D">
            <w:pPr>
              <w:jc w:val="center"/>
              <w:rPr>
                <w:rFonts w:ascii="Arial Narrow" w:eastAsia="Arial Narrow" w:hAnsi="Arial Narrow" w:cs="Arial Narrow"/>
                <w:sz w:val="24"/>
                <w:szCs w:val="24"/>
              </w:rPr>
            </w:pPr>
            <w:r>
              <w:rPr>
                <w:rFonts w:ascii="Arial Narrow" w:eastAsia="Arial Narrow" w:hAnsi="Arial Narrow" w:cs="Arial Narrow"/>
                <w:b/>
                <w:sz w:val="24"/>
                <w:szCs w:val="24"/>
              </w:rPr>
              <w:t>JOSE JAIME USCÁTEGUI PASTRANA</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Ponente</w:t>
            </w:r>
          </w:p>
        </w:tc>
      </w:tr>
      <w:tr w:rsidR="00267187">
        <w:tc>
          <w:tcPr>
            <w:tcW w:w="4419" w:type="dxa"/>
            <w:shd w:val="clear" w:color="auto" w:fill="auto"/>
            <w:tcMar>
              <w:top w:w="100" w:type="dxa"/>
              <w:left w:w="100" w:type="dxa"/>
              <w:bottom w:w="100" w:type="dxa"/>
              <w:right w:w="100" w:type="dxa"/>
            </w:tcMar>
          </w:tcPr>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B2E2D">
            <w:pPr>
              <w:ind w:left="-2"/>
              <w:jc w:val="center"/>
              <w:rPr>
                <w:rFonts w:ascii="Arial Narrow" w:eastAsia="Arial Narrow" w:hAnsi="Arial Narrow" w:cs="Arial Narrow"/>
                <w:sz w:val="24"/>
                <w:szCs w:val="24"/>
              </w:rPr>
            </w:pPr>
            <w:r>
              <w:rPr>
                <w:rFonts w:ascii="Arial Narrow" w:eastAsia="Arial Narrow" w:hAnsi="Arial Narrow" w:cs="Arial Narrow"/>
                <w:b/>
                <w:sz w:val="24"/>
                <w:szCs w:val="24"/>
              </w:rPr>
              <w:t>ORLANDO CASTILLO ADVÍNCULA</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Ponente</w:t>
            </w:r>
          </w:p>
        </w:tc>
        <w:tc>
          <w:tcPr>
            <w:tcW w:w="4419" w:type="dxa"/>
            <w:shd w:val="clear" w:color="auto" w:fill="auto"/>
            <w:tcMar>
              <w:top w:w="100" w:type="dxa"/>
              <w:left w:w="100" w:type="dxa"/>
              <w:bottom w:w="100" w:type="dxa"/>
              <w:right w:w="100" w:type="dxa"/>
            </w:tcMar>
          </w:tcPr>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267187" w:rsidRDefault="002B2E2D">
            <w:pPr>
              <w:ind w:left="-2"/>
              <w:jc w:val="center"/>
              <w:rPr>
                <w:rFonts w:ascii="Arial Narrow" w:eastAsia="Arial Narrow" w:hAnsi="Arial Narrow" w:cs="Arial Narrow"/>
                <w:sz w:val="24"/>
                <w:szCs w:val="24"/>
              </w:rPr>
            </w:pPr>
            <w:r>
              <w:rPr>
                <w:rFonts w:ascii="Arial Narrow" w:eastAsia="Arial Narrow" w:hAnsi="Arial Narrow" w:cs="Arial Narrow"/>
                <w:b/>
                <w:sz w:val="24"/>
                <w:szCs w:val="24"/>
              </w:rPr>
              <w:t>DUVALIER SÁNCHEZ ARANGO</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Ponente</w:t>
            </w:r>
          </w:p>
        </w:tc>
      </w:tr>
      <w:tr w:rsidR="00267187">
        <w:tc>
          <w:tcPr>
            <w:tcW w:w="4419" w:type="dxa"/>
            <w:shd w:val="clear" w:color="auto" w:fill="auto"/>
            <w:tcMar>
              <w:top w:w="100" w:type="dxa"/>
              <w:left w:w="100" w:type="dxa"/>
              <w:bottom w:w="100" w:type="dxa"/>
              <w:right w:w="100" w:type="dxa"/>
            </w:tcMar>
          </w:tcPr>
          <w:p w:rsidR="00267187" w:rsidRDefault="00267187">
            <w:pPr>
              <w:ind w:left="-2"/>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AA48EE" w:rsidRDefault="00AA48EE">
            <w:pPr>
              <w:ind w:left="-2"/>
              <w:jc w:val="center"/>
              <w:rPr>
                <w:rFonts w:ascii="Arial Narrow" w:eastAsia="Arial Narrow" w:hAnsi="Arial Narrow" w:cs="Arial Narrow"/>
                <w:b/>
                <w:sz w:val="24"/>
                <w:szCs w:val="24"/>
              </w:rPr>
            </w:pPr>
            <w:bookmarkStart w:id="1" w:name="_GoBack"/>
            <w:bookmarkEnd w:id="1"/>
          </w:p>
          <w:p w:rsidR="00267187" w:rsidRDefault="002B2E2D">
            <w:pPr>
              <w:ind w:left="-2"/>
              <w:jc w:val="center"/>
              <w:rPr>
                <w:rFonts w:ascii="Arial Narrow" w:eastAsia="Arial Narrow" w:hAnsi="Arial Narrow" w:cs="Arial Narrow"/>
                <w:sz w:val="24"/>
                <w:szCs w:val="24"/>
              </w:rPr>
            </w:pPr>
            <w:r>
              <w:rPr>
                <w:rFonts w:ascii="Arial Narrow" w:eastAsia="Arial Narrow" w:hAnsi="Arial Narrow" w:cs="Arial Narrow"/>
                <w:b/>
                <w:sz w:val="24"/>
                <w:szCs w:val="24"/>
              </w:rPr>
              <w:t>MARELEN CASTILLO TORRES</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Ponente</w:t>
            </w:r>
          </w:p>
        </w:tc>
        <w:tc>
          <w:tcPr>
            <w:tcW w:w="4419" w:type="dxa"/>
            <w:shd w:val="clear" w:color="auto" w:fill="auto"/>
            <w:tcMar>
              <w:top w:w="100" w:type="dxa"/>
              <w:left w:w="100" w:type="dxa"/>
              <w:bottom w:w="100" w:type="dxa"/>
              <w:right w:w="100" w:type="dxa"/>
            </w:tcMar>
          </w:tcPr>
          <w:p w:rsidR="00267187" w:rsidRDefault="00267187">
            <w:pPr>
              <w:ind w:left="-2"/>
              <w:rPr>
                <w:rFonts w:ascii="Arial Narrow" w:eastAsia="Arial Narrow" w:hAnsi="Arial Narrow" w:cs="Arial Narrow"/>
                <w:b/>
                <w:sz w:val="24"/>
                <w:szCs w:val="24"/>
              </w:rPr>
            </w:pPr>
          </w:p>
          <w:p w:rsidR="00267187" w:rsidRDefault="00267187">
            <w:pPr>
              <w:ind w:left="-2"/>
              <w:jc w:val="center"/>
              <w:rPr>
                <w:rFonts w:ascii="Arial Narrow" w:eastAsia="Arial Narrow" w:hAnsi="Arial Narrow" w:cs="Arial Narrow"/>
                <w:b/>
                <w:sz w:val="24"/>
                <w:szCs w:val="24"/>
              </w:rPr>
            </w:pPr>
          </w:p>
          <w:p w:rsidR="00AA48EE" w:rsidRDefault="00AA48EE">
            <w:pPr>
              <w:ind w:left="-2"/>
              <w:jc w:val="center"/>
              <w:rPr>
                <w:rFonts w:ascii="Arial Narrow" w:eastAsia="Arial Narrow" w:hAnsi="Arial Narrow" w:cs="Arial Narrow"/>
                <w:b/>
                <w:sz w:val="24"/>
                <w:szCs w:val="24"/>
              </w:rPr>
            </w:pPr>
          </w:p>
          <w:p w:rsidR="00267187" w:rsidRDefault="002B2E2D">
            <w:pPr>
              <w:ind w:left="-2"/>
              <w:jc w:val="center"/>
              <w:rPr>
                <w:rFonts w:ascii="Arial Narrow" w:eastAsia="Arial Narrow" w:hAnsi="Arial Narrow" w:cs="Arial Narrow"/>
                <w:sz w:val="24"/>
                <w:szCs w:val="24"/>
              </w:rPr>
            </w:pPr>
            <w:r>
              <w:rPr>
                <w:rFonts w:ascii="Arial Narrow" w:eastAsia="Arial Narrow" w:hAnsi="Arial Narrow" w:cs="Arial Narrow"/>
                <w:b/>
                <w:sz w:val="24"/>
                <w:szCs w:val="24"/>
              </w:rPr>
              <w:t>LUIS ALBERTO ALBÁN URBANO</w:t>
            </w:r>
            <w:r>
              <w:rPr>
                <w:rFonts w:ascii="Arial Narrow" w:eastAsia="Arial Narrow" w:hAnsi="Arial Narrow" w:cs="Arial Narrow"/>
                <w:b/>
                <w:sz w:val="24"/>
                <w:szCs w:val="24"/>
              </w:rPr>
              <w:br/>
              <w:t>Representante a la Cámara</w:t>
            </w:r>
            <w:r>
              <w:rPr>
                <w:rFonts w:ascii="Arial Narrow" w:eastAsia="Arial Narrow" w:hAnsi="Arial Narrow" w:cs="Arial Narrow"/>
                <w:b/>
                <w:sz w:val="24"/>
                <w:szCs w:val="24"/>
              </w:rPr>
              <w:br/>
            </w:r>
            <w:r>
              <w:rPr>
                <w:rFonts w:ascii="Arial Narrow" w:eastAsia="Arial Narrow" w:hAnsi="Arial Narrow" w:cs="Arial Narrow"/>
                <w:sz w:val="24"/>
                <w:szCs w:val="24"/>
              </w:rPr>
              <w:t>Ponente</w:t>
            </w:r>
          </w:p>
        </w:tc>
      </w:tr>
    </w:tbl>
    <w:p w:rsidR="00267187" w:rsidRDefault="00267187">
      <w:pPr>
        <w:spacing w:after="0"/>
        <w:rPr>
          <w:rFonts w:ascii="Arial Narrow" w:eastAsia="Arial Narrow" w:hAnsi="Arial Narrow" w:cs="Arial Narrow"/>
          <w:b/>
          <w:sz w:val="24"/>
          <w:szCs w:val="24"/>
        </w:rPr>
      </w:pPr>
    </w:p>
    <w:sectPr w:rsidR="00267187">
      <w:headerReference w:type="default" r:id="rId8"/>
      <w:footerReference w:type="default" r:id="rId9"/>
      <w:pgSz w:w="12240" w:h="15840"/>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E2D" w:rsidRDefault="002B2E2D">
      <w:pPr>
        <w:spacing w:after="0" w:line="240" w:lineRule="auto"/>
      </w:pPr>
      <w:r>
        <w:separator/>
      </w:r>
    </w:p>
  </w:endnote>
  <w:endnote w:type="continuationSeparator" w:id="0">
    <w:p w:rsidR="002B2E2D" w:rsidRDefault="002B2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87" w:rsidRDefault="002B2E2D">
    <w:pPr>
      <w:pBdr>
        <w:top w:val="nil"/>
        <w:left w:val="nil"/>
        <w:bottom w:val="nil"/>
        <w:right w:val="nil"/>
        <w:between w:val="nil"/>
      </w:pBdr>
      <w:tabs>
        <w:tab w:val="center" w:pos="4419"/>
        <w:tab w:val="right" w:pos="8838"/>
      </w:tabs>
      <w:spacing w:after="0" w:line="240" w:lineRule="auto"/>
      <w:rPr>
        <w:color w:val="000000"/>
      </w:rPr>
    </w:pPr>
    <w:r>
      <w:rPr>
        <w:rFonts w:ascii="Times New Roman" w:eastAsia="Times New Roman" w:hAnsi="Times New Roman" w:cs="Times New Roman"/>
        <w:color w:val="000000"/>
        <w:sz w:val="2"/>
        <w:szCs w:val="2"/>
        <w:highlight w:val="black"/>
      </w:rPr>
      <w:t xml:space="preserve"> </w:t>
    </w:r>
  </w:p>
  <w:p w:rsidR="00267187" w:rsidRDefault="0026718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E2D" w:rsidRDefault="002B2E2D">
      <w:pPr>
        <w:spacing w:after="0" w:line="240" w:lineRule="auto"/>
      </w:pPr>
      <w:r>
        <w:separator/>
      </w:r>
    </w:p>
  </w:footnote>
  <w:footnote w:type="continuationSeparator" w:id="0">
    <w:p w:rsidR="002B2E2D" w:rsidRDefault="002B2E2D">
      <w:pPr>
        <w:spacing w:after="0" w:line="240" w:lineRule="auto"/>
      </w:pPr>
      <w:r>
        <w:continuationSeparator/>
      </w:r>
    </w:p>
  </w:footnote>
  <w:footnote w:id="1">
    <w:p w:rsidR="00267187" w:rsidRDefault="002B2E2D">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Artículo 25 (como parte del derecho a un nivel de vida adecuado) de la Declaración Universal de los Derechos Humanos de</w:t>
      </w:r>
      <w:r>
        <w:rPr>
          <w:rFonts w:ascii="Arial" w:eastAsia="Arial" w:hAnsi="Arial" w:cs="Arial"/>
          <w:color w:val="000000"/>
          <w:sz w:val="20"/>
          <w:szCs w:val="20"/>
        </w:rPr>
        <w:t xml:space="preserve"> 1948 adoptada por la Asamblea General de las Naciones Unidas en Resolución 217 A (III) de fecha 10 de diciembre de 1948, la cual es considerada como Fuente de Derecho Internacional de conformidad con el artículo 38 del Estatuto de la Corte Internacional d</w:t>
      </w:r>
      <w:r>
        <w:rPr>
          <w:rFonts w:ascii="Arial" w:eastAsia="Arial" w:hAnsi="Arial" w:cs="Arial"/>
          <w:color w:val="000000"/>
          <w:sz w:val="20"/>
          <w:szCs w:val="20"/>
        </w:rPr>
        <w:t>e Justicia, en tanto cumple con los requisitos para ser considerada Costumbre Internacional; Artículos 11 (derecho a un nivel de vida adecuado) y 12 (derecho de toda persona a estar protegida contra el hambre) del Pacto Internacional de Derechos Económicos</w:t>
      </w:r>
      <w:r>
        <w:rPr>
          <w:rFonts w:ascii="Arial" w:eastAsia="Arial" w:hAnsi="Arial" w:cs="Arial"/>
          <w:color w:val="000000"/>
          <w:sz w:val="20"/>
          <w:szCs w:val="20"/>
        </w:rPr>
        <w:t xml:space="preserve"> de 1966, Sociales y Culturales; y el Artículo 12 (derecho a la alimentación) del Protocolo Adicional a la Convención Americana sobre Derechos Humanos en Materia de Derechos Económicos Sociales y Culturales “Protocolo de San Salvador” de 1988. Así mismo, e</w:t>
      </w:r>
      <w:r>
        <w:rPr>
          <w:rFonts w:ascii="Arial" w:eastAsia="Arial" w:hAnsi="Arial" w:cs="Arial"/>
          <w:color w:val="000000"/>
          <w:sz w:val="20"/>
          <w:szCs w:val="20"/>
        </w:rPr>
        <w:t>s menester resaltar que el doctrinante MARCO GERARDO MONROY CABRA ha señalado que en general “</w:t>
      </w:r>
      <w:r>
        <w:rPr>
          <w:rFonts w:ascii="Arial" w:eastAsia="Arial" w:hAnsi="Arial" w:cs="Arial"/>
          <w:i/>
          <w:color w:val="000000"/>
          <w:sz w:val="20"/>
          <w:szCs w:val="20"/>
        </w:rPr>
        <w:t>las normas que regulan el respeto a los derechos humanos son de ius cogens, de orden público y por tanto, imperativas y obligatorias para la comunidad internacion</w:t>
      </w:r>
      <w:r>
        <w:rPr>
          <w:rFonts w:ascii="Arial" w:eastAsia="Arial" w:hAnsi="Arial" w:cs="Arial"/>
          <w:i/>
          <w:color w:val="000000"/>
          <w:sz w:val="20"/>
          <w:szCs w:val="20"/>
        </w:rPr>
        <w:t>al</w:t>
      </w:r>
      <w:r>
        <w:rPr>
          <w:rFonts w:ascii="Arial" w:eastAsia="Arial" w:hAnsi="Arial" w:cs="Arial"/>
          <w:color w:val="000000"/>
          <w:sz w:val="20"/>
          <w:szCs w:val="20"/>
        </w:rPr>
        <w:t xml:space="preserve">” En: MARCO GERARDO MONROY CABRA, </w:t>
      </w:r>
      <w:r>
        <w:rPr>
          <w:rFonts w:ascii="Arial" w:eastAsia="Arial" w:hAnsi="Arial" w:cs="Arial"/>
          <w:i/>
          <w:color w:val="000000"/>
          <w:sz w:val="20"/>
          <w:szCs w:val="20"/>
        </w:rPr>
        <w:t>Derecho Internacional Público</w:t>
      </w:r>
      <w:r>
        <w:rPr>
          <w:rFonts w:ascii="Arial" w:eastAsia="Arial" w:hAnsi="Arial" w:cs="Arial"/>
          <w:color w:val="000000"/>
          <w:sz w:val="20"/>
          <w:szCs w:val="20"/>
        </w:rPr>
        <w:t>, Bogotá, Editorial Temis, 2011. Pág. 660-661, por lo que el presente proyecto de Ley apunta a dar cumplimiento a obligaciones imperativas de carácter internacional que el Estado colombiano h</w:t>
      </w:r>
      <w:r>
        <w:rPr>
          <w:rFonts w:ascii="Arial" w:eastAsia="Arial" w:hAnsi="Arial" w:cs="Arial"/>
          <w:color w:val="000000"/>
          <w:sz w:val="20"/>
          <w:szCs w:val="20"/>
        </w:rPr>
        <w:t>a contraído en virtud de su pertenencia a la Comunidad Internacional y debido a la suscripción de sendos Tratados sobre Derechos Humanos que le son vinculantes.</w:t>
      </w:r>
    </w:p>
  </w:footnote>
  <w:footnote w:id="2">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FAO. </w:t>
      </w:r>
      <w:r>
        <w:rPr>
          <w:rFonts w:ascii="Arial" w:eastAsia="Arial" w:hAnsi="Arial" w:cs="Arial"/>
          <w:i/>
          <w:color w:val="000000"/>
          <w:sz w:val="16"/>
          <w:szCs w:val="16"/>
        </w:rPr>
        <w:t>Informe del Estado Mundial de la Seguridad Alimentaria y la Nutrición</w:t>
      </w:r>
      <w:r>
        <w:rPr>
          <w:rFonts w:ascii="Arial" w:eastAsia="Arial" w:hAnsi="Arial" w:cs="Arial"/>
          <w:color w:val="000000"/>
          <w:sz w:val="16"/>
          <w:szCs w:val="16"/>
        </w:rPr>
        <w:t xml:space="preserve"> (2018)</w:t>
      </w:r>
    </w:p>
  </w:footnote>
  <w:footnote w:id="3">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Oficina del Alto Comisionado para los Derechos Humanos. (2014). </w:t>
      </w:r>
      <w:r>
        <w:rPr>
          <w:rFonts w:ascii="Arial" w:eastAsia="Arial" w:hAnsi="Arial" w:cs="Arial"/>
          <w:i/>
          <w:color w:val="000000"/>
          <w:sz w:val="16"/>
          <w:szCs w:val="16"/>
        </w:rPr>
        <w:t>Sus Derechos Humanos</w:t>
      </w:r>
      <w:r>
        <w:rPr>
          <w:rFonts w:ascii="Arial" w:eastAsia="Arial" w:hAnsi="Arial" w:cs="Arial"/>
          <w:color w:val="000000"/>
          <w:sz w:val="16"/>
          <w:szCs w:val="16"/>
        </w:rPr>
        <w:t>. Recuperado el 7 de octubre de 2014 desde Naciones Unidas - Derechos Humanos - Oficina del Alto Comisionado para los Derechos Humanos:  http://www.ohchr.org/SP/Issues/Pag</w:t>
      </w:r>
      <w:r>
        <w:rPr>
          <w:rFonts w:ascii="Arial" w:eastAsia="Arial" w:hAnsi="Arial" w:cs="Arial"/>
          <w:color w:val="000000"/>
          <w:sz w:val="16"/>
          <w:szCs w:val="16"/>
        </w:rPr>
        <w:t>es/WhatareHumanRights.aspx</w:t>
      </w:r>
    </w:p>
  </w:footnote>
  <w:footnote w:id="4">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Así lo dispone el Artículo 1 de la Declaración Universal de los Derechos Humanos que establece que </w:t>
      </w:r>
      <w:r>
        <w:rPr>
          <w:rFonts w:ascii="Arial" w:eastAsia="Arial" w:hAnsi="Arial" w:cs="Arial"/>
          <w:i/>
          <w:color w:val="000000"/>
          <w:sz w:val="16"/>
          <w:szCs w:val="16"/>
        </w:rPr>
        <w:t>“todos los seres humanos nacen libres e iguales en dignidad y derechos”</w:t>
      </w:r>
    </w:p>
  </w:footnote>
  <w:footnote w:id="5">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El principio de universalidad constituye la piedra angular del Derecho Internacional de los Derechos Humanos. Como ejemplo de éste es preciso acudir a las disposiciones de la Declaración Mundial de Derechos Humanos y el Programa de Acción de Viena de 1993</w:t>
      </w:r>
      <w:r>
        <w:rPr>
          <w:rFonts w:ascii="Arial" w:eastAsia="Arial" w:hAnsi="Arial" w:cs="Arial"/>
          <w:color w:val="000000"/>
          <w:sz w:val="16"/>
          <w:szCs w:val="16"/>
        </w:rPr>
        <w:t>,  aprobados por la Conferencia Mundial de Derechos Humanos. Allí se establece que todos los Estados se encuentran en el deber de proteger los Derechos Humanos y las libertades individuales, lo anterior con independencia a los contextos políticos, económic</w:t>
      </w:r>
      <w:r>
        <w:rPr>
          <w:rFonts w:ascii="Arial" w:eastAsia="Arial" w:hAnsi="Arial" w:cs="Arial"/>
          <w:color w:val="000000"/>
          <w:sz w:val="16"/>
          <w:szCs w:val="16"/>
        </w:rPr>
        <w:t>os, culturales o económicos.</w:t>
      </w:r>
    </w:p>
  </w:footnote>
  <w:footnote w:id="6">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La Oficina del Alto Comisionado para los Derechos Humanos define el criterio de inalienabilidad en el sentido de que “</w:t>
      </w:r>
      <w:r>
        <w:rPr>
          <w:rFonts w:ascii="Arial" w:eastAsia="Arial" w:hAnsi="Arial" w:cs="Arial"/>
          <w:i/>
          <w:color w:val="000000"/>
          <w:sz w:val="16"/>
          <w:szCs w:val="16"/>
        </w:rPr>
        <w:t>Los derechos humanos son inalienables. No deben suprimirse, salvo en determinadas situaciones y según las d</w:t>
      </w:r>
      <w:r>
        <w:rPr>
          <w:rFonts w:ascii="Arial" w:eastAsia="Arial" w:hAnsi="Arial" w:cs="Arial"/>
          <w:i/>
          <w:color w:val="000000"/>
          <w:sz w:val="16"/>
          <w:szCs w:val="16"/>
        </w:rPr>
        <w:t>ebidas garantías procesales</w:t>
      </w:r>
      <w:r>
        <w:rPr>
          <w:rFonts w:ascii="Arial" w:eastAsia="Arial" w:hAnsi="Arial" w:cs="Arial"/>
          <w:color w:val="000000"/>
          <w:sz w:val="16"/>
          <w:szCs w:val="16"/>
        </w:rPr>
        <w:t xml:space="preserve">.” En: Oficina del Alto Comisionado para los Derechos Humanos. (2014). </w:t>
      </w:r>
      <w:r>
        <w:rPr>
          <w:rFonts w:ascii="Arial" w:eastAsia="Arial" w:hAnsi="Arial" w:cs="Arial"/>
          <w:i/>
          <w:color w:val="000000"/>
          <w:sz w:val="16"/>
          <w:szCs w:val="16"/>
        </w:rPr>
        <w:t>Sus Derechos Humanos</w:t>
      </w:r>
      <w:r>
        <w:rPr>
          <w:rFonts w:ascii="Arial" w:eastAsia="Arial" w:hAnsi="Arial" w:cs="Arial"/>
          <w:color w:val="000000"/>
          <w:sz w:val="16"/>
          <w:szCs w:val="16"/>
        </w:rPr>
        <w:t>. Recuperado el 7 de octubre de 2014, de Naciones Unidas - Derechos Humanos - Oficina del Alto Comisionado para los Derechos Humanos: http</w:t>
      </w:r>
      <w:r>
        <w:rPr>
          <w:rFonts w:ascii="Arial" w:eastAsia="Arial" w:hAnsi="Arial" w:cs="Arial"/>
          <w:color w:val="000000"/>
          <w:sz w:val="16"/>
          <w:szCs w:val="16"/>
        </w:rPr>
        <w:t>://www.ohchr.org/SP/Issues/Pages/WhatareHumanRights.aspx</w:t>
      </w:r>
    </w:p>
  </w:footnote>
  <w:footnote w:id="7">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 lo referente a la interrelación, interdependencia e indivisibilidad, la Oficina del Alto Comisionado para los Derechos Humanos define dichos criterios en el sentido de que  </w:t>
      </w:r>
      <w:r>
        <w:rPr>
          <w:rFonts w:ascii="Arial" w:eastAsia="Arial" w:hAnsi="Arial" w:cs="Arial"/>
          <w:i/>
          <w:color w:val="000000"/>
          <w:sz w:val="16"/>
          <w:szCs w:val="16"/>
        </w:rPr>
        <w:t>“Todos los derechos h</w:t>
      </w:r>
      <w:r>
        <w:rPr>
          <w:rFonts w:ascii="Arial" w:eastAsia="Arial" w:hAnsi="Arial" w:cs="Arial"/>
          <w:i/>
          <w:color w:val="000000"/>
          <w:sz w:val="16"/>
          <w:szCs w:val="16"/>
        </w:rPr>
        <w:t>umanos, sean éstos los derechos civiles y políticos (…); los derechos económicos, sociales y culturales (…); o los derechos colectivos, todos son derechos indivisibles, interrelacionados e interdependientes. El avance de uno facilita el avance de los demás</w:t>
      </w:r>
      <w:r>
        <w:rPr>
          <w:rFonts w:ascii="Arial" w:eastAsia="Arial" w:hAnsi="Arial" w:cs="Arial"/>
          <w:i/>
          <w:color w:val="000000"/>
          <w:sz w:val="16"/>
          <w:szCs w:val="16"/>
        </w:rPr>
        <w:t>. De la misma manera, la privación de un derecho afecta negativamente a los demás.” </w:t>
      </w:r>
      <w:r>
        <w:rPr>
          <w:rFonts w:ascii="Arial" w:eastAsia="Arial" w:hAnsi="Arial" w:cs="Arial"/>
          <w:color w:val="000000"/>
          <w:sz w:val="16"/>
          <w:szCs w:val="16"/>
        </w:rPr>
        <w:t xml:space="preserve">Al respecto ver la Declaración y Programa de Acción de Viena aprobado por la Conferencia Mundial de Derechos Humanos celebrada en 1993. A/CONF.127/23. Pár. 5; Ver también: </w:t>
      </w:r>
      <w:r>
        <w:rPr>
          <w:rFonts w:ascii="Arial" w:eastAsia="Arial" w:hAnsi="Arial" w:cs="Arial"/>
          <w:color w:val="000000"/>
          <w:sz w:val="16"/>
          <w:szCs w:val="16"/>
        </w:rPr>
        <w:t xml:space="preserve">Corte Constitucional, Sentencia C-251 de 1997. Magistrado Ponente: Alejandro Martínez Caballero. Pár. 5 </w:t>
      </w:r>
    </w:p>
  </w:footnote>
  <w:footnote w:id="8">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 ASBJØRN EIDE et al. (Eds.), </w:t>
      </w:r>
      <w:r>
        <w:rPr>
          <w:rFonts w:ascii="Arial" w:eastAsia="Arial" w:hAnsi="Arial" w:cs="Arial"/>
          <w:i/>
          <w:color w:val="000000"/>
          <w:sz w:val="16"/>
          <w:szCs w:val="16"/>
        </w:rPr>
        <w:t>Economic, Social and Cultural Rights</w:t>
      </w:r>
      <w:r>
        <w:rPr>
          <w:rFonts w:ascii="Arial" w:eastAsia="Arial" w:hAnsi="Arial" w:cs="Arial"/>
          <w:color w:val="000000"/>
          <w:sz w:val="16"/>
          <w:szCs w:val="16"/>
        </w:rPr>
        <w:t>, 2ª Edición, La Haya, Kluwer Law International, 2011. Pág. 9</w:t>
      </w:r>
    </w:p>
  </w:footnote>
  <w:footnote w:id="9">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Dentro de los cua</w:t>
      </w:r>
      <w:r>
        <w:rPr>
          <w:rFonts w:ascii="Arial" w:eastAsia="Arial" w:hAnsi="Arial" w:cs="Arial"/>
          <w:color w:val="000000"/>
          <w:sz w:val="16"/>
          <w:szCs w:val="16"/>
        </w:rPr>
        <w:t>les se encuentran el derecho al medio ambiente, al desarrollo, a la paz, a la autodeterminación de los pueblos y al patrimonio común de la humanidad. Los mismos se encuentran orientados, en cierta forma, a la protección de aquellos intereses que resultan f</w:t>
      </w:r>
      <w:r>
        <w:rPr>
          <w:rFonts w:ascii="Arial" w:eastAsia="Arial" w:hAnsi="Arial" w:cs="Arial"/>
          <w:color w:val="000000"/>
          <w:sz w:val="16"/>
          <w:szCs w:val="16"/>
        </w:rPr>
        <w:t xml:space="preserve">undamentales para la humanidad como un todo. En:  MARÍA EUGENIA RODRÍGUEZ PALOP, </w:t>
      </w:r>
      <w:r>
        <w:rPr>
          <w:rFonts w:ascii="Arial" w:eastAsia="Arial" w:hAnsi="Arial" w:cs="Arial"/>
          <w:i/>
          <w:color w:val="000000"/>
          <w:sz w:val="16"/>
          <w:szCs w:val="16"/>
        </w:rPr>
        <w:t>La nueva generación de Derechos Humanos. Origen y Justificación.</w:t>
      </w:r>
      <w:r>
        <w:rPr>
          <w:rFonts w:ascii="Arial" w:eastAsia="Arial" w:hAnsi="Arial" w:cs="Arial"/>
          <w:color w:val="000000"/>
          <w:sz w:val="16"/>
          <w:szCs w:val="16"/>
        </w:rPr>
        <w:t xml:space="preserve"> Madrid. Instituto de Derechos Humanos “Bartolomé de las Casas” Universidad Carlos III de Madrid. Editorial Dyk</w:t>
      </w:r>
      <w:r>
        <w:rPr>
          <w:rFonts w:ascii="Arial" w:eastAsia="Arial" w:hAnsi="Arial" w:cs="Arial"/>
          <w:color w:val="000000"/>
          <w:sz w:val="16"/>
          <w:szCs w:val="16"/>
        </w:rPr>
        <w:t>inson, 2010.</w:t>
      </w:r>
    </w:p>
  </w:footnote>
  <w:footnote w:id="10">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Al respecto, la Corte Constitucional ha establecido que: “</w:t>
      </w:r>
      <w:r>
        <w:rPr>
          <w:rFonts w:ascii="Arial" w:eastAsia="Arial" w:hAnsi="Arial" w:cs="Arial"/>
          <w:i/>
          <w:color w:val="000000"/>
          <w:sz w:val="16"/>
          <w:szCs w:val="16"/>
        </w:rPr>
        <w:t>Los derechos humanos forman una unidad, pues son interdependientes, integrales y universales, de suerte que no es admisible que se desconozcan unos derechos so pretexto de salvaguarda</w:t>
      </w:r>
      <w:r>
        <w:rPr>
          <w:rFonts w:ascii="Arial" w:eastAsia="Arial" w:hAnsi="Arial" w:cs="Arial"/>
          <w:i/>
          <w:color w:val="000000"/>
          <w:sz w:val="16"/>
          <w:szCs w:val="16"/>
        </w:rPr>
        <w:t>r otros. Esta interdependencia y unidad de los derechos humanos tiene como fundamento la idea de que para proteger verdaderamente la dignidad humana es necesario que la persona no sólo tenga órbitas de acción que se encuentren libres de interferencia ajena</w:t>
      </w:r>
      <w:r>
        <w:rPr>
          <w:rFonts w:ascii="Arial" w:eastAsia="Arial" w:hAnsi="Arial" w:cs="Arial"/>
          <w:i/>
          <w:color w:val="000000"/>
          <w:sz w:val="16"/>
          <w:szCs w:val="16"/>
        </w:rPr>
        <w:t>, como lo quería la filosofía liberal, sino que además es menester que el individuo tenga posibilidades de participación en los destinos colectivos de la sociedad de la cual hace parte, conforme a las aspiraciones de la filosofía democrática, y también que</w:t>
      </w:r>
      <w:r>
        <w:rPr>
          <w:rFonts w:ascii="Arial" w:eastAsia="Arial" w:hAnsi="Arial" w:cs="Arial"/>
          <w:i/>
          <w:color w:val="000000"/>
          <w:sz w:val="16"/>
          <w:szCs w:val="16"/>
        </w:rPr>
        <w:t xml:space="preserve"> se le aseguren una mínimas condiciones materiales de existencia, según los postulados de las filosofías políticas de orientación social. Los derechos humanos son pues una unidad compleja. Por ello algunos sectores de la doctrina suelen clasificar los dere</w:t>
      </w:r>
      <w:r>
        <w:rPr>
          <w:rFonts w:ascii="Arial" w:eastAsia="Arial" w:hAnsi="Arial" w:cs="Arial"/>
          <w:i/>
          <w:color w:val="000000"/>
          <w:sz w:val="16"/>
          <w:szCs w:val="16"/>
        </w:rPr>
        <w:t>chos humanos en derechos de libertad, provenientes de la tradición liberal, derechos de participación, que son desarrollo de la filosofía democrática, y derechos sociales prestacionales, que corresponden a la influencia de las corrientes de orientación soc</w:t>
      </w:r>
      <w:r>
        <w:rPr>
          <w:rFonts w:ascii="Arial" w:eastAsia="Arial" w:hAnsi="Arial" w:cs="Arial"/>
          <w:i/>
          <w:color w:val="000000"/>
          <w:sz w:val="16"/>
          <w:szCs w:val="16"/>
        </w:rPr>
        <w:t>ial y socialista.</w:t>
      </w:r>
      <w:r>
        <w:rPr>
          <w:rFonts w:ascii="Arial" w:eastAsia="Arial" w:hAnsi="Arial" w:cs="Arial"/>
          <w:color w:val="000000"/>
          <w:sz w:val="16"/>
          <w:szCs w:val="16"/>
        </w:rPr>
        <w:t>” Corte Constitucional, Sentencia C-251 de 1997. Magistrado Ponente: Alejandro Martínez Caballero</w:t>
      </w:r>
    </w:p>
  </w:footnote>
  <w:footnote w:id="11">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Al respecto, la Corte Constitucional ha dispuesto que: “</w:t>
      </w:r>
      <w:r>
        <w:rPr>
          <w:rFonts w:ascii="Arial" w:eastAsia="Arial" w:hAnsi="Arial" w:cs="Arial"/>
          <w:i/>
          <w:color w:val="000000"/>
          <w:sz w:val="16"/>
          <w:szCs w:val="16"/>
        </w:rPr>
        <w:t xml:space="preserve">La Constitución acoge la fórmula del Estado social de derecho, la cual implica que </w:t>
      </w:r>
      <w:r>
        <w:rPr>
          <w:rFonts w:ascii="Arial" w:eastAsia="Arial" w:hAnsi="Arial" w:cs="Arial"/>
          <w:i/>
          <w:color w:val="000000"/>
          <w:sz w:val="16"/>
          <w:szCs w:val="16"/>
        </w:rPr>
        <w:t>las autoridades buscan no sólo garantizar a la persona esferas libres de interferencia ajena, sino que es su deber también asegurarles condiciones materiales mínimas de existencia, por lo cual el Estado debe realizar progresivamente los llamados derechos e</w:t>
      </w:r>
      <w:r>
        <w:rPr>
          <w:rFonts w:ascii="Arial" w:eastAsia="Arial" w:hAnsi="Arial" w:cs="Arial"/>
          <w:i/>
          <w:color w:val="000000"/>
          <w:sz w:val="16"/>
          <w:szCs w:val="16"/>
        </w:rPr>
        <w:t xml:space="preserve">conómicos, sociales y culturales. El Estado tiene frente a los particulares no sólo deberes de abstención sino que debe igualmente realizar prestaciones positivas, sobre todo en materia social, a fin de asegurar las condiciones materiales mínimas, sin las </w:t>
      </w:r>
      <w:r>
        <w:rPr>
          <w:rFonts w:ascii="Arial" w:eastAsia="Arial" w:hAnsi="Arial" w:cs="Arial"/>
          <w:i/>
          <w:color w:val="000000"/>
          <w:sz w:val="16"/>
          <w:szCs w:val="16"/>
        </w:rPr>
        <w:t xml:space="preserve">cuales no es posible vivir una vida digna. Existe entonces una íntima relación entre la consagración del Estado social de derecho, el reconocimiento de la dignidad humana, y la incorporación de los llamados derechos de segunda generación.” </w:t>
      </w:r>
      <w:r>
        <w:rPr>
          <w:rFonts w:ascii="Arial" w:eastAsia="Arial" w:hAnsi="Arial" w:cs="Arial"/>
          <w:color w:val="000000"/>
          <w:sz w:val="16"/>
          <w:szCs w:val="16"/>
        </w:rPr>
        <w:t>Corte Constituci</w:t>
      </w:r>
      <w:r>
        <w:rPr>
          <w:rFonts w:ascii="Arial" w:eastAsia="Arial" w:hAnsi="Arial" w:cs="Arial"/>
          <w:color w:val="000000"/>
          <w:sz w:val="16"/>
          <w:szCs w:val="16"/>
        </w:rPr>
        <w:t>onal, Sentencia C-251 de 1997. Magistrado Ponente: Alejandro Martínez Caballero</w:t>
      </w:r>
    </w:p>
  </w:footnote>
  <w:footnote w:id="12">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WENCHE BARTH EIDE y UWE KRACHT. </w:t>
      </w:r>
      <w:r>
        <w:rPr>
          <w:rFonts w:ascii="Arial" w:eastAsia="Arial" w:hAnsi="Arial" w:cs="Arial"/>
          <w:i/>
          <w:color w:val="000000"/>
          <w:sz w:val="16"/>
          <w:szCs w:val="16"/>
        </w:rPr>
        <w:t>Chapter 4: The Right to adequate food in Human Rights Instruments; Legal Norms and Interpretations</w:t>
      </w:r>
      <w:r>
        <w:rPr>
          <w:rFonts w:ascii="Arial" w:eastAsia="Arial" w:hAnsi="Arial" w:cs="Arial"/>
          <w:color w:val="000000"/>
          <w:sz w:val="16"/>
          <w:szCs w:val="16"/>
        </w:rPr>
        <w:t xml:space="preserve">.  En: WENCHE BARTH EIDE y UWE KRACHT, </w:t>
      </w:r>
      <w:r>
        <w:rPr>
          <w:rFonts w:ascii="Arial" w:eastAsia="Arial" w:hAnsi="Arial" w:cs="Arial"/>
          <w:i/>
          <w:color w:val="000000"/>
          <w:sz w:val="16"/>
          <w:szCs w:val="16"/>
        </w:rPr>
        <w:t xml:space="preserve">Food </w:t>
      </w:r>
      <w:r>
        <w:rPr>
          <w:rFonts w:ascii="Arial" w:eastAsia="Arial" w:hAnsi="Arial" w:cs="Arial"/>
          <w:i/>
          <w:color w:val="000000"/>
          <w:sz w:val="16"/>
          <w:szCs w:val="16"/>
        </w:rPr>
        <w:t xml:space="preserve">and Human Rights in Development Volume I, Legal and Institutional Dimensions and Selected Topics., </w:t>
      </w:r>
      <w:r>
        <w:rPr>
          <w:rFonts w:ascii="Arial" w:eastAsia="Arial" w:hAnsi="Arial" w:cs="Arial"/>
          <w:color w:val="000000"/>
          <w:sz w:val="16"/>
          <w:szCs w:val="16"/>
        </w:rPr>
        <w:t>Editorial Intersentia, Amberes/Oxford, 2005. Pág. 100</w:t>
      </w:r>
    </w:p>
  </w:footnote>
  <w:footnote w:id="13">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 lo referente a la obligación de respeto, </w:t>
      </w:r>
      <w:r>
        <w:rPr>
          <w:rFonts w:ascii="Arial" w:eastAsia="Arial" w:hAnsi="Arial" w:cs="Arial"/>
          <w:i/>
          <w:color w:val="000000"/>
          <w:sz w:val="16"/>
          <w:szCs w:val="16"/>
        </w:rPr>
        <w:t>“(…) significa que los Estados deben abstenerse de interf</w:t>
      </w:r>
      <w:r>
        <w:rPr>
          <w:rFonts w:ascii="Arial" w:eastAsia="Arial" w:hAnsi="Arial" w:cs="Arial"/>
          <w:i/>
          <w:color w:val="000000"/>
          <w:sz w:val="16"/>
          <w:szCs w:val="16"/>
        </w:rPr>
        <w:t>erir en el disfrute de los derechos humanos, o de limitarlos”</w:t>
      </w:r>
      <w:r>
        <w:rPr>
          <w:rFonts w:ascii="Arial" w:eastAsia="Arial" w:hAnsi="Arial" w:cs="Arial"/>
          <w:color w:val="000000"/>
          <w:sz w:val="16"/>
          <w:szCs w:val="16"/>
        </w:rPr>
        <w:t>. En: La Oficina del Alto Comisionado para los Derechos Humanos define el criterio de inalienabilidad en el sentido de que “</w:t>
      </w:r>
      <w:r>
        <w:rPr>
          <w:rFonts w:ascii="Arial" w:eastAsia="Arial" w:hAnsi="Arial" w:cs="Arial"/>
          <w:i/>
          <w:color w:val="000000"/>
          <w:sz w:val="16"/>
          <w:szCs w:val="16"/>
        </w:rPr>
        <w:t>Los derechos humanos son inalienables. No deben suprimirse, salvo en de</w:t>
      </w:r>
      <w:r>
        <w:rPr>
          <w:rFonts w:ascii="Arial" w:eastAsia="Arial" w:hAnsi="Arial" w:cs="Arial"/>
          <w:i/>
          <w:color w:val="000000"/>
          <w:sz w:val="16"/>
          <w:szCs w:val="16"/>
        </w:rPr>
        <w:t>terminadas situaciones y según las debidas garantías procesales</w:t>
      </w:r>
      <w:r>
        <w:rPr>
          <w:rFonts w:ascii="Arial" w:eastAsia="Arial" w:hAnsi="Arial" w:cs="Arial"/>
          <w:color w:val="000000"/>
          <w:sz w:val="16"/>
          <w:szCs w:val="16"/>
        </w:rPr>
        <w:t xml:space="preserve">.” En: Oficina del Alto Comisionado para los Derechos Humanos. (2014). </w:t>
      </w:r>
      <w:r>
        <w:rPr>
          <w:rFonts w:ascii="Arial" w:eastAsia="Arial" w:hAnsi="Arial" w:cs="Arial"/>
          <w:i/>
          <w:color w:val="000000"/>
          <w:sz w:val="16"/>
          <w:szCs w:val="16"/>
        </w:rPr>
        <w:t>Sus Derechos Humanos</w:t>
      </w:r>
      <w:r>
        <w:rPr>
          <w:rFonts w:ascii="Arial" w:eastAsia="Arial" w:hAnsi="Arial" w:cs="Arial"/>
          <w:color w:val="000000"/>
          <w:sz w:val="16"/>
          <w:szCs w:val="16"/>
        </w:rPr>
        <w:t>. Recuperado el 7 de octubre de 2014, de Naciones Unidas - Derechos Humanos - Oficina del Alto Comisio</w:t>
      </w:r>
      <w:r>
        <w:rPr>
          <w:rFonts w:ascii="Arial" w:eastAsia="Arial" w:hAnsi="Arial" w:cs="Arial"/>
          <w:color w:val="000000"/>
          <w:sz w:val="16"/>
          <w:szCs w:val="16"/>
        </w:rPr>
        <w:t>nado para los Derechos Humanos: http://www.ohchr.org/SP/Issues/Pages/WhatareHumanRights.aspx. En el mismo sentido, ver: Artículo 1 y 2 del Pacto Internacional de Derechos Civiles y Políticos de 1966; Artículos 1 y 2 del Pacto Internacional de Derechos Econ</w:t>
      </w:r>
      <w:r>
        <w:rPr>
          <w:rFonts w:ascii="Arial" w:eastAsia="Arial" w:hAnsi="Arial" w:cs="Arial"/>
          <w:color w:val="000000"/>
          <w:sz w:val="16"/>
          <w:szCs w:val="16"/>
        </w:rPr>
        <w:t>ómicos, Sociales y Culturales de 1966; Artículos 1.1 y 2 de la Convención Americana de Derechos Humanos; y Artículos 1 y 2 del Protocolo Adicional a la Convención Americana de Derechos Humanos en Materia de Derechos Económicos, Sociales y Culturales de 198</w:t>
      </w:r>
      <w:r>
        <w:rPr>
          <w:rFonts w:ascii="Arial" w:eastAsia="Arial" w:hAnsi="Arial" w:cs="Arial"/>
          <w:color w:val="000000"/>
          <w:sz w:val="16"/>
          <w:szCs w:val="16"/>
        </w:rPr>
        <w:t>8.</w:t>
      </w:r>
    </w:p>
  </w:footnote>
  <w:footnote w:id="14">
    <w:p w:rsidR="00267187" w:rsidRDefault="002B2E2D">
      <w:pPr>
        <w:pBdr>
          <w:top w:val="nil"/>
          <w:left w:val="nil"/>
          <w:bottom w:val="nil"/>
          <w:right w:val="nil"/>
          <w:between w:val="nil"/>
        </w:pBdr>
        <w:jc w:val="both"/>
        <w:rPr>
          <w:rFonts w:ascii="Arial" w:eastAsia="Arial" w:hAnsi="Arial" w:cs="Arial"/>
          <w:i/>
          <w:color w:val="000000"/>
          <w:sz w:val="16"/>
          <w:szCs w:val="16"/>
        </w:rPr>
      </w:pPr>
      <w:r>
        <w:rPr>
          <w:vertAlign w:val="superscript"/>
        </w:rPr>
        <w:footnoteRef/>
      </w:r>
      <w:r>
        <w:rPr>
          <w:rFonts w:ascii="Arial" w:eastAsia="Arial" w:hAnsi="Arial" w:cs="Arial"/>
          <w:color w:val="000000"/>
          <w:sz w:val="16"/>
          <w:szCs w:val="16"/>
        </w:rPr>
        <w:t xml:space="preserve"> En lo referente a la obligación de protección, ésta exige que </w:t>
      </w:r>
      <w:r>
        <w:rPr>
          <w:rFonts w:ascii="Arial" w:eastAsia="Arial" w:hAnsi="Arial" w:cs="Arial"/>
          <w:i/>
          <w:color w:val="000000"/>
          <w:sz w:val="16"/>
          <w:szCs w:val="16"/>
        </w:rPr>
        <w:t xml:space="preserve">“(…) los Estados impidan los abusos de los derechos humanos contra individuos y grupos”. En: </w:t>
      </w:r>
      <w:r>
        <w:rPr>
          <w:rFonts w:ascii="Arial" w:eastAsia="Arial" w:hAnsi="Arial" w:cs="Arial"/>
          <w:color w:val="000000"/>
          <w:sz w:val="16"/>
          <w:szCs w:val="16"/>
        </w:rPr>
        <w:t xml:space="preserve">Oficina del Alto Comisionado para los Derechos Humanos. (2014). </w:t>
      </w:r>
      <w:r>
        <w:rPr>
          <w:rFonts w:ascii="Arial" w:eastAsia="Arial" w:hAnsi="Arial" w:cs="Arial"/>
          <w:i/>
          <w:color w:val="000000"/>
          <w:sz w:val="16"/>
          <w:szCs w:val="16"/>
        </w:rPr>
        <w:t>Sus Derechos Humanos</w:t>
      </w:r>
      <w:r>
        <w:rPr>
          <w:rFonts w:ascii="Arial" w:eastAsia="Arial" w:hAnsi="Arial" w:cs="Arial"/>
          <w:color w:val="000000"/>
          <w:sz w:val="16"/>
          <w:szCs w:val="16"/>
        </w:rPr>
        <w:t>. Recuperado</w:t>
      </w:r>
      <w:r>
        <w:rPr>
          <w:rFonts w:ascii="Arial" w:eastAsia="Arial" w:hAnsi="Arial" w:cs="Arial"/>
          <w:color w:val="000000"/>
          <w:sz w:val="16"/>
          <w:szCs w:val="16"/>
        </w:rPr>
        <w:t xml:space="preserve"> el 7 de octubre de 2014, de Naciones Unidas - Derechos Humanos - Oficina del Alto Comisionado para los Derechos Humanos: http://www.ohchr.org/SP/Issues/Pages/WhatareHumanRights.aspx</w:t>
      </w:r>
      <w:r>
        <w:rPr>
          <w:rFonts w:ascii="Arial" w:eastAsia="Arial" w:hAnsi="Arial" w:cs="Arial"/>
          <w:i/>
          <w:color w:val="000000"/>
          <w:sz w:val="16"/>
          <w:szCs w:val="16"/>
        </w:rPr>
        <w:t xml:space="preserve">. </w:t>
      </w:r>
      <w:r>
        <w:rPr>
          <w:rFonts w:ascii="Arial" w:eastAsia="Arial" w:hAnsi="Arial" w:cs="Arial"/>
          <w:color w:val="000000"/>
          <w:sz w:val="16"/>
          <w:szCs w:val="16"/>
        </w:rPr>
        <w:t>En el mismo sentido, ver: Artículo 1 y 2 del Pacto Internacional de Dere</w:t>
      </w:r>
      <w:r>
        <w:rPr>
          <w:rFonts w:ascii="Arial" w:eastAsia="Arial" w:hAnsi="Arial" w:cs="Arial"/>
          <w:color w:val="000000"/>
          <w:sz w:val="16"/>
          <w:szCs w:val="16"/>
        </w:rPr>
        <w:t>chos Civiles y Políticos de 1966; Artículos 1 y 2 del Pacto Internacional de Derechos Económicos, Sociales y Culturales de 1966; Artículos 1.1 y 2 de la Convención Americana de Derechos Humanos; y Artículos 1 y 2 del Protocolo Adicional a la Convención Ame</w:t>
      </w:r>
      <w:r>
        <w:rPr>
          <w:rFonts w:ascii="Arial" w:eastAsia="Arial" w:hAnsi="Arial" w:cs="Arial"/>
          <w:color w:val="000000"/>
          <w:sz w:val="16"/>
          <w:szCs w:val="16"/>
        </w:rPr>
        <w:t>ricana de Derechos Humanos en Materia de Derechos Económicos, Sociales y Culturales de 1988.</w:t>
      </w:r>
    </w:p>
  </w:footnote>
  <w:footnote w:id="15">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 lo referente a la obligación de realización, ésta se refiera al deber de  “</w:t>
      </w:r>
      <w:r>
        <w:rPr>
          <w:rFonts w:ascii="Arial" w:eastAsia="Arial" w:hAnsi="Arial" w:cs="Arial"/>
          <w:i/>
          <w:color w:val="000000"/>
          <w:sz w:val="16"/>
          <w:szCs w:val="16"/>
        </w:rPr>
        <w:t>adoptar medidas positivas para facilitar el disfrute de los derechos humanos básico</w:t>
      </w:r>
      <w:r>
        <w:rPr>
          <w:rFonts w:ascii="Arial" w:eastAsia="Arial" w:hAnsi="Arial" w:cs="Arial"/>
          <w:i/>
          <w:color w:val="000000"/>
          <w:sz w:val="16"/>
          <w:szCs w:val="16"/>
        </w:rPr>
        <w:t>s.</w:t>
      </w:r>
      <w:r>
        <w:rPr>
          <w:rFonts w:ascii="Arial" w:eastAsia="Arial" w:hAnsi="Arial" w:cs="Arial"/>
          <w:color w:val="000000"/>
          <w:sz w:val="16"/>
          <w:szCs w:val="16"/>
        </w:rPr>
        <w:t xml:space="preserve">” </w:t>
      </w:r>
      <w:r>
        <w:rPr>
          <w:rFonts w:ascii="Arial" w:eastAsia="Arial" w:hAnsi="Arial" w:cs="Arial"/>
          <w:i/>
          <w:color w:val="000000"/>
          <w:sz w:val="16"/>
          <w:szCs w:val="16"/>
        </w:rPr>
        <w:t xml:space="preserve">En: </w:t>
      </w:r>
      <w:r>
        <w:rPr>
          <w:rFonts w:ascii="Arial" w:eastAsia="Arial" w:hAnsi="Arial" w:cs="Arial"/>
          <w:color w:val="000000"/>
          <w:sz w:val="16"/>
          <w:szCs w:val="16"/>
        </w:rPr>
        <w:t xml:space="preserve">Oficina del Alto Comisionado para los Derechos Humanos. (2014). </w:t>
      </w:r>
      <w:r>
        <w:rPr>
          <w:rFonts w:ascii="Arial" w:eastAsia="Arial" w:hAnsi="Arial" w:cs="Arial"/>
          <w:i/>
          <w:color w:val="000000"/>
          <w:sz w:val="16"/>
          <w:szCs w:val="16"/>
        </w:rPr>
        <w:t>Sus Derechos Humanos</w:t>
      </w:r>
      <w:r>
        <w:rPr>
          <w:rFonts w:ascii="Arial" w:eastAsia="Arial" w:hAnsi="Arial" w:cs="Arial"/>
          <w:color w:val="000000"/>
          <w:sz w:val="16"/>
          <w:szCs w:val="16"/>
        </w:rPr>
        <w:t>. Recuperado el 7 de octubre de 2014, de Naciones Unidas - Derechos Humanos - Oficina del Alto Comisionado para los Derechos Humanos: http://www.ohchr.org/SP/Issues/Pages/WhatareHumanRights.aspx</w:t>
      </w:r>
      <w:r>
        <w:rPr>
          <w:rFonts w:ascii="Arial" w:eastAsia="Arial" w:hAnsi="Arial" w:cs="Arial"/>
          <w:i/>
          <w:color w:val="000000"/>
          <w:sz w:val="16"/>
          <w:szCs w:val="16"/>
        </w:rPr>
        <w:t xml:space="preserve">. </w:t>
      </w:r>
      <w:r>
        <w:rPr>
          <w:rFonts w:ascii="Arial" w:eastAsia="Arial" w:hAnsi="Arial" w:cs="Arial"/>
          <w:color w:val="000000"/>
          <w:sz w:val="16"/>
          <w:szCs w:val="16"/>
        </w:rPr>
        <w:t>En el mismo sentido, ver: Artículo 1 y 2 del Pacto Internaci</w:t>
      </w:r>
      <w:r>
        <w:rPr>
          <w:rFonts w:ascii="Arial" w:eastAsia="Arial" w:hAnsi="Arial" w:cs="Arial"/>
          <w:color w:val="000000"/>
          <w:sz w:val="16"/>
          <w:szCs w:val="16"/>
        </w:rPr>
        <w:t>onal de Derechos Civiles y Políticos de 1966; Artículos 1 y 2 del Pacto Internacional de Derechos Económicos, Sociales y Culturales de 1966; Artículos 1.1 y 2 de la Convención Americana de Derechos Humanos; y Artículos 1 y 2 del Protocolo Adicional a la Co</w:t>
      </w:r>
      <w:r>
        <w:rPr>
          <w:rFonts w:ascii="Arial" w:eastAsia="Arial" w:hAnsi="Arial" w:cs="Arial"/>
          <w:color w:val="000000"/>
          <w:sz w:val="16"/>
          <w:szCs w:val="16"/>
        </w:rPr>
        <w:t>nvención Americana de Derechos Humanos en Materia de Derechos Económicos, Sociales y Culturales de 1988.</w:t>
      </w:r>
    </w:p>
  </w:footnote>
  <w:footnote w:id="16">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Al respecto ver: Artículo 2 del Pacto Internacional de Derechos Civiles y Políticos de 1966; Artículo 2 del Pacto Internacional de Derechos Económico</w:t>
      </w:r>
      <w:r>
        <w:rPr>
          <w:rFonts w:ascii="Arial" w:eastAsia="Arial" w:hAnsi="Arial" w:cs="Arial"/>
          <w:color w:val="000000"/>
          <w:sz w:val="16"/>
          <w:szCs w:val="16"/>
        </w:rPr>
        <w:t>s, Sociales y Culturales; Artículo 1.1 y 2 de la Convención Americana de Derechos Humanos; Artículos 1 y 2 del Protocolo Adicional a la Convención Americana de Derechos Humanos en Materia de Derechos Económicos, Sociales y Culturales de 1988.</w:t>
      </w:r>
    </w:p>
  </w:footnote>
  <w:footnote w:id="17">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i/>
          <w:color w:val="000000"/>
          <w:sz w:val="16"/>
          <w:szCs w:val="16"/>
        </w:rPr>
        <w:t>“Toda perso</w:t>
      </w:r>
      <w:r>
        <w:rPr>
          <w:rFonts w:ascii="Arial" w:eastAsia="Arial" w:hAnsi="Arial" w:cs="Arial"/>
          <w:i/>
          <w:color w:val="000000"/>
          <w:sz w:val="16"/>
          <w:szCs w:val="16"/>
        </w:rPr>
        <w:t xml:space="preserve">na tiene derecho a un nivel de vida adecuado que le asegure, así como a su familia, la salud y el bienestar, </w:t>
      </w:r>
      <w:r>
        <w:rPr>
          <w:rFonts w:ascii="Arial" w:eastAsia="Arial" w:hAnsi="Arial" w:cs="Arial"/>
          <w:b/>
          <w:i/>
          <w:color w:val="000000"/>
          <w:sz w:val="16"/>
          <w:szCs w:val="16"/>
        </w:rPr>
        <w:t>y en especial la alimentación</w:t>
      </w:r>
      <w:r>
        <w:rPr>
          <w:rFonts w:ascii="Arial" w:eastAsia="Arial" w:hAnsi="Arial" w:cs="Arial"/>
          <w:i/>
          <w:color w:val="000000"/>
          <w:sz w:val="16"/>
          <w:szCs w:val="16"/>
        </w:rPr>
        <w:t>, el vestido, la vivienda, la asistencia médica y los servicios sociales necesarios; tiene asimismo derecho a los segu</w:t>
      </w:r>
      <w:r>
        <w:rPr>
          <w:rFonts w:ascii="Arial" w:eastAsia="Arial" w:hAnsi="Arial" w:cs="Arial"/>
          <w:i/>
          <w:color w:val="000000"/>
          <w:sz w:val="16"/>
          <w:szCs w:val="16"/>
        </w:rPr>
        <w:t xml:space="preserve">ros en caso de desempleo, enfermedad, invalidez, viudez, vejez u otros casos de pérdida de sus medios de subsistencia por circunstancias independientes de su voluntad.” </w:t>
      </w:r>
      <w:r>
        <w:rPr>
          <w:rFonts w:ascii="Arial" w:eastAsia="Arial" w:hAnsi="Arial" w:cs="Arial"/>
          <w:color w:val="000000"/>
          <w:sz w:val="16"/>
          <w:szCs w:val="16"/>
        </w:rPr>
        <w:t xml:space="preserve">(Se resalta) </w:t>
      </w:r>
    </w:p>
  </w:footnote>
  <w:footnote w:id="18">
    <w:p w:rsidR="00267187" w:rsidRDefault="002B2E2D">
      <w:pPr>
        <w:pBdr>
          <w:top w:val="nil"/>
          <w:left w:val="nil"/>
          <w:bottom w:val="nil"/>
          <w:right w:val="nil"/>
          <w:between w:val="nil"/>
        </w:pBdr>
        <w:jc w:val="both"/>
        <w:rPr>
          <w:rFonts w:ascii="Arial" w:eastAsia="Arial" w:hAnsi="Arial" w:cs="Arial"/>
          <w:i/>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i/>
          <w:color w:val="000000"/>
          <w:sz w:val="16"/>
          <w:szCs w:val="16"/>
        </w:rPr>
        <w:t>“1. Los Estados Partes en el presente Pacto reconocen el derecho de tod</w:t>
      </w:r>
      <w:r>
        <w:rPr>
          <w:rFonts w:ascii="Arial" w:eastAsia="Arial" w:hAnsi="Arial" w:cs="Arial"/>
          <w:i/>
          <w:color w:val="000000"/>
          <w:sz w:val="16"/>
          <w:szCs w:val="16"/>
        </w:rPr>
        <w:t xml:space="preserve">a persona a un nivel de vida adecuado para sí y su familia, incluso </w:t>
      </w:r>
      <w:r>
        <w:rPr>
          <w:rFonts w:ascii="Arial" w:eastAsia="Arial" w:hAnsi="Arial" w:cs="Arial"/>
          <w:b/>
          <w:i/>
          <w:color w:val="000000"/>
          <w:sz w:val="16"/>
          <w:szCs w:val="16"/>
        </w:rPr>
        <w:t>alimentación</w:t>
      </w:r>
      <w:r>
        <w:rPr>
          <w:rFonts w:ascii="Arial" w:eastAsia="Arial" w:hAnsi="Arial" w:cs="Arial"/>
          <w:i/>
          <w:color w:val="000000"/>
          <w:sz w:val="16"/>
          <w:szCs w:val="16"/>
        </w:rPr>
        <w:t xml:space="preserve">, vestido y vivienda </w:t>
      </w:r>
      <w:r>
        <w:rPr>
          <w:rFonts w:ascii="Arial" w:eastAsia="Arial" w:hAnsi="Arial" w:cs="Arial"/>
          <w:b/>
          <w:i/>
          <w:color w:val="000000"/>
          <w:sz w:val="16"/>
          <w:szCs w:val="16"/>
        </w:rPr>
        <w:t>adecuados</w:t>
      </w:r>
      <w:r>
        <w:rPr>
          <w:rFonts w:ascii="Arial" w:eastAsia="Arial" w:hAnsi="Arial" w:cs="Arial"/>
          <w:i/>
          <w:color w:val="000000"/>
          <w:sz w:val="16"/>
          <w:szCs w:val="16"/>
        </w:rPr>
        <w:t>, y a una mejora continua de las condiciones de existencia. Los Estados Partes tomarán medidas apropiadas para asegurar la efectividad de este der</w:t>
      </w:r>
      <w:r>
        <w:rPr>
          <w:rFonts w:ascii="Arial" w:eastAsia="Arial" w:hAnsi="Arial" w:cs="Arial"/>
          <w:i/>
          <w:color w:val="000000"/>
          <w:sz w:val="16"/>
          <w:szCs w:val="16"/>
        </w:rPr>
        <w:t>echo, reconociendo a este efecto la importancia esencial de la cooperación internacional fundada en el libre consentimiento. (…) 2. Los Estados Partes en el presente Pacto, reconociendo el derecho fundamental de toda persona a estar protegida contra el ham</w:t>
      </w:r>
      <w:r>
        <w:rPr>
          <w:rFonts w:ascii="Arial" w:eastAsia="Arial" w:hAnsi="Arial" w:cs="Arial"/>
          <w:i/>
          <w:color w:val="000000"/>
          <w:sz w:val="16"/>
          <w:szCs w:val="16"/>
        </w:rPr>
        <w:t xml:space="preserve">bre, adoptarán, individualmente y mediante la cooperación internacional, las medidas, incluidos programas concretos, que se necesiten para: (…) a) Mejorar los métodos de producción, conservación y distribución de alimentos mediante la plena utilización de </w:t>
      </w:r>
      <w:r>
        <w:rPr>
          <w:rFonts w:ascii="Arial" w:eastAsia="Arial" w:hAnsi="Arial" w:cs="Arial"/>
          <w:i/>
          <w:color w:val="000000"/>
          <w:sz w:val="16"/>
          <w:szCs w:val="16"/>
        </w:rPr>
        <w:t>los conocimientos técnicos y científicos, la divulgación de principios sobre nutrición y el perfeccionamiento o la reforma de los regímenes agrarios, de modo que se logre la explotación y la utilización más eficaces de las riquezas naturales; (…) b) Asegur</w:t>
      </w:r>
      <w:r>
        <w:rPr>
          <w:rFonts w:ascii="Arial" w:eastAsia="Arial" w:hAnsi="Arial" w:cs="Arial"/>
          <w:i/>
          <w:color w:val="000000"/>
          <w:sz w:val="16"/>
          <w:szCs w:val="16"/>
        </w:rPr>
        <w:t xml:space="preserve">ar una distribución equitativa de los alimentos mundiales en relación con las necesidades, teniendo en cuenta los problemas que se plantean tanto a los países que importan productos alimenticios como a los que los exportan.” </w:t>
      </w:r>
      <w:r>
        <w:rPr>
          <w:rFonts w:ascii="Arial" w:eastAsia="Arial" w:hAnsi="Arial" w:cs="Arial"/>
          <w:color w:val="000000"/>
          <w:sz w:val="16"/>
          <w:szCs w:val="16"/>
        </w:rPr>
        <w:t>(Se resalta)</w:t>
      </w:r>
    </w:p>
  </w:footnote>
  <w:footnote w:id="19">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Respecto a la O</w:t>
      </w:r>
      <w:r>
        <w:rPr>
          <w:rFonts w:ascii="Arial" w:eastAsia="Arial" w:hAnsi="Arial" w:cs="Arial"/>
          <w:color w:val="000000"/>
          <w:sz w:val="16"/>
          <w:szCs w:val="16"/>
        </w:rPr>
        <w:t>bservación General, es preciso resaltar que la misma se constituye como una interpretación experta y autorizada respecto del contenido de los instrumentos de Derecho Internacional que contienen disposiciones relativas a los Derechos Humanos. La misma fue e</w:t>
      </w:r>
      <w:r>
        <w:rPr>
          <w:rFonts w:ascii="Arial" w:eastAsia="Arial" w:hAnsi="Arial" w:cs="Arial"/>
          <w:color w:val="000000"/>
          <w:sz w:val="16"/>
          <w:szCs w:val="16"/>
        </w:rPr>
        <w:t xml:space="preserve">mitida por el órgano de supervisión del Tratado en cuestión, cuya competencia se irroga gracias a las disposiciones contenidas en el mismo. En: WENCHE BARTH EIDE y UWE KRACHT, </w:t>
      </w:r>
      <w:r>
        <w:rPr>
          <w:rFonts w:ascii="Arial" w:eastAsia="Arial" w:hAnsi="Arial" w:cs="Arial"/>
          <w:i/>
          <w:color w:val="000000"/>
          <w:sz w:val="16"/>
          <w:szCs w:val="16"/>
        </w:rPr>
        <w:t>Food and Human Rights in Development Volume I, Legal and Institutional Dimension</w:t>
      </w:r>
      <w:r>
        <w:rPr>
          <w:rFonts w:ascii="Arial" w:eastAsia="Arial" w:hAnsi="Arial" w:cs="Arial"/>
          <w:i/>
          <w:color w:val="000000"/>
          <w:sz w:val="16"/>
          <w:szCs w:val="16"/>
        </w:rPr>
        <w:t xml:space="preserve">s and Selected Topics., </w:t>
      </w:r>
      <w:r>
        <w:rPr>
          <w:rFonts w:ascii="Arial" w:eastAsia="Arial" w:hAnsi="Arial" w:cs="Arial"/>
          <w:color w:val="000000"/>
          <w:sz w:val="16"/>
          <w:szCs w:val="16"/>
        </w:rPr>
        <w:t xml:space="preserve">Editorial Intersentia, Amberes/Oxford, 2005. Pág. 105. Así mismo, la Corte Constitucional en Sentencia C-251 de 1997 reconoce a dichas observaciones, en conjunción con otros informes oficiales provenientes del Relator de esta clase </w:t>
      </w:r>
      <w:r>
        <w:rPr>
          <w:rFonts w:ascii="Arial" w:eastAsia="Arial" w:hAnsi="Arial" w:cs="Arial"/>
          <w:color w:val="000000"/>
          <w:sz w:val="16"/>
          <w:szCs w:val="16"/>
        </w:rPr>
        <w:t>de derechos, la característica de ser “la doctrina internacional más autorizada en materia de Derechos Económicos, Sociales y Culturales”, como lo es en el presente caso el Derecho a la Alimentación adecuada.</w:t>
      </w:r>
    </w:p>
  </w:footnote>
  <w:footnote w:id="20">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i/>
          <w:color w:val="000000"/>
          <w:sz w:val="16"/>
          <w:szCs w:val="16"/>
        </w:rPr>
        <w:t>1. Los Estados Partes reconocen el derecho d</w:t>
      </w:r>
      <w:r>
        <w:rPr>
          <w:rFonts w:ascii="Arial" w:eastAsia="Arial" w:hAnsi="Arial" w:cs="Arial"/>
          <w:i/>
          <w:color w:val="000000"/>
          <w:sz w:val="16"/>
          <w:szCs w:val="16"/>
        </w:rPr>
        <w:t>el niño al disfrute del más alto nivel posible de salud y a servicios para el tratamiento de las enfermedades y la rehabilitación de la salud. Los Estados Partes se esforzarán por asegurar que ningún niño sea privado de su derecho al disfrute de esos servi</w:t>
      </w:r>
      <w:r>
        <w:rPr>
          <w:rFonts w:ascii="Arial" w:eastAsia="Arial" w:hAnsi="Arial" w:cs="Arial"/>
          <w:i/>
          <w:color w:val="000000"/>
          <w:sz w:val="16"/>
          <w:szCs w:val="16"/>
        </w:rPr>
        <w:t>cios sanitarios. (…) 2. Los Estados Partes asegurarán la plena aplicación de este derecho y, en particular, adoptarán las medidas apropiadas para: a) Reducir la mortalidad infantil y en la niñez;</w:t>
      </w:r>
      <w:r>
        <w:rPr>
          <w:rFonts w:ascii="MS Gothic" w:eastAsia="MS Gothic" w:hAnsi="MS Gothic" w:cs="MS Gothic"/>
          <w:i/>
          <w:color w:val="000000"/>
          <w:sz w:val="16"/>
          <w:szCs w:val="16"/>
        </w:rPr>
        <w:t> </w:t>
      </w:r>
      <w:r>
        <w:rPr>
          <w:rFonts w:ascii="Arial" w:eastAsia="Arial" w:hAnsi="Arial" w:cs="Arial"/>
          <w:i/>
          <w:color w:val="000000"/>
          <w:sz w:val="16"/>
          <w:szCs w:val="16"/>
        </w:rPr>
        <w:t>b) Asegurar la prestación de la asistencia médica y la atenc</w:t>
      </w:r>
      <w:r>
        <w:rPr>
          <w:rFonts w:ascii="Arial" w:eastAsia="Arial" w:hAnsi="Arial" w:cs="Arial"/>
          <w:i/>
          <w:color w:val="000000"/>
          <w:sz w:val="16"/>
          <w:szCs w:val="16"/>
        </w:rPr>
        <w:t>ión sanitaria que sean necesarias a todos los niños, haciendo hincapié en el desarrollo de la atención primaria de la salud;</w:t>
      </w:r>
      <w:r>
        <w:rPr>
          <w:rFonts w:ascii="MS Gothic" w:eastAsia="MS Gothic" w:hAnsi="MS Gothic" w:cs="MS Gothic"/>
          <w:i/>
          <w:color w:val="000000"/>
          <w:sz w:val="16"/>
          <w:szCs w:val="16"/>
        </w:rPr>
        <w:t> </w:t>
      </w:r>
      <w:r>
        <w:rPr>
          <w:rFonts w:ascii="Arial" w:eastAsia="Arial" w:hAnsi="Arial" w:cs="Arial"/>
          <w:i/>
          <w:color w:val="000000"/>
          <w:sz w:val="16"/>
          <w:szCs w:val="16"/>
        </w:rPr>
        <w:t>c) Combatir las enfermedades y la mal nutrición en el marco de la atención primaria de la salud mediante, entre otras cosas, la apl</w:t>
      </w:r>
      <w:r>
        <w:rPr>
          <w:rFonts w:ascii="Arial" w:eastAsia="Arial" w:hAnsi="Arial" w:cs="Arial"/>
          <w:i/>
          <w:color w:val="000000"/>
          <w:sz w:val="16"/>
          <w:szCs w:val="16"/>
        </w:rPr>
        <w:t>icación de la tecnología disponible y el suministro de alimentos nutritivos adecuados y agua potable salubre, teniendo en cuenta los peligros y riesgos de contaminación del medio ambiente;</w:t>
      </w:r>
      <w:r>
        <w:rPr>
          <w:rFonts w:ascii="MS Gothic" w:eastAsia="MS Gothic" w:hAnsi="MS Gothic" w:cs="MS Gothic"/>
          <w:i/>
          <w:color w:val="000000"/>
          <w:sz w:val="16"/>
          <w:szCs w:val="16"/>
        </w:rPr>
        <w:t> </w:t>
      </w:r>
      <w:r>
        <w:rPr>
          <w:rFonts w:ascii="Arial" w:eastAsia="Arial" w:hAnsi="Arial" w:cs="Arial"/>
          <w:i/>
          <w:color w:val="000000"/>
          <w:sz w:val="16"/>
          <w:szCs w:val="16"/>
        </w:rPr>
        <w:t>d) Asegurar atención sanitaria prenatal y postnatal apropiada a las</w:t>
      </w:r>
      <w:r>
        <w:rPr>
          <w:rFonts w:ascii="Arial" w:eastAsia="Arial" w:hAnsi="Arial" w:cs="Arial"/>
          <w:i/>
          <w:color w:val="000000"/>
          <w:sz w:val="16"/>
          <w:szCs w:val="16"/>
        </w:rPr>
        <w:t xml:space="preserve"> madres;</w:t>
      </w:r>
      <w:r>
        <w:rPr>
          <w:rFonts w:ascii="MS Gothic" w:eastAsia="MS Gothic" w:hAnsi="MS Gothic" w:cs="MS Gothic"/>
          <w:i/>
          <w:color w:val="000000"/>
          <w:sz w:val="16"/>
          <w:szCs w:val="16"/>
        </w:rPr>
        <w:t> </w:t>
      </w:r>
      <w:r>
        <w:rPr>
          <w:rFonts w:ascii="Arial" w:eastAsia="Arial" w:hAnsi="Arial" w:cs="Arial"/>
          <w:i/>
          <w:color w:val="000000"/>
          <w:sz w:val="16"/>
          <w:szCs w:val="16"/>
        </w:rPr>
        <w:t>e) Asegurar que todos los sectores de la sociedad, y en particular los padres y los niños, conozcan los principios básicos de la salud y la nutrición de los niños, las ventajas de la lactancia materna, la higiene y el saneamiento ambiental y las m</w:t>
      </w:r>
      <w:r>
        <w:rPr>
          <w:rFonts w:ascii="Arial" w:eastAsia="Arial" w:hAnsi="Arial" w:cs="Arial"/>
          <w:i/>
          <w:color w:val="000000"/>
          <w:sz w:val="16"/>
          <w:szCs w:val="16"/>
        </w:rPr>
        <w:t>edidas de prevención de accidentes, tengan acceso a la educación pertinente y reciban apoyo en la aplicación de esos conocimientos;</w:t>
      </w:r>
      <w:r>
        <w:rPr>
          <w:rFonts w:ascii="MS Gothic" w:eastAsia="MS Gothic" w:hAnsi="MS Gothic" w:cs="MS Gothic"/>
          <w:i/>
          <w:color w:val="000000"/>
          <w:sz w:val="16"/>
          <w:szCs w:val="16"/>
        </w:rPr>
        <w:t> </w:t>
      </w:r>
      <w:r>
        <w:rPr>
          <w:rFonts w:ascii="Arial" w:eastAsia="Arial" w:hAnsi="Arial" w:cs="Arial"/>
          <w:i/>
          <w:color w:val="000000"/>
          <w:sz w:val="16"/>
          <w:szCs w:val="16"/>
        </w:rPr>
        <w:t>f) Desarrollar la atención sanitaria preventiva, la orientación a los padres y la educación y servicios en materia de planif</w:t>
      </w:r>
      <w:r>
        <w:rPr>
          <w:rFonts w:ascii="Arial" w:eastAsia="Arial" w:hAnsi="Arial" w:cs="Arial"/>
          <w:i/>
          <w:color w:val="000000"/>
          <w:sz w:val="16"/>
          <w:szCs w:val="16"/>
        </w:rPr>
        <w:t>icación de la familia.”</w:t>
      </w:r>
    </w:p>
  </w:footnote>
  <w:footnote w:id="21">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i/>
          <w:color w:val="000000"/>
          <w:sz w:val="16"/>
          <w:szCs w:val="16"/>
        </w:rPr>
        <w:t>“2. Sin perjuicio de lo dispuesto en el párrafo 1 supra, los Estados Partes garantizarán a la mujer servicios apropiados en relación con el embarazo, el parto y el período posterior al parto, proporcionando servicios gratuitos cua</w:t>
      </w:r>
      <w:r>
        <w:rPr>
          <w:rFonts w:ascii="Arial" w:eastAsia="Arial" w:hAnsi="Arial" w:cs="Arial"/>
          <w:i/>
          <w:color w:val="000000"/>
          <w:sz w:val="16"/>
          <w:szCs w:val="16"/>
        </w:rPr>
        <w:t>ndo fuere necesario y le asegurarán una nutrición adecuada durante el embarazo y la lactancia.”</w:t>
      </w:r>
    </w:p>
  </w:footnote>
  <w:footnote w:id="22">
    <w:p w:rsidR="00267187" w:rsidRDefault="002B2E2D">
      <w:pPr>
        <w:pBdr>
          <w:top w:val="nil"/>
          <w:left w:val="nil"/>
          <w:bottom w:val="nil"/>
          <w:right w:val="nil"/>
          <w:between w:val="nil"/>
        </w:pBdr>
        <w:jc w:val="both"/>
        <w:rPr>
          <w:rFonts w:ascii="Arial" w:eastAsia="Arial" w:hAnsi="Arial" w:cs="Arial"/>
          <w:i/>
          <w:color w:val="000000"/>
          <w:sz w:val="16"/>
          <w:szCs w:val="16"/>
        </w:rPr>
      </w:pPr>
      <w:r>
        <w:rPr>
          <w:vertAlign w:val="superscript"/>
        </w:rPr>
        <w:footnoteRef/>
      </w:r>
      <w:r>
        <w:rPr>
          <w:rFonts w:ascii="Arial" w:eastAsia="Arial" w:hAnsi="Arial" w:cs="Arial"/>
          <w:color w:val="000000"/>
          <w:sz w:val="16"/>
          <w:szCs w:val="16"/>
        </w:rPr>
        <w:t xml:space="preserve"> 25. f </w:t>
      </w:r>
      <w:r>
        <w:rPr>
          <w:rFonts w:ascii="Arial" w:eastAsia="Arial" w:hAnsi="Arial" w:cs="Arial"/>
          <w:i/>
          <w:color w:val="000000"/>
          <w:sz w:val="16"/>
          <w:szCs w:val="16"/>
        </w:rPr>
        <w:t xml:space="preserve">“Impedirán que se nieguen, de manera discriminatoria, servicios de salud o de atención de la salud o alimentos sólidos o líquidos por motivos de discapacidad.”; </w:t>
      </w:r>
      <w:r>
        <w:rPr>
          <w:rFonts w:ascii="Arial" w:eastAsia="Arial" w:hAnsi="Arial" w:cs="Arial"/>
          <w:color w:val="000000"/>
          <w:sz w:val="16"/>
          <w:szCs w:val="16"/>
        </w:rPr>
        <w:t xml:space="preserve">28.1 </w:t>
      </w:r>
      <w:r>
        <w:rPr>
          <w:rFonts w:ascii="Arial" w:eastAsia="Arial" w:hAnsi="Arial" w:cs="Arial"/>
          <w:i/>
          <w:color w:val="000000"/>
          <w:sz w:val="16"/>
          <w:szCs w:val="16"/>
        </w:rPr>
        <w:t>“Los Estados Partes reconocen el derecho de las personas con discapacidad a un nivel de vi</w:t>
      </w:r>
      <w:r>
        <w:rPr>
          <w:rFonts w:ascii="Arial" w:eastAsia="Arial" w:hAnsi="Arial" w:cs="Arial"/>
          <w:i/>
          <w:color w:val="000000"/>
          <w:sz w:val="16"/>
          <w:szCs w:val="16"/>
        </w:rPr>
        <w:t>da adecuado para ellas y sus familias, lo cual incluye alimentación, vestido y vivienda adecuados, y a la mejora continua de sus condiciones de vida, y adoptarán las medidas pertinentes para salvaguardar y promover el ejercicio de este derecho sin discrimi</w:t>
      </w:r>
      <w:r>
        <w:rPr>
          <w:rFonts w:ascii="Arial" w:eastAsia="Arial" w:hAnsi="Arial" w:cs="Arial"/>
          <w:i/>
          <w:color w:val="000000"/>
          <w:sz w:val="16"/>
          <w:szCs w:val="16"/>
        </w:rPr>
        <w:t>nación por motivos de discapacidad.”</w:t>
      </w:r>
    </w:p>
  </w:footnote>
  <w:footnote w:id="23">
    <w:p w:rsidR="00267187" w:rsidRDefault="002B2E2D">
      <w:pPr>
        <w:widowControl w:val="0"/>
        <w:jc w:val="both"/>
        <w:rPr>
          <w:rFonts w:ascii="Arial" w:eastAsia="Arial" w:hAnsi="Arial" w:cs="Arial"/>
          <w:sz w:val="16"/>
          <w:szCs w:val="16"/>
        </w:rPr>
      </w:pPr>
      <w:r>
        <w:rPr>
          <w:vertAlign w:val="superscript"/>
        </w:rPr>
        <w:footnoteRef/>
      </w:r>
      <w:r>
        <w:rPr>
          <w:rFonts w:ascii="Arial" w:eastAsia="Arial" w:hAnsi="Arial" w:cs="Arial"/>
          <w:sz w:val="16"/>
          <w:szCs w:val="16"/>
        </w:rPr>
        <w:t xml:space="preserve"> “</w:t>
      </w:r>
      <w:r>
        <w:rPr>
          <w:rFonts w:ascii="Arial" w:eastAsia="Arial" w:hAnsi="Arial" w:cs="Arial"/>
          <w:i/>
          <w:sz w:val="16"/>
          <w:szCs w:val="16"/>
        </w:rPr>
        <w:t xml:space="preserve">1. Toda persona tiene derecho a una nutrición adecuada que le asegure la posibilidad de gozar del </w:t>
      </w:r>
      <w:r>
        <w:rPr>
          <w:rFonts w:ascii="MS Gothic" w:eastAsia="MS Gothic" w:hAnsi="MS Gothic" w:cs="MS Gothic"/>
          <w:i/>
          <w:sz w:val="16"/>
          <w:szCs w:val="16"/>
        </w:rPr>
        <w:t> </w:t>
      </w:r>
      <w:r>
        <w:rPr>
          <w:rFonts w:ascii="Arial" w:eastAsia="Arial" w:hAnsi="Arial" w:cs="Arial"/>
          <w:i/>
          <w:sz w:val="16"/>
          <w:szCs w:val="16"/>
        </w:rPr>
        <w:t xml:space="preserve">más alto nivel de desarrollo físico, emocional e intelectual. (…)2. Con el objeto de hacer efectivo este derecho y a </w:t>
      </w:r>
      <w:r>
        <w:rPr>
          <w:rFonts w:ascii="Arial" w:eastAsia="Arial" w:hAnsi="Arial" w:cs="Arial"/>
          <w:i/>
          <w:sz w:val="16"/>
          <w:szCs w:val="16"/>
        </w:rPr>
        <w:t>erradicar la desnutrición, los Estados partes se</w:t>
      </w:r>
      <w:r>
        <w:rPr>
          <w:rFonts w:ascii="MS Gothic" w:eastAsia="MS Gothic" w:hAnsi="MS Gothic" w:cs="MS Gothic"/>
          <w:i/>
          <w:sz w:val="16"/>
          <w:szCs w:val="16"/>
        </w:rPr>
        <w:t> </w:t>
      </w:r>
      <w:r>
        <w:rPr>
          <w:rFonts w:ascii="Arial" w:eastAsia="Arial" w:hAnsi="Arial" w:cs="Arial"/>
          <w:i/>
          <w:sz w:val="16"/>
          <w:szCs w:val="16"/>
        </w:rPr>
        <w:t xml:space="preserve">comprometen a perfeccionar los métodos de producción, aprovisionamiento y distribución de </w:t>
      </w:r>
      <w:r>
        <w:rPr>
          <w:rFonts w:ascii="MS Gothic" w:eastAsia="MS Gothic" w:hAnsi="MS Gothic" w:cs="MS Gothic"/>
          <w:i/>
          <w:sz w:val="16"/>
          <w:szCs w:val="16"/>
        </w:rPr>
        <w:t> </w:t>
      </w:r>
      <w:r>
        <w:rPr>
          <w:rFonts w:ascii="Arial" w:eastAsia="Arial" w:hAnsi="Arial" w:cs="Arial"/>
          <w:i/>
          <w:sz w:val="16"/>
          <w:szCs w:val="16"/>
        </w:rPr>
        <w:t>alimentos, para lo cual se comprometen a promover una mayor cooperación internacional en apoyo de las políticas naci</w:t>
      </w:r>
      <w:r>
        <w:rPr>
          <w:rFonts w:ascii="Arial" w:eastAsia="Arial" w:hAnsi="Arial" w:cs="Arial"/>
          <w:i/>
          <w:sz w:val="16"/>
          <w:szCs w:val="16"/>
        </w:rPr>
        <w:t>onales sobre la materia.”</w:t>
      </w:r>
    </w:p>
  </w:footnote>
  <w:footnote w:id="24">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Ver: Comisión Africana de Derechos Humanos y de los Pueblos. Caso </w:t>
      </w:r>
      <w:r>
        <w:rPr>
          <w:rFonts w:ascii="Arial" w:eastAsia="Arial" w:hAnsi="Arial" w:cs="Arial"/>
          <w:i/>
          <w:color w:val="000000"/>
          <w:sz w:val="16"/>
          <w:szCs w:val="16"/>
        </w:rPr>
        <w:t>“The Social and Economic Rights Action Center and the Center for Economic and Social Rights v. Nigeria”</w:t>
      </w:r>
      <w:r>
        <w:rPr>
          <w:rFonts w:ascii="Arial" w:eastAsia="Arial" w:hAnsi="Arial" w:cs="Arial"/>
          <w:color w:val="000000"/>
          <w:sz w:val="16"/>
          <w:szCs w:val="16"/>
        </w:rPr>
        <w:t>, comunicación No. 155/96, párr. 64</w:t>
      </w:r>
    </w:p>
  </w:footnote>
  <w:footnote w:id="25">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Consejo Económico y S</w:t>
      </w:r>
      <w:r>
        <w:rPr>
          <w:rFonts w:ascii="Arial" w:eastAsia="Arial" w:hAnsi="Arial" w:cs="Arial"/>
          <w:color w:val="000000"/>
          <w:sz w:val="16"/>
          <w:szCs w:val="16"/>
        </w:rPr>
        <w:t xml:space="preserve">ocial de las Naciones Unidas. </w:t>
      </w:r>
      <w:r>
        <w:rPr>
          <w:rFonts w:ascii="Arial" w:eastAsia="Arial" w:hAnsi="Arial" w:cs="Arial"/>
          <w:i/>
          <w:color w:val="000000"/>
          <w:sz w:val="16"/>
          <w:szCs w:val="16"/>
        </w:rPr>
        <w:t>Cuestiones sustantivas que se plantean en la aplicación del pacto de derechos económicos, sociales y culturales.</w:t>
      </w:r>
      <w:r>
        <w:rPr>
          <w:rFonts w:ascii="Arial" w:eastAsia="Arial" w:hAnsi="Arial" w:cs="Arial"/>
          <w:color w:val="000000"/>
          <w:sz w:val="16"/>
          <w:szCs w:val="16"/>
        </w:rPr>
        <w:t xml:space="preserve"> Observación General 12. 20º Periodo de Sesiones. 1999</w:t>
      </w:r>
    </w:p>
  </w:footnote>
  <w:footnote w:id="26">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Oficina del Alto Comisionado de las Naciones Unidas para los Derechos Humanos. </w:t>
      </w:r>
      <w:r>
        <w:rPr>
          <w:rFonts w:ascii="Arial" w:eastAsia="Arial" w:hAnsi="Arial" w:cs="Arial"/>
          <w:i/>
          <w:color w:val="000000"/>
          <w:sz w:val="16"/>
          <w:szCs w:val="16"/>
        </w:rPr>
        <w:t>Folleto Informativo No. 27.</w:t>
      </w:r>
    </w:p>
  </w:footnote>
  <w:footnote w:id="27">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Consejo Económico y Social de las Naciones Unidas. </w:t>
      </w:r>
      <w:r>
        <w:rPr>
          <w:rFonts w:ascii="Arial" w:eastAsia="Arial" w:hAnsi="Arial" w:cs="Arial"/>
          <w:i/>
          <w:color w:val="000000"/>
          <w:sz w:val="16"/>
          <w:szCs w:val="16"/>
        </w:rPr>
        <w:t>Cuestiones sustantivas que se plantean en la aplicación del pacto de derechos económicos, socia</w:t>
      </w:r>
      <w:r>
        <w:rPr>
          <w:rFonts w:ascii="Arial" w:eastAsia="Arial" w:hAnsi="Arial" w:cs="Arial"/>
          <w:i/>
          <w:color w:val="000000"/>
          <w:sz w:val="16"/>
          <w:szCs w:val="16"/>
        </w:rPr>
        <w:t>les y culturales.</w:t>
      </w:r>
      <w:r>
        <w:rPr>
          <w:rFonts w:ascii="Arial" w:eastAsia="Arial" w:hAnsi="Arial" w:cs="Arial"/>
          <w:color w:val="000000"/>
          <w:sz w:val="16"/>
          <w:szCs w:val="16"/>
        </w:rPr>
        <w:t xml:space="preserve"> Observación General 12. 20º Periodo de Sesiones. 1999. Pár. 15</w:t>
      </w:r>
    </w:p>
  </w:footnote>
  <w:footnote w:id="28">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Consejo Económico y Social de las Naciones Unidas. </w:t>
      </w:r>
      <w:r>
        <w:rPr>
          <w:rFonts w:ascii="Arial" w:eastAsia="Arial" w:hAnsi="Arial" w:cs="Arial"/>
          <w:i/>
          <w:color w:val="000000"/>
          <w:sz w:val="16"/>
          <w:szCs w:val="16"/>
        </w:rPr>
        <w:t>Cuestiones sustantivas que se plantean en la aplicación del pacto de derechos económicos, sociales y culturales.</w:t>
      </w:r>
      <w:r>
        <w:rPr>
          <w:rFonts w:ascii="Arial" w:eastAsia="Arial" w:hAnsi="Arial" w:cs="Arial"/>
          <w:color w:val="000000"/>
          <w:sz w:val="16"/>
          <w:szCs w:val="16"/>
        </w:rPr>
        <w:t xml:space="preserve"> Observaci</w:t>
      </w:r>
      <w:r>
        <w:rPr>
          <w:rFonts w:ascii="Arial" w:eastAsia="Arial" w:hAnsi="Arial" w:cs="Arial"/>
          <w:color w:val="000000"/>
          <w:sz w:val="16"/>
          <w:szCs w:val="16"/>
        </w:rPr>
        <w:t>ón General 12. 20º Periodo de Sesiones. 1999. Pár. 21</w:t>
      </w:r>
    </w:p>
  </w:footnote>
  <w:footnote w:id="29">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Amartya K. Sen, El derecho a no tener hambre. Estudios de Filosofía y Derecho No. 3 Universidad Externado de Colombia: 2002.</w:t>
      </w:r>
    </w:p>
  </w:footnote>
  <w:footnote w:id="30">
    <w:p w:rsidR="00267187" w:rsidRDefault="002B2E2D">
      <w:pPr>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Ibídem.</w:t>
      </w:r>
    </w:p>
  </w:footnote>
  <w:footnote w:id="31">
    <w:p w:rsidR="00267187" w:rsidRDefault="002B2E2D">
      <w:pPr>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Ibídem.</w:t>
      </w:r>
    </w:p>
  </w:footnote>
  <w:footnote w:id="32">
    <w:p w:rsidR="00267187" w:rsidRDefault="002B2E2D">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Información obtenida de: Constitute Project. </w:t>
      </w:r>
    </w:p>
  </w:footnote>
  <w:footnote w:id="33">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Consejo Económico y Social de las Naciones Unidas. </w:t>
      </w:r>
      <w:r>
        <w:rPr>
          <w:rFonts w:ascii="Arial" w:eastAsia="Arial" w:hAnsi="Arial" w:cs="Arial"/>
          <w:i/>
          <w:color w:val="000000"/>
          <w:sz w:val="16"/>
          <w:szCs w:val="16"/>
        </w:rPr>
        <w:t>Cuestiones sustantivas que se plantean en la aplicación del pacto de derechos económicos, sociales y culturales.</w:t>
      </w:r>
      <w:r>
        <w:rPr>
          <w:rFonts w:ascii="Arial" w:eastAsia="Arial" w:hAnsi="Arial" w:cs="Arial"/>
          <w:color w:val="000000"/>
          <w:sz w:val="16"/>
          <w:szCs w:val="16"/>
        </w:rPr>
        <w:t xml:space="preserve"> Observación General 12. 20º Periodo de Sesiones. 1999.</w:t>
      </w:r>
    </w:p>
  </w:footnote>
  <w:footnote w:id="34">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FAO, </w:t>
      </w:r>
      <w:r>
        <w:rPr>
          <w:rFonts w:ascii="Arial" w:eastAsia="Arial" w:hAnsi="Arial" w:cs="Arial"/>
          <w:i/>
          <w:color w:val="000000"/>
          <w:sz w:val="16"/>
          <w:szCs w:val="16"/>
        </w:rPr>
        <w:t>El Estado de la Inseguridad A</w:t>
      </w:r>
      <w:r>
        <w:rPr>
          <w:rFonts w:ascii="Arial" w:eastAsia="Arial" w:hAnsi="Arial" w:cs="Arial"/>
          <w:i/>
          <w:color w:val="000000"/>
          <w:sz w:val="16"/>
          <w:szCs w:val="16"/>
        </w:rPr>
        <w:t>limentaria en el Mundo</w:t>
      </w:r>
      <w:r>
        <w:rPr>
          <w:rFonts w:ascii="Arial" w:eastAsia="Arial" w:hAnsi="Arial" w:cs="Arial"/>
          <w:color w:val="000000"/>
          <w:sz w:val="16"/>
          <w:szCs w:val="16"/>
        </w:rPr>
        <w:t xml:space="preserve"> – 2001. Roma, 2001 En: Oficina del Alto Comisionado de las Naciones Unidas para los Derechos Humanos - FAO. </w:t>
      </w:r>
      <w:r>
        <w:rPr>
          <w:rFonts w:ascii="Arial" w:eastAsia="Arial" w:hAnsi="Arial" w:cs="Arial"/>
          <w:i/>
          <w:color w:val="000000"/>
          <w:sz w:val="16"/>
          <w:szCs w:val="16"/>
        </w:rPr>
        <w:t xml:space="preserve">Folleto Informativo No. 34. El derecho a la alimentación adecuada. </w:t>
      </w:r>
      <w:r>
        <w:rPr>
          <w:rFonts w:ascii="Arial" w:eastAsia="Arial" w:hAnsi="Arial" w:cs="Arial"/>
          <w:color w:val="000000"/>
          <w:sz w:val="16"/>
          <w:szCs w:val="16"/>
        </w:rPr>
        <w:t>Pág. 5</w:t>
      </w:r>
    </w:p>
  </w:footnote>
  <w:footnote w:id="35">
    <w:p w:rsidR="00267187" w:rsidRDefault="002B2E2D">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Oficina del Alto Comisionado de las Naciones Unid</w:t>
      </w:r>
      <w:r>
        <w:rPr>
          <w:rFonts w:ascii="Arial" w:eastAsia="Arial" w:hAnsi="Arial" w:cs="Arial"/>
          <w:color w:val="000000"/>
          <w:sz w:val="16"/>
          <w:szCs w:val="16"/>
        </w:rPr>
        <w:t xml:space="preserve">as para los Derechos Humanos - FAO. </w:t>
      </w:r>
      <w:r>
        <w:rPr>
          <w:rFonts w:ascii="Arial" w:eastAsia="Arial" w:hAnsi="Arial" w:cs="Arial"/>
          <w:i/>
          <w:color w:val="000000"/>
          <w:sz w:val="16"/>
          <w:szCs w:val="16"/>
        </w:rPr>
        <w:t xml:space="preserve">Folleto Informativo No. 34. El derecho a la alimentación adecuada. </w:t>
      </w:r>
      <w:r>
        <w:rPr>
          <w:rFonts w:ascii="Arial" w:eastAsia="Arial" w:hAnsi="Arial" w:cs="Arial"/>
          <w:color w:val="000000"/>
          <w:sz w:val="16"/>
          <w:szCs w:val="16"/>
        </w:rPr>
        <w:t>Págs. 5 – 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187" w:rsidRDefault="002B2E2D">
    <w:pPr>
      <w:pBdr>
        <w:top w:val="nil"/>
        <w:left w:val="nil"/>
        <w:bottom w:val="nil"/>
        <w:right w:val="nil"/>
        <w:between w:val="nil"/>
      </w:pBdr>
      <w:tabs>
        <w:tab w:val="center" w:pos="4419"/>
        <w:tab w:val="right" w:pos="8838"/>
      </w:tabs>
      <w:spacing w:after="0" w:line="240" w:lineRule="auto"/>
      <w:jc w:val="right"/>
      <w:rPr>
        <w:color w:val="00000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110.7pt;margin-top:-100.9pt;width:220.5pt;height:788.25pt;z-index:-251658752;mso-position-horizontal:absolute;mso-position-horizontal-relative:margin;mso-position-vertical:absolute;mso-position-vertical-relative:margin">
          <v:imagedata r:id="rId1" o:title="image1" cropright="41177f"/>
          <w10:wrap anchorx="margin" anchory="margin"/>
        </v:shape>
      </w:pict>
    </w:r>
    <w:r>
      <w:rPr>
        <w:color w:val="000000"/>
      </w:rPr>
      <w:t xml:space="preserve">                                  </w:t>
    </w:r>
  </w:p>
  <w:p w:rsidR="00267187" w:rsidRDefault="002B2E2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4203"/>
    <w:multiLevelType w:val="multilevel"/>
    <w:tmpl w:val="3F6A10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FA1F55"/>
    <w:multiLevelType w:val="multilevel"/>
    <w:tmpl w:val="8D881A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374B0A"/>
    <w:multiLevelType w:val="multilevel"/>
    <w:tmpl w:val="106682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49F47A8"/>
    <w:multiLevelType w:val="multilevel"/>
    <w:tmpl w:val="55C00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88E28D6"/>
    <w:multiLevelType w:val="multilevel"/>
    <w:tmpl w:val="9B882E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8A71F3"/>
    <w:multiLevelType w:val="multilevel"/>
    <w:tmpl w:val="910CFA2C"/>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Arial Narrow" w:eastAsia="Arial Narrow" w:hAnsi="Arial Narrow" w:cs="Arial Narro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4BB0030"/>
    <w:multiLevelType w:val="multilevel"/>
    <w:tmpl w:val="D736DDF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3E2C51"/>
    <w:multiLevelType w:val="multilevel"/>
    <w:tmpl w:val="C24C8EE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6"/>
  </w:num>
  <w:num w:numId="3">
    <w:abstractNumId w:val="7"/>
  </w:num>
  <w:num w:numId="4">
    <w:abstractNumId w:val="0"/>
  </w:num>
  <w:num w:numId="5">
    <w:abstractNumId w:val="3"/>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187"/>
    <w:rsid w:val="00267187"/>
    <w:rsid w:val="002B2E2D"/>
    <w:rsid w:val="00AA48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41CB96"/>
  <w15:docId w15:val="{A08E468F-63A1-49B9-9690-AE9AFA25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_tradnl"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882"/>
  </w:style>
  <w:style w:type="paragraph" w:styleId="Ttulo1">
    <w:name w:val="heading 1"/>
    <w:basedOn w:val="Normal"/>
    <w:next w:val="Normal"/>
    <w:link w:val="Ttulo1Car"/>
    <w:uiPriority w:val="9"/>
    <w:qFormat/>
    <w:rsid w:val="004F3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3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38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38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38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388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388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388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388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4F3882"/>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4F38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38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38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38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38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38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38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38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3882"/>
    <w:rPr>
      <w:rFonts w:eastAsiaTheme="majorEastAsia" w:cstheme="majorBidi"/>
      <w:color w:val="272727" w:themeColor="text1" w:themeTint="D8"/>
    </w:rPr>
  </w:style>
  <w:style w:type="character" w:customStyle="1" w:styleId="TtuloCar">
    <w:name w:val="Título Car"/>
    <w:basedOn w:val="Fuentedeprrafopredeter"/>
    <w:link w:val="Ttulo"/>
    <w:uiPriority w:val="10"/>
    <w:rsid w:val="004F38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4F38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3882"/>
    <w:pPr>
      <w:spacing w:before="160"/>
      <w:jc w:val="center"/>
    </w:pPr>
    <w:rPr>
      <w:i/>
      <w:iCs/>
      <w:color w:val="404040" w:themeColor="text1" w:themeTint="BF"/>
    </w:rPr>
  </w:style>
  <w:style w:type="character" w:customStyle="1" w:styleId="CitaCar">
    <w:name w:val="Cita Car"/>
    <w:basedOn w:val="Fuentedeprrafopredeter"/>
    <w:link w:val="Cita"/>
    <w:uiPriority w:val="29"/>
    <w:rsid w:val="004F3882"/>
    <w:rPr>
      <w:i/>
      <w:iCs/>
      <w:color w:val="404040" w:themeColor="text1" w:themeTint="BF"/>
    </w:rPr>
  </w:style>
  <w:style w:type="paragraph" w:styleId="Prrafodelista">
    <w:name w:val="List Paragraph"/>
    <w:basedOn w:val="Normal"/>
    <w:uiPriority w:val="34"/>
    <w:qFormat/>
    <w:rsid w:val="004F3882"/>
    <w:pPr>
      <w:ind w:left="720"/>
      <w:contextualSpacing/>
    </w:pPr>
  </w:style>
  <w:style w:type="character" w:styleId="nfasisintenso">
    <w:name w:val="Intense Emphasis"/>
    <w:basedOn w:val="Fuentedeprrafopredeter"/>
    <w:uiPriority w:val="21"/>
    <w:qFormat/>
    <w:rsid w:val="004F3882"/>
    <w:rPr>
      <w:i/>
      <w:iCs/>
      <w:color w:val="0F4761" w:themeColor="accent1" w:themeShade="BF"/>
    </w:rPr>
  </w:style>
  <w:style w:type="paragraph" w:styleId="Citadestacada">
    <w:name w:val="Intense Quote"/>
    <w:basedOn w:val="Normal"/>
    <w:next w:val="Normal"/>
    <w:link w:val="CitadestacadaCar"/>
    <w:uiPriority w:val="30"/>
    <w:qFormat/>
    <w:rsid w:val="004F3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3882"/>
    <w:rPr>
      <w:i/>
      <w:iCs/>
      <w:color w:val="0F4761" w:themeColor="accent1" w:themeShade="BF"/>
    </w:rPr>
  </w:style>
  <w:style w:type="character" w:styleId="Referenciaintensa">
    <w:name w:val="Intense Reference"/>
    <w:basedOn w:val="Fuentedeprrafopredeter"/>
    <w:uiPriority w:val="32"/>
    <w:qFormat/>
    <w:rsid w:val="004F3882"/>
    <w:rPr>
      <w:b/>
      <w:bCs/>
      <w:smallCaps/>
      <w:color w:val="0F4761" w:themeColor="accent1" w:themeShade="BF"/>
      <w:spacing w:val="5"/>
    </w:rPr>
  </w:style>
  <w:style w:type="table" w:styleId="Tablanormal1">
    <w:name w:val="Plain Table 1"/>
    <w:basedOn w:val="Tablanormal"/>
    <w:uiPriority w:val="41"/>
    <w:rsid w:val="004F38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n">
    <w:name w:val="Revision"/>
    <w:hidden/>
    <w:uiPriority w:val="99"/>
    <w:semiHidden/>
    <w:rsid w:val="004F3882"/>
    <w:pPr>
      <w:spacing w:after="0" w:line="240" w:lineRule="auto"/>
    </w:pPr>
  </w:style>
  <w:style w:type="character" w:styleId="Refdecomentario">
    <w:name w:val="annotation reference"/>
    <w:basedOn w:val="Fuentedeprrafopredeter"/>
    <w:uiPriority w:val="99"/>
    <w:semiHidden/>
    <w:unhideWhenUsed/>
    <w:rsid w:val="00E77E5C"/>
    <w:rPr>
      <w:sz w:val="16"/>
      <w:szCs w:val="16"/>
    </w:rPr>
  </w:style>
  <w:style w:type="paragraph" w:styleId="Textocomentario">
    <w:name w:val="annotation text"/>
    <w:basedOn w:val="Normal"/>
    <w:link w:val="TextocomentarioCar"/>
    <w:uiPriority w:val="99"/>
    <w:unhideWhenUsed/>
    <w:rsid w:val="00E77E5C"/>
    <w:pPr>
      <w:spacing w:line="240" w:lineRule="auto"/>
    </w:pPr>
    <w:rPr>
      <w:sz w:val="20"/>
      <w:szCs w:val="20"/>
    </w:rPr>
  </w:style>
  <w:style w:type="character" w:customStyle="1" w:styleId="TextocomentarioCar">
    <w:name w:val="Texto comentario Car"/>
    <w:basedOn w:val="Fuentedeprrafopredeter"/>
    <w:link w:val="Textocomentario"/>
    <w:uiPriority w:val="99"/>
    <w:rsid w:val="00E77E5C"/>
    <w:rPr>
      <w:rFonts w:ascii="Calibri" w:eastAsia="Calibri" w:hAnsi="Calibri" w:cs="Calibri"/>
      <w:kern w:val="0"/>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E77E5C"/>
    <w:rPr>
      <w:b/>
      <w:bCs/>
    </w:rPr>
  </w:style>
  <w:style w:type="character" w:customStyle="1" w:styleId="AsuntodelcomentarioCar">
    <w:name w:val="Asunto del comentario Car"/>
    <w:basedOn w:val="TextocomentarioCar"/>
    <w:link w:val="Asuntodelcomentario"/>
    <w:uiPriority w:val="99"/>
    <w:semiHidden/>
    <w:rsid w:val="00E77E5C"/>
    <w:rPr>
      <w:rFonts w:ascii="Calibri" w:eastAsia="Calibri" w:hAnsi="Calibri" w:cs="Calibri"/>
      <w:b/>
      <w:bCs/>
      <w:kern w:val="0"/>
      <w:sz w:val="20"/>
      <w:szCs w:val="20"/>
      <w:lang w:eastAsia="es-CO"/>
    </w:rPr>
  </w:style>
  <w:style w:type="paragraph" w:styleId="NormalWeb">
    <w:name w:val="Normal (Web)"/>
    <w:basedOn w:val="Normal"/>
    <w:uiPriority w:val="99"/>
    <w:unhideWhenUsed/>
    <w:rsid w:val="00E77E5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1"/>
    <w:pPr>
      <w:spacing w:after="0" w:line="240" w:lineRule="auto"/>
    </w:p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D06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20E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0E40"/>
  </w:style>
  <w:style w:type="paragraph" w:styleId="Piedepgina">
    <w:name w:val="footer"/>
    <w:basedOn w:val="Normal"/>
    <w:link w:val="PiedepginaCar"/>
    <w:uiPriority w:val="99"/>
    <w:unhideWhenUsed/>
    <w:rsid w:val="00320E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0E40"/>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pPr>
      <w:spacing w:after="0" w:line="240" w:lineRule="auto"/>
    </w:p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0"/>
    <w:pPr>
      <w:spacing w:after="0" w:line="240" w:lineRule="auto"/>
    </w:p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0"/>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8zxJ3Z85URHYasPQnO5sluTw==">CgMxLjAyCGguZ2pkZ3hzOABqJwoTc3VnZ2VzdC5yYmUzbnA1d2RvcRIQRWR1YXJkIFNhcm1pZW50b2ooChRzdWdnZXN0LmRram83cDhqdmRnbxIQRWR1YXJkIFNhcm1pZW50b2ooChRzdWdnZXN0LmV4d2hpNXYzcHA3MhIQRWR1YXJkIFNhcm1pZW50b2ooChRzdWdnZXN0LjNwd2xucG00M3dwMxIQRWR1YXJkIFNhcm1pZW50b2ooChRzdWdnZXN0LmVpMWNjcnZpcnYwZBIQRWR1YXJkIFNhcm1pZW50b2ooChRzdWdnZXN0Lm1iZ2ZjZ3U4eDdlcBIQRWR1YXJkIFNhcm1pZW50b2onChNzdWdnZXN0Ljhlb2Y0NHJlcTZpEhBFZHVhcmQgU2FybWllbnRvciExMzlkUWU1SmcxS3MybmxBSWN2aU1IbkJnQzFpc2pLV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9374</Words>
  <Characters>51560</Characters>
  <Application>Microsoft Office Word</Application>
  <DocSecurity>0</DocSecurity>
  <Lines>429</Lines>
  <Paragraphs>121</Paragraphs>
  <ScaleCrop>false</ScaleCrop>
  <Company>HP Inc.</Company>
  <LinksUpToDate>false</LinksUpToDate>
  <CharactersWithSpaces>60813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Saade Ortega</dc:creator>
  <cp:lastModifiedBy>Yeison Orlando Niño Ricardo</cp:lastModifiedBy>
  <cp:revision>2</cp:revision>
  <dcterms:created xsi:type="dcterms:W3CDTF">2024-11-12T19:15:00Z</dcterms:created>
  <dcterms:modified xsi:type="dcterms:W3CDTF">2024-11-19T17:48:00Z</dcterms:modified>
</cp:coreProperties>
</file>