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Bogotá D.C, 22 de mayo de 2024 </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after="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br w:type="textWrapping"/>
        <w:t xml:space="preserve">Doctor</w:t>
        <w:br w:type="textWrapping"/>
      </w:r>
      <w:r w:rsidDel="00000000" w:rsidR="00000000" w:rsidRPr="00000000">
        <w:rPr>
          <w:rFonts w:ascii="Arial" w:cs="Arial" w:eastAsia="Arial" w:hAnsi="Arial"/>
          <w:b w:val="1"/>
          <w:sz w:val="24"/>
          <w:szCs w:val="24"/>
          <w:rtl w:val="0"/>
        </w:rPr>
        <w:t xml:space="preserve">Óscar Hernán Sánchez León</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sz w:val="24"/>
          <w:szCs w:val="24"/>
        </w:rPr>
      </w:pPr>
      <w:r w:rsidDel="00000000" w:rsidR="00000000" w:rsidRPr="00000000">
        <w:rPr>
          <w:rFonts w:ascii="Arial" w:cs="Arial" w:eastAsia="Arial" w:hAnsi="Arial"/>
          <w:b w:val="1"/>
          <w:sz w:val="24"/>
          <w:szCs w:val="24"/>
          <w:rtl w:val="0"/>
        </w:rPr>
        <w:t xml:space="preserve">Presidente de la Comisión Primera</w:t>
      </w:r>
      <w:r w:rsidDel="00000000" w:rsidR="00000000" w:rsidRPr="00000000">
        <w:rPr>
          <w:rFonts w:ascii="Arial" w:cs="Arial" w:eastAsia="Arial" w:hAnsi="Arial"/>
          <w:sz w:val="24"/>
          <w:szCs w:val="24"/>
          <w:rtl w:val="0"/>
        </w:rPr>
        <w:tab/>
        <w:br w:type="textWrapping"/>
      </w:r>
      <w:r w:rsidDel="00000000" w:rsidR="00000000" w:rsidRPr="00000000">
        <w:rPr>
          <w:rFonts w:ascii="Arial" w:cs="Arial" w:eastAsia="Arial" w:hAnsi="Arial"/>
          <w:b w:val="1"/>
          <w:sz w:val="24"/>
          <w:szCs w:val="24"/>
          <w:rtl w:val="0"/>
        </w:rPr>
        <w:t xml:space="preserve">Constitucional Permanente</w:t>
        <w:br w:type="textWrapping"/>
        <w:t xml:space="preserve">Cámara de Representantes</w:t>
      </w:r>
      <w:r w:rsidDel="00000000" w:rsidR="00000000" w:rsidRPr="00000000">
        <w:rPr>
          <w:rFonts w:ascii="Arial" w:cs="Arial" w:eastAsia="Arial" w:hAnsi="Arial"/>
          <w:sz w:val="24"/>
          <w:szCs w:val="24"/>
          <w:rtl w:val="0"/>
        </w:rPr>
        <w:br w:type="textWrapping"/>
        <w:t xml:space="preserve">Ciudad</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ind w:left="2160"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Ref:</w:t>
      </w:r>
      <w:r w:rsidDel="00000000" w:rsidR="00000000" w:rsidRPr="00000000">
        <w:rPr>
          <w:rFonts w:ascii="Arial" w:cs="Arial" w:eastAsia="Arial" w:hAnsi="Arial"/>
          <w:sz w:val="24"/>
          <w:szCs w:val="24"/>
          <w:rtl w:val="0"/>
        </w:rPr>
        <w:t xml:space="preserve"> Informe de ponencia para segundo debate del </w:t>
      </w:r>
      <w:r w:rsidDel="00000000" w:rsidR="00000000" w:rsidRPr="00000000">
        <w:rPr>
          <w:rFonts w:ascii="Arial" w:cs="Arial" w:eastAsia="Arial" w:hAnsi="Arial"/>
          <w:b w:val="1"/>
          <w:sz w:val="24"/>
          <w:szCs w:val="24"/>
          <w:rtl w:val="0"/>
        </w:rPr>
        <w:t xml:space="preserve">Proyecto de Acto Legislativo No. 436 de 2024 Cámara – No. 020 de 2024 Senado, “Por el cual se modifica el artículo 65 de la Constitución Política de Colombia”.</w:t>
      </w:r>
      <w:r w:rsidDel="00000000" w:rsidR="00000000" w:rsidRPr="00000000">
        <w:rPr>
          <w:rtl w:val="0"/>
        </w:rPr>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ind w:left="21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cumplimiento de la designación que nos hizo la Mesa Directiva de la Comisión Primera, Constitucional Permanente de la Cámara de Representantes mediante Acta 033, ratificada durante la sesión en que se aprobó la ponencia de primer debate, y con fundamento en los artículos 150, 153 y 156 de la Ley 5 de 1992, nos permitimos rendir informe de ponencia para segundo debate al Proyecto de Acto Legislativo de la referencia.</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Cordialmente,</w:t>
      </w:r>
    </w:p>
    <w:p w:rsidR="00000000" w:rsidDel="00000000" w:rsidP="00000000" w:rsidRDefault="00000000" w:rsidRPr="00000000" w14:paraId="0000000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ANA PAOLA GARCIA SOTO  </w:t>
        <w:tab/>
        <w:tab/>
      </w:r>
      <w:r w:rsidDel="00000000" w:rsidR="00000000" w:rsidRPr="00000000">
        <w:rPr>
          <w:rFonts w:ascii="Arial" w:cs="Arial" w:eastAsia="Arial" w:hAnsi="Arial"/>
          <w:sz w:val="24"/>
          <w:szCs w:val="24"/>
          <w:rtl w:val="0"/>
        </w:rPr>
        <w:br w:type="textWrapping"/>
      </w:r>
      <w:r w:rsidDel="00000000" w:rsidR="00000000" w:rsidRPr="00000000">
        <w:rPr>
          <w:rFonts w:ascii="Arial" w:cs="Arial" w:eastAsia="Arial" w:hAnsi="Arial"/>
          <w:b w:val="1"/>
          <w:sz w:val="24"/>
          <w:szCs w:val="24"/>
          <w:rtl w:val="0"/>
        </w:rPr>
        <w:t xml:space="preserve">Representante a la Cámara</w:t>
        <w:br w:type="textWrapping"/>
      </w:r>
      <w:r w:rsidDel="00000000" w:rsidR="00000000" w:rsidRPr="00000000">
        <w:rPr>
          <w:rFonts w:ascii="Arial" w:cs="Arial" w:eastAsia="Arial" w:hAnsi="Arial"/>
          <w:sz w:val="24"/>
          <w:szCs w:val="24"/>
          <w:rtl w:val="0"/>
        </w:rPr>
        <w:t xml:space="preserve">Coordinadora ponente</w:t>
      </w:r>
    </w:p>
    <w:p w:rsidR="00000000" w:rsidDel="00000000" w:rsidP="00000000" w:rsidRDefault="00000000" w:rsidRPr="00000000" w14:paraId="00000010">
      <w:pPr>
        <w:ind w:left="-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ind w:left="-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ind w:left="-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EDUARD GIOVANNY SARMIENTO HIDALGO</w:t>
        <w:br w:type="textWrapping"/>
        <w:t xml:space="preserve">Representante a la Cámara</w:t>
        <w:br w:type="textWrapping"/>
      </w:r>
      <w:r w:rsidDel="00000000" w:rsidR="00000000" w:rsidRPr="00000000">
        <w:rPr>
          <w:rFonts w:ascii="Arial" w:cs="Arial" w:eastAsia="Arial" w:hAnsi="Arial"/>
          <w:sz w:val="24"/>
          <w:szCs w:val="24"/>
          <w:rtl w:val="0"/>
        </w:rPr>
        <w:t xml:space="preserve">Coordinador ponente</w:t>
      </w:r>
      <w:r w:rsidDel="00000000" w:rsidR="00000000" w:rsidRPr="00000000">
        <w:rPr>
          <w:rtl w:val="0"/>
        </w:rPr>
      </w:r>
    </w:p>
    <w:p w:rsidR="00000000" w:rsidDel="00000000" w:rsidP="00000000" w:rsidRDefault="00000000" w:rsidRPr="00000000" w14:paraId="00000013">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4">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5">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6">
      <w:pPr>
        <w:rPr>
          <w:rFonts w:ascii="Arial" w:cs="Arial" w:eastAsia="Arial" w:hAnsi="Arial"/>
          <w:sz w:val="24"/>
          <w:szCs w:val="24"/>
        </w:rPr>
      </w:pPr>
      <w:r w:rsidDel="00000000" w:rsidR="00000000" w:rsidRPr="00000000">
        <w:rPr>
          <w:rFonts w:ascii="Arial" w:cs="Arial" w:eastAsia="Arial" w:hAnsi="Arial"/>
          <w:b w:val="1"/>
          <w:sz w:val="24"/>
          <w:szCs w:val="24"/>
          <w:rtl w:val="0"/>
        </w:rPr>
        <w:br w:type="textWrapping"/>
        <w:t xml:space="preserve">ÁLVARO LEONEL RUEDA CABALLERO</w:t>
        <w:br w:type="textWrapping"/>
        <w:t xml:space="preserve">Representante a la Cámara</w:t>
        <w:br w:type="textWrapping"/>
      </w:r>
      <w:r w:rsidDel="00000000" w:rsidR="00000000" w:rsidRPr="00000000">
        <w:rPr>
          <w:rFonts w:ascii="Arial" w:cs="Arial" w:eastAsia="Arial" w:hAnsi="Arial"/>
          <w:sz w:val="24"/>
          <w:szCs w:val="24"/>
          <w:rtl w:val="0"/>
        </w:rPr>
        <w:t xml:space="preserve">Coordinador ponente</w:t>
      </w:r>
    </w:p>
    <w:p w:rsidR="00000000" w:rsidDel="00000000" w:rsidP="00000000" w:rsidRDefault="00000000" w:rsidRPr="00000000" w14:paraId="00000017">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8">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JULIO CÉSAR TRIANA QUINTERO</w:t>
        <w:br w:type="textWrapping"/>
        <w:t xml:space="preserve">Representante a la Cámara</w:t>
        <w:br w:type="textWrapping"/>
      </w:r>
      <w:r w:rsidDel="00000000" w:rsidR="00000000" w:rsidRPr="00000000">
        <w:rPr>
          <w:rFonts w:ascii="Arial" w:cs="Arial" w:eastAsia="Arial" w:hAnsi="Arial"/>
          <w:sz w:val="24"/>
          <w:szCs w:val="24"/>
          <w:rtl w:val="0"/>
        </w:rPr>
        <w:t xml:space="preserve">Ponente</w:t>
      </w:r>
    </w:p>
    <w:p w:rsidR="00000000" w:rsidDel="00000000" w:rsidP="00000000" w:rsidRDefault="00000000" w:rsidRPr="00000000" w14:paraId="0000001A">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B">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C">
      <w:pPr>
        <w:ind w:left="-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RUTH AMELIA CAYCEDO ROSERO</w:t>
        <w:br w:type="textWrapping"/>
        <w:t xml:space="preserve">Representante a la Cámara</w:t>
        <w:br w:type="textWrapping"/>
      </w:r>
      <w:r w:rsidDel="00000000" w:rsidR="00000000" w:rsidRPr="00000000">
        <w:rPr>
          <w:rFonts w:ascii="Arial" w:cs="Arial" w:eastAsia="Arial" w:hAnsi="Arial"/>
          <w:sz w:val="24"/>
          <w:szCs w:val="24"/>
          <w:rtl w:val="0"/>
        </w:rPr>
        <w:t xml:space="preserve">Ponente</w:t>
      </w:r>
      <w:r w:rsidDel="00000000" w:rsidR="00000000" w:rsidRPr="00000000">
        <w:rPr>
          <w:rtl w:val="0"/>
        </w:rPr>
      </w:r>
    </w:p>
    <w:p w:rsidR="00000000" w:rsidDel="00000000" w:rsidP="00000000" w:rsidRDefault="00000000" w:rsidRPr="00000000" w14:paraId="0000001D">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E">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F">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JOSE JAIME USCÁTEGUI PASTRANA</w:t>
        <w:br w:type="textWrapping"/>
        <w:t xml:space="preserve">Representante a la Cámara</w:t>
        <w:br w:type="textWrapping"/>
      </w:r>
      <w:r w:rsidDel="00000000" w:rsidR="00000000" w:rsidRPr="00000000">
        <w:rPr>
          <w:rFonts w:ascii="Arial" w:cs="Arial" w:eastAsia="Arial" w:hAnsi="Arial"/>
          <w:sz w:val="24"/>
          <w:szCs w:val="24"/>
          <w:rtl w:val="0"/>
        </w:rPr>
        <w:t xml:space="preserve">Ponente</w:t>
      </w:r>
      <w:r w:rsidDel="00000000" w:rsidR="00000000" w:rsidRPr="00000000">
        <w:rPr>
          <w:rtl w:val="0"/>
        </w:rPr>
      </w:r>
    </w:p>
    <w:p w:rsidR="00000000" w:rsidDel="00000000" w:rsidP="00000000" w:rsidRDefault="00000000" w:rsidRPr="00000000" w14:paraId="00000020">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1">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2">
      <w:pPr>
        <w:ind w:left="-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ORLANDO CASTILLO ADVÍNCULA</w:t>
        <w:br w:type="textWrapping"/>
        <w:t xml:space="preserve">Representante a la Cámara</w:t>
        <w:br w:type="textWrapping"/>
      </w:r>
      <w:r w:rsidDel="00000000" w:rsidR="00000000" w:rsidRPr="00000000">
        <w:rPr>
          <w:rFonts w:ascii="Arial" w:cs="Arial" w:eastAsia="Arial" w:hAnsi="Arial"/>
          <w:sz w:val="24"/>
          <w:szCs w:val="24"/>
          <w:rtl w:val="0"/>
        </w:rPr>
        <w:t xml:space="preserve">Ponente</w:t>
      </w:r>
      <w:r w:rsidDel="00000000" w:rsidR="00000000" w:rsidRPr="00000000">
        <w:rPr>
          <w:rtl w:val="0"/>
        </w:rPr>
      </w:r>
    </w:p>
    <w:p w:rsidR="00000000" w:rsidDel="00000000" w:rsidP="00000000" w:rsidRDefault="00000000" w:rsidRPr="00000000" w14:paraId="00000023">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4">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5">
      <w:pPr>
        <w:ind w:left="-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DUVALIER SÁNCHEZ ARANGO</w:t>
        <w:br w:type="textWrapping"/>
        <w:t xml:space="preserve">Representante a la Cámara</w:t>
        <w:br w:type="textWrapping"/>
      </w:r>
      <w:r w:rsidDel="00000000" w:rsidR="00000000" w:rsidRPr="00000000">
        <w:rPr>
          <w:rFonts w:ascii="Arial" w:cs="Arial" w:eastAsia="Arial" w:hAnsi="Arial"/>
          <w:sz w:val="24"/>
          <w:szCs w:val="24"/>
          <w:rtl w:val="0"/>
        </w:rPr>
        <w:t xml:space="preserve">Ponente</w:t>
      </w:r>
      <w:r w:rsidDel="00000000" w:rsidR="00000000" w:rsidRPr="00000000">
        <w:rPr>
          <w:rtl w:val="0"/>
        </w:rPr>
      </w:r>
    </w:p>
    <w:p w:rsidR="00000000" w:rsidDel="00000000" w:rsidP="00000000" w:rsidRDefault="00000000" w:rsidRPr="00000000" w14:paraId="00000026">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7">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8">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9">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A">
      <w:pPr>
        <w:ind w:left="-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MARELEN CASTILLO TORRES</w:t>
        <w:br w:type="textWrapping"/>
        <w:t xml:space="preserve">Representante a la Cámara</w:t>
        <w:br w:type="textWrapping"/>
      </w:r>
      <w:r w:rsidDel="00000000" w:rsidR="00000000" w:rsidRPr="00000000">
        <w:rPr>
          <w:rFonts w:ascii="Arial" w:cs="Arial" w:eastAsia="Arial" w:hAnsi="Arial"/>
          <w:sz w:val="24"/>
          <w:szCs w:val="24"/>
          <w:rtl w:val="0"/>
        </w:rPr>
        <w:t xml:space="preserve">Ponente</w:t>
      </w:r>
      <w:r w:rsidDel="00000000" w:rsidR="00000000" w:rsidRPr="00000000">
        <w:rPr>
          <w:rtl w:val="0"/>
        </w:rPr>
      </w:r>
    </w:p>
    <w:p w:rsidR="00000000" w:rsidDel="00000000" w:rsidP="00000000" w:rsidRDefault="00000000" w:rsidRPr="00000000" w14:paraId="0000002B">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C">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D">
      <w:pPr>
        <w:ind w:left="-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LUIS ALBERTO ALBÁN URBANO</w:t>
        <w:br w:type="textWrapping"/>
        <w:t xml:space="preserve">Representante a la Cámara</w:t>
        <w:br w:type="textWrapping"/>
      </w:r>
      <w:r w:rsidDel="00000000" w:rsidR="00000000" w:rsidRPr="00000000">
        <w:rPr>
          <w:rFonts w:ascii="Arial" w:cs="Arial" w:eastAsia="Arial" w:hAnsi="Arial"/>
          <w:sz w:val="24"/>
          <w:szCs w:val="24"/>
          <w:rtl w:val="0"/>
        </w:rPr>
        <w:t xml:space="preserve">Ponente</w:t>
      </w:r>
      <w:r w:rsidDel="00000000" w:rsidR="00000000" w:rsidRPr="00000000">
        <w:rPr>
          <w:rtl w:val="0"/>
        </w:rPr>
      </w:r>
    </w:p>
    <w:p w:rsidR="00000000" w:rsidDel="00000000" w:rsidP="00000000" w:rsidRDefault="00000000" w:rsidRPr="00000000" w14:paraId="0000002E">
      <w:pPr>
        <w:ind w:left="-2" w:firstLine="0"/>
        <w:rPr>
          <w:rFonts w:ascii="Arial" w:cs="Arial" w:eastAsia="Arial" w:hAnsi="Arial"/>
          <w:sz w:val="24"/>
          <w:szCs w:val="24"/>
        </w:rPr>
      </w:pPr>
      <w:r w:rsidDel="00000000" w:rsidR="00000000" w:rsidRPr="00000000">
        <w:rPr>
          <w:rFonts w:ascii="Arial" w:cs="Arial" w:eastAsia="Arial" w:hAnsi="Arial"/>
          <w:sz w:val="24"/>
          <w:szCs w:val="24"/>
          <w:rtl w:val="0"/>
        </w:rPr>
        <w:tab/>
        <w:tab/>
      </w:r>
    </w:p>
    <w:p w:rsidR="00000000" w:rsidDel="00000000" w:rsidP="00000000" w:rsidRDefault="00000000" w:rsidRPr="00000000" w14:paraId="0000002F">
      <w:pPr>
        <w:ind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ind w:hanging="2"/>
        <w:jc w:val="both"/>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3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pBdr>
          <w:top w:color="000000" w:space="0" w:sz="4" w:val="single"/>
          <w:left w:color="000000" w:space="0" w:sz="4" w:val="single"/>
          <w:bottom w:color="000000" w:space="0" w:sz="4" w:val="single"/>
          <w:right w:color="000000" w:space="0" w:sz="4" w:val="single"/>
        </w:pBdr>
        <w:ind w:hanging="2"/>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TRÁMITE DEL PROYECTO</w:t>
      </w:r>
      <w:r w:rsidDel="00000000" w:rsidR="00000000" w:rsidRPr="00000000">
        <w:rPr>
          <w:rtl w:val="0"/>
        </w:rPr>
      </w:r>
    </w:p>
    <w:p w:rsidR="00000000" w:rsidDel="00000000" w:rsidP="00000000" w:rsidRDefault="00000000" w:rsidRPr="00000000" w14:paraId="00000043">
      <w:pPr>
        <w:ind w:hanging="2"/>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Origen:</w:t>
      </w:r>
      <w:r w:rsidDel="00000000" w:rsidR="00000000" w:rsidRPr="00000000">
        <w:rPr>
          <w:rFonts w:ascii="Arial" w:cs="Arial" w:eastAsia="Arial" w:hAnsi="Arial"/>
          <w:sz w:val="24"/>
          <w:szCs w:val="24"/>
          <w:rtl w:val="0"/>
        </w:rPr>
        <w:tab/>
        <w:tab/>
        <w:tab/>
        <w:t xml:space="preserve">Congresional</w:t>
      </w:r>
    </w:p>
    <w:p w:rsidR="00000000" w:rsidDel="00000000" w:rsidP="00000000" w:rsidRDefault="00000000" w:rsidRPr="00000000" w14:paraId="00000044">
      <w:pPr>
        <w:ind w:left="2880" w:hanging="288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Autor:</w:t>
        <w:tab/>
      </w:r>
      <w:r w:rsidDel="00000000" w:rsidR="00000000" w:rsidRPr="00000000">
        <w:rPr>
          <w:rFonts w:ascii="Arial" w:cs="Arial" w:eastAsia="Arial" w:hAnsi="Arial"/>
          <w:sz w:val="24"/>
          <w:szCs w:val="24"/>
          <w:rtl w:val="0"/>
        </w:rPr>
        <w:t xml:space="preserve">HH.SS: Alfredo Deluque Zuleta, Antonio Correa Jiménez, Alejandro Vega Pérez, Jahel Quiroga Carrillo, José Luis Pérez Oyuela, Didier Lobo Chinchilla, Fabio Amín Saleme, Gloria Flórez Schneider, Alejandro Carlos Chacón Camargo. – HH.RR: Eduard Sarmiento Hidalgo.</w:t>
      </w:r>
    </w:p>
    <w:p w:rsidR="00000000" w:rsidDel="00000000" w:rsidP="00000000" w:rsidRDefault="00000000" w:rsidRPr="00000000" w14:paraId="00000045">
      <w:pPr>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Proyecto Original:</w:t>
      </w:r>
      <w:r w:rsidDel="00000000" w:rsidR="00000000" w:rsidRPr="00000000">
        <w:rPr>
          <w:rFonts w:ascii="Arial" w:cs="Arial" w:eastAsia="Arial" w:hAnsi="Arial"/>
          <w:sz w:val="24"/>
          <w:szCs w:val="24"/>
          <w:rtl w:val="0"/>
        </w:rPr>
        <w:tab/>
        <w:t xml:space="preserve"> </w:t>
        <w:tab/>
        <w:t xml:space="preserve">Gaceta N° 90/2024</w:t>
      </w:r>
    </w:p>
    <w:p w:rsidR="00000000" w:rsidDel="00000000" w:rsidP="00000000" w:rsidRDefault="00000000" w:rsidRPr="00000000" w14:paraId="00000046">
      <w:pPr>
        <w:tabs>
          <w:tab w:val="left" w:leader="none" w:pos="708"/>
        </w:tabs>
        <w:spacing w:after="120" w:lineRule="auto"/>
        <w:ind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spacing w:line="240" w:lineRule="auto"/>
        <w:ind w:left="2880" w:hanging="288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Trámite:</w:t>
        <w:tab/>
      </w:r>
      <w:r w:rsidDel="00000000" w:rsidR="00000000" w:rsidRPr="00000000">
        <w:rPr>
          <w:rFonts w:ascii="Arial" w:cs="Arial" w:eastAsia="Arial" w:hAnsi="Arial"/>
          <w:sz w:val="24"/>
          <w:szCs w:val="24"/>
          <w:rtl w:val="0"/>
        </w:rPr>
        <w:t xml:space="preserve">El día dieciséis (16) de febrero de 2024 se radicó el expediente del proyecto de Acto Legislativo No. 020 de 2024 Senado “Por el cual se modifica el artículo 65 de la Constitución Política de Colombia”; aprobándose la misma sin modificaciones.</w:t>
      </w:r>
    </w:p>
    <w:p w:rsidR="00000000" w:rsidDel="00000000" w:rsidP="00000000" w:rsidRDefault="00000000" w:rsidRPr="00000000" w14:paraId="00000048">
      <w:pPr>
        <w:spacing w:line="240" w:lineRule="auto"/>
        <w:ind w:left="288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día veintiocho (28) de febrero de 2024 la Mesa Directiva de la Comisión Primera del Senado de la República mediante Acta MD-20 se designó como ponente al Senador Alfredo Deluque Zuleta.</w:t>
      </w:r>
    </w:p>
    <w:p w:rsidR="00000000" w:rsidDel="00000000" w:rsidP="00000000" w:rsidRDefault="00000000" w:rsidRPr="00000000" w14:paraId="00000049">
      <w:pPr>
        <w:spacing w:line="240" w:lineRule="auto"/>
        <w:ind w:left="288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día 20 de marzo fue aprobado en Comisión Primera de Senado, se designó como ponente al Senador Alfredo Deluque Zuleta.</w:t>
      </w:r>
    </w:p>
    <w:p w:rsidR="00000000" w:rsidDel="00000000" w:rsidP="00000000" w:rsidRDefault="00000000" w:rsidRPr="00000000" w14:paraId="0000004A">
      <w:pPr>
        <w:spacing w:line="240" w:lineRule="auto"/>
        <w:ind w:left="288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día 07 de mayo de 2024 fue aprobado en la plenaria del Senado de la República. </w:t>
      </w:r>
    </w:p>
    <w:p w:rsidR="00000000" w:rsidDel="00000000" w:rsidP="00000000" w:rsidRDefault="00000000" w:rsidRPr="00000000" w14:paraId="0000004B">
      <w:pPr>
        <w:spacing w:line="240" w:lineRule="auto"/>
        <w:ind w:left="288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día 22 de mayo de 2024 fue aprobado en la Comisión Primera Constitucional Permanente, en tercer debate (primera vuelta).</w:t>
      </w:r>
    </w:p>
    <w:p w:rsidR="00000000" w:rsidDel="00000000" w:rsidP="00000000" w:rsidRDefault="00000000" w:rsidRPr="00000000" w14:paraId="0000004C">
      <w:pPr>
        <w:spacing w:line="240" w:lineRule="auto"/>
        <w:ind w:left="288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pBdr>
          <w:top w:color="000000" w:space="0" w:sz="4" w:val="single"/>
          <w:left w:color="000000" w:space="0" w:sz="4" w:val="single"/>
          <w:bottom w:color="000000" w:space="0" w:sz="4" w:val="single"/>
          <w:right w:color="000000" w:space="0" w:sz="4" w:val="single"/>
        </w:pBdr>
        <w:ind w:hanging="2"/>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OBJETO DEL PROYECTO </w:t>
      </w:r>
      <w:r w:rsidDel="00000000" w:rsidR="00000000" w:rsidRPr="00000000">
        <w:rPr>
          <w:rtl w:val="0"/>
        </w:rPr>
      </w:r>
    </w:p>
    <w:p w:rsidR="00000000" w:rsidDel="00000000" w:rsidP="00000000" w:rsidRDefault="00000000" w:rsidRPr="00000000" w14:paraId="0000004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proyecto de Acto Legislativo que se pone a consideración del Honorable Congreso de la República tiene por objeto establecer la obligación del Estado de dirigir sus políticas hacia el aseguramiento del derecho a la alimentación, a proteger contra el hambre, la desnutrición y la malnutrición, a promover condiciones de seguridad y autonomías alimentarias de su población.</w:t>
      </w:r>
    </w:p>
    <w:p w:rsidR="00000000" w:rsidDel="00000000" w:rsidP="00000000" w:rsidRDefault="00000000" w:rsidRPr="00000000" w14:paraId="0000004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 respecto, es necesario mencionar que dicha prerrogativa, se encuentra consagrada en sendos instrumentos internacionales ratificados por el Estado colombiano</w:t>
      </w:r>
      <w:r w:rsidDel="00000000" w:rsidR="00000000" w:rsidRPr="00000000">
        <w:rPr>
          <w:rFonts w:ascii="Arial" w:cs="Arial" w:eastAsia="Arial" w:hAnsi="Arial"/>
          <w:sz w:val="24"/>
          <w:szCs w:val="24"/>
          <w:vertAlign w:val="superscript"/>
        </w:rPr>
        <w:footnoteReference w:customMarkFollows="0" w:id="0"/>
      </w:r>
      <w:r w:rsidDel="00000000" w:rsidR="00000000" w:rsidRPr="00000000">
        <w:rPr>
          <w:rFonts w:ascii="Arial" w:cs="Arial" w:eastAsia="Arial" w:hAnsi="Arial"/>
          <w:sz w:val="24"/>
          <w:szCs w:val="24"/>
          <w:rtl w:val="0"/>
        </w:rPr>
        <w:t xml:space="preserve"> y, adicionalmente, se pretende dar cumplimiento a obligaciones internacionales que el Estado colombiano ha adquirido y que se encuentran en completa consonancia con lo consagrado en el ordenamiento interno,  en virtud de lo establecido en diversas disposiciones constitucionales y en particular con lo dispuesto en el artículo 93 de la Constitución Política de 1991.</w:t>
      </w:r>
    </w:p>
    <w:p w:rsidR="00000000" w:rsidDel="00000000" w:rsidP="00000000" w:rsidRDefault="00000000" w:rsidRPr="00000000" w14:paraId="0000005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pBdr>
          <w:top w:color="000000" w:space="0" w:sz="4" w:val="single"/>
          <w:left w:color="000000" w:space="0" w:sz="4" w:val="single"/>
          <w:bottom w:color="000000" w:space="0" w:sz="4" w:val="single"/>
          <w:right w:color="000000" w:space="0" w:sz="4" w:val="single"/>
        </w:pBdr>
        <w:ind w:hanging="2"/>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ANTECEDENTES DEL PROYECTO</w:t>
      </w:r>
      <w:r w:rsidDel="00000000" w:rsidR="00000000" w:rsidRPr="00000000">
        <w:rPr>
          <w:rtl w:val="0"/>
        </w:rPr>
      </w:r>
    </w:p>
    <w:p w:rsidR="00000000" w:rsidDel="00000000" w:rsidP="00000000" w:rsidRDefault="00000000" w:rsidRPr="00000000" w14:paraId="00000052">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Senadora Maritza Martínez Aristizábal como congresista del Partido de la U, presentó esta iniciativa en cuatro ocasiones: Proyecto de Acto Legislativo  Nº 36/19, el Nº 13/19, el Nº 01/20, y el Nº 11/21. Este último, logró tener cuatro debates de los ocho necesarios que se necesitan para que se aprueben este tipo de propuestas legislativas, que buscan modificar artículos de la Constitución Política de Colombia.</w:t>
      </w:r>
    </w:p>
    <w:p w:rsidR="00000000" w:rsidDel="00000000" w:rsidP="00000000" w:rsidRDefault="00000000" w:rsidRPr="00000000" w14:paraId="00000053">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la legislatura 2022-2023 se radicó como Proyecto de Acto Legislativo 001 de 2022 Senado, y fue aprobado hasta el primer debate de segunda vuelta en la Comisión Primera del Senado. </w:t>
      </w:r>
    </w:p>
    <w:p w:rsidR="00000000" w:rsidDel="00000000" w:rsidP="00000000" w:rsidRDefault="00000000" w:rsidRPr="00000000" w14:paraId="00000054">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Igualmente, el 20 de julio de 2023, para el primer periodo de la legislatura 2023-2024, se radicó como proyecto de Acto Legislativo 004 de 2023 Senado y surtió su trámite de primera vuelta en Senado, pero por tiempos fue archivado al no alcanzar en dicho periodo los otros dos debates en Cámara de Representantes.</w:t>
      </w:r>
    </w:p>
    <w:p w:rsidR="00000000" w:rsidDel="00000000" w:rsidP="00000000" w:rsidRDefault="00000000" w:rsidRPr="00000000" w14:paraId="00000055">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dichos proyectos de Acto Legislativo se mantuvo el mismo espíritu de este proyecto: establecer constitucionalmente que el Estado garantice el derecho a la alimentación adecuada y a proteger contra el hambre y la desnutrición, promoviendo además, condiciones de seguridad alimentaria y autonomías alimentaria en el territorio nacional.</w:t>
      </w:r>
    </w:p>
    <w:p w:rsidR="00000000" w:rsidDel="00000000" w:rsidP="00000000" w:rsidRDefault="00000000" w:rsidRPr="00000000" w14:paraId="00000056">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Así, este proyecto de Acto Legislativo se convierte en la séptima iniciativa tendiente a establecer de manera expresa en la máxima norma del ordenamiento jurídico nacional el derecho que le asiste a cada ser humano a estar protegido contra el hambre y la desnutrición.</w:t>
      </w:r>
    </w:p>
    <w:p w:rsidR="00000000" w:rsidDel="00000000" w:rsidP="00000000" w:rsidRDefault="00000000" w:rsidRPr="00000000" w14:paraId="00000057">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Colombia, un país con vocación agrícola, se mantienen alarmantes cifras de desnutrición e inseguridad alimentaria. Si bien existen instrumentos normativos y de política tendientes a alcanzar objetivos relacionados con seguridad alimentaria y alimentación adecuada, en nuestra norma fundante no hay un reconocimiento expreso al derecho humano a la alimentación, tal y como se ha concebido y desarrollado en el derecho internacional de los derechos humanos. Se hace necesario contar con disposiciones jurídicas que permitan al Gobierno Nacional reconocer la importancia debida a la garantía de la Seguridad Alimentaria para la población, al tiempo que a través de la consagración constitucional de esta prerrogativa fundamental se otorgan herramientas que le permiten a la ciudadanía ser veedora y exigir el cumplimiento progresivo de la garantía de uno de los derechos más básicos y esenciales: el poder alimentarse dignamente. </w:t>
      </w:r>
    </w:p>
    <w:p w:rsidR="00000000" w:rsidDel="00000000" w:rsidP="00000000" w:rsidRDefault="00000000" w:rsidRPr="00000000" w14:paraId="00000058">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Según el Banco Mundial (2022), en el mundo los niveles de hambre siguen siendo alarmantemente altos. En el año 2021, sobrepasaron todos los registros anteriores según la edición de 2022 del Informe mundial sobre las crisis alimentarias, cerca de 193 millones de personas sufren inseguridad alimentaria grave, o sea aproximadamente 40 millones más que en 2020 cuando se registró el anterior récord. Los conflictos y la inseguridad se identifican como los principales factores que impulsan el aumento de la inseguridad alimentaria. </w:t>
      </w:r>
    </w:p>
    <w:p w:rsidR="00000000" w:rsidDel="00000000" w:rsidP="00000000" w:rsidRDefault="00000000" w:rsidRPr="00000000" w14:paraId="00000059">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 hecho, en el mencionado informe sobre el estado de la seguridad alimentaria y nutricional, en el mundo (2020) realizado por FAO, IFAD, UNICEF, el Programa Mundial de Alimentos y la Organización Mundial de la Salud, el 8,9% del total de la población global (690 millones de personas) padece hambre, y alrededor del 25,6% del total de la población global (2000 millones de personas, aproximadamente) se encuentran en condiciones de inseguridad alimentaria severa o moderada. </w:t>
      </w:r>
    </w:p>
    <w:p w:rsidR="00000000" w:rsidDel="00000000" w:rsidP="00000000" w:rsidRDefault="00000000" w:rsidRPr="00000000" w14:paraId="0000005A">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Las anteriores cifras demuestran una tendencia creciente desde el año 2014, que indican que el mundo, previo a la pandemia, no lograba cumplir con el Objetivo de Desarrollo Sostenible Nº 2: Hambre cero a 2030, esto debido a factores como (1) conflictos y violencia; (2) condiciones climáticas adversas producto del calentamiento global y; (3) la desaceleración económica, las cuales afectaban especialmente a África, Asia y América Latina.      </w:t>
      </w:r>
    </w:p>
    <w:p w:rsidR="00000000" w:rsidDel="00000000" w:rsidP="00000000" w:rsidRDefault="00000000" w:rsidRPr="00000000" w14:paraId="0000005B">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Así pues, de continuar con la tendencia evidenciada en los años anteriores, de acuerdo con el informe, el mundo podría encontrarse en una situación peor a la del punto de partida del ODS 2, ya que mientras que en 2015 alrededor de 795 millones de personas pasaban hambre, en 2030 esta cifra puede llegar a los 840 millones.                                                                                                                                                                            </w:t>
      </w:r>
    </w:p>
    <w:p w:rsidR="00000000" w:rsidDel="00000000" w:rsidP="00000000" w:rsidRDefault="00000000" w:rsidRPr="00000000" w14:paraId="0000005C">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Sin embargo, esta perspectiva no toma en consideración el impacto que generará la pandemia, que tiene el potencial de adicionar entre 83 millones y 132 millones de personas al número de seres humanos que padecen hambre en el año 2020, esto último dependiendo del escenario de crecimiento económico global, el cual aún no resulta del todo claro o predecible. Esta coyuntura hace entonces que sea aún más dudoso que se cumplan las metas y objetivos trazados en el ODS 2, si no se toman medidas necesarias para frenar el hambre en el mundo.</w:t>
      </w:r>
    </w:p>
    <w:p w:rsidR="00000000" w:rsidDel="00000000" w:rsidP="00000000" w:rsidRDefault="00000000" w:rsidRPr="00000000" w14:paraId="0000005D">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 necesario señalar que, de acuerdo con el informe, son múltiples las formas en las cuales la pandemia – y las medidas destinadas a su contención – pueden llegar a incidir en los sistemas de producción alimentarios y por extensión en la seguridad alimentaria. </w:t>
      </w:r>
    </w:p>
    <w:p w:rsidR="00000000" w:rsidDel="00000000" w:rsidP="00000000" w:rsidRDefault="00000000" w:rsidRPr="00000000" w14:paraId="0000005E">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ese sentido, se resalta que a pesar de que no se ha registrado escasez grave en cultivos como el trigo, el maíz, el arroz o la soya, medidas como la restricción de la movilidad, los aislamientos preventivos obligatorios y la desaceleración económica generalizada generarán que sea mucho más difícil acceder a alimentos para los grupos más vulnerables de la población, sobre todo en los países de ingreso bajo o medio (como es el caso de Colombia y de la mayoría de países de América Latina y el Caribe), ya que los Estados no contaban con los mecanismos de contingencia y los fondos necesarios para estimular las economías y proteger a la población más vulnerable, razón por la cual las consecuencias de la crisis económica derivada de la pandemia se sentirán en mayor medida en países como los nuestros, sin que en este momento sea posible contar con un estimado puntual (o la magnitud del impacto) dado el desconocimiento, la falta de información y lo impredecible de la situación.</w:t>
      </w:r>
    </w:p>
    <w:p w:rsidR="00000000" w:rsidDel="00000000" w:rsidP="00000000" w:rsidRDefault="00000000" w:rsidRPr="00000000" w14:paraId="0000005F">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Además, los precios de los alimentos han aumentado de manera exponencial en gran medida a los elevados precios de los insumos que, combinados con los altos costos del transporte y las interrupciones del comercio provocadas por la guerra en Ucrania, están aumentando el costo de las importaciones, impactando más fuertemente a los países pobres y en desarrollo, que son los que más dependen de las importaciones de alimentos. (Banco Mundial 2022).</w:t>
      </w:r>
    </w:p>
    <w:p w:rsidR="00000000" w:rsidDel="00000000" w:rsidP="00000000" w:rsidRDefault="00000000" w:rsidRPr="00000000" w14:paraId="00000060">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 hecho, para corte del 19 de mayo de 2022, el índice de precios agrícolas aumentó en un 42 % respecto a enero de 2021. Los precios del maíz y el trigo son un 55 % y un 91 % más altos, respectivamente, que los de enero de 2021, y los precios del arroz son un 12 % más bajos. Esto, genera procesos inflacionarios de los precios internos, así por ejemplo, entre enero de 2022 y abril de 2022, el 92,9 % de los países de ingreso bajo, el 84,2 % de los países de ingreso mediano bajo y el 78 % de los países de ingreso mediano alto han registrado niveles de inflación superiores al 5 %, y muchos experimentaron una inflación de dos dígitos. (Banco Mundial 2022). Esta tendencia ha continuado (Banco Mundial, 2023) y, en Colombia, por ejemplo, se ha registrado un alza en el precio del arroz desde julio de 2022 impulsada por los altos costos y la reducción de la producción. </w:t>
      </w:r>
    </w:p>
    <w:p w:rsidR="00000000" w:rsidDel="00000000" w:rsidP="00000000" w:rsidRDefault="00000000" w:rsidRPr="00000000" w14:paraId="00000061">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 bien Colombia ha avanzado en materia de disminución de la población que padece de desnutrición (pasó de 11,3% - por encima de la media de América del Sur – a 5.5% - acorde con la media de la región –), no es menos cierto que, como bien lo advierte la FAO, el impacto que generará la pandemia y   la guerra en Ucrania se sentirá en mayor medida en países como el nuestro – situación que se evidenció con la proliferación de banderas rojas en las viviendas y el clamor de gran parte de la ciudadanía de abrir la economía para poder contar con los recursos económicos para poder subsistir y alimentarse, así como por el fuerte alza en los precios de la canasta básica.</w:t>
      </w:r>
    </w:p>
    <w:p w:rsidR="00000000" w:rsidDel="00000000" w:rsidP="00000000" w:rsidRDefault="00000000" w:rsidRPr="00000000" w14:paraId="00000062">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 hecho, de acuerdo con la última actualización del Informe sobre Seguridad Alimentaria del Banco Mundial (2023), Colombia resultó ser una de las mayores 10 economías con alta tasa de inflación real en alimentos (13%) y dentro de los 20 países con inflación nominal en precios de alimentos superior al 30%. Por lo tanto, resulta entonces necesario actuar de manera proactiva y contar con los mecanismos que permitan al país establecer una política pública coherente para responder y garantizar los derechos fundamentales de la ciudadanía.</w:t>
      </w:r>
    </w:p>
    <w:p w:rsidR="00000000" w:rsidDel="00000000" w:rsidP="00000000" w:rsidRDefault="00000000" w:rsidRPr="00000000" w14:paraId="00000063">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4">
      <w:pPr>
        <w:pBdr>
          <w:top w:color="000000" w:space="0" w:sz="4" w:val="single"/>
          <w:left w:color="000000" w:space="0" w:sz="4" w:val="single"/>
          <w:bottom w:color="000000" w:space="0" w:sz="4" w:val="single"/>
          <w:right w:color="000000" w:space="0" w:sz="4" w:val="single"/>
        </w:pBdr>
        <w:ind w:hanging="2"/>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COMENTARIOS DEL PONENTE</w:t>
      </w:r>
      <w:r w:rsidDel="00000000" w:rsidR="00000000" w:rsidRPr="00000000">
        <w:rPr>
          <w:rtl w:val="0"/>
        </w:rPr>
      </w:r>
    </w:p>
    <w:p w:rsidR="00000000" w:rsidDel="00000000" w:rsidP="00000000" w:rsidRDefault="00000000" w:rsidRPr="00000000" w14:paraId="00000065">
      <w:pPr>
        <w:shd w:fill="ffffff" w:val="clea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acuerdo con la más reciente ronda de la encuesta de Pulso Social (DANE, 2022),  es crítica la situación de los hogares en materia económica y de seguridad alimentaria. Así las cosas, para noviembre del año 2022, indica el DANE que en promedio 66,5% de las personas encuestadas, comparando su situación económica      con la de hace un año, señalando que cuentan con una menor posibilidad de comprar alimentos, ropa, zapatos y artículos de primera necesidad. Esta situación resulta ligeramente mayor (3,6 % por encima de la media) para aquellas familias conformadas por cuatro o más integrantes. </w:t>
      </w:r>
    </w:p>
    <w:p w:rsidR="00000000" w:rsidDel="00000000" w:rsidP="00000000" w:rsidRDefault="00000000" w:rsidRPr="00000000" w14:paraId="00000066">
      <w:pPr>
        <w:shd w:fill="ffffff" w:val="clea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panorama general resulta preocupante, el deterioro en las condiciones de seguridad alimentaria (que se explica como la capacidad de acceder a alimentos suficientes y adecuados para garantizar la ingesta calórica y nutricional requerida para mantener una vida sana y desarrollar actividades básicas) es francamente alarmante de acuerdo con las estimaciones realizadas por el DANE (2022), en la misma encuesta de Pulso Social. </w:t>
      </w:r>
    </w:p>
    <w:p w:rsidR="00000000" w:rsidDel="00000000" w:rsidP="00000000" w:rsidRDefault="00000000" w:rsidRPr="00000000" w14:paraId="00000067">
      <w:pPr>
        <w:shd w:fill="ffffff" w:val="clea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Antes del inicio del Aislamiento Preventivo Obligatorio, 9 de cada 10 hogares en Colombia (el 90, 1%) consumía como mínimo tres comidas diarias. A 2022, se tiene que dicha proporción se redujo a 7 de cada 10 hogares (el 73,8%), lo que representa una caída de 16,3% de hogares en situación de inseguridad alimentaria. Para el tercer trimestre de 2022. vale la pena anotar que 12 de las 23 ciudades objeto de análisis por parte del DANE se encuentran por debajo de la media nacional.</w:t>
      </w:r>
    </w:p>
    <w:p w:rsidR="00000000" w:rsidDel="00000000" w:rsidP="00000000" w:rsidRDefault="00000000" w:rsidRPr="00000000" w14:paraId="00000068">
      <w:pPr>
        <w:shd w:fill="ffffff" w:val="clea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presenta una notoria disminución en el número de comidas diarias entre antes de la medida de aislamiento preventivo y noviembre de 2022 , buena parte de las capitales de la región Caribe, que se encuentran en los niveles más críticos, así: (1) Cartagena (que pasó de un 60,5  % de hogares con tres comidas diarias a un 36,9 %); (2) Valledupar    (que pasó de un 90,6 % de hogares con tres comidas diarias a un 61,3%); (3) Sincelejo (que pasó de un 75,6% de hogares con tres comidas diarias a un 44,5 %); (4) Montería (que pasó de un 66,6% de hogares con tres comidas diarias a un 54,2% y por fuera de dicha región las tres principales ciudades que han visto un deterioro en el porcentaje de hogares en situación de seguridad alimentaria son: (6) Neiva (que pasó de un 92,8% de hogares con tres comidas diarias a un 68%); (7) Ibagué (que pasó de un 93,2 % de hogares con tres comidas diarias a un 60,5 %) y (8) Florencia  (que pasó de un 83,6% de hogares con tres comidas diarias a un 55%).</w:t>
      </w:r>
    </w:p>
    <w:p w:rsidR="00000000" w:rsidDel="00000000" w:rsidP="00000000" w:rsidRDefault="00000000" w:rsidRPr="00000000" w14:paraId="00000069">
      <w:pPr>
        <w:shd w:fill="ffffff" w:val="clea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pesar de que han existido diversas estrategias tendientes a mitigar la grave crisis económica que enfrentan la mayoría de los hogares colombianos, en materia de acceso a alimentos suficientes por parte de los hogares queda un enorme camino por recorrer. Entre los resultados de la encuesta del DANE en cuanto a seguridad alimentaria, se evidenció que durante e incluso luego de la pandemia, son cada vez menos los hogares que pueden acceder a las 3 comidas diarias.  Así, se estableció que en noviembre de 2022,  25% de los encuestados consume 2 comidas y 1,3% consume 1 al día.</w:t>
      </w:r>
    </w:p>
    <w:p w:rsidR="00000000" w:rsidDel="00000000" w:rsidP="00000000" w:rsidRDefault="00000000" w:rsidRPr="00000000" w14:paraId="0000006A">
      <w:pPr>
        <w:shd w:fill="ffffff" w:val="clea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su parte, el 73,8 % de la población total logró acceder 3 comidas al día, mostrando un leve aumentó en comparación del mes de febrero de este mismo año, en donde el porcentaje rondaba el 70%.  Esta cifra es bien preocupante, en cuanto refleja la difícil situación de los colombianos, quienes antes de la pandemia, para marzo 2019, 93,4% de ellos, accedían a 3 comidas al día.</w:t>
      </w:r>
    </w:p>
    <w:p w:rsidR="00000000" w:rsidDel="00000000" w:rsidP="00000000" w:rsidRDefault="00000000" w:rsidRPr="00000000" w14:paraId="0000006B">
      <w:pPr>
        <w:shd w:fill="ffffff" w:val="clea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panorama anteriormente esbozado se ha agravado. Sin embargo, no pueden dejarse de lado las cifras que nos brindaba la Encuesta de Situación Nutricional (ENSIN, 2015), previa a la pandemia, cuyos resultados son francamente preocupantes: En Colombia, previo a la pandemia, el 54,2% de los hogares se encuentran en situación de inseguridad alimentaria (ISAH)</w:t>
      </w:r>
      <w:r w:rsidDel="00000000" w:rsidR="00000000" w:rsidRPr="00000000">
        <w:rPr>
          <w:rFonts w:ascii="Arial" w:cs="Arial" w:eastAsia="Arial" w:hAnsi="Arial"/>
          <w:sz w:val="24"/>
          <w:szCs w:val="24"/>
          <w:vertAlign w:val="superscript"/>
          <w:rtl w:val="0"/>
        </w:rPr>
        <w:t xml:space="preserve">1</w:t>
      </w:r>
      <w:r w:rsidDel="00000000" w:rsidR="00000000" w:rsidRPr="00000000">
        <w:rPr>
          <w:rFonts w:ascii="Arial" w:cs="Arial" w:eastAsia="Arial" w:hAnsi="Arial"/>
          <w:sz w:val="24"/>
          <w:szCs w:val="24"/>
          <w:rtl w:val="0"/>
        </w:rPr>
        <w:t xml:space="preserve"> (39,1% en inseguridad alimentaria leve, 13,8% moderada y 8,5% severa).</w:t>
      </w:r>
    </w:p>
    <w:p w:rsidR="00000000" w:rsidDel="00000000" w:rsidP="00000000" w:rsidRDefault="00000000" w:rsidRPr="00000000" w14:paraId="0000006C">
      <w:pPr>
        <w:shd w:fill="ffffff" w:val="clea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información se puede desagregar en diferentes variables, a saber: </w:t>
      </w:r>
      <w:r w:rsidDel="00000000" w:rsidR="00000000" w:rsidRPr="00000000">
        <w:rPr>
          <w:rFonts w:ascii="Arial" w:cs="Arial" w:eastAsia="Arial" w:hAnsi="Arial"/>
          <w:b w:val="1"/>
          <w:sz w:val="24"/>
          <w:szCs w:val="24"/>
          <w:rtl w:val="0"/>
        </w:rPr>
        <w:t xml:space="preserve">(1)</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Género:</w:t>
      </w:r>
      <w:r w:rsidDel="00000000" w:rsidR="00000000" w:rsidRPr="00000000">
        <w:rPr>
          <w:rFonts w:ascii="Arial" w:cs="Arial" w:eastAsia="Arial" w:hAnsi="Arial"/>
          <w:sz w:val="24"/>
          <w:szCs w:val="24"/>
          <w:rtl w:val="0"/>
        </w:rPr>
        <w:t xml:space="preserve"> de los hogares que se encuentran en esta situación, se tiene que el 57% tienen una jefatura femenina y un 52% tienen a un hombre en cabeza del hogar; </w:t>
      </w:r>
      <w:r w:rsidDel="00000000" w:rsidR="00000000" w:rsidRPr="00000000">
        <w:rPr>
          <w:rFonts w:ascii="Arial" w:cs="Arial" w:eastAsia="Arial" w:hAnsi="Arial"/>
          <w:b w:val="1"/>
          <w:sz w:val="24"/>
          <w:szCs w:val="24"/>
          <w:rtl w:val="0"/>
        </w:rPr>
        <w:t xml:space="preserve">(2) Pertenencia étnica: </w:t>
      </w:r>
      <w:r w:rsidDel="00000000" w:rsidR="00000000" w:rsidRPr="00000000">
        <w:rPr>
          <w:rFonts w:ascii="Arial" w:cs="Arial" w:eastAsia="Arial" w:hAnsi="Arial"/>
          <w:sz w:val="24"/>
          <w:szCs w:val="24"/>
          <w:rtl w:val="0"/>
        </w:rPr>
        <w:t xml:space="preserve">77% de los hogares indígenas se encuentran en inseguridad alimentaria. Esta condición se replica para el 68.9% de los hogares afrodescendientes y para el reseñado 54.2% de los hogares que se consideran sin pertenencia étnica; </w:t>
      </w:r>
      <w:r w:rsidDel="00000000" w:rsidR="00000000" w:rsidRPr="00000000">
        <w:rPr>
          <w:rFonts w:ascii="Arial" w:cs="Arial" w:eastAsia="Arial" w:hAnsi="Arial"/>
          <w:b w:val="1"/>
          <w:sz w:val="24"/>
          <w:szCs w:val="24"/>
          <w:rtl w:val="0"/>
        </w:rPr>
        <w:t xml:space="preserve">(3) Regiones: </w:t>
      </w:r>
      <w:r w:rsidDel="00000000" w:rsidR="00000000" w:rsidRPr="00000000">
        <w:rPr>
          <w:rFonts w:ascii="Arial" w:cs="Arial" w:eastAsia="Arial" w:hAnsi="Arial"/>
          <w:sz w:val="24"/>
          <w:szCs w:val="24"/>
          <w:rtl w:val="0"/>
        </w:rPr>
        <w:t xml:space="preserve">La inseguridad alimentaria de los hogares en las regiones se reporta de la siguiente forma: 65% del total de los hogares de la región atlántica; 64% de la región de la Orinoquia y la Amazonia; 57.4% de la Pacífica; 52% de la Oriental; 50,2% en Bogotá y 49.3% en la Central; </w:t>
      </w:r>
      <w:r w:rsidDel="00000000" w:rsidR="00000000" w:rsidRPr="00000000">
        <w:rPr>
          <w:rFonts w:ascii="Arial" w:cs="Arial" w:eastAsia="Arial" w:hAnsi="Arial"/>
          <w:b w:val="1"/>
          <w:sz w:val="24"/>
          <w:szCs w:val="24"/>
          <w:rtl w:val="0"/>
        </w:rPr>
        <w:t xml:space="preserve">(4) Índice de riqueza: </w:t>
      </w:r>
      <w:r w:rsidDel="00000000" w:rsidR="00000000" w:rsidRPr="00000000">
        <w:rPr>
          <w:rFonts w:ascii="Arial" w:cs="Arial" w:eastAsia="Arial" w:hAnsi="Arial"/>
          <w:sz w:val="24"/>
          <w:szCs w:val="24"/>
          <w:rtl w:val="0"/>
        </w:rPr>
        <w:t xml:space="preserve">71.2% de los hogares con ingresos más bajos se encuentran en situación de inseguridad alimentaria; esta situación se replica para el 62.7% de quienes reportan índice de riqueza bajo; 49.3% de quienes reportan índice de riqueza medio y 33% de quienes reportan ingresos altos.</w:t>
      </w:r>
    </w:p>
    <w:p w:rsidR="00000000" w:rsidDel="00000000" w:rsidP="00000000" w:rsidRDefault="00000000" w:rsidRPr="00000000" w14:paraId="0000006D">
      <w:pPr>
        <w:shd w:fill="ffffff" w:val="clea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lo que respecta a la situación de la infancia y la niñez, la ENSIN (2015) resalta que La desnutrición crónica (que mide el retraso en la talla para la edad) se situó en un 10,8% y la desnutrición aguda en menores de 5 años se ubicó en 2,3%, muy por encima del 0.9% evidenciado en la ENSIN (2010). </w:t>
      </w:r>
    </w:p>
    <w:p w:rsidR="00000000" w:rsidDel="00000000" w:rsidP="00000000" w:rsidRDefault="00000000" w:rsidRPr="00000000" w14:paraId="0000006E">
      <w:pPr>
        <w:shd w:fill="ffffff" w:val="clea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Ahora bien, la anterior situación se contrasta con el más reciente informe de la FAO, sobre seguridad alimentaria y nutrición</w:t>
      </w:r>
      <w:r w:rsidDel="00000000" w:rsidR="00000000" w:rsidRPr="00000000">
        <w:rPr>
          <w:rFonts w:ascii="Arial" w:cs="Arial" w:eastAsia="Arial" w:hAnsi="Arial"/>
          <w:sz w:val="24"/>
          <w:szCs w:val="24"/>
          <w:vertAlign w:val="superscript"/>
        </w:rPr>
        <w:footnoteReference w:customMarkFollows="0" w:id="1"/>
      </w:r>
      <w:r w:rsidDel="00000000" w:rsidR="00000000" w:rsidRPr="00000000">
        <w:rPr>
          <w:rFonts w:ascii="Arial" w:cs="Arial" w:eastAsia="Arial" w:hAnsi="Arial"/>
          <w:sz w:val="24"/>
          <w:szCs w:val="24"/>
          <w:rtl w:val="0"/>
        </w:rPr>
        <w:t xml:space="preserve">. De acuerdo con esta organización internacional, el 6.5% de los colombianos están en condición de hambre, ubicando al país en un lugar vergonzoso, por encima de la media regional, situado en un 6,1%. En cuanto a desnutrición global, que marca el peso para la edad, se tiene que ésta afecta a 3,7% de los menores del país.</w:t>
      </w:r>
    </w:p>
    <w:p w:rsidR="00000000" w:rsidDel="00000000" w:rsidP="00000000" w:rsidRDefault="00000000" w:rsidRPr="00000000" w14:paraId="0000006F">
      <w:pPr>
        <w:shd w:fill="ffffff" w:val="clea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lo que respecta a los menores de 5 a 12 años se tiene que 7 de cada 100 menores en edad escolar presentan desnutrición crónica. Situación que es más grave para los menores indígenas, donde 30 de cada 100 menores presentan este problema, mientras que esta situación se extiende a 11 de cada 100 niños de los hogares más pobres del país.</w:t>
      </w:r>
    </w:p>
    <w:p w:rsidR="00000000" w:rsidDel="00000000" w:rsidP="00000000" w:rsidRDefault="00000000" w:rsidRPr="00000000" w14:paraId="00000070">
      <w:pPr>
        <w:shd w:fill="ffffff" w:val="clea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su parte, la Encuesta Nacional de Calidad de Vida realizada para 2022 por el DANE reveló que la inseguridad alimentaria moderada o grave es el 28,1 % y alcanza el 32,5 % en centros poblados y rurales dispersos.</w:t>
      </w:r>
    </w:p>
    <w:p w:rsidR="00000000" w:rsidDel="00000000" w:rsidP="00000000" w:rsidRDefault="00000000" w:rsidRPr="00000000" w14:paraId="00000071">
      <w:pPr>
        <w:shd w:fill="ffffff" w:val="clea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Teniendo en cuenta la situación anteriormente descrita, y reiterando que el derecho a la alimentación es considerado un derecho humano en el derecho internacional de los derechos humanos, se presenta nuevamente esta iniciativa que busca consagrar en la Constitución Política de manera expresa el derecho a la alimentación adecuada y el deber del Estado de garantizarlo de manera progresiva.</w:t>
      </w:r>
    </w:p>
    <w:p w:rsidR="00000000" w:rsidDel="00000000" w:rsidP="00000000" w:rsidRDefault="00000000" w:rsidRPr="00000000" w14:paraId="00000072">
      <w:pPr>
        <w:pBdr>
          <w:top w:color="000000" w:space="0" w:sz="4" w:val="single"/>
          <w:left w:color="000000" w:space="0" w:sz="4" w:val="single"/>
          <w:bottom w:color="000000" w:space="0" w:sz="4" w:val="single"/>
          <w:right w:color="000000" w:space="0" w:sz="4" w:val="single"/>
        </w:pBdr>
        <w:ind w:hanging="2"/>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MARCO JURÍDICO</w:t>
      </w:r>
      <w:r w:rsidDel="00000000" w:rsidR="00000000" w:rsidRPr="00000000">
        <w:rPr>
          <w:rtl w:val="0"/>
        </w:rPr>
      </w:r>
    </w:p>
    <w:p w:rsidR="00000000" w:rsidDel="00000000" w:rsidP="00000000" w:rsidRDefault="00000000" w:rsidRPr="00000000" w14:paraId="00000073">
      <w:pPr>
        <w:numPr>
          <w:ilvl w:val="0"/>
          <w:numId w:val="3"/>
        </w:numPr>
        <w:spacing w:after="57" w:before="85" w:lineRule="auto"/>
        <w:ind w:left="36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Referencia al Sistema Internacional de los Derechos Humanos y al Derecho Humano a la Alimentación</w:t>
      </w:r>
    </w:p>
    <w:p w:rsidR="00000000" w:rsidDel="00000000" w:rsidP="00000000" w:rsidRDefault="00000000" w:rsidRPr="00000000" w14:paraId="00000074">
      <w:pPr>
        <w:spacing w:after="57" w:before="85"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Derechos Humanos se constituyen como aquellas prerrogativas que resultan ser inherentes al ser humano en tanto miembro perteneciente a la especie. El goce de los mismos debe garantizarse y protegerse sin distinción alguna de nacionalidad, lugar de residencia, sexo, origen nacional o étnico, color, religión, lengua, o cualquier otra condición</w:t>
      </w:r>
      <w:r w:rsidDel="00000000" w:rsidR="00000000" w:rsidRPr="00000000">
        <w:rPr>
          <w:rFonts w:ascii="Arial" w:cs="Arial" w:eastAsia="Arial" w:hAnsi="Arial"/>
          <w:sz w:val="24"/>
          <w:szCs w:val="24"/>
          <w:vertAlign w:val="superscript"/>
        </w:rPr>
        <w:footnoteReference w:customMarkFollows="0" w:id="2"/>
      </w:r>
      <w:r w:rsidDel="00000000" w:rsidR="00000000" w:rsidRPr="00000000">
        <w:rPr>
          <w:rFonts w:ascii="Arial" w:cs="Arial" w:eastAsia="Arial" w:hAnsi="Arial"/>
          <w:sz w:val="24"/>
          <w:szCs w:val="24"/>
          <w:rtl w:val="0"/>
        </w:rPr>
        <w:t xml:space="preserve">. De esta forma, todo ser humano es titular y debe gozar de estos derechos en igualdad y sin discriminación</w:t>
      </w:r>
      <w:r w:rsidDel="00000000" w:rsidR="00000000" w:rsidRPr="00000000">
        <w:rPr>
          <w:rFonts w:ascii="Arial" w:cs="Arial" w:eastAsia="Arial" w:hAnsi="Arial"/>
          <w:sz w:val="24"/>
          <w:szCs w:val="24"/>
          <w:vertAlign w:val="superscript"/>
        </w:rPr>
        <w:footnoteReference w:customMarkFollows="0" w:id="3"/>
      </w:r>
      <w:r w:rsidDel="00000000" w:rsidR="00000000" w:rsidRPr="00000000">
        <w:rPr>
          <w:rFonts w:ascii="Arial" w:cs="Arial" w:eastAsia="Arial" w:hAnsi="Arial"/>
          <w:sz w:val="24"/>
          <w:szCs w:val="24"/>
          <w:rtl w:val="0"/>
        </w:rPr>
        <w:t xml:space="preserve">. Estos derechos son universales</w:t>
      </w:r>
      <w:r w:rsidDel="00000000" w:rsidR="00000000" w:rsidRPr="00000000">
        <w:rPr>
          <w:rFonts w:ascii="Arial" w:cs="Arial" w:eastAsia="Arial" w:hAnsi="Arial"/>
          <w:sz w:val="24"/>
          <w:szCs w:val="24"/>
          <w:vertAlign w:val="superscript"/>
        </w:rPr>
        <w:footnoteReference w:customMarkFollows="0" w:id="4"/>
      </w:r>
      <w:r w:rsidDel="00000000" w:rsidR="00000000" w:rsidRPr="00000000">
        <w:rPr>
          <w:rFonts w:ascii="Arial" w:cs="Arial" w:eastAsia="Arial" w:hAnsi="Arial"/>
          <w:sz w:val="24"/>
          <w:szCs w:val="24"/>
          <w:rtl w:val="0"/>
        </w:rPr>
        <w:t xml:space="preserve"> e inalienables</w:t>
      </w:r>
      <w:r w:rsidDel="00000000" w:rsidR="00000000" w:rsidRPr="00000000">
        <w:rPr>
          <w:rFonts w:ascii="Arial" w:cs="Arial" w:eastAsia="Arial" w:hAnsi="Arial"/>
          <w:sz w:val="24"/>
          <w:szCs w:val="24"/>
          <w:vertAlign w:val="superscript"/>
        </w:rPr>
        <w:footnoteReference w:customMarkFollows="0" w:id="5"/>
      </w:r>
      <w:r w:rsidDel="00000000" w:rsidR="00000000" w:rsidRPr="00000000">
        <w:rPr>
          <w:rFonts w:ascii="Arial" w:cs="Arial" w:eastAsia="Arial" w:hAnsi="Arial"/>
          <w:sz w:val="24"/>
          <w:szCs w:val="24"/>
          <w:rtl w:val="0"/>
        </w:rPr>
        <w:t xml:space="preserve">. Así mismo, se consideran en todo caso interrelacionados, interdependientes e indivisibles</w:t>
      </w:r>
      <w:r w:rsidDel="00000000" w:rsidR="00000000" w:rsidRPr="00000000">
        <w:rPr>
          <w:rFonts w:ascii="Arial" w:cs="Arial" w:eastAsia="Arial" w:hAnsi="Arial"/>
          <w:sz w:val="24"/>
          <w:szCs w:val="24"/>
          <w:vertAlign w:val="superscript"/>
        </w:rPr>
        <w:footnoteReference w:customMarkFollows="0" w:id="6"/>
      </w:r>
      <w:r w:rsidDel="00000000" w:rsidR="00000000" w:rsidRPr="00000000">
        <w:rPr>
          <w:rFonts w:ascii="Arial" w:cs="Arial" w:eastAsia="Arial" w:hAnsi="Arial"/>
          <w:sz w:val="24"/>
          <w:szCs w:val="24"/>
          <w:rtl w:val="0"/>
        </w:rPr>
        <w:t xml:space="preserve">. Ahora, pese a estar contemplados en la denominada Carta Internacional de los Derechos Humanos</w:t>
      </w:r>
      <w:r w:rsidDel="00000000" w:rsidR="00000000" w:rsidRPr="00000000">
        <w:rPr>
          <w:rFonts w:ascii="Arial" w:cs="Arial" w:eastAsia="Arial" w:hAnsi="Arial"/>
          <w:sz w:val="24"/>
          <w:szCs w:val="24"/>
          <w:vertAlign w:val="superscript"/>
        </w:rPr>
        <w:footnoteReference w:customMarkFollows="0" w:id="7"/>
      </w:r>
      <w:r w:rsidDel="00000000" w:rsidR="00000000" w:rsidRPr="00000000">
        <w:rPr>
          <w:rFonts w:ascii="Arial" w:cs="Arial" w:eastAsia="Arial" w:hAnsi="Arial"/>
          <w:sz w:val="24"/>
          <w:szCs w:val="24"/>
          <w:rtl w:val="0"/>
        </w:rPr>
        <w:t xml:space="preserve">, compuesta por la Declaración Universal de los Derechos Humanos de 1948 y por los sucesivos Pactos a los que se hará referencia a continuación, doctrinalmente, los Derechos Humanos se han categorizado  en tres grupos, a saber: Derechos Civiles y Políticos o de primera generación, los cuales se encuentran contenidos tanto en la Declaración Universal de los Derechos Humanos de 1948, de manera general, como en el Pacto Internacional de Derechos Civiles y Políticos de 1966; Derechos Económicos, Sociales y Culturales o de segunda generación, los cuales se encuentran consagrados ya en la Declaración Universal de los Derechos Humanos de 1948, </w:t>
      </w:r>
      <w:r w:rsidDel="00000000" w:rsidR="00000000" w:rsidRPr="00000000">
        <w:rPr>
          <w:rFonts w:ascii="Arial" w:cs="Arial" w:eastAsia="Arial" w:hAnsi="Arial"/>
          <w:i w:val="1"/>
          <w:sz w:val="24"/>
          <w:szCs w:val="24"/>
          <w:rtl w:val="0"/>
        </w:rPr>
        <w:t xml:space="preserve">grosso modo</w:t>
      </w:r>
      <w:r w:rsidDel="00000000" w:rsidR="00000000" w:rsidRPr="00000000">
        <w:rPr>
          <w:rFonts w:ascii="Arial" w:cs="Arial" w:eastAsia="Arial" w:hAnsi="Arial"/>
          <w:sz w:val="24"/>
          <w:szCs w:val="24"/>
          <w:rtl w:val="0"/>
        </w:rPr>
        <w:t xml:space="preserve">, como en el Pacto Internacional de Derechos Económicos, Sociales y Culturales de 1966; y Derechos Colectivos o de tercera generación</w:t>
      </w:r>
      <w:r w:rsidDel="00000000" w:rsidR="00000000" w:rsidRPr="00000000">
        <w:rPr>
          <w:rFonts w:ascii="Arial" w:cs="Arial" w:eastAsia="Arial" w:hAnsi="Arial"/>
          <w:sz w:val="24"/>
          <w:szCs w:val="24"/>
          <w:vertAlign w:val="superscript"/>
        </w:rPr>
        <w:footnoteReference w:customMarkFollows="0" w:id="8"/>
      </w:r>
      <w:r w:rsidDel="00000000" w:rsidR="00000000" w:rsidRPr="00000000">
        <w:rPr>
          <w:rFonts w:ascii="Arial" w:cs="Arial" w:eastAsia="Arial" w:hAnsi="Arial"/>
          <w:sz w:val="24"/>
          <w:szCs w:val="24"/>
          <w:rtl w:val="0"/>
        </w:rPr>
        <w:t xml:space="preserve">.  Al respecto, es menester resaltar nuevamente la interdependencia y unidad de los Derechos Humanos</w:t>
      </w:r>
      <w:r w:rsidDel="00000000" w:rsidR="00000000" w:rsidRPr="00000000">
        <w:rPr>
          <w:rFonts w:ascii="Arial" w:cs="Arial" w:eastAsia="Arial" w:hAnsi="Arial"/>
          <w:sz w:val="24"/>
          <w:szCs w:val="24"/>
          <w:vertAlign w:val="superscript"/>
        </w:rPr>
        <w:footnoteReference w:customMarkFollows="0" w:id="9"/>
      </w:r>
      <w:r w:rsidDel="00000000" w:rsidR="00000000" w:rsidRPr="00000000">
        <w:rPr>
          <w:rFonts w:ascii="Arial" w:cs="Arial" w:eastAsia="Arial" w:hAnsi="Arial"/>
          <w:sz w:val="24"/>
          <w:szCs w:val="24"/>
          <w:rtl w:val="0"/>
        </w:rPr>
        <w:t xml:space="preserve">, la cual cobra especial importancia, de conformidad con la Corte Constitucional, en el marco de un Estado Social de Derecho, fórmula acogida por la Constitución Política de 1991</w:t>
      </w:r>
      <w:r w:rsidDel="00000000" w:rsidR="00000000" w:rsidRPr="00000000">
        <w:rPr>
          <w:rFonts w:ascii="Arial" w:cs="Arial" w:eastAsia="Arial" w:hAnsi="Arial"/>
          <w:sz w:val="24"/>
          <w:szCs w:val="24"/>
          <w:vertAlign w:val="superscript"/>
        </w:rPr>
        <w:footnoteReference w:customMarkFollows="0" w:id="10"/>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75">
      <w:pPr>
        <w:spacing w:after="57" w:before="85"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Del mismo modo, es preciso anotar que los Derechos Humanos representan los valores universales y constituyen imperativos éticos destinados a salvaguardar la dignidad de cada ser humano mediante el establecimiento de normas, lineamientos y procedimientos tendientes al aseguramiento y garantía de la precitada finalidad</w:t>
      </w:r>
      <w:r w:rsidDel="00000000" w:rsidR="00000000" w:rsidRPr="00000000">
        <w:rPr>
          <w:rFonts w:ascii="Arial" w:cs="Arial" w:eastAsia="Arial" w:hAnsi="Arial"/>
          <w:sz w:val="24"/>
          <w:szCs w:val="24"/>
          <w:vertAlign w:val="superscript"/>
        </w:rPr>
        <w:footnoteReference w:customMarkFollows="0" w:id="11"/>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76">
      <w:pPr>
        <w:spacing w:after="57" w:before="85"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 respecto, es menester resaltar que el Derecho Internacional de los Derechos Humanos impone a los Estados obligaciones positivas y negativas, entendidas en todo caso como obligaciones destinadas al respeto</w:t>
      </w:r>
      <w:r w:rsidDel="00000000" w:rsidR="00000000" w:rsidRPr="00000000">
        <w:rPr>
          <w:rFonts w:ascii="Arial" w:cs="Arial" w:eastAsia="Arial" w:hAnsi="Arial"/>
          <w:sz w:val="24"/>
          <w:szCs w:val="24"/>
          <w:vertAlign w:val="superscript"/>
        </w:rPr>
        <w:footnoteReference w:customMarkFollows="0" w:id="12"/>
      </w:r>
      <w:r w:rsidDel="00000000" w:rsidR="00000000" w:rsidRPr="00000000">
        <w:rPr>
          <w:rFonts w:ascii="Arial" w:cs="Arial" w:eastAsia="Arial" w:hAnsi="Arial"/>
          <w:sz w:val="24"/>
          <w:szCs w:val="24"/>
          <w:rtl w:val="0"/>
        </w:rPr>
        <w:t xml:space="preserve">, protección</w:t>
      </w:r>
      <w:r w:rsidDel="00000000" w:rsidR="00000000" w:rsidRPr="00000000">
        <w:rPr>
          <w:rFonts w:ascii="Arial" w:cs="Arial" w:eastAsia="Arial" w:hAnsi="Arial"/>
          <w:sz w:val="24"/>
          <w:szCs w:val="24"/>
          <w:vertAlign w:val="superscript"/>
        </w:rPr>
        <w:footnoteReference w:customMarkFollows="0" w:id="13"/>
      </w:r>
      <w:r w:rsidDel="00000000" w:rsidR="00000000" w:rsidRPr="00000000">
        <w:rPr>
          <w:rFonts w:ascii="Arial" w:cs="Arial" w:eastAsia="Arial" w:hAnsi="Arial"/>
          <w:sz w:val="24"/>
          <w:szCs w:val="24"/>
          <w:rtl w:val="0"/>
        </w:rPr>
        <w:t xml:space="preserve"> y realización</w:t>
      </w:r>
      <w:r w:rsidDel="00000000" w:rsidR="00000000" w:rsidRPr="00000000">
        <w:rPr>
          <w:rFonts w:ascii="Arial" w:cs="Arial" w:eastAsia="Arial" w:hAnsi="Arial"/>
          <w:sz w:val="24"/>
          <w:szCs w:val="24"/>
          <w:vertAlign w:val="superscript"/>
        </w:rPr>
        <w:footnoteReference w:customMarkFollows="0" w:id="14"/>
      </w:r>
      <w:r w:rsidDel="00000000" w:rsidR="00000000" w:rsidRPr="00000000">
        <w:rPr>
          <w:rFonts w:ascii="Arial" w:cs="Arial" w:eastAsia="Arial" w:hAnsi="Arial"/>
          <w:sz w:val="24"/>
          <w:szCs w:val="24"/>
          <w:rtl w:val="0"/>
        </w:rPr>
        <w:t xml:space="preserve"> de los mismos. Es precisamente en atención a los precitados deberes, de los cuales el Estado colombiano es titular, que se garantizar el Derecho Humano a la alimentación adecuada.</w:t>
      </w:r>
    </w:p>
    <w:p w:rsidR="00000000" w:rsidDel="00000000" w:rsidP="00000000" w:rsidRDefault="00000000" w:rsidRPr="00000000" w14:paraId="00000077">
      <w:pPr>
        <w:spacing w:after="57" w:before="85"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8">
      <w:pPr>
        <w:spacing w:after="57" w:before="85"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ese sentido, vale la pena resaltar que los diversos instrumentos internacionales a los cuales se ha hecho referencia en la presente exposición de motivos han facultado a los Estados para que éstos adopten las medidas internas que consideren más apropiadas, de conformidad con sus contextos y realidades internas, con el propósito de lograr la efectiva realización de los Derechos contemplados en la Carta Internacional de Derechos Humanos y de los sucesivos instrumentos de carácter regional que consagran disposiciones similares</w:t>
      </w:r>
      <w:r w:rsidDel="00000000" w:rsidR="00000000" w:rsidRPr="00000000">
        <w:rPr>
          <w:rFonts w:ascii="Arial" w:cs="Arial" w:eastAsia="Arial" w:hAnsi="Arial"/>
          <w:sz w:val="24"/>
          <w:szCs w:val="24"/>
          <w:vertAlign w:val="superscript"/>
        </w:rPr>
        <w:footnoteReference w:customMarkFollows="0" w:id="15"/>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9">
      <w:pPr>
        <w:spacing w:after="57" w:before="85"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spacing w:after="57" w:before="85"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spacing w:after="57" w:before="85"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numPr>
          <w:ilvl w:val="0"/>
          <w:numId w:val="3"/>
        </w:numPr>
        <w:spacing w:after="57" w:before="85" w:lineRule="auto"/>
        <w:ind w:left="36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El Derecho Humano a la Alimentación como Derecho Económico, Social y Cultural (DESC).</w:t>
      </w:r>
    </w:p>
    <w:p w:rsidR="00000000" w:rsidDel="00000000" w:rsidP="00000000" w:rsidRDefault="00000000" w:rsidRPr="00000000" w14:paraId="0000007D">
      <w:pPr>
        <w:spacing w:after="57" w:before="85"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Respecto al derecho humano a la alimentación, que puede calificarse como el núcleo duro del presente proyecto de Ley, es pertinente resaltar que el mismo se ha considerado como parte de los denominados Derechos Económicos Sociales y Culturales y, en adición a lo anterior, ha sido aceptado universalmente. Así, éste se encuentra contemplado en diversos instrumentos y doctrina de Derecho Internacional relacionados con los Derechos Humanos, entre estos:</w:t>
      </w:r>
    </w:p>
    <w:p w:rsidR="00000000" w:rsidDel="00000000" w:rsidP="00000000" w:rsidRDefault="00000000" w:rsidRPr="00000000" w14:paraId="0000007E">
      <w:pPr>
        <w:numPr>
          <w:ilvl w:val="0"/>
          <w:numId w:val="1"/>
        </w:numPr>
        <w:spacing w:after="57" w:before="85"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Artículo 25.1 de la Declaración Universal de los Derechos Humanos de la Asamblea General de las Naciones Unidas de 1948</w:t>
      </w:r>
      <w:r w:rsidDel="00000000" w:rsidR="00000000" w:rsidRPr="00000000">
        <w:rPr>
          <w:rFonts w:ascii="Arial" w:cs="Arial" w:eastAsia="Arial" w:hAnsi="Arial"/>
          <w:sz w:val="24"/>
          <w:szCs w:val="24"/>
          <w:vertAlign w:val="superscript"/>
        </w:rPr>
        <w:footnoteReference w:customMarkFollows="0" w:id="16"/>
      </w:r>
      <w:r w:rsidDel="00000000" w:rsidR="00000000" w:rsidRPr="00000000">
        <w:rPr>
          <w:rtl w:val="0"/>
        </w:rPr>
      </w:r>
    </w:p>
    <w:p w:rsidR="00000000" w:rsidDel="00000000" w:rsidP="00000000" w:rsidRDefault="00000000" w:rsidRPr="00000000" w14:paraId="0000007F">
      <w:pPr>
        <w:numPr>
          <w:ilvl w:val="0"/>
          <w:numId w:val="1"/>
        </w:numPr>
        <w:spacing w:after="57" w:before="85"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Artículo 11 Pacto Internacional de Derechos Económicos, Sociales y Culturales de 1966</w:t>
      </w:r>
      <w:r w:rsidDel="00000000" w:rsidR="00000000" w:rsidRPr="00000000">
        <w:rPr>
          <w:rFonts w:ascii="Arial" w:cs="Arial" w:eastAsia="Arial" w:hAnsi="Arial"/>
          <w:sz w:val="24"/>
          <w:szCs w:val="24"/>
          <w:vertAlign w:val="superscript"/>
        </w:rPr>
        <w:footnoteReference w:customMarkFollows="0" w:id="17"/>
      </w:r>
      <w:r w:rsidDel="00000000" w:rsidR="00000000" w:rsidRPr="00000000">
        <w:rPr>
          <w:rFonts w:ascii="Arial" w:cs="Arial" w:eastAsia="Arial" w:hAnsi="Arial"/>
          <w:sz w:val="24"/>
          <w:szCs w:val="24"/>
          <w:rtl w:val="0"/>
        </w:rPr>
        <w:t xml:space="preserve"> en conjunto con la Observación General No. 12 del Comité de Derechos Económicos, Sociales y Culturales de las Naciones Unidas</w:t>
      </w:r>
      <w:r w:rsidDel="00000000" w:rsidR="00000000" w:rsidRPr="00000000">
        <w:rPr>
          <w:rFonts w:ascii="Arial" w:cs="Arial" w:eastAsia="Arial" w:hAnsi="Arial"/>
          <w:sz w:val="24"/>
          <w:szCs w:val="24"/>
          <w:vertAlign w:val="superscript"/>
        </w:rPr>
        <w:footnoteReference w:customMarkFollows="0" w:id="18"/>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0">
      <w:pPr>
        <w:numPr>
          <w:ilvl w:val="0"/>
          <w:numId w:val="1"/>
        </w:numPr>
        <w:spacing w:after="57" w:before="85"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Artículo 24 de la Convención de los Derechos del Niño</w:t>
      </w:r>
      <w:r w:rsidDel="00000000" w:rsidR="00000000" w:rsidRPr="00000000">
        <w:rPr>
          <w:rFonts w:ascii="Arial" w:cs="Arial" w:eastAsia="Arial" w:hAnsi="Arial"/>
          <w:sz w:val="24"/>
          <w:szCs w:val="24"/>
          <w:vertAlign w:val="superscript"/>
        </w:rPr>
        <w:footnoteReference w:customMarkFollows="0" w:id="19"/>
      </w:r>
      <w:r w:rsidDel="00000000" w:rsidR="00000000" w:rsidRPr="00000000">
        <w:rPr>
          <w:rtl w:val="0"/>
        </w:rPr>
      </w:r>
    </w:p>
    <w:p w:rsidR="00000000" w:rsidDel="00000000" w:rsidP="00000000" w:rsidRDefault="00000000" w:rsidRPr="00000000" w14:paraId="00000081">
      <w:pPr>
        <w:numPr>
          <w:ilvl w:val="0"/>
          <w:numId w:val="1"/>
        </w:numPr>
        <w:spacing w:after="57" w:before="85"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Artículo 12.2 de la Convención sobre la Eliminación de Todas las Formas de Discriminación contra la Mujer</w:t>
      </w:r>
      <w:r w:rsidDel="00000000" w:rsidR="00000000" w:rsidRPr="00000000">
        <w:rPr>
          <w:rFonts w:ascii="Arial" w:cs="Arial" w:eastAsia="Arial" w:hAnsi="Arial"/>
          <w:sz w:val="24"/>
          <w:szCs w:val="24"/>
          <w:vertAlign w:val="superscript"/>
        </w:rPr>
        <w:footnoteReference w:customMarkFollows="0" w:id="20"/>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82">
      <w:pPr>
        <w:numPr>
          <w:ilvl w:val="0"/>
          <w:numId w:val="1"/>
        </w:numPr>
        <w:spacing w:after="57" w:before="85"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literal f del Artículo 25, en el contexto del derecho a la salud, y el literal l del artículo 28 en el contexto del derecho a un nivel de vida adecuado y a la protección social, de la Convención sobre los Derechos de las Personas con Discapacidad</w:t>
      </w:r>
      <w:r w:rsidDel="00000000" w:rsidR="00000000" w:rsidRPr="00000000">
        <w:rPr>
          <w:rFonts w:ascii="Arial" w:cs="Arial" w:eastAsia="Arial" w:hAnsi="Arial"/>
          <w:sz w:val="24"/>
          <w:szCs w:val="24"/>
          <w:vertAlign w:val="superscript"/>
        </w:rPr>
        <w:footnoteReference w:customMarkFollows="0" w:id="21"/>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3">
      <w:pPr>
        <w:numPr>
          <w:ilvl w:val="0"/>
          <w:numId w:val="1"/>
        </w:numPr>
        <w:spacing w:after="57" w:before="85"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Artículo 12 del Protocolo Adicional a la Convención Americana sobre Derechos Humanos en Materia de Derechos Económicos, Sociales y Culturales - Protocolo de San Salvador – de 1988</w:t>
      </w:r>
      <w:r w:rsidDel="00000000" w:rsidR="00000000" w:rsidRPr="00000000">
        <w:rPr>
          <w:rFonts w:ascii="Arial" w:cs="Arial" w:eastAsia="Arial" w:hAnsi="Arial"/>
          <w:sz w:val="24"/>
          <w:szCs w:val="24"/>
          <w:vertAlign w:val="superscript"/>
        </w:rPr>
        <w:footnoteReference w:customMarkFollows="0" w:id="22"/>
      </w:r>
      <w:r w:rsidDel="00000000" w:rsidR="00000000" w:rsidRPr="00000000">
        <w:rPr>
          <w:rtl w:val="0"/>
        </w:rPr>
      </w:r>
    </w:p>
    <w:p w:rsidR="00000000" w:rsidDel="00000000" w:rsidP="00000000" w:rsidRDefault="00000000" w:rsidRPr="00000000" w14:paraId="00000084">
      <w:pPr>
        <w:numPr>
          <w:ilvl w:val="0"/>
          <w:numId w:val="1"/>
        </w:numPr>
        <w:spacing w:after="57" w:before="85"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literales c, y d del Artículo 14.2 de la Carta Africana sobre los Derecho y Bienestar del Niño, en conexidad con el derecho a la salud y a los servicios de salud.</w:t>
      </w:r>
    </w:p>
    <w:p w:rsidR="00000000" w:rsidDel="00000000" w:rsidP="00000000" w:rsidRDefault="00000000" w:rsidRPr="00000000" w14:paraId="00000085">
      <w:pPr>
        <w:numPr>
          <w:ilvl w:val="0"/>
          <w:numId w:val="1"/>
        </w:numPr>
        <w:spacing w:after="57" w:before="85"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Artículo 14 y 15 del Protocolo de la Carta Africana de Derechos Humanos y de los Pueblos sobre los Derechos de la Mujer en África.</w:t>
      </w:r>
    </w:p>
    <w:p w:rsidR="00000000" w:rsidDel="00000000" w:rsidP="00000000" w:rsidRDefault="00000000" w:rsidRPr="00000000" w14:paraId="00000086">
      <w:pPr>
        <w:numPr>
          <w:ilvl w:val="0"/>
          <w:numId w:val="1"/>
        </w:numPr>
        <w:spacing w:after="57" w:before="85"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Jurisprudencialmente, la Comisión Africana de Derechos Humanos y de los Pueblos ha interpretado que el derecho a la alimentación se encuentra enunciado implícitamente en la Carta Africana de los Derechos Humanos y de los Pueblos de 1981, esto último a través de la conexidad que existe con los derechos a la vida, a la salud y al desarrollo económico, social y cultural</w:t>
      </w:r>
      <w:r w:rsidDel="00000000" w:rsidR="00000000" w:rsidRPr="00000000">
        <w:rPr>
          <w:rFonts w:ascii="Arial" w:cs="Arial" w:eastAsia="Arial" w:hAnsi="Arial"/>
          <w:sz w:val="24"/>
          <w:szCs w:val="24"/>
          <w:vertAlign w:val="superscript"/>
        </w:rPr>
        <w:footnoteReference w:customMarkFollows="0" w:id="23"/>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87">
      <w:pPr>
        <w:spacing w:after="57" w:before="85"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8">
      <w:pPr>
        <w:spacing w:after="57" w:before="85"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adición a lo anterior, el mismo ha sido mencionado, complementado, reconocido y/o desarrollado en diferentes instrumentos de </w:t>
      </w:r>
      <w:r w:rsidDel="00000000" w:rsidR="00000000" w:rsidRPr="00000000">
        <w:rPr>
          <w:rFonts w:ascii="Arial" w:cs="Arial" w:eastAsia="Arial" w:hAnsi="Arial"/>
          <w:i w:val="1"/>
          <w:sz w:val="24"/>
          <w:szCs w:val="24"/>
          <w:rtl w:val="0"/>
        </w:rPr>
        <w:t xml:space="preserve">soft-law </w:t>
      </w:r>
      <w:r w:rsidDel="00000000" w:rsidR="00000000" w:rsidRPr="00000000">
        <w:rPr>
          <w:rFonts w:ascii="Arial" w:cs="Arial" w:eastAsia="Arial" w:hAnsi="Arial"/>
          <w:sz w:val="24"/>
          <w:szCs w:val="24"/>
          <w:rtl w:val="0"/>
        </w:rPr>
        <w:t xml:space="preserve">de derecho internacional, como lo son, entre otros:</w:t>
      </w:r>
    </w:p>
    <w:p w:rsidR="00000000" w:rsidDel="00000000" w:rsidP="00000000" w:rsidRDefault="00000000" w:rsidRPr="00000000" w14:paraId="00000089">
      <w:pPr>
        <w:numPr>
          <w:ilvl w:val="0"/>
          <w:numId w:val="2"/>
        </w:numPr>
        <w:spacing w:after="57" w:before="85"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Declaración Universal sobre la Erradicación del Hambre y la Malnutrición de 1974.</w:t>
      </w:r>
    </w:p>
    <w:p w:rsidR="00000000" w:rsidDel="00000000" w:rsidP="00000000" w:rsidRDefault="00000000" w:rsidRPr="00000000" w14:paraId="0000008A">
      <w:pPr>
        <w:numPr>
          <w:ilvl w:val="0"/>
          <w:numId w:val="2"/>
        </w:numPr>
        <w:spacing w:after="57" w:before="85"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Declaración Mundial sobre la Nutrición de 1992.</w:t>
      </w:r>
    </w:p>
    <w:p w:rsidR="00000000" w:rsidDel="00000000" w:rsidP="00000000" w:rsidRDefault="00000000" w:rsidRPr="00000000" w14:paraId="0000008B">
      <w:pPr>
        <w:numPr>
          <w:ilvl w:val="0"/>
          <w:numId w:val="2"/>
        </w:numPr>
        <w:spacing w:after="57" w:before="85"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Declaración de Roma sobre la Seguridad Alimentaria Mundial de 1966.</w:t>
      </w:r>
    </w:p>
    <w:p w:rsidR="00000000" w:rsidDel="00000000" w:rsidP="00000000" w:rsidRDefault="00000000" w:rsidRPr="00000000" w14:paraId="0000008C">
      <w:pPr>
        <w:numPr>
          <w:ilvl w:val="0"/>
          <w:numId w:val="2"/>
        </w:numPr>
        <w:spacing w:after="57" w:before="85"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Resolución 2004/19 de la Asamblea General de las Naciones Unidas.</w:t>
      </w:r>
    </w:p>
    <w:p w:rsidR="00000000" w:rsidDel="00000000" w:rsidP="00000000" w:rsidRDefault="00000000" w:rsidRPr="00000000" w14:paraId="0000008D">
      <w:pPr>
        <w:numPr>
          <w:ilvl w:val="0"/>
          <w:numId w:val="2"/>
        </w:numPr>
        <w:spacing w:after="57" w:before="85"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Folleto Informativo No. 34 de la Oficina del Alto Comisionado de las Naciones Unidas para los Derechos Humanos y la FAO respecto al Derecho a la Alimentación Adecuada.</w:t>
      </w:r>
    </w:p>
    <w:p w:rsidR="00000000" w:rsidDel="00000000" w:rsidP="00000000" w:rsidRDefault="00000000" w:rsidRPr="00000000" w14:paraId="0000008E">
      <w:pPr>
        <w:numPr>
          <w:ilvl w:val="0"/>
          <w:numId w:val="2"/>
        </w:numPr>
        <w:spacing w:after="57" w:before="85"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Informe de fecha 11 de agosto de 2010 del Relator Especial de las Naciones Unidas sobre el derecho a la alimentación, en donde se señala que “</w:t>
      </w:r>
      <w:r w:rsidDel="00000000" w:rsidR="00000000" w:rsidRPr="00000000">
        <w:rPr>
          <w:rFonts w:ascii="Arial" w:cs="Arial" w:eastAsia="Arial" w:hAnsi="Arial"/>
          <w:i w:val="1"/>
          <w:sz w:val="24"/>
          <w:szCs w:val="24"/>
          <w:rtl w:val="0"/>
        </w:rPr>
        <w:t xml:space="preserve">El acceso a la tierra y la seguridad de la tenencia son esenciales para asegurar el disfrute no solo del derecho a la alimentación, sino también de otros derechos humanos, incluidos el derecho al trabajo (de los campesinos que no poseen tierras) y el derecho a la vivienda</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F">
      <w:pPr>
        <w:spacing w:after="57" w:before="85"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spacing w:after="57" w:before="85"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lo referente a su contenido y alcance, es preciso atender a las disposiciones contempladas en la Observación General No. 12 del Comité de Derechos Económicos, Sociales y Culturales de las Naciones Unidas. Así pues, dicho Comité de expertos ha resaltado que el Derecho Humano a la alimentación adecuada se encuentra intrínsecamente relacionado con la dignidad humana y resulta ser un presupuesto indispensable para el goce efectivo de cualquier otro Derecho. De la misma forma, ha establecido que existe una conexidad entre el mismo y con los postulados inherentes a la justicia social, en tanto requiere la adopción de políticas de índole económico, social y ambiental adecuadas que permitan su garantía y, de paso, implementar políticas públicas tendientes a la erradicación de la pobreza y la efectiva realización de otros derechos.</w:t>
      </w:r>
    </w:p>
    <w:p w:rsidR="00000000" w:rsidDel="00000000" w:rsidP="00000000" w:rsidRDefault="00000000" w:rsidRPr="00000000" w14:paraId="00000091">
      <w:pPr>
        <w:spacing w:after="57" w:before="85"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2">
      <w:pPr>
        <w:spacing w:after="57" w:before="85"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lo referente al contenido sustancial del mentado derecho, el mismo ha sido entendido por parte del Comité como:</w:t>
      </w:r>
    </w:p>
    <w:p w:rsidR="00000000" w:rsidDel="00000000" w:rsidP="00000000" w:rsidRDefault="00000000" w:rsidRPr="00000000" w14:paraId="00000093">
      <w:pPr>
        <w:spacing w:after="57" w:before="85"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“El derecho a la alimentación adecuada se ejerce cuando todo hombre, mujer o niño, ya sea sólo o en común con otros, tiene acceso físico y económico, en todo momento, a la alimentación adecuada o a medios para obtenerla. El derecho a la alimentación adecuada no debe interpretarse, por consiguiente, en forma estrecha o restrictiva asimilándolo a un conjunto de calorías, proteínas y otros elementos nutritivos concretos. El derecho a la alimentación adecuada tendrá que alcanzarse progresivamente. No obstante, los Estados tienen la obligación básica de adoptar las medidas necesarias para mitigar y aliviar el hambre tal como se dispone en el párrafo 2 del artículo 11, incluso en caso de desastre natural o de otra índole.”</w:t>
      </w:r>
      <w:r w:rsidDel="00000000" w:rsidR="00000000" w:rsidRPr="00000000">
        <w:rPr>
          <w:rFonts w:ascii="Arial" w:cs="Arial" w:eastAsia="Arial" w:hAnsi="Arial"/>
          <w:i w:val="1"/>
          <w:sz w:val="24"/>
          <w:szCs w:val="24"/>
          <w:vertAlign w:val="superscript"/>
        </w:rPr>
        <w:footnoteReference w:customMarkFollows="0" w:id="24"/>
      </w:r>
      <w:r w:rsidDel="00000000" w:rsidR="00000000" w:rsidRPr="00000000">
        <w:rPr>
          <w:rtl w:val="0"/>
        </w:rPr>
      </w:r>
    </w:p>
    <w:p w:rsidR="00000000" w:rsidDel="00000000" w:rsidP="00000000" w:rsidRDefault="00000000" w:rsidRPr="00000000" w14:paraId="00000094">
      <w:pPr>
        <w:spacing w:after="57" w:before="85"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la misma manera, el Relator Especial de las Naciones Unidas sobre el Derecho a la alimentación ha contribuido a la definición sustantiva de dicho derecho, estableciendo que el mismo consiste en:</w:t>
      </w:r>
    </w:p>
    <w:p w:rsidR="00000000" w:rsidDel="00000000" w:rsidP="00000000" w:rsidRDefault="00000000" w:rsidRPr="00000000" w14:paraId="00000095">
      <w:pPr>
        <w:spacing w:after="57" w:before="85"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1"/>
          <w:sz w:val="24"/>
          <w:szCs w:val="24"/>
          <w:rtl w:val="0"/>
        </w:rPr>
        <w:t xml:space="preserve">El derecho a tener acceso, de manera regular, permanente y libre, sea directamente, sea mediante compra en dinero, a una alimentación cuantitativa y cualitativamente adecuada y suficiente, que corresponda a las tradiciones culturales de la población a que pertenece el consumidor y que garantice una vida psíquica y física, individual y colectiva, libre de angustias, satisfactoria y digna.</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25"/>
      </w:r>
      <w:r w:rsidDel="00000000" w:rsidR="00000000" w:rsidRPr="00000000">
        <w:rPr>
          <w:rtl w:val="0"/>
        </w:rPr>
      </w:r>
    </w:p>
    <w:p w:rsidR="00000000" w:rsidDel="00000000" w:rsidP="00000000" w:rsidRDefault="00000000" w:rsidRPr="00000000" w14:paraId="00000096">
      <w:pPr>
        <w:spacing w:after="57" w:before="85"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 respecto, surgen ciertos conceptos que resultan destacables con respecto al derecho a la alimentación, a saber: </w:t>
      </w:r>
      <w:r w:rsidDel="00000000" w:rsidR="00000000" w:rsidRPr="00000000">
        <w:rPr>
          <w:rFonts w:ascii="Arial" w:cs="Arial" w:eastAsia="Arial" w:hAnsi="Arial"/>
          <w:b w:val="1"/>
          <w:sz w:val="24"/>
          <w:szCs w:val="24"/>
          <w:rtl w:val="0"/>
        </w:rPr>
        <w:t xml:space="preserve">disponibilidad, accesibilidad, adecuación y sostenibilidad</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7">
      <w:pPr>
        <w:spacing w:after="57" w:before="85"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8">
      <w:pPr>
        <w:spacing w:after="57" w:before="85"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disponible, debe entenderse que el alimento pueda ser obtenido ya a través de la producción de alimentos, el cultivo de la tierra y/o la ganadería, la caza o la recolección, y que también se encuentre disponible para su venta y acceso en mercados y comercio. Este concepto ha sido en parte desarrollado en el Plan Nacional de Seguridad Alimentaria y Nutricional 2012 – 2019 (PNSAN), en donde se entiende por disponible como </w:t>
      </w:r>
      <w:r w:rsidDel="00000000" w:rsidR="00000000" w:rsidRPr="00000000">
        <w:rPr>
          <w:rFonts w:ascii="Arial" w:cs="Arial" w:eastAsia="Arial" w:hAnsi="Arial"/>
          <w:i w:val="1"/>
          <w:sz w:val="24"/>
          <w:szCs w:val="24"/>
          <w:rtl w:val="0"/>
        </w:rPr>
        <w:t xml:space="preserve">“la cantidad de alimentos con que se cuenta a nivel nacional, regional y local; </w:t>
      </w:r>
      <w:r w:rsidDel="00000000" w:rsidR="00000000" w:rsidRPr="00000000">
        <w:rPr>
          <w:rFonts w:ascii="Arial" w:cs="Arial" w:eastAsia="Arial" w:hAnsi="Arial"/>
          <w:sz w:val="24"/>
          <w:szCs w:val="24"/>
          <w:rtl w:val="0"/>
        </w:rPr>
        <w:t xml:space="preserve">(y) </w:t>
      </w:r>
      <w:r w:rsidDel="00000000" w:rsidR="00000000" w:rsidRPr="00000000">
        <w:rPr>
          <w:rFonts w:ascii="Arial" w:cs="Arial" w:eastAsia="Arial" w:hAnsi="Arial"/>
          <w:i w:val="1"/>
          <w:sz w:val="24"/>
          <w:szCs w:val="24"/>
          <w:rtl w:val="0"/>
        </w:rPr>
        <w:t xml:space="preserve">está relacionada con el suministro suficiente de estos frente a los requerimientos de la población y depende fundamentalmente de la producción y la importación. Está determinada por: La estructura productiva (agropecuaria, agroindustrial); los sistemas de comercialización y distribución internos y externos; los factores productivos (tierra, financiamiento, agua, tecnología, recurso humano); las condiciones ecosistémicas (clima, recursos genéticos y biodiversidad); las políticas de producción y comercio; y el conflicto sociopolítico (relaciones económicas, sociales y políticas entre actores).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9">
      <w:pPr>
        <w:spacing w:after="57" w:before="85"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A">
      <w:pPr>
        <w:spacing w:after="57" w:before="85"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Del mismo modo, el alimento debe ser </w:t>
      </w:r>
      <w:r w:rsidDel="00000000" w:rsidR="00000000" w:rsidRPr="00000000">
        <w:rPr>
          <w:rFonts w:ascii="Arial" w:cs="Arial" w:eastAsia="Arial" w:hAnsi="Arial"/>
          <w:b w:val="1"/>
          <w:sz w:val="24"/>
          <w:szCs w:val="24"/>
          <w:rtl w:val="0"/>
        </w:rPr>
        <w:t xml:space="preserve">accesible</w:t>
      </w:r>
      <w:r w:rsidDel="00000000" w:rsidR="00000000" w:rsidRPr="00000000">
        <w:rPr>
          <w:rFonts w:ascii="Arial" w:cs="Arial" w:eastAsia="Arial" w:hAnsi="Arial"/>
          <w:sz w:val="24"/>
          <w:szCs w:val="24"/>
          <w:rtl w:val="0"/>
        </w:rPr>
        <w:t xml:space="preserve">, ya en el plano económico como en el plano físico. En cuanto a la accesibilidad económica, dicho aspecto hace referencia a que debe garantizarse que las personas se encuentren en condiciones adecuadas de permitirse la adquisición de los alimentos sin perjuicio de otras erogaciones que resulten necesarias para atender necesidades básicas. En cuanto a la accesibilidad física, dicho criterio hace referencia a que los alimentos deben ser accesibles de manera universal y prestando especial atención a aquellas comunidades y ciudadanos que se encuentran en situaciones de vulnerabilidad. Al respecto, el PNSAN 2012 – 2019 ha dispuesto que debe entenderse por acceso como “</w:t>
      </w:r>
      <w:r w:rsidDel="00000000" w:rsidR="00000000" w:rsidRPr="00000000">
        <w:rPr>
          <w:rFonts w:ascii="Arial" w:cs="Arial" w:eastAsia="Arial" w:hAnsi="Arial"/>
          <w:i w:val="1"/>
          <w:sz w:val="24"/>
          <w:szCs w:val="24"/>
          <w:rtl w:val="0"/>
        </w:rPr>
        <w:t xml:space="preserve">la posibilidad de todas las personas de alcanzar una alimentación adecuada y sostenible. Se refiere a los alimentos que puede obtener o comprar una familia, comunidad o país. Sus determinantes básicos son: Nivel y distribución de ingresos (monetarios y no monetarios) y los precios de los alimentos.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9B">
      <w:pPr>
        <w:spacing w:after="57" w:before="85"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C">
      <w:pPr>
        <w:spacing w:after="57" w:before="85"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tercer lugar, el alimento debe ser </w:t>
      </w:r>
      <w:r w:rsidDel="00000000" w:rsidR="00000000" w:rsidRPr="00000000">
        <w:rPr>
          <w:rFonts w:ascii="Arial" w:cs="Arial" w:eastAsia="Arial" w:hAnsi="Arial"/>
          <w:b w:val="1"/>
          <w:sz w:val="24"/>
          <w:szCs w:val="24"/>
          <w:rtl w:val="0"/>
        </w:rPr>
        <w:t xml:space="preserve">adecuado.</w:t>
      </w:r>
      <w:r w:rsidDel="00000000" w:rsidR="00000000" w:rsidRPr="00000000">
        <w:rPr>
          <w:rFonts w:ascii="Arial" w:cs="Arial" w:eastAsia="Arial" w:hAnsi="Arial"/>
          <w:sz w:val="24"/>
          <w:szCs w:val="24"/>
          <w:rtl w:val="0"/>
        </w:rPr>
        <w:t xml:space="preserve"> Dicho criterio se refiere a que la alimentación debe satisfacer las necesidades básicas de dieta teniendo en cuenta la condición de la persona. Dentro de dicho criterio se contemplan también la necesidad de garantizar que los alimentos sean seguros para el consumo humano, es decir, que se encuentren libres de sustancias nocivas y/o contaminantes que puedan atentar contra la salud humana. También se encuentra contemplado el concepto de alimento culturalmente aceptable, el cual se refiere a la necesidad de que los alimentos que se provean no se encuentren proscritos por las tradiciones ni los valores culturales o religiosos de las comunidades. Respecto a este criterio establecido como fundamental por la doctrina internacional, el PNSAN 2012 – 2019 no hace ninguna referencia explícita respecto al mismo, aunque se hacen tangenciales referencias al mismo dentro de los criterios previamente mencionados.</w:t>
      </w:r>
    </w:p>
    <w:p w:rsidR="00000000" w:rsidDel="00000000" w:rsidP="00000000" w:rsidRDefault="00000000" w:rsidRPr="00000000" w14:paraId="0000009D">
      <w:pPr>
        <w:spacing w:after="57" w:before="85"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Respecto a las obligaciones que impone el derecho a la alimentación adecuada a los Estados, las cuales fueron esbozadas anteriormente, es preciso desarrollar. Así pues, es preciso entonces acudir nuevamente a lo estipulado en la Observación General No. 12, el cual establece que:</w:t>
      </w:r>
    </w:p>
    <w:p w:rsidR="00000000" w:rsidDel="00000000" w:rsidP="00000000" w:rsidRDefault="00000000" w:rsidRPr="00000000" w14:paraId="0000009E">
      <w:pPr>
        <w:spacing w:after="57" w:before="85"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F">
      <w:pPr>
        <w:spacing w:after="57" w:before="85"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1"/>
          <w:sz w:val="24"/>
          <w:szCs w:val="24"/>
          <w:rtl w:val="0"/>
        </w:rPr>
        <w:t xml:space="preserve">El derecho a la alimentación adecuada, al igual que cualquier otro derecho humano, impone tres tipos o niveles de obligaciones a los Estados Partes: las obligaciones de </w:t>
      </w:r>
      <w:r w:rsidDel="00000000" w:rsidR="00000000" w:rsidRPr="00000000">
        <w:rPr>
          <w:rFonts w:ascii="Arial" w:cs="Arial" w:eastAsia="Arial" w:hAnsi="Arial"/>
          <w:b w:val="1"/>
          <w:i w:val="1"/>
          <w:sz w:val="24"/>
          <w:szCs w:val="24"/>
          <w:rtl w:val="0"/>
        </w:rPr>
        <w:t xml:space="preserve">respetar, proteger y realizar</w:t>
      </w:r>
      <w:r w:rsidDel="00000000" w:rsidR="00000000" w:rsidRPr="00000000">
        <w:rPr>
          <w:rFonts w:ascii="Arial" w:cs="Arial" w:eastAsia="Arial" w:hAnsi="Arial"/>
          <w:i w:val="1"/>
          <w:sz w:val="24"/>
          <w:szCs w:val="24"/>
          <w:rtl w:val="0"/>
        </w:rPr>
        <w:t xml:space="preserve">. A su vez, la obligación de realizar entraña tanto la obligación de facilitar como la obligación de hacer efectivo. La obligación de respetar el acceso existente a una alimentación adecuada requiere que los Estados no adopten medidas de ningún tipo que tengan por resultado impedir ese acceso. La obligación de proteger requiere que el Estado Parte adopte medidas para velar por que las empresas o los particulares no priven a las personas del acceso a una alimentación adecuada. La obligación de realizar (facilitar) significa que el Estado debe procurar iniciar actividades con el fin de fortalecer el acceso y la utilización por parte de la población de los recursos y medios que aseguren sus medios de vida, incluida la seguridad alimentaria. Por último, cuando un individuo o un grupo sea incapaz, por razones que escapen a su control, de disfrutar el derecho a una alimentación adecuada por los medios a su alcance, los Estados tienen la obligación de realizar (hacer efectivo) ese derecho directamente. Esta obligación también se aplica a las personas que son víctimas de catástrofes naturales o de otra índole.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26"/>
      </w:r>
      <w:r w:rsidDel="00000000" w:rsidR="00000000" w:rsidRPr="00000000">
        <w:rPr>
          <w:rFonts w:ascii="Arial" w:cs="Arial" w:eastAsia="Arial" w:hAnsi="Arial"/>
          <w:sz w:val="24"/>
          <w:szCs w:val="24"/>
          <w:rtl w:val="0"/>
        </w:rPr>
        <w:t xml:space="preserve"> (se resalta)</w:t>
      </w:r>
    </w:p>
    <w:p w:rsidR="00000000" w:rsidDel="00000000" w:rsidP="00000000" w:rsidRDefault="00000000" w:rsidRPr="00000000" w14:paraId="000000A0">
      <w:pPr>
        <w:spacing w:after="57" w:before="85"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1">
      <w:pPr>
        <w:spacing w:after="57" w:before="85"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Finalmente, el derecho a la alimentación tiene una dimensión de </w:t>
      </w:r>
      <w:r w:rsidDel="00000000" w:rsidR="00000000" w:rsidRPr="00000000">
        <w:rPr>
          <w:rFonts w:ascii="Arial" w:cs="Arial" w:eastAsia="Arial" w:hAnsi="Arial"/>
          <w:b w:val="1"/>
          <w:sz w:val="24"/>
          <w:szCs w:val="24"/>
          <w:rtl w:val="0"/>
        </w:rPr>
        <w:t xml:space="preserve">sostenibilidad</w:t>
      </w:r>
      <w:r w:rsidDel="00000000" w:rsidR="00000000" w:rsidRPr="00000000">
        <w:rPr>
          <w:rFonts w:ascii="Arial" w:cs="Arial" w:eastAsia="Arial" w:hAnsi="Arial"/>
          <w:sz w:val="24"/>
          <w:szCs w:val="24"/>
          <w:rtl w:val="0"/>
        </w:rPr>
        <w:t xml:space="preserve">, que implica i) la disponibilidad y acceso hacia el futuro; y ii) su producción y consumo ambiental, económica y socialmente sostenible.</w:t>
      </w:r>
    </w:p>
    <w:p w:rsidR="00000000" w:rsidDel="00000000" w:rsidP="00000000" w:rsidRDefault="00000000" w:rsidRPr="00000000" w14:paraId="000000A2">
      <w:pPr>
        <w:spacing w:after="57" w:before="85"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3">
      <w:pPr>
        <w:numPr>
          <w:ilvl w:val="0"/>
          <w:numId w:val="3"/>
        </w:numPr>
        <w:spacing w:after="57" w:before="85" w:lineRule="auto"/>
        <w:ind w:left="36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Consideraciones frente a la exigibilidad del derecho en los términos planteados en el proyecto.</w:t>
      </w:r>
    </w:p>
    <w:p w:rsidR="00000000" w:rsidDel="00000000" w:rsidP="00000000" w:rsidRDefault="00000000" w:rsidRPr="00000000" w14:paraId="000000A4">
      <w:pPr>
        <w:spacing w:after="57" w:before="85"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lo que respecta a la exigibilidad del derecho, en los términos que se plantean en el articulado, se ha reconocido que los medios para garantizar el mentado derecho variarán de manera inevitable y considerable de un Estado Parte a otro. En virtud de lo anterior, existe una libertad de aproximación y enfoques al momento de formular políticas públicas que estén destinadas a cumplir con las obligaciones que se encuentran contempladas en el artículo 11 del Pacto Internacional de Derechos Económicos, Sociales y Culturales</w:t>
      </w:r>
      <w:r w:rsidDel="00000000" w:rsidR="00000000" w:rsidRPr="00000000">
        <w:rPr>
          <w:rFonts w:ascii="Arial" w:cs="Arial" w:eastAsia="Arial" w:hAnsi="Arial"/>
          <w:sz w:val="24"/>
          <w:szCs w:val="24"/>
          <w:vertAlign w:val="superscript"/>
        </w:rPr>
        <w:footnoteReference w:customMarkFollows="0" w:id="27"/>
      </w:r>
      <w:r w:rsidDel="00000000" w:rsidR="00000000" w:rsidRPr="00000000">
        <w:rPr>
          <w:rFonts w:ascii="Arial" w:cs="Arial" w:eastAsia="Arial" w:hAnsi="Arial"/>
          <w:sz w:val="24"/>
          <w:szCs w:val="24"/>
          <w:rtl w:val="0"/>
        </w:rPr>
        <w:t xml:space="preserve">, cuya realización en sí (salvo en aquellos casos en los cuales se vean involucrados Niños, Niñas y Adolescentes) se debe materializar de manera progresiva, conforme a la disponibilidad presupuestal de los Estados.</w:t>
      </w:r>
    </w:p>
    <w:p w:rsidR="00000000" w:rsidDel="00000000" w:rsidP="00000000" w:rsidRDefault="00000000" w:rsidRPr="00000000" w14:paraId="000000A5">
      <w:pPr>
        <w:spacing w:after="57" w:before="85"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ese sentido, resulta necesario traer a colación lo dispuesto por el economista y premio Nobel de economía Amartya Sen en su escrito “</w:t>
      </w:r>
      <w:r w:rsidDel="00000000" w:rsidR="00000000" w:rsidRPr="00000000">
        <w:rPr>
          <w:rFonts w:ascii="Arial" w:cs="Arial" w:eastAsia="Arial" w:hAnsi="Arial"/>
          <w:i w:val="1"/>
          <w:sz w:val="24"/>
          <w:szCs w:val="24"/>
          <w:rtl w:val="0"/>
        </w:rPr>
        <w:t xml:space="preserve">The right not to be hungry</w:t>
      </w:r>
      <w:r w:rsidDel="00000000" w:rsidR="00000000" w:rsidRPr="00000000">
        <w:rPr>
          <w:rFonts w:ascii="Arial" w:cs="Arial" w:eastAsia="Arial" w:hAnsi="Arial"/>
          <w:sz w:val="24"/>
          <w:szCs w:val="24"/>
          <w:rtl w:val="0"/>
        </w:rPr>
        <w:t xml:space="preserve">” (1982) quien plantea la existencia de una nueva categoría de derechos que denomina “metaderechos”. En ese sentido, Sen plantea que “</w:t>
      </w:r>
      <w:r w:rsidDel="00000000" w:rsidR="00000000" w:rsidRPr="00000000">
        <w:rPr>
          <w:rFonts w:ascii="Arial" w:cs="Arial" w:eastAsia="Arial" w:hAnsi="Arial"/>
          <w:i w:val="1"/>
          <w:sz w:val="24"/>
          <w:szCs w:val="24"/>
          <w:rtl w:val="0"/>
        </w:rPr>
        <w:t xml:space="preserve">un metaderecho a algo x puede ser definido como el derecho a tener políticas p(x) que persigan genuinamente el objetivo de hacer realizable el derecho a x</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28"/>
      </w:r>
      <w:r w:rsidDel="00000000" w:rsidR="00000000" w:rsidRPr="00000000">
        <w:rPr>
          <w:rFonts w:ascii="Arial" w:cs="Arial" w:eastAsia="Arial" w:hAnsi="Arial"/>
          <w:sz w:val="24"/>
          <w:szCs w:val="24"/>
          <w:rtl w:val="0"/>
        </w:rPr>
        <w:t xml:space="preserve"> Con el propósito de ejemplificar su afirmación, el autor plantea un ejemplo de la Constitución de la India en donde claramente se esboza una redacción “</w:t>
      </w:r>
      <w:r w:rsidDel="00000000" w:rsidR="00000000" w:rsidRPr="00000000">
        <w:rPr>
          <w:rFonts w:ascii="Arial" w:cs="Arial" w:eastAsia="Arial" w:hAnsi="Arial"/>
          <w:i w:val="1"/>
          <w:sz w:val="24"/>
          <w:szCs w:val="24"/>
          <w:rtl w:val="0"/>
        </w:rPr>
        <w:t xml:space="preserve">suficientemente cuidadosa para evitar aseverar que tal derecho existe de antemano </w:t>
      </w:r>
      <w:r w:rsidDel="00000000" w:rsidR="00000000" w:rsidRPr="00000000">
        <w:rPr>
          <w:rFonts w:ascii="Arial" w:cs="Arial" w:eastAsia="Arial" w:hAnsi="Arial"/>
          <w:sz w:val="24"/>
          <w:szCs w:val="24"/>
          <w:rtl w:val="0"/>
        </w:rPr>
        <w:t xml:space="preserve">(pese a que es deseable su existencia y puede argumentarse desde el ámbito de la conexidad con Derechos Fundamentales de corte no prestacional), </w:t>
      </w:r>
      <w:r w:rsidDel="00000000" w:rsidR="00000000" w:rsidRPr="00000000">
        <w:rPr>
          <w:rFonts w:ascii="Arial" w:cs="Arial" w:eastAsia="Arial" w:hAnsi="Arial"/>
          <w:i w:val="1"/>
          <w:sz w:val="24"/>
          <w:szCs w:val="24"/>
          <w:rtl w:val="0"/>
        </w:rPr>
        <w:t xml:space="preserve">al decir que tan solo las políticas deben ser dirigidas a hacer posible tener medios adecuados para la realización del fin</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29"/>
      </w:r>
      <w:r w:rsidDel="00000000" w:rsidR="00000000" w:rsidRPr="00000000">
        <w:rPr>
          <w:rtl w:val="0"/>
        </w:rPr>
      </w:r>
    </w:p>
    <w:p w:rsidR="00000000" w:rsidDel="00000000" w:rsidP="00000000" w:rsidRDefault="00000000" w:rsidRPr="00000000" w14:paraId="000000A6">
      <w:pPr>
        <w:spacing w:after="57" w:before="85"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eje central de la teoría esbozada por Sen parte de una sencilla premisa: la redacción consignada, de ser aceptada y positivizada en el texto constitucional, plantea que tan solo se le otorgaría el reconocimiento y las herramientas para exigir al Gobierno el derecho a que se pongan en práctica las políticas (definidas por el autor como p(x)) y que sean conducentes para la realización y materialización del fin perseguido (definido como x por el Autor). </w:t>
      </w:r>
    </w:p>
    <w:p w:rsidR="00000000" w:rsidDel="00000000" w:rsidP="00000000" w:rsidRDefault="00000000" w:rsidRPr="00000000" w14:paraId="000000A7">
      <w:pPr>
        <w:spacing w:after="57" w:before="85"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8">
      <w:pPr>
        <w:spacing w:after="57" w:before="85"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ese sentido, de acuerdo con Sen “</w:t>
      </w:r>
      <w:r w:rsidDel="00000000" w:rsidR="00000000" w:rsidRPr="00000000">
        <w:rPr>
          <w:rFonts w:ascii="Arial" w:cs="Arial" w:eastAsia="Arial" w:hAnsi="Arial"/>
          <w:i w:val="1"/>
          <w:sz w:val="24"/>
          <w:szCs w:val="24"/>
          <w:rtl w:val="0"/>
        </w:rPr>
        <w:t xml:space="preserve">no resulta difícil observar por qué los metaderechos de este tipo tienen relevancia particular para objetivos económicos tales como la remoción de la pobreza o el hambre. En muchos países en donde </w:t>
      </w:r>
      <w:r w:rsidDel="00000000" w:rsidR="00000000" w:rsidRPr="00000000">
        <w:rPr>
          <w:rFonts w:ascii="Arial" w:cs="Arial" w:eastAsia="Arial" w:hAnsi="Arial"/>
          <w:sz w:val="24"/>
          <w:szCs w:val="24"/>
          <w:rtl w:val="0"/>
        </w:rPr>
        <w:t xml:space="preserve">(estas dos situaciones) </w:t>
      </w:r>
      <w:r w:rsidDel="00000000" w:rsidR="00000000" w:rsidRPr="00000000">
        <w:rPr>
          <w:rFonts w:ascii="Arial" w:cs="Arial" w:eastAsia="Arial" w:hAnsi="Arial"/>
          <w:i w:val="1"/>
          <w:sz w:val="24"/>
          <w:szCs w:val="24"/>
          <w:rtl w:val="0"/>
        </w:rPr>
        <w:t xml:space="preserve">están diseminados, puede que no exista ningún modo factible mediante el cual en un futuro cercano se le garantice a todos ser liberados de aquellas, pero sí políticas que rápidamente conducirán a tal liberación</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30"/>
      </w:r>
      <w:r w:rsidDel="00000000" w:rsidR="00000000" w:rsidRPr="00000000">
        <w:rPr>
          <w:rFonts w:ascii="Arial" w:cs="Arial" w:eastAsia="Arial" w:hAnsi="Arial"/>
          <w:sz w:val="24"/>
          <w:szCs w:val="24"/>
          <w:rtl w:val="0"/>
        </w:rPr>
        <w:t xml:space="preserve"> Tomando en consideración el anterior panorama, se cree que establecer el metaderecho a ser liberado del hambre es el derecho no a la provisión y prestación permanente de los alimentos, sino a la acción, a exigirle al Estado que despliegue una serie de medidas y políticas públicas serias a través de las cuales se materialice el derecho-objetivo de contar con una población libre del flagelo del hambre.</w:t>
      </w:r>
    </w:p>
    <w:p w:rsidR="00000000" w:rsidDel="00000000" w:rsidP="00000000" w:rsidRDefault="00000000" w:rsidRPr="00000000" w14:paraId="000000A9">
      <w:pPr>
        <w:spacing w:after="57" w:before="85"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A">
      <w:pPr>
        <w:spacing w:after="57" w:before="85"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Tomando en consideración la teoría expuesta por Sen, se establece una redacción a través de la cual se positivice en la Constitución Política la obligación del Estado a actuar e implementar políticas públicas a través de las cuales se pueda llegar a garantizar de manera universal (aunque progresiva y conforme a la realidad económica del país) el derecho a la alimentación adecuada, a la seguridad y a las autonomías alimentarias.</w:t>
      </w:r>
    </w:p>
    <w:p w:rsidR="00000000" w:rsidDel="00000000" w:rsidP="00000000" w:rsidRDefault="00000000" w:rsidRPr="00000000" w14:paraId="000000AB">
      <w:pPr>
        <w:spacing w:after="57" w:before="85"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C">
      <w:pPr>
        <w:numPr>
          <w:ilvl w:val="0"/>
          <w:numId w:val="3"/>
        </w:numPr>
        <w:spacing w:after="57" w:before="85" w:lineRule="auto"/>
        <w:ind w:left="36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El derecho a estar protegido contra el hambre y la desnutrición en el derecho comparado.</w:t>
      </w:r>
    </w:p>
    <w:p w:rsidR="00000000" w:rsidDel="00000000" w:rsidP="00000000" w:rsidRDefault="00000000" w:rsidRPr="00000000" w14:paraId="000000AD">
      <w:pPr>
        <w:spacing w:after="57" w:before="85"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Son varios los Estados los que, a pesar de haber ratificado y adoptado el Pacto Internacional de Derechos Económicos, Sociales y Culturales los que han consagrado explícitamente en sus constituciones el reconocimiento del derecho a estar protegido contra el hambre y la desnutrición, así</w:t>
      </w:r>
      <w:r w:rsidDel="00000000" w:rsidR="00000000" w:rsidRPr="00000000">
        <w:rPr>
          <w:rFonts w:ascii="Arial" w:cs="Arial" w:eastAsia="Arial" w:hAnsi="Arial"/>
          <w:sz w:val="24"/>
          <w:szCs w:val="24"/>
          <w:vertAlign w:val="superscript"/>
        </w:rPr>
        <w:footnoteReference w:customMarkFollows="0" w:id="31"/>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AE">
      <w:pPr>
        <w:spacing w:after="57" w:before="85" w:lineRule="auto"/>
        <w:jc w:val="both"/>
        <w:rPr>
          <w:rFonts w:ascii="Arial" w:cs="Arial" w:eastAsia="Arial" w:hAnsi="Arial"/>
          <w:sz w:val="24"/>
          <w:szCs w:val="24"/>
        </w:rPr>
      </w:pPr>
      <w:r w:rsidDel="00000000" w:rsidR="00000000" w:rsidRPr="00000000">
        <w:rPr>
          <w:rtl w:val="0"/>
        </w:rPr>
      </w:r>
    </w:p>
    <w:tbl>
      <w:tblPr>
        <w:tblStyle w:val="Table1"/>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521"/>
        <w:gridCol w:w="7307"/>
        <w:tblGridChange w:id="0">
          <w:tblGrid>
            <w:gridCol w:w="1521"/>
            <w:gridCol w:w="7307"/>
          </w:tblGrid>
        </w:tblGridChange>
      </w:tblGrid>
      <w:tr>
        <w:trPr>
          <w:cantSplit w:val="0"/>
          <w:tblHeader w:val="0"/>
        </w:trPr>
        <w:tc>
          <w:tcPr>
            <w:shd w:fill="auto" w:val="clear"/>
          </w:tcPr>
          <w:p w:rsidR="00000000" w:rsidDel="00000000" w:rsidP="00000000" w:rsidRDefault="00000000" w:rsidRPr="00000000" w14:paraId="000000AF">
            <w:pPr>
              <w:spacing w:after="57" w:before="85" w:lineRule="auto"/>
              <w:jc w:val="center"/>
              <w:rPr>
                <w:rFonts w:ascii="Arial" w:cs="Arial" w:eastAsia="Arial" w:hAnsi="Arial"/>
                <w:b w:val="1"/>
                <w:sz w:val="13"/>
                <w:szCs w:val="13"/>
              </w:rPr>
            </w:pPr>
            <w:r w:rsidDel="00000000" w:rsidR="00000000" w:rsidRPr="00000000">
              <w:rPr>
                <w:rFonts w:ascii="Arial" w:cs="Arial" w:eastAsia="Arial" w:hAnsi="Arial"/>
                <w:b w:val="1"/>
                <w:sz w:val="13"/>
                <w:szCs w:val="13"/>
                <w:rtl w:val="0"/>
              </w:rPr>
              <w:t xml:space="preserve">País</w:t>
            </w:r>
          </w:p>
        </w:tc>
        <w:tc>
          <w:tcPr>
            <w:shd w:fill="auto" w:val="clear"/>
          </w:tcPr>
          <w:p w:rsidR="00000000" w:rsidDel="00000000" w:rsidP="00000000" w:rsidRDefault="00000000" w:rsidRPr="00000000" w14:paraId="000000B0">
            <w:pPr>
              <w:spacing w:after="57" w:before="85" w:lineRule="auto"/>
              <w:jc w:val="center"/>
              <w:rPr>
                <w:rFonts w:ascii="Arial" w:cs="Arial" w:eastAsia="Arial" w:hAnsi="Arial"/>
                <w:b w:val="1"/>
                <w:sz w:val="13"/>
                <w:szCs w:val="13"/>
              </w:rPr>
            </w:pPr>
            <w:r w:rsidDel="00000000" w:rsidR="00000000" w:rsidRPr="00000000">
              <w:rPr>
                <w:rFonts w:ascii="Arial" w:cs="Arial" w:eastAsia="Arial" w:hAnsi="Arial"/>
                <w:b w:val="1"/>
                <w:sz w:val="13"/>
                <w:szCs w:val="13"/>
                <w:rtl w:val="0"/>
              </w:rPr>
              <w:t xml:space="preserve">Texto constitucional</w:t>
            </w:r>
          </w:p>
        </w:tc>
      </w:tr>
      <w:tr>
        <w:trPr>
          <w:cantSplit w:val="0"/>
          <w:tblHeader w:val="0"/>
        </w:trPr>
        <w:tc>
          <w:tcPr>
            <w:shd w:fill="auto" w:val="clear"/>
          </w:tcPr>
          <w:p w:rsidR="00000000" w:rsidDel="00000000" w:rsidP="00000000" w:rsidRDefault="00000000" w:rsidRPr="00000000" w14:paraId="000000B1">
            <w:pPr>
              <w:spacing w:after="57" w:before="85" w:lineRule="auto"/>
              <w:jc w:val="both"/>
              <w:rPr>
                <w:rFonts w:ascii="Arial" w:cs="Arial" w:eastAsia="Arial" w:hAnsi="Arial"/>
                <w:sz w:val="13"/>
                <w:szCs w:val="13"/>
              </w:rPr>
            </w:pPr>
            <w:r w:rsidDel="00000000" w:rsidR="00000000" w:rsidRPr="00000000">
              <w:rPr>
                <w:rFonts w:ascii="Arial" w:cs="Arial" w:eastAsia="Arial" w:hAnsi="Arial"/>
                <w:sz w:val="13"/>
                <w:szCs w:val="13"/>
                <w:rtl w:val="0"/>
              </w:rPr>
              <w:t xml:space="preserve">Bolivia</w:t>
            </w:r>
          </w:p>
          <w:p w:rsidR="00000000" w:rsidDel="00000000" w:rsidP="00000000" w:rsidRDefault="00000000" w:rsidRPr="00000000" w14:paraId="000000B2">
            <w:pPr>
              <w:spacing w:after="57" w:before="85" w:lineRule="auto"/>
              <w:jc w:val="both"/>
              <w:rPr>
                <w:rFonts w:ascii="Arial" w:cs="Arial" w:eastAsia="Arial" w:hAnsi="Arial"/>
                <w:sz w:val="13"/>
                <w:szCs w:val="13"/>
              </w:rPr>
            </w:pPr>
            <w:r w:rsidDel="00000000" w:rsidR="00000000" w:rsidRPr="00000000">
              <w:rPr>
                <w:rtl w:val="0"/>
              </w:rPr>
            </w:r>
          </w:p>
        </w:tc>
        <w:tc>
          <w:tcPr>
            <w:shd w:fill="auto" w:val="clear"/>
          </w:tcPr>
          <w:p w:rsidR="00000000" w:rsidDel="00000000" w:rsidP="00000000" w:rsidRDefault="00000000" w:rsidRPr="00000000" w14:paraId="000000B3">
            <w:pPr>
              <w:spacing w:after="57" w:before="85" w:lineRule="auto"/>
              <w:jc w:val="both"/>
              <w:rPr>
                <w:rFonts w:ascii="Arial" w:cs="Arial" w:eastAsia="Arial" w:hAnsi="Arial"/>
                <w:sz w:val="13"/>
                <w:szCs w:val="13"/>
              </w:rPr>
            </w:pPr>
            <w:r w:rsidDel="00000000" w:rsidR="00000000" w:rsidRPr="00000000">
              <w:rPr>
                <w:rFonts w:ascii="Arial" w:cs="Arial" w:eastAsia="Arial" w:hAnsi="Arial"/>
                <w:sz w:val="13"/>
                <w:szCs w:val="13"/>
                <w:rtl w:val="0"/>
              </w:rPr>
              <w:t xml:space="preserve">Artículo 16: 1. Toda persona tiene derecho al agua y a la alimentación. (…) El Estado tiene la obligación de garantizar la seguridad alimentaria, a través de una alimentación sana, adecuada y suficiente para toda la población.</w:t>
            </w:r>
          </w:p>
        </w:tc>
      </w:tr>
      <w:tr>
        <w:trPr>
          <w:cantSplit w:val="0"/>
          <w:tblHeader w:val="0"/>
        </w:trPr>
        <w:tc>
          <w:tcPr>
            <w:shd w:fill="auto" w:val="clear"/>
          </w:tcPr>
          <w:p w:rsidR="00000000" w:rsidDel="00000000" w:rsidP="00000000" w:rsidRDefault="00000000" w:rsidRPr="00000000" w14:paraId="000000B4">
            <w:pPr>
              <w:spacing w:after="57" w:before="85" w:lineRule="auto"/>
              <w:jc w:val="both"/>
              <w:rPr>
                <w:rFonts w:ascii="Arial" w:cs="Arial" w:eastAsia="Arial" w:hAnsi="Arial"/>
                <w:sz w:val="13"/>
                <w:szCs w:val="13"/>
              </w:rPr>
            </w:pPr>
            <w:r w:rsidDel="00000000" w:rsidR="00000000" w:rsidRPr="00000000">
              <w:rPr>
                <w:rFonts w:ascii="Arial" w:cs="Arial" w:eastAsia="Arial" w:hAnsi="Arial"/>
                <w:sz w:val="13"/>
                <w:szCs w:val="13"/>
                <w:rtl w:val="0"/>
              </w:rPr>
              <w:t xml:space="preserve">Cuba</w:t>
            </w:r>
          </w:p>
          <w:p w:rsidR="00000000" w:rsidDel="00000000" w:rsidP="00000000" w:rsidRDefault="00000000" w:rsidRPr="00000000" w14:paraId="000000B5">
            <w:pPr>
              <w:spacing w:after="57" w:before="85" w:lineRule="auto"/>
              <w:jc w:val="both"/>
              <w:rPr>
                <w:rFonts w:ascii="Arial" w:cs="Arial" w:eastAsia="Arial" w:hAnsi="Arial"/>
                <w:sz w:val="13"/>
                <w:szCs w:val="13"/>
              </w:rPr>
            </w:pPr>
            <w:r w:rsidDel="00000000" w:rsidR="00000000" w:rsidRPr="00000000">
              <w:rPr>
                <w:rtl w:val="0"/>
              </w:rPr>
            </w:r>
          </w:p>
        </w:tc>
        <w:tc>
          <w:tcPr>
            <w:shd w:fill="auto" w:val="clear"/>
          </w:tcPr>
          <w:p w:rsidR="00000000" w:rsidDel="00000000" w:rsidP="00000000" w:rsidRDefault="00000000" w:rsidRPr="00000000" w14:paraId="000000B6">
            <w:pPr>
              <w:spacing w:after="57" w:before="85" w:lineRule="auto"/>
              <w:jc w:val="both"/>
              <w:rPr>
                <w:rFonts w:ascii="Arial" w:cs="Arial" w:eastAsia="Arial" w:hAnsi="Arial"/>
                <w:sz w:val="13"/>
                <w:szCs w:val="13"/>
              </w:rPr>
            </w:pPr>
            <w:r w:rsidDel="00000000" w:rsidR="00000000" w:rsidRPr="00000000">
              <w:rPr>
                <w:rFonts w:ascii="Arial" w:cs="Arial" w:eastAsia="Arial" w:hAnsi="Arial"/>
                <w:sz w:val="13"/>
                <w:szCs w:val="13"/>
                <w:rtl w:val="0"/>
              </w:rPr>
              <w:t xml:space="preserve">Artículo 77. Todas las personas tienen derecho a la alimentación sana y adecuada. El Estado crea las condiciones para fortalecer la seguridad alimentaria de toda la población.</w:t>
            </w:r>
          </w:p>
        </w:tc>
      </w:tr>
      <w:tr>
        <w:trPr>
          <w:cantSplit w:val="0"/>
          <w:tblHeader w:val="0"/>
        </w:trPr>
        <w:tc>
          <w:tcPr>
            <w:shd w:fill="auto" w:val="clear"/>
          </w:tcPr>
          <w:p w:rsidR="00000000" w:rsidDel="00000000" w:rsidP="00000000" w:rsidRDefault="00000000" w:rsidRPr="00000000" w14:paraId="000000B7">
            <w:pPr>
              <w:spacing w:after="57" w:before="85" w:lineRule="auto"/>
              <w:jc w:val="both"/>
              <w:rPr>
                <w:rFonts w:ascii="Arial" w:cs="Arial" w:eastAsia="Arial" w:hAnsi="Arial"/>
                <w:sz w:val="13"/>
                <w:szCs w:val="13"/>
              </w:rPr>
            </w:pPr>
            <w:r w:rsidDel="00000000" w:rsidR="00000000" w:rsidRPr="00000000">
              <w:rPr>
                <w:rFonts w:ascii="Arial" w:cs="Arial" w:eastAsia="Arial" w:hAnsi="Arial"/>
                <w:sz w:val="13"/>
                <w:szCs w:val="13"/>
                <w:rtl w:val="0"/>
              </w:rPr>
              <w:t xml:space="preserve">Ecuador</w:t>
            </w:r>
          </w:p>
          <w:p w:rsidR="00000000" w:rsidDel="00000000" w:rsidP="00000000" w:rsidRDefault="00000000" w:rsidRPr="00000000" w14:paraId="000000B8">
            <w:pPr>
              <w:spacing w:after="57" w:before="85" w:lineRule="auto"/>
              <w:jc w:val="both"/>
              <w:rPr>
                <w:rFonts w:ascii="Arial" w:cs="Arial" w:eastAsia="Arial" w:hAnsi="Arial"/>
                <w:sz w:val="13"/>
                <w:szCs w:val="13"/>
              </w:rPr>
            </w:pPr>
            <w:r w:rsidDel="00000000" w:rsidR="00000000" w:rsidRPr="00000000">
              <w:rPr>
                <w:rtl w:val="0"/>
              </w:rPr>
            </w:r>
          </w:p>
        </w:tc>
        <w:tc>
          <w:tcPr>
            <w:shd w:fill="auto" w:val="clear"/>
          </w:tcPr>
          <w:p w:rsidR="00000000" w:rsidDel="00000000" w:rsidP="00000000" w:rsidRDefault="00000000" w:rsidRPr="00000000" w14:paraId="000000B9">
            <w:pPr>
              <w:spacing w:after="57" w:before="85" w:lineRule="auto"/>
              <w:jc w:val="both"/>
              <w:rPr>
                <w:rFonts w:ascii="Arial" w:cs="Arial" w:eastAsia="Arial" w:hAnsi="Arial"/>
                <w:sz w:val="13"/>
                <w:szCs w:val="13"/>
              </w:rPr>
            </w:pPr>
            <w:r w:rsidDel="00000000" w:rsidR="00000000" w:rsidRPr="00000000">
              <w:rPr>
                <w:rFonts w:ascii="Arial" w:cs="Arial" w:eastAsia="Arial" w:hAnsi="Arial"/>
                <w:sz w:val="13"/>
                <w:szCs w:val="13"/>
                <w:rtl w:val="0"/>
              </w:rPr>
              <w:t xml:space="preserve">Artículo 3. Son deberes primordiales del Estado: (…) 1. Garantizar sin discriminación alguna el efectivo goce de los derechos establecidos en la Constitución y en los instrumentos internacionales, en particular la educación, la salud, la alimentación, la seguridad social y el agua para sus habitantes.</w:t>
            </w:r>
          </w:p>
          <w:p w:rsidR="00000000" w:rsidDel="00000000" w:rsidP="00000000" w:rsidRDefault="00000000" w:rsidRPr="00000000" w14:paraId="000000BA">
            <w:pPr>
              <w:spacing w:after="57" w:before="85" w:lineRule="auto"/>
              <w:jc w:val="both"/>
              <w:rPr>
                <w:rFonts w:ascii="Arial" w:cs="Arial" w:eastAsia="Arial" w:hAnsi="Arial"/>
                <w:sz w:val="13"/>
                <w:szCs w:val="13"/>
              </w:rPr>
            </w:pPr>
            <w:r w:rsidDel="00000000" w:rsidR="00000000" w:rsidRPr="00000000">
              <w:rPr>
                <w:rtl w:val="0"/>
              </w:rPr>
            </w:r>
          </w:p>
          <w:p w:rsidR="00000000" w:rsidDel="00000000" w:rsidP="00000000" w:rsidRDefault="00000000" w:rsidRPr="00000000" w14:paraId="000000BB">
            <w:pPr>
              <w:spacing w:after="57" w:before="85" w:lineRule="auto"/>
              <w:jc w:val="both"/>
              <w:rPr>
                <w:rFonts w:ascii="Arial" w:cs="Arial" w:eastAsia="Arial" w:hAnsi="Arial"/>
                <w:sz w:val="13"/>
                <w:szCs w:val="13"/>
              </w:rPr>
            </w:pPr>
            <w:r w:rsidDel="00000000" w:rsidR="00000000" w:rsidRPr="00000000">
              <w:rPr>
                <w:rFonts w:ascii="Arial" w:cs="Arial" w:eastAsia="Arial" w:hAnsi="Arial"/>
                <w:sz w:val="13"/>
                <w:szCs w:val="13"/>
                <w:rtl w:val="0"/>
              </w:rPr>
              <w:t xml:space="preserve">Artículo 32. La salud es un derecho que garantiza el Estado, cuya realización se vincula al ejercicio de otros derechos, entre ellos el derecho al agua, la alimentación, la educación, la cultura física, el trabajo, la seguridad social, los ambientes sanos y otros que sustentan el buen vivir.</w:t>
            </w:r>
          </w:p>
          <w:p w:rsidR="00000000" w:rsidDel="00000000" w:rsidP="00000000" w:rsidRDefault="00000000" w:rsidRPr="00000000" w14:paraId="000000BC">
            <w:pPr>
              <w:spacing w:after="57" w:before="85" w:lineRule="auto"/>
              <w:jc w:val="both"/>
              <w:rPr>
                <w:rFonts w:ascii="Arial" w:cs="Arial" w:eastAsia="Arial" w:hAnsi="Arial"/>
                <w:sz w:val="13"/>
                <w:szCs w:val="13"/>
              </w:rPr>
            </w:pPr>
            <w:r w:rsidDel="00000000" w:rsidR="00000000" w:rsidRPr="00000000">
              <w:rPr>
                <w:rtl w:val="0"/>
              </w:rPr>
            </w:r>
          </w:p>
          <w:p w:rsidR="00000000" w:rsidDel="00000000" w:rsidP="00000000" w:rsidRDefault="00000000" w:rsidRPr="00000000" w14:paraId="000000BD">
            <w:pPr>
              <w:spacing w:after="57" w:before="85" w:lineRule="auto"/>
              <w:jc w:val="both"/>
              <w:rPr>
                <w:rFonts w:ascii="Arial" w:cs="Arial" w:eastAsia="Arial" w:hAnsi="Arial"/>
                <w:sz w:val="13"/>
                <w:szCs w:val="13"/>
              </w:rPr>
            </w:pPr>
            <w:r w:rsidDel="00000000" w:rsidR="00000000" w:rsidRPr="00000000">
              <w:rPr>
                <w:rFonts w:ascii="Arial" w:cs="Arial" w:eastAsia="Arial" w:hAnsi="Arial"/>
                <w:sz w:val="13"/>
                <w:szCs w:val="13"/>
                <w:rtl w:val="0"/>
              </w:rPr>
              <w:t xml:space="preserve">Artículo 66. Se reconoce y garantizará a las personas: (…) 2. El derecho a una vida digna, que asegure la salud, alimentación y nutrición, agua potable, vivienda, saneamiento ambiental, educación, trabajo, empleo, descanso y ocio, cultura física, vestido, seguridad social y otros servicios sociales necesarios.</w:t>
            </w:r>
          </w:p>
        </w:tc>
      </w:tr>
      <w:tr>
        <w:trPr>
          <w:cantSplit w:val="0"/>
          <w:tblHeader w:val="0"/>
        </w:trPr>
        <w:tc>
          <w:tcPr>
            <w:shd w:fill="auto" w:val="clear"/>
          </w:tcPr>
          <w:p w:rsidR="00000000" w:rsidDel="00000000" w:rsidP="00000000" w:rsidRDefault="00000000" w:rsidRPr="00000000" w14:paraId="000000BE">
            <w:pPr>
              <w:spacing w:after="57" w:before="85" w:lineRule="auto"/>
              <w:jc w:val="both"/>
              <w:rPr>
                <w:rFonts w:ascii="Arial" w:cs="Arial" w:eastAsia="Arial" w:hAnsi="Arial"/>
                <w:sz w:val="13"/>
                <w:szCs w:val="13"/>
              </w:rPr>
            </w:pPr>
            <w:r w:rsidDel="00000000" w:rsidR="00000000" w:rsidRPr="00000000">
              <w:rPr>
                <w:rFonts w:ascii="Arial" w:cs="Arial" w:eastAsia="Arial" w:hAnsi="Arial"/>
                <w:sz w:val="13"/>
                <w:szCs w:val="13"/>
                <w:rtl w:val="0"/>
              </w:rPr>
              <w:t xml:space="preserve">Haití</w:t>
            </w:r>
          </w:p>
        </w:tc>
        <w:tc>
          <w:tcPr>
            <w:shd w:fill="auto" w:val="clear"/>
          </w:tcPr>
          <w:p w:rsidR="00000000" w:rsidDel="00000000" w:rsidP="00000000" w:rsidRDefault="00000000" w:rsidRPr="00000000" w14:paraId="000000BF">
            <w:pPr>
              <w:spacing w:after="57" w:before="85" w:lineRule="auto"/>
              <w:jc w:val="both"/>
              <w:rPr>
                <w:rFonts w:ascii="Arial" w:cs="Arial" w:eastAsia="Arial" w:hAnsi="Arial"/>
                <w:sz w:val="13"/>
                <w:szCs w:val="13"/>
              </w:rPr>
            </w:pPr>
            <w:r w:rsidDel="00000000" w:rsidR="00000000" w:rsidRPr="00000000">
              <w:rPr>
                <w:rFonts w:ascii="Arial" w:cs="Arial" w:eastAsia="Arial" w:hAnsi="Arial"/>
                <w:sz w:val="13"/>
                <w:szCs w:val="13"/>
                <w:rtl w:val="0"/>
              </w:rPr>
              <w:t xml:space="preserve">Artículo 22. El Estado reconoce el derecho de todo ciudadano a una vivienda digna, a la educación, a la alimentación y a la seguridad social.</w:t>
            </w:r>
          </w:p>
        </w:tc>
      </w:tr>
      <w:tr>
        <w:trPr>
          <w:cantSplit w:val="0"/>
          <w:tblHeader w:val="0"/>
        </w:trPr>
        <w:tc>
          <w:tcPr>
            <w:shd w:fill="auto" w:val="clear"/>
          </w:tcPr>
          <w:p w:rsidR="00000000" w:rsidDel="00000000" w:rsidP="00000000" w:rsidRDefault="00000000" w:rsidRPr="00000000" w14:paraId="000000C0">
            <w:pPr>
              <w:spacing w:after="57" w:before="85" w:lineRule="auto"/>
              <w:jc w:val="both"/>
              <w:rPr>
                <w:rFonts w:ascii="Arial" w:cs="Arial" w:eastAsia="Arial" w:hAnsi="Arial"/>
                <w:sz w:val="13"/>
                <w:szCs w:val="13"/>
              </w:rPr>
            </w:pPr>
            <w:r w:rsidDel="00000000" w:rsidR="00000000" w:rsidRPr="00000000">
              <w:rPr>
                <w:rFonts w:ascii="Arial" w:cs="Arial" w:eastAsia="Arial" w:hAnsi="Arial"/>
                <w:sz w:val="13"/>
                <w:szCs w:val="13"/>
                <w:rtl w:val="0"/>
              </w:rPr>
              <w:t xml:space="preserve">República Islámica de Irán</w:t>
            </w:r>
          </w:p>
          <w:p w:rsidR="00000000" w:rsidDel="00000000" w:rsidP="00000000" w:rsidRDefault="00000000" w:rsidRPr="00000000" w14:paraId="000000C1">
            <w:pPr>
              <w:spacing w:after="57" w:before="85" w:lineRule="auto"/>
              <w:jc w:val="both"/>
              <w:rPr>
                <w:rFonts w:ascii="Arial" w:cs="Arial" w:eastAsia="Arial" w:hAnsi="Arial"/>
                <w:sz w:val="13"/>
                <w:szCs w:val="13"/>
              </w:rPr>
            </w:pPr>
            <w:r w:rsidDel="00000000" w:rsidR="00000000" w:rsidRPr="00000000">
              <w:rPr>
                <w:rtl w:val="0"/>
              </w:rPr>
            </w:r>
          </w:p>
        </w:tc>
        <w:tc>
          <w:tcPr>
            <w:shd w:fill="auto" w:val="clear"/>
          </w:tcPr>
          <w:p w:rsidR="00000000" w:rsidDel="00000000" w:rsidP="00000000" w:rsidRDefault="00000000" w:rsidRPr="00000000" w14:paraId="000000C2">
            <w:pPr>
              <w:spacing w:after="57" w:before="85" w:lineRule="auto"/>
              <w:jc w:val="both"/>
              <w:rPr>
                <w:rFonts w:ascii="Arial" w:cs="Arial" w:eastAsia="Arial" w:hAnsi="Arial"/>
                <w:sz w:val="13"/>
                <w:szCs w:val="13"/>
              </w:rPr>
            </w:pPr>
            <w:r w:rsidDel="00000000" w:rsidR="00000000" w:rsidRPr="00000000">
              <w:rPr>
                <w:rFonts w:ascii="Arial" w:cs="Arial" w:eastAsia="Arial" w:hAnsi="Arial"/>
                <w:sz w:val="13"/>
                <w:szCs w:val="13"/>
                <w:rtl w:val="0"/>
              </w:rPr>
              <w:t xml:space="preserve">Principio 3. Para alcanzar los objetivos mencionados en el principio segundo, el Gobierno de la República Islámica tiene la responsabilidad de poner en funcionamiento todos los medios a su alcance para conseguir los siguientes fines: (…) 12. Cimentar una economía sana y equitativa, de acuerdo con los principios islámicos, para crear bienestar, erradicar la pobreza y eliminar todo tipo de miseria en los campos de la </w:t>
            </w:r>
            <w:r w:rsidDel="00000000" w:rsidR="00000000" w:rsidRPr="00000000">
              <w:rPr>
                <w:rFonts w:ascii="Arial" w:cs="Arial" w:eastAsia="Arial" w:hAnsi="Arial"/>
                <w:b w:val="1"/>
                <w:sz w:val="13"/>
                <w:szCs w:val="13"/>
                <w:rtl w:val="0"/>
              </w:rPr>
              <w:t xml:space="preserve">a</w:t>
            </w:r>
            <w:r w:rsidDel="00000000" w:rsidR="00000000" w:rsidRPr="00000000">
              <w:rPr>
                <w:rFonts w:ascii="Arial" w:cs="Arial" w:eastAsia="Arial" w:hAnsi="Arial"/>
                <w:sz w:val="13"/>
                <w:szCs w:val="13"/>
                <w:rtl w:val="0"/>
              </w:rPr>
              <w:t xml:space="preserve">limentación, de la vivienda, del trabajo, de la salud y generalizar la aseguración.</w:t>
            </w:r>
          </w:p>
          <w:p w:rsidR="00000000" w:rsidDel="00000000" w:rsidP="00000000" w:rsidRDefault="00000000" w:rsidRPr="00000000" w14:paraId="000000C3">
            <w:pPr>
              <w:spacing w:after="57" w:before="85" w:lineRule="auto"/>
              <w:jc w:val="both"/>
              <w:rPr>
                <w:rFonts w:ascii="Arial" w:cs="Arial" w:eastAsia="Arial" w:hAnsi="Arial"/>
                <w:sz w:val="13"/>
                <w:szCs w:val="13"/>
              </w:rPr>
            </w:pPr>
            <w:r w:rsidDel="00000000" w:rsidR="00000000" w:rsidRPr="00000000">
              <w:rPr>
                <w:rtl w:val="0"/>
              </w:rPr>
            </w:r>
          </w:p>
          <w:p w:rsidR="00000000" w:rsidDel="00000000" w:rsidP="00000000" w:rsidRDefault="00000000" w:rsidRPr="00000000" w14:paraId="000000C4">
            <w:pPr>
              <w:spacing w:after="57" w:before="85" w:lineRule="auto"/>
              <w:jc w:val="both"/>
              <w:rPr>
                <w:rFonts w:ascii="Arial" w:cs="Arial" w:eastAsia="Arial" w:hAnsi="Arial"/>
                <w:sz w:val="13"/>
                <w:szCs w:val="13"/>
              </w:rPr>
            </w:pPr>
            <w:r w:rsidDel="00000000" w:rsidR="00000000" w:rsidRPr="00000000">
              <w:rPr>
                <w:rFonts w:ascii="Arial" w:cs="Arial" w:eastAsia="Arial" w:hAnsi="Arial"/>
                <w:sz w:val="13"/>
                <w:szCs w:val="13"/>
                <w:rtl w:val="0"/>
              </w:rPr>
              <w:t xml:space="preserve">Principio 43. Al objeto de garantizar la independencia económica de la sociedad, erradicar la pobreza y la miseria y satisfacer las necesidades humanas en el curso de su crecimiento salvaguardando su libertad, la economía de la República Islámica de Irán se basará en los siguientes principios: (…) 1. Garantizar las necesidades básicas para todos: vivienda, alimentación, vestido, servicios sanitarios, medicamentos, educación, enseñanza, así como los medios necesarios para constituir la familia.</w:t>
            </w:r>
          </w:p>
        </w:tc>
      </w:tr>
      <w:tr>
        <w:trPr>
          <w:cantSplit w:val="0"/>
          <w:tblHeader w:val="0"/>
        </w:trPr>
        <w:tc>
          <w:tcPr>
            <w:shd w:fill="auto" w:val="clear"/>
          </w:tcPr>
          <w:p w:rsidR="00000000" w:rsidDel="00000000" w:rsidP="00000000" w:rsidRDefault="00000000" w:rsidRPr="00000000" w14:paraId="000000C5">
            <w:pPr>
              <w:spacing w:after="57" w:before="85" w:lineRule="auto"/>
              <w:jc w:val="both"/>
              <w:rPr>
                <w:rFonts w:ascii="Arial" w:cs="Arial" w:eastAsia="Arial" w:hAnsi="Arial"/>
                <w:sz w:val="13"/>
                <w:szCs w:val="13"/>
              </w:rPr>
            </w:pPr>
            <w:r w:rsidDel="00000000" w:rsidR="00000000" w:rsidRPr="00000000">
              <w:rPr>
                <w:rFonts w:ascii="Arial" w:cs="Arial" w:eastAsia="Arial" w:hAnsi="Arial"/>
                <w:sz w:val="13"/>
                <w:szCs w:val="13"/>
                <w:rtl w:val="0"/>
              </w:rPr>
              <w:t xml:space="preserve">Kenia</w:t>
            </w:r>
          </w:p>
        </w:tc>
        <w:tc>
          <w:tcPr>
            <w:shd w:fill="auto" w:val="clear"/>
          </w:tcPr>
          <w:p w:rsidR="00000000" w:rsidDel="00000000" w:rsidP="00000000" w:rsidRDefault="00000000" w:rsidRPr="00000000" w14:paraId="000000C6">
            <w:pPr>
              <w:spacing w:after="57" w:before="85" w:lineRule="auto"/>
              <w:jc w:val="both"/>
              <w:rPr>
                <w:rFonts w:ascii="Arial" w:cs="Arial" w:eastAsia="Arial" w:hAnsi="Arial"/>
                <w:sz w:val="13"/>
                <w:szCs w:val="13"/>
              </w:rPr>
            </w:pPr>
            <w:r w:rsidDel="00000000" w:rsidR="00000000" w:rsidRPr="00000000">
              <w:rPr>
                <w:rFonts w:ascii="Arial" w:cs="Arial" w:eastAsia="Arial" w:hAnsi="Arial"/>
                <w:sz w:val="13"/>
                <w:szCs w:val="13"/>
                <w:rtl w:val="0"/>
              </w:rPr>
              <w:t xml:space="preserve">Artículo 43. 1. Todas las personas tienen derecho: (…) c. A no padecer hambre y a tener alimentos adecuados de aceptable calidad.</w:t>
            </w:r>
          </w:p>
        </w:tc>
      </w:tr>
      <w:tr>
        <w:trPr>
          <w:cantSplit w:val="0"/>
          <w:tblHeader w:val="0"/>
        </w:trPr>
        <w:tc>
          <w:tcPr>
            <w:shd w:fill="auto" w:val="clear"/>
          </w:tcPr>
          <w:p w:rsidR="00000000" w:rsidDel="00000000" w:rsidP="00000000" w:rsidRDefault="00000000" w:rsidRPr="00000000" w14:paraId="000000C7">
            <w:pPr>
              <w:spacing w:after="57" w:before="85" w:lineRule="auto"/>
              <w:jc w:val="both"/>
              <w:rPr>
                <w:rFonts w:ascii="Arial" w:cs="Arial" w:eastAsia="Arial" w:hAnsi="Arial"/>
                <w:sz w:val="13"/>
                <w:szCs w:val="13"/>
              </w:rPr>
            </w:pPr>
            <w:r w:rsidDel="00000000" w:rsidR="00000000" w:rsidRPr="00000000">
              <w:rPr>
                <w:rFonts w:ascii="Arial" w:cs="Arial" w:eastAsia="Arial" w:hAnsi="Arial"/>
                <w:sz w:val="13"/>
                <w:szCs w:val="13"/>
                <w:rtl w:val="0"/>
              </w:rPr>
              <w:t xml:space="preserve">México</w:t>
            </w:r>
          </w:p>
          <w:p w:rsidR="00000000" w:rsidDel="00000000" w:rsidP="00000000" w:rsidRDefault="00000000" w:rsidRPr="00000000" w14:paraId="000000C8">
            <w:pPr>
              <w:spacing w:after="57" w:before="85" w:lineRule="auto"/>
              <w:jc w:val="both"/>
              <w:rPr>
                <w:rFonts w:ascii="Arial" w:cs="Arial" w:eastAsia="Arial" w:hAnsi="Arial"/>
                <w:sz w:val="13"/>
                <w:szCs w:val="13"/>
              </w:rPr>
            </w:pPr>
            <w:r w:rsidDel="00000000" w:rsidR="00000000" w:rsidRPr="00000000">
              <w:rPr>
                <w:rtl w:val="0"/>
              </w:rPr>
            </w:r>
          </w:p>
        </w:tc>
        <w:tc>
          <w:tcPr>
            <w:shd w:fill="auto" w:val="clear"/>
          </w:tcPr>
          <w:p w:rsidR="00000000" w:rsidDel="00000000" w:rsidP="00000000" w:rsidRDefault="00000000" w:rsidRPr="00000000" w14:paraId="000000C9">
            <w:pPr>
              <w:spacing w:after="57" w:before="85" w:lineRule="auto"/>
              <w:jc w:val="both"/>
              <w:rPr>
                <w:rFonts w:ascii="Arial" w:cs="Arial" w:eastAsia="Arial" w:hAnsi="Arial"/>
                <w:sz w:val="13"/>
                <w:szCs w:val="13"/>
              </w:rPr>
            </w:pPr>
            <w:r w:rsidDel="00000000" w:rsidR="00000000" w:rsidRPr="00000000">
              <w:rPr>
                <w:rFonts w:ascii="Arial" w:cs="Arial" w:eastAsia="Arial" w:hAnsi="Arial"/>
                <w:sz w:val="13"/>
                <w:szCs w:val="13"/>
                <w:rtl w:val="0"/>
              </w:rPr>
              <w:t xml:space="preserve">Artículo 4. Toda persona tiene derecho a la alimentación nutritiva, suficiente y de calidad. El Estado lo garantizará. (…) En todas las decisiones y actuaciones del Estado se velará y cumplirá con el principio del interés superior de la niñez, garantizando de manera plena sus derechos. Los niños y las niñas tienen derecho a la satisfacción de sus necesidades de alimentación, salud, educación y sano esparcimiento para su desarrollo integral. Este principio deberá guiar el diseño, ejecución, seguimiento y evaluación de las políticas públicas dirigidas a la niñez.</w:t>
            </w:r>
          </w:p>
        </w:tc>
      </w:tr>
      <w:tr>
        <w:trPr>
          <w:cantSplit w:val="0"/>
          <w:tblHeader w:val="0"/>
        </w:trPr>
        <w:tc>
          <w:tcPr>
            <w:shd w:fill="auto" w:val="clear"/>
          </w:tcPr>
          <w:p w:rsidR="00000000" w:rsidDel="00000000" w:rsidP="00000000" w:rsidRDefault="00000000" w:rsidRPr="00000000" w14:paraId="000000CA">
            <w:pPr>
              <w:spacing w:after="57" w:before="85" w:lineRule="auto"/>
              <w:jc w:val="both"/>
              <w:rPr>
                <w:rFonts w:ascii="Arial" w:cs="Arial" w:eastAsia="Arial" w:hAnsi="Arial"/>
                <w:sz w:val="13"/>
                <w:szCs w:val="13"/>
              </w:rPr>
            </w:pPr>
            <w:r w:rsidDel="00000000" w:rsidR="00000000" w:rsidRPr="00000000">
              <w:rPr>
                <w:rFonts w:ascii="Arial" w:cs="Arial" w:eastAsia="Arial" w:hAnsi="Arial"/>
                <w:sz w:val="13"/>
                <w:szCs w:val="13"/>
                <w:rtl w:val="0"/>
              </w:rPr>
              <w:t xml:space="preserve">Nicaragua</w:t>
            </w:r>
          </w:p>
        </w:tc>
        <w:tc>
          <w:tcPr>
            <w:shd w:fill="auto" w:val="clear"/>
          </w:tcPr>
          <w:p w:rsidR="00000000" w:rsidDel="00000000" w:rsidP="00000000" w:rsidRDefault="00000000" w:rsidRPr="00000000" w14:paraId="000000CB">
            <w:pPr>
              <w:spacing w:after="57" w:before="85" w:lineRule="auto"/>
              <w:jc w:val="both"/>
              <w:rPr>
                <w:rFonts w:ascii="Arial" w:cs="Arial" w:eastAsia="Arial" w:hAnsi="Arial"/>
                <w:sz w:val="13"/>
                <w:szCs w:val="13"/>
              </w:rPr>
            </w:pPr>
            <w:r w:rsidDel="00000000" w:rsidR="00000000" w:rsidRPr="00000000">
              <w:rPr>
                <w:rFonts w:ascii="Arial" w:cs="Arial" w:eastAsia="Arial" w:hAnsi="Arial"/>
                <w:sz w:val="13"/>
                <w:szCs w:val="13"/>
                <w:rtl w:val="0"/>
              </w:rPr>
              <w:t xml:space="preserve">Es derecho de los nicaragüenses estar protegidos contra el hambre. El Estado promoverá programas que aseguren una adecuada disponibilidad de alimentos y una distribución equitativa de los mismos.</w:t>
            </w:r>
          </w:p>
        </w:tc>
      </w:tr>
      <w:tr>
        <w:trPr>
          <w:cantSplit w:val="0"/>
          <w:tblHeader w:val="0"/>
        </w:trPr>
        <w:tc>
          <w:tcPr>
            <w:shd w:fill="auto" w:val="clear"/>
          </w:tcPr>
          <w:p w:rsidR="00000000" w:rsidDel="00000000" w:rsidP="00000000" w:rsidRDefault="00000000" w:rsidRPr="00000000" w14:paraId="000000CC">
            <w:pPr>
              <w:spacing w:after="57" w:before="85" w:lineRule="auto"/>
              <w:jc w:val="both"/>
              <w:rPr>
                <w:rFonts w:ascii="Arial" w:cs="Arial" w:eastAsia="Arial" w:hAnsi="Arial"/>
                <w:sz w:val="13"/>
                <w:szCs w:val="13"/>
              </w:rPr>
            </w:pPr>
            <w:r w:rsidDel="00000000" w:rsidR="00000000" w:rsidRPr="00000000">
              <w:rPr>
                <w:rFonts w:ascii="Arial" w:cs="Arial" w:eastAsia="Arial" w:hAnsi="Arial"/>
                <w:sz w:val="13"/>
                <w:szCs w:val="13"/>
                <w:rtl w:val="0"/>
              </w:rPr>
              <w:t xml:space="preserve">Nigeria</w:t>
            </w:r>
          </w:p>
        </w:tc>
        <w:tc>
          <w:tcPr>
            <w:shd w:fill="auto" w:val="clear"/>
          </w:tcPr>
          <w:p w:rsidR="00000000" w:rsidDel="00000000" w:rsidP="00000000" w:rsidRDefault="00000000" w:rsidRPr="00000000" w14:paraId="000000CD">
            <w:pPr>
              <w:spacing w:after="57" w:before="85" w:lineRule="auto"/>
              <w:jc w:val="both"/>
              <w:rPr>
                <w:rFonts w:ascii="Arial" w:cs="Arial" w:eastAsia="Arial" w:hAnsi="Arial"/>
                <w:sz w:val="13"/>
                <w:szCs w:val="13"/>
              </w:rPr>
            </w:pPr>
            <w:r w:rsidDel="00000000" w:rsidR="00000000" w:rsidRPr="00000000">
              <w:rPr>
                <w:rFonts w:ascii="Arial" w:cs="Arial" w:eastAsia="Arial" w:hAnsi="Arial"/>
                <w:sz w:val="13"/>
                <w:szCs w:val="13"/>
                <w:rtl w:val="0"/>
              </w:rPr>
              <w:t xml:space="preserve">2. El Estado dirigirá su política con el fin de garantizar: (…) d. que se le proporcionen a todos los ciudadanos un alojamiento adecuado y suficiente, alimentación adecuada y suficiente, un salario mínimo nacional razonables, cuidados y pensiones para la tercera edad; prestaciones en caso de desempleo y enfermedad, y asistencia social para los incapacitados.</w:t>
            </w:r>
          </w:p>
        </w:tc>
      </w:tr>
      <w:tr>
        <w:trPr>
          <w:cantSplit w:val="0"/>
          <w:tblHeader w:val="0"/>
        </w:trPr>
        <w:tc>
          <w:tcPr>
            <w:shd w:fill="auto" w:val="clear"/>
          </w:tcPr>
          <w:p w:rsidR="00000000" w:rsidDel="00000000" w:rsidP="00000000" w:rsidRDefault="00000000" w:rsidRPr="00000000" w14:paraId="000000CE">
            <w:pPr>
              <w:spacing w:after="57" w:before="85" w:lineRule="auto"/>
              <w:jc w:val="both"/>
              <w:rPr>
                <w:rFonts w:ascii="Arial" w:cs="Arial" w:eastAsia="Arial" w:hAnsi="Arial"/>
                <w:sz w:val="13"/>
                <w:szCs w:val="13"/>
              </w:rPr>
            </w:pPr>
            <w:r w:rsidDel="00000000" w:rsidR="00000000" w:rsidRPr="00000000">
              <w:rPr>
                <w:rFonts w:ascii="Arial" w:cs="Arial" w:eastAsia="Arial" w:hAnsi="Arial"/>
                <w:sz w:val="13"/>
                <w:szCs w:val="13"/>
                <w:rtl w:val="0"/>
              </w:rPr>
              <w:t xml:space="preserve">Panamá</w:t>
            </w:r>
          </w:p>
        </w:tc>
        <w:tc>
          <w:tcPr>
            <w:shd w:fill="auto" w:val="clear"/>
          </w:tcPr>
          <w:p w:rsidR="00000000" w:rsidDel="00000000" w:rsidP="00000000" w:rsidRDefault="00000000" w:rsidRPr="00000000" w14:paraId="000000CF">
            <w:pPr>
              <w:spacing w:after="57" w:before="85" w:lineRule="auto"/>
              <w:jc w:val="both"/>
              <w:rPr>
                <w:rFonts w:ascii="Arial" w:cs="Arial" w:eastAsia="Arial" w:hAnsi="Arial"/>
                <w:sz w:val="13"/>
                <w:szCs w:val="13"/>
              </w:rPr>
            </w:pPr>
            <w:r w:rsidDel="00000000" w:rsidR="00000000" w:rsidRPr="00000000">
              <w:rPr>
                <w:rFonts w:ascii="Arial" w:cs="Arial" w:eastAsia="Arial" w:hAnsi="Arial"/>
                <w:sz w:val="13"/>
                <w:szCs w:val="13"/>
                <w:rtl w:val="0"/>
              </w:rPr>
              <w:t xml:space="preserve">En materia de salud, corresponde primordialmente al Estado el desarrollo de las siguientes actividades, integrando las funciones de prevención, curación y rehabilitación: (…) 1. Desarrollar una política nacional de alimentación y nutrición que asegure un óptimo estado nutricional para toda la población, al promover la disponibilidad, el consumo y el aprovechamiento biológico de los alimentos adecuados.</w:t>
            </w:r>
          </w:p>
          <w:p w:rsidR="00000000" w:rsidDel="00000000" w:rsidP="00000000" w:rsidRDefault="00000000" w:rsidRPr="00000000" w14:paraId="000000D0">
            <w:pPr>
              <w:spacing w:after="57" w:before="85" w:lineRule="auto"/>
              <w:jc w:val="both"/>
              <w:rPr>
                <w:rFonts w:ascii="Arial" w:cs="Arial" w:eastAsia="Arial" w:hAnsi="Arial"/>
                <w:sz w:val="13"/>
                <w:szCs w:val="13"/>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D1">
            <w:pPr>
              <w:spacing w:after="57" w:before="85" w:lineRule="auto"/>
              <w:jc w:val="both"/>
              <w:rPr>
                <w:rFonts w:ascii="Arial" w:cs="Arial" w:eastAsia="Arial" w:hAnsi="Arial"/>
                <w:sz w:val="13"/>
                <w:szCs w:val="13"/>
              </w:rPr>
            </w:pPr>
            <w:r w:rsidDel="00000000" w:rsidR="00000000" w:rsidRPr="00000000">
              <w:rPr>
                <w:rFonts w:ascii="Arial" w:cs="Arial" w:eastAsia="Arial" w:hAnsi="Arial"/>
                <w:sz w:val="13"/>
                <w:szCs w:val="13"/>
                <w:rtl w:val="0"/>
              </w:rPr>
              <w:t xml:space="preserve">Paraguay</w:t>
            </w:r>
          </w:p>
        </w:tc>
        <w:tc>
          <w:tcPr>
            <w:shd w:fill="auto" w:val="clear"/>
          </w:tcPr>
          <w:p w:rsidR="00000000" w:rsidDel="00000000" w:rsidP="00000000" w:rsidRDefault="00000000" w:rsidRPr="00000000" w14:paraId="000000D2">
            <w:pPr>
              <w:spacing w:after="57" w:before="85" w:lineRule="auto"/>
              <w:jc w:val="both"/>
              <w:rPr>
                <w:rFonts w:ascii="Arial" w:cs="Arial" w:eastAsia="Arial" w:hAnsi="Arial"/>
                <w:sz w:val="13"/>
                <w:szCs w:val="13"/>
              </w:rPr>
            </w:pPr>
            <w:r w:rsidDel="00000000" w:rsidR="00000000" w:rsidRPr="00000000">
              <w:rPr>
                <w:rFonts w:ascii="Arial" w:cs="Arial" w:eastAsia="Arial" w:hAnsi="Arial"/>
                <w:sz w:val="13"/>
                <w:szCs w:val="13"/>
                <w:rtl w:val="0"/>
              </w:rPr>
              <w:t xml:space="preserve">Artículo 57. La familia, la sociedad y los poderes públicos promoverán su bienestar mediante servicios sociales que se ocupen de sus necesidades de alimentación, salud, vivienda, cultura y ocio.</w:t>
            </w:r>
          </w:p>
        </w:tc>
      </w:tr>
      <w:tr>
        <w:trPr>
          <w:cantSplit w:val="0"/>
          <w:tblHeader w:val="0"/>
        </w:trPr>
        <w:tc>
          <w:tcPr>
            <w:shd w:fill="auto" w:val="clear"/>
          </w:tcPr>
          <w:p w:rsidR="00000000" w:rsidDel="00000000" w:rsidP="00000000" w:rsidRDefault="00000000" w:rsidRPr="00000000" w14:paraId="000000D3">
            <w:pPr>
              <w:spacing w:after="57" w:before="85" w:lineRule="auto"/>
              <w:jc w:val="both"/>
              <w:rPr>
                <w:rFonts w:ascii="Arial" w:cs="Arial" w:eastAsia="Arial" w:hAnsi="Arial"/>
                <w:sz w:val="13"/>
                <w:szCs w:val="13"/>
              </w:rPr>
            </w:pPr>
            <w:r w:rsidDel="00000000" w:rsidR="00000000" w:rsidRPr="00000000">
              <w:rPr>
                <w:rFonts w:ascii="Arial" w:cs="Arial" w:eastAsia="Arial" w:hAnsi="Arial"/>
                <w:sz w:val="13"/>
                <w:szCs w:val="13"/>
                <w:rtl w:val="0"/>
              </w:rPr>
              <w:t xml:space="preserve">República Dominicana</w:t>
            </w:r>
          </w:p>
        </w:tc>
        <w:tc>
          <w:tcPr>
            <w:shd w:fill="auto" w:val="clear"/>
          </w:tcPr>
          <w:p w:rsidR="00000000" w:rsidDel="00000000" w:rsidP="00000000" w:rsidRDefault="00000000" w:rsidRPr="00000000" w14:paraId="000000D4">
            <w:pPr>
              <w:spacing w:after="57" w:before="85" w:lineRule="auto"/>
              <w:jc w:val="both"/>
              <w:rPr>
                <w:rFonts w:ascii="Arial" w:cs="Arial" w:eastAsia="Arial" w:hAnsi="Arial"/>
                <w:sz w:val="13"/>
                <w:szCs w:val="13"/>
              </w:rPr>
            </w:pPr>
            <w:r w:rsidDel="00000000" w:rsidR="00000000" w:rsidRPr="00000000">
              <w:rPr>
                <w:rFonts w:ascii="Arial" w:cs="Arial" w:eastAsia="Arial" w:hAnsi="Arial"/>
                <w:sz w:val="13"/>
                <w:szCs w:val="13"/>
                <w:rtl w:val="0"/>
              </w:rPr>
              <w:t xml:space="preserve">Artículo 61. Toda persona tiene derecho a la salud integral. En consecuencia: (…) 1. El Estado debe velar por la protección de la salud de todas las personas, el acceso al agua potable, el mejoramiento de la alimentación, de los servicios sanitarios, las condiciones higiénicas, el saneamiento ambiental, así como procurar los medios para la prevención y tratamiento de todas las enfermedades, asegurando el acceso a medicamentos de calidad y dando asistencia médica y hospitalaria gratuita a quienes la requieran;</w:t>
            </w:r>
          </w:p>
        </w:tc>
      </w:tr>
    </w:tbl>
    <w:p w:rsidR="00000000" w:rsidDel="00000000" w:rsidP="00000000" w:rsidRDefault="00000000" w:rsidRPr="00000000" w14:paraId="000000D5">
      <w:pPr>
        <w:spacing w:after="57" w:before="85"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6">
      <w:pPr>
        <w:spacing w:after="57" w:before="85"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necesario resaltar que la totalidad de los Estados que consagran de una u otra forma el derecho a estar protegidos contra el hambre y la desnutrición – bien sea de manera directa o en conexidad con el derecho a la salud – son Estados en vías de desarrollo, tal y como es el caso de Colombia, por lo que no es de recibo un argumento que indique que el país no puede consagrar en su ordenamiento jurídico este derecho -  en las condiciones señaladas en el acápite de exigibilidad – ya que en al menos 13 países (la mayoría de ellos pertenecientes a la región de América Latina y el Caribe) ha sido posible elevar a rango constitucional el derecho a estar protegido contra el hambre y la desnutrición, y con base en esta disposición jurídica, tener la legitimidad así como la obligación de adoptar medidas que permitan garantizar la protección de este derecho esencial para cualquier ser humano.</w:t>
      </w:r>
    </w:p>
    <w:p w:rsidR="00000000" w:rsidDel="00000000" w:rsidP="00000000" w:rsidRDefault="00000000" w:rsidRPr="00000000" w14:paraId="000000D7">
      <w:pPr>
        <w:spacing w:after="57" w:before="85"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8">
      <w:pPr>
        <w:numPr>
          <w:ilvl w:val="0"/>
          <w:numId w:val="3"/>
        </w:numPr>
        <w:spacing w:after="57" w:before="85" w:lineRule="auto"/>
        <w:ind w:left="36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Concepto de Seguridad Alimentaria en el contexto internacional. </w:t>
      </w:r>
    </w:p>
    <w:p w:rsidR="00000000" w:rsidDel="00000000" w:rsidP="00000000" w:rsidRDefault="00000000" w:rsidRPr="00000000" w14:paraId="000000D9">
      <w:pPr>
        <w:spacing w:after="57" w:before="85"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Pese a ser un concepto que se encuentra intrínsecamente relacionado con los objetivos del Derecho a la Alimentación Adecuada, es necesario entrar a distinguir la Seguridad Alimentaria, como concepto doctrinario carente de significancia en el ámbito jurídico, del Derecho a la Alimentación, el cual es completamente vinculante para el Estado colombiano al ser reconocido como un Derecho Humano. </w:t>
      </w:r>
    </w:p>
    <w:p w:rsidR="00000000" w:rsidDel="00000000" w:rsidP="00000000" w:rsidRDefault="00000000" w:rsidRPr="00000000" w14:paraId="000000DA">
      <w:pPr>
        <w:spacing w:after="57" w:before="85"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Así pues, tradicionalmente se ha entendido a la seguridad alimentaria como “</w:t>
      </w:r>
      <w:r w:rsidDel="00000000" w:rsidR="00000000" w:rsidRPr="00000000">
        <w:rPr>
          <w:rFonts w:ascii="Arial" w:cs="Arial" w:eastAsia="Arial" w:hAnsi="Arial"/>
          <w:i w:val="1"/>
          <w:sz w:val="24"/>
          <w:szCs w:val="24"/>
          <w:rtl w:val="0"/>
        </w:rPr>
        <w:t xml:space="preserve">la posibilidad de acceso a los alimentos por parte de las generaciones presentes y futuras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32"/>
      </w:r>
      <w:r w:rsidDel="00000000" w:rsidR="00000000" w:rsidRPr="00000000">
        <w:rPr>
          <w:rFonts w:ascii="Arial" w:cs="Arial" w:eastAsia="Arial" w:hAnsi="Arial"/>
          <w:sz w:val="24"/>
          <w:szCs w:val="24"/>
          <w:rtl w:val="0"/>
        </w:rPr>
        <w:t xml:space="preserve">. Así mismo, de conformidad con la FAO, existe seguridad alimentaria “</w:t>
      </w:r>
      <w:r w:rsidDel="00000000" w:rsidR="00000000" w:rsidRPr="00000000">
        <w:rPr>
          <w:rFonts w:ascii="Arial" w:cs="Arial" w:eastAsia="Arial" w:hAnsi="Arial"/>
          <w:i w:val="1"/>
          <w:sz w:val="24"/>
          <w:szCs w:val="24"/>
          <w:rtl w:val="0"/>
        </w:rPr>
        <w:t xml:space="preserve">cuando todas las personas tienen en todo momento el acceso físico, social y económico a alimentos suficientes, inocuos y nutritivos que satisfacen sus necesidades y preferencias alimentarias para llevar una vida activa y sana</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33"/>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Del mismo modo, la Oficina del Alto Comisionado de las Naciones Unidas para los Derechos Humanos y la FAO en el Folleto Informativo No. 34 sobre el derecho a la alimentación adecuada ha establecido que “</w:t>
      </w:r>
      <w:r w:rsidDel="00000000" w:rsidR="00000000" w:rsidRPr="00000000">
        <w:rPr>
          <w:rFonts w:ascii="Arial" w:cs="Arial" w:eastAsia="Arial" w:hAnsi="Arial"/>
          <w:i w:val="1"/>
          <w:sz w:val="24"/>
          <w:szCs w:val="24"/>
          <w:rtl w:val="0"/>
        </w:rPr>
        <w:t xml:space="preserve">Se trata de una condición previa del ejercicio pleno del derecho a la alimentación. No obstante, el propio concepto de seguridad alimentaria no es un concepto jurídico en sí mismo, no impone obligaciones a los interesados ni les otorga derechos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34"/>
      </w:r>
      <w:r w:rsidDel="00000000" w:rsidR="00000000" w:rsidRPr="00000000">
        <w:rPr>
          <w:rtl w:val="0"/>
        </w:rPr>
      </w:r>
    </w:p>
    <w:p w:rsidR="00000000" w:rsidDel="00000000" w:rsidP="00000000" w:rsidRDefault="00000000" w:rsidRPr="00000000" w14:paraId="000000DB">
      <w:pPr>
        <w:spacing w:after="57" w:before="85"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C">
      <w:pPr>
        <w:spacing w:after="57" w:before="85"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Así pues, con el presente proyecto de ley se plantea establecer el derecho fundamental a la alimentación adecuada en el ordenamiento jurídico interno, en los términos establecidos por parte de la Organización de las Naciones Unidas para la Alimentación y la Agricultura, de la cual se toman los elementos fundantes para la elaboración del artículo propuesto en el presente proyecto, todo lo anterior con el propósito de dar cumplimiento a las disposiciones del corpus iuris de derecho internacional que han sido suscritas por parte del Estado colombiano, hoy en día enteramente vinculantes y como paso necesario para la construcción de condiciones de seguridad alimentaria en el territorio nacional.</w:t>
      </w:r>
    </w:p>
    <w:p w:rsidR="00000000" w:rsidDel="00000000" w:rsidP="00000000" w:rsidRDefault="00000000" w:rsidRPr="00000000" w14:paraId="000000DD">
      <w:pPr>
        <w:spacing w:after="57" w:before="85"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E">
      <w:pPr>
        <w:pBdr>
          <w:top w:color="000000" w:space="1" w:sz="4" w:val="single"/>
          <w:left w:color="000000" w:space="4" w:sz="4" w:val="single"/>
          <w:bottom w:color="000000" w:space="0" w:sz="4" w:val="single"/>
          <w:right w:color="000000" w:space="4" w:sz="4" w:val="single"/>
          <w:between w:color="000000" w:space="0" w:sz="0" w:val="none"/>
        </w:pBdr>
        <w:ind w:hanging="2"/>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CONFLICTO DE INTERÉS</w:t>
      </w:r>
      <w:r w:rsidDel="00000000" w:rsidR="00000000" w:rsidRPr="00000000">
        <w:rPr>
          <w:rtl w:val="0"/>
        </w:rPr>
      </w:r>
    </w:p>
    <w:p w:rsidR="00000000" w:rsidDel="00000000" w:rsidP="00000000" w:rsidRDefault="00000000" w:rsidRPr="00000000" w14:paraId="000000DF">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Teniendo en cuenta el artículo 3 de la Ley 2003 de 2019, “Por la cual se modifica parcialmente la Ley 5 de 1992”, y de conformidad con el artículo 286 de la Ley 5 de 1992, modificado por el artículo 1 de la Ley 2003 de 2019, el cual establece que: </w:t>
      </w:r>
    </w:p>
    <w:p w:rsidR="00000000" w:rsidDel="00000000" w:rsidP="00000000" w:rsidRDefault="00000000" w:rsidRPr="00000000" w14:paraId="000000E0">
      <w:pPr>
        <w:ind w:left="56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“Artículo 286. Régimen de conflicto de interés de los congresistas. Todos los congresistas deberán declarar los conflictos </w:t>
      </w:r>
      <w:r w:rsidDel="00000000" w:rsidR="00000000" w:rsidRPr="00000000">
        <w:rPr>
          <w:rFonts w:ascii="Arial" w:cs="Arial" w:eastAsia="Arial" w:hAnsi="Arial"/>
          <w:sz w:val="20"/>
          <w:szCs w:val="20"/>
          <w:rtl w:val="0"/>
        </w:rPr>
        <w:t xml:space="preserve">de intereses</w:t>
      </w:r>
      <w:r w:rsidDel="00000000" w:rsidR="00000000" w:rsidRPr="00000000">
        <w:rPr>
          <w:rFonts w:ascii="Arial" w:cs="Arial" w:eastAsia="Arial" w:hAnsi="Arial"/>
          <w:color w:val="000000"/>
          <w:sz w:val="20"/>
          <w:szCs w:val="20"/>
          <w:rtl w:val="0"/>
        </w:rPr>
        <w:t xml:space="preserve"> que pudieran surgir </w:t>
      </w:r>
      <w:r w:rsidDel="00000000" w:rsidR="00000000" w:rsidRPr="00000000">
        <w:rPr>
          <w:rFonts w:ascii="Arial" w:cs="Arial" w:eastAsia="Arial" w:hAnsi="Arial"/>
          <w:sz w:val="20"/>
          <w:szCs w:val="20"/>
          <w:rtl w:val="0"/>
        </w:rPr>
        <w:t xml:space="preserve">en el ejercicio</w:t>
      </w:r>
      <w:r w:rsidDel="00000000" w:rsidR="00000000" w:rsidRPr="00000000">
        <w:rPr>
          <w:rFonts w:ascii="Arial" w:cs="Arial" w:eastAsia="Arial" w:hAnsi="Arial"/>
          <w:color w:val="000000"/>
          <w:sz w:val="20"/>
          <w:szCs w:val="20"/>
          <w:rtl w:val="0"/>
        </w:rPr>
        <w:t xml:space="preserve"> de sus funciones. Se entiende como conflicto de interés una situación donde la discusión o votación de un proyecto de ley o acto legislativo o artículo, pueda resultar en un beneficio particular, actual y directo a favor del congresista.</w:t>
      </w:r>
    </w:p>
    <w:p w:rsidR="00000000" w:rsidDel="00000000" w:rsidP="00000000" w:rsidRDefault="00000000" w:rsidRPr="00000000" w14:paraId="000000E1">
      <w:pPr>
        <w:ind w:left="56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rsidR="00000000" w:rsidDel="00000000" w:rsidP="00000000" w:rsidRDefault="00000000" w:rsidRPr="00000000" w14:paraId="000000E2">
      <w:pPr>
        <w:ind w:left="56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 Beneficio actual: aquel que efectivamente se configura en las circunstancias presentes y existentes al momento en el que el congresista participa de la decisión. </w:t>
      </w:r>
    </w:p>
    <w:p w:rsidR="00000000" w:rsidDel="00000000" w:rsidP="00000000" w:rsidRDefault="00000000" w:rsidRPr="00000000" w14:paraId="000000E3">
      <w:pPr>
        <w:ind w:left="56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 Beneficio directo: aquel que se produzca de forma específica respecto del congresista, de su cónyuge, compañero o compañera permanente, o parientes dentro del segundo grado de consanguinidad, segundo de afinidad o primero civil. </w:t>
      </w:r>
    </w:p>
    <w:p w:rsidR="00000000" w:rsidDel="00000000" w:rsidP="00000000" w:rsidRDefault="00000000" w:rsidRPr="00000000" w14:paraId="000000E4">
      <w:pPr>
        <w:ind w:left="56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E5">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Igualmente, El Consejo de Estado en su sentencia 02830 del 16 de julio de 2019, determinó: </w:t>
      </w:r>
    </w:p>
    <w:p w:rsidR="00000000" w:rsidDel="00000000" w:rsidP="00000000" w:rsidRDefault="00000000" w:rsidRPr="00000000" w14:paraId="000000E6">
      <w:pPr>
        <w:ind w:left="709"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w:t>
      </w:r>
    </w:p>
    <w:p w:rsidR="00000000" w:rsidDel="00000000" w:rsidP="00000000" w:rsidRDefault="00000000" w:rsidRPr="00000000" w14:paraId="000000E7">
      <w:pPr>
        <w:ind w:left="709"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8">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Bajo este marco, se considera que la discusión y aprobación del presente Proyecto de Ley, a pesar de su carácter general y extenso en la materia que trata, podría crear conflictos de interés en tanto al congresista o pariente dentro de los grados de ley sea beneficiario con los términos dispuestos en la presente ley. En este sentido, es importante subrayar que la descripción de los posibles conflictos de interés que se puedan presentar frente al trámite o votación de la iniciativa, conforme a lo dispuesto en el artículo 291 de la Ley 5 de 1992 modificado por la Ley 2003 de 2019, no exime al Congresista de identificar causales adicionales en las que pueda estar inmerso. </w:t>
      </w:r>
    </w:p>
    <w:p w:rsidR="00000000" w:rsidDel="00000000" w:rsidP="00000000" w:rsidRDefault="00000000" w:rsidRPr="00000000" w14:paraId="000000E9">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A">
      <w:pPr>
        <w:pBdr>
          <w:top w:color="000000" w:space="1" w:sz="4" w:val="single"/>
          <w:left w:color="000000" w:space="4" w:sz="4" w:val="single"/>
          <w:bottom w:color="000000" w:space="0" w:sz="4" w:val="single"/>
          <w:right w:color="000000" w:space="4" w:sz="4" w:val="single"/>
          <w:between w:color="000000" w:space="0" w:sz="0" w:val="none"/>
        </w:pBdr>
        <w:ind w:hanging="2"/>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PROPOSICIÓN</w:t>
      </w:r>
      <w:r w:rsidDel="00000000" w:rsidR="00000000" w:rsidRPr="00000000">
        <w:rPr>
          <w:rtl w:val="0"/>
        </w:rPr>
      </w:r>
    </w:p>
    <w:p w:rsidR="00000000" w:rsidDel="00000000" w:rsidP="00000000" w:rsidRDefault="00000000" w:rsidRPr="00000000" w14:paraId="000000EB">
      <w:pPr>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Con fundamento en las anteriores consideraciones, en cumplimiento de los requisitos establecidos en la Ley 5 de 1992, presentamos </w:t>
      </w:r>
      <w:r w:rsidDel="00000000" w:rsidR="00000000" w:rsidRPr="00000000">
        <w:rPr>
          <w:rFonts w:ascii="Arial" w:cs="Arial" w:eastAsia="Arial" w:hAnsi="Arial"/>
          <w:b w:val="1"/>
          <w:sz w:val="24"/>
          <w:szCs w:val="24"/>
          <w:u w:val="single"/>
          <w:rtl w:val="0"/>
        </w:rPr>
        <w:t xml:space="preserve">PONENCIA POSITIVA</w:t>
      </w:r>
      <w:r w:rsidDel="00000000" w:rsidR="00000000" w:rsidRPr="00000000">
        <w:rPr>
          <w:rFonts w:ascii="Arial" w:cs="Arial" w:eastAsia="Arial" w:hAnsi="Arial"/>
          <w:sz w:val="24"/>
          <w:szCs w:val="24"/>
          <w:rtl w:val="0"/>
        </w:rPr>
        <w:t xml:space="preserve"> y en consecuencia solicitamos a la plenaria de la honorable Cámara de Representantes dar </w:t>
      </w:r>
      <w:r w:rsidDel="00000000" w:rsidR="00000000" w:rsidRPr="00000000">
        <w:rPr>
          <w:rFonts w:ascii="Arial" w:cs="Arial" w:eastAsia="Arial" w:hAnsi="Arial"/>
          <w:b w:val="1"/>
          <w:sz w:val="24"/>
          <w:szCs w:val="24"/>
          <w:u w:val="single"/>
          <w:rtl w:val="0"/>
        </w:rPr>
        <w:t xml:space="preserve">SEGUNDO DEBATE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al </w:t>
      </w:r>
      <w:r w:rsidDel="00000000" w:rsidR="00000000" w:rsidRPr="00000000">
        <w:rPr>
          <w:rFonts w:ascii="Arial" w:cs="Arial" w:eastAsia="Arial" w:hAnsi="Arial"/>
          <w:b w:val="1"/>
          <w:sz w:val="24"/>
          <w:szCs w:val="24"/>
          <w:rtl w:val="0"/>
        </w:rPr>
        <w:t xml:space="preserve">Proyecto de Acto Legislativo No. 436 de 2024 Cámara – No. 020 de 2024 Senado “Por el cual se modifica el artículo 65 de la Constitución Política de Colombia”, </w:t>
      </w:r>
      <w:r w:rsidDel="00000000" w:rsidR="00000000" w:rsidRPr="00000000">
        <w:rPr>
          <w:rFonts w:ascii="Arial" w:cs="Arial" w:eastAsia="Arial" w:hAnsi="Arial"/>
          <w:sz w:val="24"/>
          <w:szCs w:val="24"/>
          <w:rtl w:val="0"/>
        </w:rPr>
        <w:t xml:space="preserve">conforme al texto aprobado en la Comisión Primera, Constitucional Permanente el 22 de mayo de 2024, que se relaciona a continuación</w:t>
      </w:r>
      <w:r w:rsidDel="00000000" w:rsidR="00000000" w:rsidRPr="00000000">
        <w:rPr>
          <w:rFonts w:ascii="Arial" w:cs="Arial" w:eastAsia="Arial" w:hAnsi="Arial"/>
          <w:color w:val="222222"/>
          <w:sz w:val="24"/>
          <w:szCs w:val="24"/>
          <w:highlight w:val="white"/>
          <w:rtl w:val="0"/>
        </w:rPr>
        <w:t xml:space="preserve">.</w:t>
      </w:r>
      <w:r w:rsidDel="00000000" w:rsidR="00000000" w:rsidRPr="00000000">
        <w:rPr>
          <w:rtl w:val="0"/>
        </w:rPr>
      </w:r>
    </w:p>
    <w:p w:rsidR="00000000" w:rsidDel="00000000" w:rsidP="00000000" w:rsidRDefault="00000000" w:rsidRPr="00000000" w14:paraId="000000EC">
      <w:pPr>
        <w:spacing w:line="264" w:lineRule="auto"/>
        <w:ind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Cordialmente,</w:t>
      </w:r>
    </w:p>
    <w:p w:rsidR="00000000" w:rsidDel="00000000" w:rsidP="00000000" w:rsidRDefault="00000000" w:rsidRPr="00000000" w14:paraId="000000E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ANA PAOLA GARCIA SOTO  </w:t>
        <w:tab/>
        <w:tab/>
      </w:r>
      <w:r w:rsidDel="00000000" w:rsidR="00000000" w:rsidRPr="00000000">
        <w:rPr>
          <w:rFonts w:ascii="Arial" w:cs="Arial" w:eastAsia="Arial" w:hAnsi="Arial"/>
          <w:sz w:val="24"/>
          <w:szCs w:val="24"/>
          <w:rtl w:val="0"/>
        </w:rPr>
        <w:br w:type="textWrapping"/>
      </w:r>
      <w:r w:rsidDel="00000000" w:rsidR="00000000" w:rsidRPr="00000000">
        <w:rPr>
          <w:rFonts w:ascii="Arial" w:cs="Arial" w:eastAsia="Arial" w:hAnsi="Arial"/>
          <w:b w:val="1"/>
          <w:sz w:val="24"/>
          <w:szCs w:val="24"/>
          <w:rtl w:val="0"/>
        </w:rPr>
        <w:t xml:space="preserve">Representante a la Cámara</w:t>
        <w:br w:type="textWrapping"/>
      </w:r>
      <w:r w:rsidDel="00000000" w:rsidR="00000000" w:rsidRPr="00000000">
        <w:rPr>
          <w:rFonts w:ascii="Arial" w:cs="Arial" w:eastAsia="Arial" w:hAnsi="Arial"/>
          <w:sz w:val="24"/>
          <w:szCs w:val="24"/>
          <w:rtl w:val="0"/>
        </w:rPr>
        <w:t xml:space="preserve">Coordinadora ponente</w:t>
      </w:r>
    </w:p>
    <w:p w:rsidR="00000000" w:rsidDel="00000000" w:rsidP="00000000" w:rsidRDefault="00000000" w:rsidRPr="00000000" w14:paraId="000000F1">
      <w:pPr>
        <w:ind w:left="-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2">
      <w:pPr>
        <w:ind w:left="-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3">
      <w:pPr>
        <w:ind w:left="-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EDUARD GIOVANNY SARMIENTO HIDALGO</w:t>
        <w:br w:type="textWrapping"/>
        <w:t xml:space="preserve">Representante a la Cámara</w:t>
        <w:br w:type="textWrapping"/>
      </w:r>
      <w:r w:rsidDel="00000000" w:rsidR="00000000" w:rsidRPr="00000000">
        <w:rPr>
          <w:rFonts w:ascii="Arial" w:cs="Arial" w:eastAsia="Arial" w:hAnsi="Arial"/>
          <w:sz w:val="24"/>
          <w:szCs w:val="24"/>
          <w:rtl w:val="0"/>
        </w:rPr>
        <w:t xml:space="preserve">Coordinador ponente</w:t>
      </w:r>
      <w:r w:rsidDel="00000000" w:rsidR="00000000" w:rsidRPr="00000000">
        <w:rPr>
          <w:rtl w:val="0"/>
        </w:rPr>
      </w:r>
    </w:p>
    <w:p w:rsidR="00000000" w:rsidDel="00000000" w:rsidP="00000000" w:rsidRDefault="00000000" w:rsidRPr="00000000" w14:paraId="000000F4">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F5">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F6">
      <w:pPr>
        <w:rPr>
          <w:rFonts w:ascii="Arial" w:cs="Arial" w:eastAsia="Arial" w:hAnsi="Arial"/>
          <w:sz w:val="24"/>
          <w:szCs w:val="24"/>
        </w:rPr>
      </w:pPr>
      <w:r w:rsidDel="00000000" w:rsidR="00000000" w:rsidRPr="00000000">
        <w:rPr>
          <w:rFonts w:ascii="Arial" w:cs="Arial" w:eastAsia="Arial" w:hAnsi="Arial"/>
          <w:b w:val="1"/>
          <w:sz w:val="24"/>
          <w:szCs w:val="24"/>
          <w:rtl w:val="0"/>
        </w:rPr>
        <w:br w:type="textWrapping"/>
        <w:t xml:space="preserve">ÁLVARO LEONEL RUEDA CABALLERO</w:t>
        <w:br w:type="textWrapping"/>
        <w:t xml:space="preserve">Representante a la Cámara</w:t>
        <w:br w:type="textWrapping"/>
      </w:r>
      <w:r w:rsidDel="00000000" w:rsidR="00000000" w:rsidRPr="00000000">
        <w:rPr>
          <w:rFonts w:ascii="Arial" w:cs="Arial" w:eastAsia="Arial" w:hAnsi="Arial"/>
          <w:sz w:val="24"/>
          <w:szCs w:val="24"/>
          <w:rtl w:val="0"/>
        </w:rPr>
        <w:t xml:space="preserve">Coordinador ponente</w:t>
      </w:r>
    </w:p>
    <w:p w:rsidR="00000000" w:rsidDel="00000000" w:rsidP="00000000" w:rsidRDefault="00000000" w:rsidRPr="00000000" w14:paraId="000000F7">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F8">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F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JULIO CÉSAR TRIANA QUINTERO</w:t>
        <w:br w:type="textWrapping"/>
        <w:t xml:space="preserve">Representante a la Cámara</w:t>
        <w:br w:type="textWrapping"/>
      </w:r>
      <w:r w:rsidDel="00000000" w:rsidR="00000000" w:rsidRPr="00000000">
        <w:rPr>
          <w:rFonts w:ascii="Arial" w:cs="Arial" w:eastAsia="Arial" w:hAnsi="Arial"/>
          <w:sz w:val="24"/>
          <w:szCs w:val="24"/>
          <w:rtl w:val="0"/>
        </w:rPr>
        <w:t xml:space="preserve">Ponente</w:t>
      </w:r>
    </w:p>
    <w:p w:rsidR="00000000" w:rsidDel="00000000" w:rsidP="00000000" w:rsidRDefault="00000000" w:rsidRPr="00000000" w14:paraId="000000FA">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FB">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FC">
      <w:pPr>
        <w:ind w:left="-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RUTH AMELIA CAYCEDO ROSERO</w:t>
        <w:br w:type="textWrapping"/>
        <w:t xml:space="preserve">Representante a la Cámara</w:t>
        <w:br w:type="textWrapping"/>
      </w:r>
      <w:r w:rsidDel="00000000" w:rsidR="00000000" w:rsidRPr="00000000">
        <w:rPr>
          <w:rFonts w:ascii="Arial" w:cs="Arial" w:eastAsia="Arial" w:hAnsi="Arial"/>
          <w:sz w:val="24"/>
          <w:szCs w:val="24"/>
          <w:rtl w:val="0"/>
        </w:rPr>
        <w:t xml:space="preserve">Ponente</w:t>
      </w:r>
      <w:r w:rsidDel="00000000" w:rsidR="00000000" w:rsidRPr="00000000">
        <w:rPr>
          <w:rtl w:val="0"/>
        </w:rPr>
      </w:r>
    </w:p>
    <w:p w:rsidR="00000000" w:rsidDel="00000000" w:rsidP="00000000" w:rsidRDefault="00000000" w:rsidRPr="00000000" w14:paraId="000000FD">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FE">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FF">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JOSE JAIME USCÁTEGUI PASTRANA</w:t>
        <w:br w:type="textWrapping"/>
        <w:t xml:space="preserve">Representante a la Cámara</w:t>
        <w:br w:type="textWrapping"/>
      </w:r>
      <w:r w:rsidDel="00000000" w:rsidR="00000000" w:rsidRPr="00000000">
        <w:rPr>
          <w:rFonts w:ascii="Arial" w:cs="Arial" w:eastAsia="Arial" w:hAnsi="Arial"/>
          <w:sz w:val="24"/>
          <w:szCs w:val="24"/>
          <w:rtl w:val="0"/>
        </w:rPr>
        <w:t xml:space="preserve">Ponente</w:t>
      </w:r>
      <w:r w:rsidDel="00000000" w:rsidR="00000000" w:rsidRPr="00000000">
        <w:rPr>
          <w:rtl w:val="0"/>
        </w:rPr>
      </w:r>
    </w:p>
    <w:p w:rsidR="00000000" w:rsidDel="00000000" w:rsidP="00000000" w:rsidRDefault="00000000" w:rsidRPr="00000000" w14:paraId="00000100">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01">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02">
      <w:pPr>
        <w:ind w:left="-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ORLANDO CASTILLO ADVÍNCULA</w:t>
        <w:br w:type="textWrapping"/>
        <w:t xml:space="preserve">Representante a la Cámara</w:t>
        <w:br w:type="textWrapping"/>
      </w:r>
      <w:r w:rsidDel="00000000" w:rsidR="00000000" w:rsidRPr="00000000">
        <w:rPr>
          <w:rFonts w:ascii="Arial" w:cs="Arial" w:eastAsia="Arial" w:hAnsi="Arial"/>
          <w:sz w:val="24"/>
          <w:szCs w:val="24"/>
          <w:rtl w:val="0"/>
        </w:rPr>
        <w:t xml:space="preserve">Ponente</w:t>
      </w:r>
      <w:r w:rsidDel="00000000" w:rsidR="00000000" w:rsidRPr="00000000">
        <w:rPr>
          <w:rtl w:val="0"/>
        </w:rPr>
      </w:r>
    </w:p>
    <w:p w:rsidR="00000000" w:rsidDel="00000000" w:rsidP="00000000" w:rsidRDefault="00000000" w:rsidRPr="00000000" w14:paraId="00000103">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04">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05">
      <w:pPr>
        <w:ind w:left="-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DUVALIER SÁNCHEZ ARANGO</w:t>
        <w:br w:type="textWrapping"/>
        <w:t xml:space="preserve">Representante a la Cámara</w:t>
        <w:br w:type="textWrapping"/>
      </w:r>
      <w:r w:rsidDel="00000000" w:rsidR="00000000" w:rsidRPr="00000000">
        <w:rPr>
          <w:rFonts w:ascii="Arial" w:cs="Arial" w:eastAsia="Arial" w:hAnsi="Arial"/>
          <w:sz w:val="24"/>
          <w:szCs w:val="24"/>
          <w:rtl w:val="0"/>
        </w:rPr>
        <w:t xml:space="preserve">Ponente</w:t>
      </w:r>
      <w:r w:rsidDel="00000000" w:rsidR="00000000" w:rsidRPr="00000000">
        <w:rPr>
          <w:rtl w:val="0"/>
        </w:rPr>
      </w:r>
    </w:p>
    <w:p w:rsidR="00000000" w:rsidDel="00000000" w:rsidP="00000000" w:rsidRDefault="00000000" w:rsidRPr="00000000" w14:paraId="00000106">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07">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08">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09">
      <w:pPr>
        <w:ind w:left="-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MARELEN CASTILLO TORRES</w:t>
        <w:br w:type="textWrapping"/>
        <w:t xml:space="preserve">Representante a la Cámara</w:t>
        <w:br w:type="textWrapping"/>
      </w:r>
      <w:r w:rsidDel="00000000" w:rsidR="00000000" w:rsidRPr="00000000">
        <w:rPr>
          <w:rFonts w:ascii="Arial" w:cs="Arial" w:eastAsia="Arial" w:hAnsi="Arial"/>
          <w:sz w:val="24"/>
          <w:szCs w:val="24"/>
          <w:rtl w:val="0"/>
        </w:rPr>
        <w:t xml:space="preserve">Ponente</w:t>
      </w:r>
      <w:r w:rsidDel="00000000" w:rsidR="00000000" w:rsidRPr="00000000">
        <w:rPr>
          <w:rtl w:val="0"/>
        </w:rPr>
      </w:r>
    </w:p>
    <w:p w:rsidR="00000000" w:rsidDel="00000000" w:rsidP="00000000" w:rsidRDefault="00000000" w:rsidRPr="00000000" w14:paraId="0000010A">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0B">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0C">
      <w:pPr>
        <w:ind w:left="-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LUIS ALBERTO ALBÁN URBANO</w:t>
        <w:br w:type="textWrapping"/>
        <w:t xml:space="preserve">Representante a la Cámara</w:t>
        <w:br w:type="textWrapping"/>
      </w:r>
      <w:r w:rsidDel="00000000" w:rsidR="00000000" w:rsidRPr="00000000">
        <w:rPr>
          <w:rFonts w:ascii="Arial" w:cs="Arial" w:eastAsia="Arial" w:hAnsi="Arial"/>
          <w:sz w:val="24"/>
          <w:szCs w:val="24"/>
          <w:rtl w:val="0"/>
        </w:rPr>
        <w:t xml:space="preserve">Ponente</w:t>
      </w:r>
      <w:r w:rsidDel="00000000" w:rsidR="00000000" w:rsidRPr="00000000">
        <w:rPr>
          <w:rtl w:val="0"/>
        </w:rPr>
      </w:r>
    </w:p>
    <w:p w:rsidR="00000000" w:rsidDel="00000000" w:rsidP="00000000" w:rsidRDefault="00000000" w:rsidRPr="00000000" w14:paraId="0000010D">
      <w:pPr>
        <w:spacing w:line="264" w:lineRule="auto"/>
        <w:ind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E">
      <w:pPr>
        <w:spacing w:line="264" w:lineRule="auto"/>
        <w:ind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F">
      <w:pPr>
        <w:ind w:hanging="2"/>
        <w:jc w:val="both"/>
        <w:rPr>
          <w:rFonts w:ascii="Arial" w:cs="Arial" w:eastAsia="Arial" w:hAnsi="Arial"/>
          <w:sz w:val="24"/>
          <w:szCs w:val="24"/>
        </w:rPr>
        <w:sectPr>
          <w:headerReference r:id="rId7" w:type="default"/>
          <w:footerReference r:id="rId8" w:type="default"/>
          <w:pgSz w:h="15840" w:w="12240" w:orient="portrait"/>
          <w:pgMar w:bottom="1418" w:top="1418" w:left="1701" w:right="1701" w:header="709" w:footer="709"/>
          <w:pgNumType w:start="1"/>
        </w:sectPr>
      </w:pPr>
      <w:r w:rsidDel="00000000" w:rsidR="00000000" w:rsidRPr="00000000">
        <w:rPr>
          <w:rFonts w:ascii="Arial" w:cs="Arial" w:eastAsia="Arial" w:hAnsi="Arial"/>
          <w:sz w:val="24"/>
          <w:szCs w:val="24"/>
          <w:rtl w:val="0"/>
        </w:rPr>
        <w:tab/>
      </w:r>
    </w:p>
    <w:p w:rsidR="00000000" w:rsidDel="00000000" w:rsidP="00000000" w:rsidRDefault="00000000" w:rsidRPr="00000000" w14:paraId="00000110">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TEXTO PROPUESTO PARA SEGUNDO DEBATE EN LA PLENARIA DE LA CÁMARA DE REPRESENTANTES</w:t>
      </w:r>
    </w:p>
    <w:p w:rsidR="00000000" w:rsidDel="00000000" w:rsidP="00000000" w:rsidRDefault="00000000" w:rsidRPr="00000000" w14:paraId="00000111">
      <w:pPr>
        <w:spacing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12">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PROYECTO DE ACTO LEGISLATIVO No. 436 de 2024 Cámara – 020 de 2024 Senado</w:t>
      </w:r>
    </w:p>
    <w:p w:rsidR="00000000" w:rsidDel="00000000" w:rsidP="00000000" w:rsidRDefault="00000000" w:rsidRPr="00000000" w14:paraId="00000113">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br w:type="textWrapping"/>
        <w:t xml:space="preserve">“Por el cual se modifica el artículo 65 de la Constitución Política de Colombia”</w:t>
      </w:r>
    </w:p>
    <w:p w:rsidR="00000000" w:rsidDel="00000000" w:rsidP="00000000" w:rsidRDefault="00000000" w:rsidRPr="00000000" w14:paraId="00000114">
      <w:pPr>
        <w:tabs>
          <w:tab w:val="center" w:leader="none" w:pos="4252"/>
          <w:tab w:val="left" w:leader="none" w:pos="6470"/>
        </w:tabs>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El Congreso de Colombia,</w:t>
        <w:br w:type="textWrapping"/>
        <w:t xml:space="preserve">DECRETA:</w:t>
      </w:r>
    </w:p>
    <w:p w:rsidR="00000000" w:rsidDel="00000000" w:rsidP="00000000" w:rsidRDefault="00000000" w:rsidRPr="00000000" w14:paraId="00000115">
      <w:pPr>
        <w:tabs>
          <w:tab w:val="center" w:leader="none" w:pos="4252"/>
          <w:tab w:val="left" w:leader="none" w:pos="6470"/>
        </w:tabs>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Artículo 1. </w:t>
      </w:r>
      <w:r w:rsidDel="00000000" w:rsidR="00000000" w:rsidRPr="00000000">
        <w:rPr>
          <w:rFonts w:ascii="Arial" w:cs="Arial" w:eastAsia="Arial" w:hAnsi="Arial"/>
          <w:sz w:val="24"/>
          <w:szCs w:val="24"/>
          <w:rtl w:val="0"/>
        </w:rPr>
        <w:t xml:space="preserve">Modifíquese el artículo 65 de la Constitución Política de Colombia, el cual quedará así:</w:t>
      </w:r>
      <w:r w:rsidDel="00000000" w:rsidR="00000000" w:rsidRPr="00000000">
        <w:rPr>
          <w:rtl w:val="0"/>
        </w:rPr>
      </w:r>
    </w:p>
    <w:p w:rsidR="00000000" w:rsidDel="00000000" w:rsidP="00000000" w:rsidRDefault="00000000" w:rsidRPr="00000000" w14:paraId="00000116">
      <w:pPr>
        <w:tabs>
          <w:tab w:val="center" w:leader="none" w:pos="4252"/>
          <w:tab w:val="left" w:leader="none" w:pos="6470"/>
        </w:tabs>
        <w:spacing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65. </w:t>
      </w:r>
      <w:r w:rsidDel="00000000" w:rsidR="00000000" w:rsidRPr="00000000">
        <w:rPr>
          <w:rFonts w:ascii="Arial" w:cs="Arial" w:eastAsia="Arial" w:hAnsi="Arial"/>
          <w:sz w:val="24"/>
          <w:szCs w:val="24"/>
          <w:rtl w:val="0"/>
        </w:rPr>
        <w:t xml:space="preserve">El Estado garantizará el derecho humano a la alimentación adecuada, de manera progresiva y salvaguardando la interculturalidad, y a estar protegido contra el hambre, la malnutrición y la desnutrición. Así mismo, promoverá condiciones de seguridad, soberanía y autonomías alimentarias en el territorio nacional y generará acciones para minimizar la pérdida de alimentos.</w:t>
      </w:r>
    </w:p>
    <w:p w:rsidR="00000000" w:rsidDel="00000000" w:rsidP="00000000" w:rsidRDefault="00000000" w:rsidRPr="00000000" w14:paraId="00000117">
      <w:pPr>
        <w:tabs>
          <w:tab w:val="center" w:leader="none" w:pos="4252"/>
          <w:tab w:val="left" w:leader="none" w:pos="6470"/>
        </w:tabs>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producción y acceso a de alimentos gozará de la especial protección del Estado. Para tal efecto, se otorgará prioridad al desarrollo sostenible e integral de las actividades agrícolas, agroalimentarias, agroindustriales, agroecológicas, pecuarias, pesqueras, acuáticas y forestales, así como también a la adecuación de tierras, construcción de obras de infraestructura física y logística que facilite la disponibilidad de alimentos en todo el territorio nacional.</w:t>
      </w:r>
    </w:p>
    <w:p w:rsidR="00000000" w:rsidDel="00000000" w:rsidP="00000000" w:rsidRDefault="00000000" w:rsidRPr="00000000" w14:paraId="00000118">
      <w:pPr>
        <w:tabs>
          <w:tab w:val="center" w:leader="none" w:pos="4252"/>
          <w:tab w:val="left" w:leader="none" w:pos="6470"/>
        </w:tabs>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igual manera, el Estado promoverá la investigación y la transferencia de conocimiento y tecnología para la producción de alimentos y materias primas de origen agropecuario y acuícola, con el propósito de incrementar la productividad, así como proteger y salvaguardar los medios e insumos de la actividad.</w:t>
      </w:r>
    </w:p>
    <w:p w:rsidR="00000000" w:rsidDel="00000000" w:rsidP="00000000" w:rsidRDefault="00000000" w:rsidRPr="00000000" w14:paraId="00000119">
      <w:pPr>
        <w:tabs>
          <w:tab w:val="center" w:leader="none" w:pos="4252"/>
          <w:tab w:val="left" w:leader="none" w:pos="6470"/>
        </w:tabs>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Artículo 2. </w:t>
      </w:r>
      <w:r w:rsidDel="00000000" w:rsidR="00000000" w:rsidRPr="00000000">
        <w:rPr>
          <w:rFonts w:ascii="Arial" w:cs="Arial" w:eastAsia="Arial" w:hAnsi="Arial"/>
          <w:sz w:val="24"/>
          <w:szCs w:val="24"/>
          <w:rtl w:val="0"/>
        </w:rPr>
        <w:t xml:space="preserve">El Congreso de la República tramitará y expedirá en la siguiente legislatura la ley estatutaria que desarrolle y reglamente lo previsto en el presente Acto Legislativo. En esta ley se diseñarán medidas especiales, prioritarias e inmediatas que requieran las zonas del país que presenten mayores tasas de desnutrición y mortalidad por causas asociadas a esta. En el término de dos (2) meses, luego de la entrada en vigencia de este acto legislativo, el Gobierno Nacional identificará las zonas que requieren estas medidas y propondrá al Congreso de la República las políticas urgentes que se necesiten implementar en cada una de ellas.</w:t>
      </w:r>
      <w:r w:rsidDel="00000000" w:rsidR="00000000" w:rsidRPr="00000000">
        <w:rPr>
          <w:rtl w:val="0"/>
        </w:rPr>
      </w:r>
    </w:p>
    <w:p w:rsidR="00000000" w:rsidDel="00000000" w:rsidP="00000000" w:rsidRDefault="00000000" w:rsidRPr="00000000" w14:paraId="0000011A">
      <w:pPr>
        <w:tabs>
          <w:tab w:val="center" w:leader="none" w:pos="4252"/>
          <w:tab w:val="left" w:leader="none" w:pos="6470"/>
        </w:tabs>
        <w:spacing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3. Vigencia. </w:t>
      </w:r>
      <w:r w:rsidDel="00000000" w:rsidR="00000000" w:rsidRPr="00000000">
        <w:rPr>
          <w:rFonts w:ascii="Arial" w:cs="Arial" w:eastAsia="Arial" w:hAnsi="Arial"/>
          <w:sz w:val="24"/>
          <w:szCs w:val="24"/>
          <w:rtl w:val="0"/>
        </w:rPr>
        <w:t xml:space="preserve">El presente Acto Legislativo entrará en vigencia a partir de su promulgación. </w:t>
      </w:r>
    </w:p>
    <w:p w:rsidR="00000000" w:rsidDel="00000000" w:rsidP="00000000" w:rsidRDefault="00000000" w:rsidRPr="00000000" w14:paraId="0000011B">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C">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los congresistas,</w:t>
      </w:r>
    </w:p>
    <w:p w:rsidR="00000000" w:rsidDel="00000000" w:rsidP="00000000" w:rsidRDefault="00000000" w:rsidRPr="00000000" w14:paraId="0000011D">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E">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F">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0">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ANA PAOLA GARCIA SOTO  </w:t>
        <w:tab/>
        <w:tab/>
      </w:r>
      <w:r w:rsidDel="00000000" w:rsidR="00000000" w:rsidRPr="00000000">
        <w:rPr>
          <w:rFonts w:ascii="Arial" w:cs="Arial" w:eastAsia="Arial" w:hAnsi="Arial"/>
          <w:sz w:val="24"/>
          <w:szCs w:val="24"/>
          <w:rtl w:val="0"/>
        </w:rPr>
        <w:br w:type="textWrapping"/>
      </w:r>
      <w:r w:rsidDel="00000000" w:rsidR="00000000" w:rsidRPr="00000000">
        <w:rPr>
          <w:rFonts w:ascii="Arial" w:cs="Arial" w:eastAsia="Arial" w:hAnsi="Arial"/>
          <w:b w:val="1"/>
          <w:sz w:val="24"/>
          <w:szCs w:val="24"/>
          <w:rtl w:val="0"/>
        </w:rPr>
        <w:t xml:space="preserve">Representante a la Cámara</w:t>
        <w:br w:type="textWrapping"/>
      </w:r>
      <w:r w:rsidDel="00000000" w:rsidR="00000000" w:rsidRPr="00000000">
        <w:rPr>
          <w:rFonts w:ascii="Arial" w:cs="Arial" w:eastAsia="Arial" w:hAnsi="Arial"/>
          <w:sz w:val="24"/>
          <w:szCs w:val="24"/>
          <w:rtl w:val="0"/>
        </w:rPr>
        <w:t xml:space="preserve">Coordinadora ponente</w:t>
      </w:r>
    </w:p>
    <w:p w:rsidR="00000000" w:rsidDel="00000000" w:rsidP="00000000" w:rsidRDefault="00000000" w:rsidRPr="00000000" w14:paraId="00000122">
      <w:pPr>
        <w:ind w:left="-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3">
      <w:pPr>
        <w:ind w:left="-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4">
      <w:pPr>
        <w:ind w:left="-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EDUARD GIOVANNY SARMIENTO HIDALGO</w:t>
        <w:br w:type="textWrapping"/>
        <w:t xml:space="preserve">Representante a la Cámara</w:t>
        <w:br w:type="textWrapping"/>
      </w:r>
      <w:r w:rsidDel="00000000" w:rsidR="00000000" w:rsidRPr="00000000">
        <w:rPr>
          <w:rFonts w:ascii="Arial" w:cs="Arial" w:eastAsia="Arial" w:hAnsi="Arial"/>
          <w:sz w:val="24"/>
          <w:szCs w:val="24"/>
          <w:rtl w:val="0"/>
        </w:rPr>
        <w:t xml:space="preserve">Coordinador ponente</w:t>
      </w:r>
      <w:r w:rsidDel="00000000" w:rsidR="00000000" w:rsidRPr="00000000">
        <w:rPr>
          <w:rtl w:val="0"/>
        </w:rPr>
      </w:r>
    </w:p>
    <w:p w:rsidR="00000000" w:rsidDel="00000000" w:rsidP="00000000" w:rsidRDefault="00000000" w:rsidRPr="00000000" w14:paraId="00000125">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6">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7">
      <w:pPr>
        <w:ind w:left="-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br w:type="textWrapping"/>
        <w:t xml:space="preserve">ÁLVARO LEONEL RUEDA CABALLERO</w:t>
        <w:br w:type="textWrapping"/>
        <w:t xml:space="preserve">Representante a la Cámara</w:t>
        <w:br w:type="textWrapping"/>
      </w:r>
      <w:r w:rsidDel="00000000" w:rsidR="00000000" w:rsidRPr="00000000">
        <w:rPr>
          <w:rFonts w:ascii="Arial" w:cs="Arial" w:eastAsia="Arial" w:hAnsi="Arial"/>
          <w:sz w:val="24"/>
          <w:szCs w:val="24"/>
          <w:rtl w:val="0"/>
        </w:rPr>
        <w:t xml:space="preserve">Coordinador ponente</w:t>
      </w:r>
      <w:r w:rsidDel="00000000" w:rsidR="00000000" w:rsidRPr="00000000">
        <w:rPr>
          <w:rtl w:val="0"/>
        </w:rPr>
      </w:r>
    </w:p>
    <w:p w:rsidR="00000000" w:rsidDel="00000000" w:rsidP="00000000" w:rsidRDefault="00000000" w:rsidRPr="00000000" w14:paraId="00000128">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9">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JULIO CÉSAR TRIANA QUINTERO</w:t>
        <w:br w:type="textWrapping"/>
        <w:t xml:space="preserve">Representante a la Cámara</w:t>
        <w:br w:type="textWrapping"/>
      </w:r>
      <w:r w:rsidDel="00000000" w:rsidR="00000000" w:rsidRPr="00000000">
        <w:rPr>
          <w:rFonts w:ascii="Arial" w:cs="Arial" w:eastAsia="Arial" w:hAnsi="Arial"/>
          <w:sz w:val="24"/>
          <w:szCs w:val="24"/>
          <w:rtl w:val="0"/>
        </w:rPr>
        <w:t xml:space="preserve">Ponente</w:t>
      </w:r>
    </w:p>
    <w:p w:rsidR="00000000" w:rsidDel="00000000" w:rsidP="00000000" w:rsidRDefault="00000000" w:rsidRPr="00000000" w14:paraId="0000012B">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C">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D">
      <w:pPr>
        <w:ind w:left="-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RUTH AMELIA CAYCEDO ROSERO</w:t>
        <w:br w:type="textWrapping"/>
        <w:t xml:space="preserve">Representante a la Cámara</w:t>
        <w:br w:type="textWrapping"/>
      </w:r>
      <w:r w:rsidDel="00000000" w:rsidR="00000000" w:rsidRPr="00000000">
        <w:rPr>
          <w:rFonts w:ascii="Arial" w:cs="Arial" w:eastAsia="Arial" w:hAnsi="Arial"/>
          <w:sz w:val="24"/>
          <w:szCs w:val="24"/>
          <w:rtl w:val="0"/>
        </w:rPr>
        <w:t xml:space="preserve">Ponente</w:t>
      </w:r>
      <w:r w:rsidDel="00000000" w:rsidR="00000000" w:rsidRPr="00000000">
        <w:rPr>
          <w:rtl w:val="0"/>
        </w:rPr>
      </w:r>
    </w:p>
    <w:p w:rsidR="00000000" w:rsidDel="00000000" w:rsidP="00000000" w:rsidRDefault="00000000" w:rsidRPr="00000000" w14:paraId="0000012E">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F">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30">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JOSE JAIME USCÁTEGUI PASTRANA</w:t>
        <w:br w:type="textWrapping"/>
        <w:t xml:space="preserve">Representante a la Cámara</w:t>
        <w:br w:type="textWrapping"/>
      </w:r>
      <w:r w:rsidDel="00000000" w:rsidR="00000000" w:rsidRPr="00000000">
        <w:rPr>
          <w:rFonts w:ascii="Arial" w:cs="Arial" w:eastAsia="Arial" w:hAnsi="Arial"/>
          <w:sz w:val="24"/>
          <w:szCs w:val="24"/>
          <w:rtl w:val="0"/>
        </w:rPr>
        <w:t xml:space="preserve">Ponente</w:t>
      </w:r>
      <w:r w:rsidDel="00000000" w:rsidR="00000000" w:rsidRPr="00000000">
        <w:rPr>
          <w:rtl w:val="0"/>
        </w:rPr>
      </w:r>
    </w:p>
    <w:p w:rsidR="00000000" w:rsidDel="00000000" w:rsidP="00000000" w:rsidRDefault="00000000" w:rsidRPr="00000000" w14:paraId="00000131">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32">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33">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34">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ORLANDO CASTILLO ADVÍNCULA</w:t>
        <w:br w:type="textWrapping"/>
        <w:t xml:space="preserve">Representante a la Cámara</w:t>
        <w:br w:type="textWrapping"/>
      </w:r>
      <w:r w:rsidDel="00000000" w:rsidR="00000000" w:rsidRPr="00000000">
        <w:rPr>
          <w:rFonts w:ascii="Arial" w:cs="Arial" w:eastAsia="Arial" w:hAnsi="Arial"/>
          <w:sz w:val="24"/>
          <w:szCs w:val="24"/>
          <w:rtl w:val="0"/>
        </w:rPr>
        <w:t xml:space="preserve">Ponente</w:t>
      </w:r>
      <w:r w:rsidDel="00000000" w:rsidR="00000000" w:rsidRPr="00000000">
        <w:rPr>
          <w:rtl w:val="0"/>
        </w:rPr>
      </w:r>
    </w:p>
    <w:p w:rsidR="00000000" w:rsidDel="00000000" w:rsidP="00000000" w:rsidRDefault="00000000" w:rsidRPr="00000000" w14:paraId="00000135">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36">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37">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38">
      <w:pPr>
        <w:ind w:left="-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DUVALIER SÁNCHEZ ARANGO</w:t>
        <w:br w:type="textWrapping"/>
        <w:t xml:space="preserve">Representante a la Cámara</w:t>
        <w:br w:type="textWrapping"/>
      </w:r>
      <w:r w:rsidDel="00000000" w:rsidR="00000000" w:rsidRPr="00000000">
        <w:rPr>
          <w:rFonts w:ascii="Arial" w:cs="Arial" w:eastAsia="Arial" w:hAnsi="Arial"/>
          <w:sz w:val="24"/>
          <w:szCs w:val="24"/>
          <w:rtl w:val="0"/>
        </w:rPr>
        <w:t xml:space="preserve">Ponente</w:t>
      </w:r>
      <w:r w:rsidDel="00000000" w:rsidR="00000000" w:rsidRPr="00000000">
        <w:rPr>
          <w:rtl w:val="0"/>
        </w:rPr>
      </w:r>
    </w:p>
    <w:p w:rsidR="00000000" w:rsidDel="00000000" w:rsidP="00000000" w:rsidRDefault="00000000" w:rsidRPr="00000000" w14:paraId="00000139">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3A">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3B">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3C">
      <w:pPr>
        <w:ind w:left="-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MARELEN CASTILLO TORRES</w:t>
        <w:br w:type="textWrapping"/>
        <w:t xml:space="preserve">Representante a la Cámara</w:t>
        <w:br w:type="textWrapping"/>
      </w:r>
      <w:r w:rsidDel="00000000" w:rsidR="00000000" w:rsidRPr="00000000">
        <w:rPr>
          <w:rFonts w:ascii="Arial" w:cs="Arial" w:eastAsia="Arial" w:hAnsi="Arial"/>
          <w:sz w:val="24"/>
          <w:szCs w:val="24"/>
          <w:rtl w:val="0"/>
        </w:rPr>
        <w:t xml:space="preserve">Ponente</w:t>
      </w:r>
      <w:r w:rsidDel="00000000" w:rsidR="00000000" w:rsidRPr="00000000">
        <w:rPr>
          <w:rtl w:val="0"/>
        </w:rPr>
      </w:r>
    </w:p>
    <w:p w:rsidR="00000000" w:rsidDel="00000000" w:rsidP="00000000" w:rsidRDefault="00000000" w:rsidRPr="00000000" w14:paraId="0000013D">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3E">
      <w:pPr>
        <w:ind w:left="-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3F">
      <w:pPr>
        <w:ind w:left="-2" w:firstLine="0"/>
        <w:rPr/>
      </w:pPr>
      <w:r w:rsidDel="00000000" w:rsidR="00000000" w:rsidRPr="00000000">
        <w:rPr>
          <w:rFonts w:ascii="Arial" w:cs="Arial" w:eastAsia="Arial" w:hAnsi="Arial"/>
          <w:b w:val="1"/>
          <w:sz w:val="24"/>
          <w:szCs w:val="24"/>
          <w:rtl w:val="0"/>
        </w:rPr>
        <w:t xml:space="preserve">LUIS ALBERTO ALBÁN URBANO</w:t>
        <w:br w:type="textWrapping"/>
        <w:t xml:space="preserve">Representante a la Cámara</w:t>
        <w:br w:type="textWrapping"/>
      </w:r>
      <w:r w:rsidDel="00000000" w:rsidR="00000000" w:rsidRPr="00000000">
        <w:rPr>
          <w:rFonts w:ascii="Arial" w:cs="Arial" w:eastAsia="Arial" w:hAnsi="Arial"/>
          <w:sz w:val="24"/>
          <w:szCs w:val="24"/>
          <w:rtl w:val="0"/>
        </w:rPr>
        <w:t xml:space="preserve">Ponente</w:t>
      </w:r>
      <w:r w:rsidDel="00000000" w:rsidR="00000000" w:rsidRPr="00000000">
        <w:rPr>
          <w:rtl w:val="0"/>
        </w:rPr>
      </w:r>
    </w:p>
    <w:sectPr>
      <w:type w:val="nextPage"/>
      <w:pgSz w:h="15840" w:w="12240" w:orient="portrait"/>
      <w:pgMar w:bottom="1418" w:top="1985" w:left="1701" w:right="170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Fonts w:ascii="Times New Roman" w:cs="Times New Roman" w:eastAsia="Times New Roman" w:hAnsi="Times New Roman"/>
        <w:color w:val="000000"/>
        <w:sz w:val="2"/>
        <w:szCs w:val="2"/>
        <w:highlight w:val="black"/>
        <w:rtl w:val="0"/>
      </w:rPr>
      <w:t xml:space="preserve"> </w:t>
    </w: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40">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20"/>
          <w:szCs w:val="20"/>
          <w:rtl w:val="0"/>
        </w:rPr>
        <w:t xml:space="preserve"> Artículo 25 (como parte del derecho a un nivel de vida adecuado) de la Declaración Universal de los Derechos Humanos de 1948 adoptada por la Asamblea General de las Naciones Unidas en Resolución 217 A (III) de fecha 10 de diciembre de 1948, la cual es considerada como Fuente de Derecho Internacional de conformidad con el artículo 38 del Estatuto de la Corte Internacional de Justicia, en tanto cumple con los requisitos para ser considerada Costumbre Internacional; Artículos 11 (derecho a un nivel de vida adecuado) y 12 (derecho de toda persona a estar protegida contra el hambre) del Pacto Internacional de Derechos Económicos de 1966, Sociales y Culturales; y el Artículo 12 (derecho a la alimentación) del Protocolo Adicional a la Convención Americana sobre Derechos Humanos en Materia de Derechos Económicos Sociales y Culturales “Protocolo de San Salvador” de 1988. Así mismo, es menester resaltar que el doctrinante MARCO GERARDO MONROY CABRA ha señalado que en general “</w:t>
      </w:r>
      <w:r w:rsidDel="00000000" w:rsidR="00000000" w:rsidRPr="00000000">
        <w:rPr>
          <w:rFonts w:ascii="Arial" w:cs="Arial" w:eastAsia="Arial" w:hAnsi="Arial"/>
          <w:i w:val="1"/>
          <w:color w:val="000000"/>
          <w:sz w:val="20"/>
          <w:szCs w:val="20"/>
          <w:rtl w:val="0"/>
        </w:rPr>
        <w:t xml:space="preserve">las normas que regulan el respeto a los derechos humanos son de ius cogens, de orden público y por tanto, imperativas y obligatorias para la comunidad internacional</w:t>
      </w:r>
      <w:r w:rsidDel="00000000" w:rsidR="00000000" w:rsidRPr="00000000">
        <w:rPr>
          <w:rFonts w:ascii="Arial" w:cs="Arial" w:eastAsia="Arial" w:hAnsi="Arial"/>
          <w:color w:val="000000"/>
          <w:sz w:val="20"/>
          <w:szCs w:val="20"/>
          <w:rtl w:val="0"/>
        </w:rPr>
        <w:t xml:space="preserve">” En: MARCO GERARDO MONROY CABRA, </w:t>
      </w:r>
      <w:r w:rsidDel="00000000" w:rsidR="00000000" w:rsidRPr="00000000">
        <w:rPr>
          <w:rFonts w:ascii="Arial" w:cs="Arial" w:eastAsia="Arial" w:hAnsi="Arial"/>
          <w:i w:val="1"/>
          <w:color w:val="000000"/>
          <w:sz w:val="20"/>
          <w:szCs w:val="20"/>
          <w:rtl w:val="0"/>
        </w:rPr>
        <w:t xml:space="preserve">Derecho Internacional Público</w:t>
      </w:r>
      <w:r w:rsidDel="00000000" w:rsidR="00000000" w:rsidRPr="00000000">
        <w:rPr>
          <w:rFonts w:ascii="Arial" w:cs="Arial" w:eastAsia="Arial" w:hAnsi="Arial"/>
          <w:color w:val="000000"/>
          <w:sz w:val="20"/>
          <w:szCs w:val="20"/>
          <w:rtl w:val="0"/>
        </w:rPr>
        <w:t xml:space="preserve">, Bogotá, Editorial Temis, 2011. Pág. 660-661, por lo que el presente proyecto de Ley apunta a dar cumplimiento a obligaciones imperativas de carácter internacional que el Estado colombiano ha contraído en virtud de su pertenencia a la Comunidad Internacional y debido a la suscripción de sendos Tratados sobre Derechos Humanos que le son vinculantes.</w:t>
      </w:r>
    </w:p>
  </w:footnote>
  <w:footnote w:id="1">
    <w:p w:rsidR="00000000" w:rsidDel="00000000" w:rsidP="00000000" w:rsidRDefault="00000000" w:rsidRPr="00000000" w14:paraId="00000141">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FAO. </w:t>
      </w:r>
      <w:r w:rsidDel="00000000" w:rsidR="00000000" w:rsidRPr="00000000">
        <w:rPr>
          <w:rFonts w:ascii="Arial" w:cs="Arial" w:eastAsia="Arial" w:hAnsi="Arial"/>
          <w:i w:val="1"/>
          <w:color w:val="000000"/>
          <w:sz w:val="16"/>
          <w:szCs w:val="16"/>
          <w:rtl w:val="0"/>
        </w:rPr>
        <w:t xml:space="preserve">Informe del Estado Mundial de la Seguridad Alimentaria y la Nutrición</w:t>
      </w:r>
      <w:r w:rsidDel="00000000" w:rsidR="00000000" w:rsidRPr="00000000">
        <w:rPr>
          <w:rFonts w:ascii="Arial" w:cs="Arial" w:eastAsia="Arial" w:hAnsi="Arial"/>
          <w:color w:val="000000"/>
          <w:sz w:val="16"/>
          <w:szCs w:val="16"/>
          <w:rtl w:val="0"/>
        </w:rPr>
        <w:t xml:space="preserve"> (2018)</w:t>
      </w:r>
    </w:p>
  </w:footnote>
  <w:footnote w:id="2">
    <w:p w:rsidR="00000000" w:rsidDel="00000000" w:rsidP="00000000" w:rsidRDefault="00000000" w:rsidRPr="00000000" w14:paraId="00000142">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Oficina del Alto Comisionado para los Derechos Humanos. (2014). </w:t>
      </w:r>
      <w:r w:rsidDel="00000000" w:rsidR="00000000" w:rsidRPr="00000000">
        <w:rPr>
          <w:rFonts w:ascii="Arial" w:cs="Arial" w:eastAsia="Arial" w:hAnsi="Arial"/>
          <w:i w:val="1"/>
          <w:color w:val="000000"/>
          <w:sz w:val="16"/>
          <w:szCs w:val="16"/>
          <w:rtl w:val="0"/>
        </w:rPr>
        <w:t xml:space="preserve">Sus Derechos Humanos</w:t>
      </w:r>
      <w:r w:rsidDel="00000000" w:rsidR="00000000" w:rsidRPr="00000000">
        <w:rPr>
          <w:rFonts w:ascii="Arial" w:cs="Arial" w:eastAsia="Arial" w:hAnsi="Arial"/>
          <w:color w:val="000000"/>
          <w:sz w:val="16"/>
          <w:szCs w:val="16"/>
          <w:rtl w:val="0"/>
        </w:rPr>
        <w:t xml:space="preserve">. Recuperado el 7 de octubre de 2014 desde Naciones Unidas - Derechos Humanos - Oficina del Alto Comisionado para los Derechos Humanos:  http://www.ohchr.org/SP/Issues/Pages/WhatareHumanRights.aspx</w:t>
      </w:r>
    </w:p>
  </w:footnote>
  <w:footnote w:id="3">
    <w:p w:rsidR="00000000" w:rsidDel="00000000" w:rsidP="00000000" w:rsidRDefault="00000000" w:rsidRPr="00000000" w14:paraId="00000143">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Así lo dispone el Artículo 1 de la Declaración Universal de los Derechos Humanos que establece que </w:t>
      </w:r>
      <w:r w:rsidDel="00000000" w:rsidR="00000000" w:rsidRPr="00000000">
        <w:rPr>
          <w:rFonts w:ascii="Arial" w:cs="Arial" w:eastAsia="Arial" w:hAnsi="Arial"/>
          <w:i w:val="1"/>
          <w:color w:val="000000"/>
          <w:sz w:val="16"/>
          <w:szCs w:val="16"/>
          <w:rtl w:val="0"/>
        </w:rPr>
        <w:t xml:space="preserve">“todos los seres humanos nacen libres e iguales en dignidad y derechos”</w:t>
      </w:r>
      <w:r w:rsidDel="00000000" w:rsidR="00000000" w:rsidRPr="00000000">
        <w:rPr>
          <w:rtl w:val="0"/>
        </w:rPr>
      </w:r>
    </w:p>
  </w:footnote>
  <w:footnote w:id="4">
    <w:p w:rsidR="00000000" w:rsidDel="00000000" w:rsidP="00000000" w:rsidRDefault="00000000" w:rsidRPr="00000000" w14:paraId="00000144">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El principio de universalidad constituye la piedra angular del Derecho Internacional de los Derechos Humanos. Como ejemplo de éste es preciso acudir a las disposiciones de la Declaración Mundial de Derechos Humanos y el Programa de Acción de Viena de 1993,  aprobados por la Conferencia Mundial de Derechos Humanos. Allí se establece que todos los Estados se encuentran en el deber de proteger los Derechos Humanos y las libertades individuales, lo anterior con independencia a los contextos políticos, económicos, culturales o económicos.</w:t>
      </w:r>
    </w:p>
  </w:footnote>
  <w:footnote w:id="5">
    <w:p w:rsidR="00000000" w:rsidDel="00000000" w:rsidP="00000000" w:rsidRDefault="00000000" w:rsidRPr="00000000" w14:paraId="00000145">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La Oficina del Alto Comisionado para los Derechos Humanos define el criterio de inalienabilidad en el sentido de que “</w:t>
      </w:r>
      <w:r w:rsidDel="00000000" w:rsidR="00000000" w:rsidRPr="00000000">
        <w:rPr>
          <w:rFonts w:ascii="Arial" w:cs="Arial" w:eastAsia="Arial" w:hAnsi="Arial"/>
          <w:i w:val="1"/>
          <w:color w:val="000000"/>
          <w:sz w:val="16"/>
          <w:szCs w:val="16"/>
          <w:rtl w:val="0"/>
        </w:rPr>
        <w:t xml:space="preserve">Los derechos humanos son inalienables. No deben suprimirse, salvo en determinadas situaciones y según las debidas garantías procesales</w:t>
      </w:r>
      <w:r w:rsidDel="00000000" w:rsidR="00000000" w:rsidRPr="00000000">
        <w:rPr>
          <w:rFonts w:ascii="Arial" w:cs="Arial" w:eastAsia="Arial" w:hAnsi="Arial"/>
          <w:color w:val="000000"/>
          <w:sz w:val="16"/>
          <w:szCs w:val="16"/>
          <w:rtl w:val="0"/>
        </w:rPr>
        <w:t xml:space="preserve">.” En: Oficina del Alto Comisionado para los Derechos Humanos. (2014). </w:t>
      </w:r>
      <w:r w:rsidDel="00000000" w:rsidR="00000000" w:rsidRPr="00000000">
        <w:rPr>
          <w:rFonts w:ascii="Arial" w:cs="Arial" w:eastAsia="Arial" w:hAnsi="Arial"/>
          <w:i w:val="1"/>
          <w:color w:val="000000"/>
          <w:sz w:val="16"/>
          <w:szCs w:val="16"/>
          <w:rtl w:val="0"/>
        </w:rPr>
        <w:t xml:space="preserve">Sus Derechos Humanos</w:t>
      </w:r>
      <w:r w:rsidDel="00000000" w:rsidR="00000000" w:rsidRPr="00000000">
        <w:rPr>
          <w:rFonts w:ascii="Arial" w:cs="Arial" w:eastAsia="Arial" w:hAnsi="Arial"/>
          <w:color w:val="000000"/>
          <w:sz w:val="16"/>
          <w:szCs w:val="16"/>
          <w:rtl w:val="0"/>
        </w:rPr>
        <w:t xml:space="preserve">. Recuperado el 7 de octubre de 2014, de Naciones Unidas - Derechos Humanos - Oficina del Alto Comisionado para los Derechos Humanos: http://www.ohchr.org/SP/Issues/Pages/WhatareHumanRights.aspx</w:t>
      </w:r>
    </w:p>
  </w:footnote>
  <w:footnote w:id="6">
    <w:p w:rsidR="00000000" w:rsidDel="00000000" w:rsidP="00000000" w:rsidRDefault="00000000" w:rsidRPr="00000000" w14:paraId="00000146">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En lo referente a la interrelación, interdependencia e indivisibilidad, la Oficina del Alto Comisionado para los Derechos Humanos define dichos criterios en el sentido de que  </w:t>
      </w:r>
      <w:r w:rsidDel="00000000" w:rsidR="00000000" w:rsidRPr="00000000">
        <w:rPr>
          <w:rFonts w:ascii="Arial" w:cs="Arial" w:eastAsia="Arial" w:hAnsi="Arial"/>
          <w:i w:val="1"/>
          <w:color w:val="000000"/>
          <w:sz w:val="16"/>
          <w:szCs w:val="16"/>
          <w:rtl w:val="0"/>
        </w:rPr>
        <w:t xml:space="preserve">“Todos los derechos humanos, sean éstos los derechos civiles y políticos (…); los derechos económicos, sociales y culturales (…); o los derechos colectivos, todos son derechos indivisibles, interrelacionados e interdependientes. El avance de uno facilita el avance de los demás. De la misma manera, la privación de un derecho afecta negativamente a los demás.” </w:t>
      </w:r>
      <w:r w:rsidDel="00000000" w:rsidR="00000000" w:rsidRPr="00000000">
        <w:rPr>
          <w:rFonts w:ascii="Arial" w:cs="Arial" w:eastAsia="Arial" w:hAnsi="Arial"/>
          <w:color w:val="000000"/>
          <w:sz w:val="16"/>
          <w:szCs w:val="16"/>
          <w:rtl w:val="0"/>
        </w:rPr>
        <w:t xml:space="preserve">Al respecto ver la Declaración y Programa de Acción de Viena aprobado por la Conferencia Mundial de Derechos Humanos celebrada en 1993. A/CONF.127/23. Pár. 5; Ver también: Corte Constitucional, Sentencia C-251 de 1997. Magistrado Ponente: Alejandro Martínez Caballero. Pár. 5 </w:t>
      </w:r>
    </w:p>
  </w:footnote>
  <w:footnote w:id="7">
    <w:p w:rsidR="00000000" w:rsidDel="00000000" w:rsidP="00000000" w:rsidRDefault="00000000" w:rsidRPr="00000000" w14:paraId="00000147">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En: ASBJØRN EIDE et al. (Eds.), </w:t>
      </w:r>
      <w:r w:rsidDel="00000000" w:rsidR="00000000" w:rsidRPr="00000000">
        <w:rPr>
          <w:rFonts w:ascii="Arial" w:cs="Arial" w:eastAsia="Arial" w:hAnsi="Arial"/>
          <w:i w:val="1"/>
          <w:color w:val="000000"/>
          <w:sz w:val="16"/>
          <w:szCs w:val="16"/>
          <w:rtl w:val="0"/>
        </w:rPr>
        <w:t xml:space="preserve">Economic, Social and Cultural Rights</w:t>
      </w:r>
      <w:r w:rsidDel="00000000" w:rsidR="00000000" w:rsidRPr="00000000">
        <w:rPr>
          <w:rFonts w:ascii="Arial" w:cs="Arial" w:eastAsia="Arial" w:hAnsi="Arial"/>
          <w:color w:val="000000"/>
          <w:sz w:val="16"/>
          <w:szCs w:val="16"/>
          <w:rtl w:val="0"/>
        </w:rPr>
        <w:t xml:space="preserve">, 2ª Edición, La Haya, Kluwer Law International, 2011. Pág. 9</w:t>
      </w:r>
    </w:p>
  </w:footnote>
  <w:footnote w:id="8">
    <w:p w:rsidR="00000000" w:rsidDel="00000000" w:rsidP="00000000" w:rsidRDefault="00000000" w:rsidRPr="00000000" w14:paraId="00000148">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Dentro de los cuales se encuentran el derecho al medio ambiente, al desarrollo, a la paz, a la autodeterminación de los pueblos y al patrimonio común de la humanidad. Los mismos se encuentran orientados, en cierta forma, a la protección de aquellos intereses que resultan fundamentales para la humanidad como un todo. En:  MARÍA EUGENIA RODRÍGUEZ PALOP, </w:t>
      </w:r>
      <w:r w:rsidDel="00000000" w:rsidR="00000000" w:rsidRPr="00000000">
        <w:rPr>
          <w:rFonts w:ascii="Arial" w:cs="Arial" w:eastAsia="Arial" w:hAnsi="Arial"/>
          <w:i w:val="1"/>
          <w:color w:val="000000"/>
          <w:sz w:val="16"/>
          <w:szCs w:val="16"/>
          <w:rtl w:val="0"/>
        </w:rPr>
        <w:t xml:space="preserve">La nueva generación de Derechos Humanos. Origen y Justificación.</w:t>
      </w:r>
      <w:r w:rsidDel="00000000" w:rsidR="00000000" w:rsidRPr="00000000">
        <w:rPr>
          <w:rFonts w:ascii="Arial" w:cs="Arial" w:eastAsia="Arial" w:hAnsi="Arial"/>
          <w:color w:val="000000"/>
          <w:sz w:val="16"/>
          <w:szCs w:val="16"/>
          <w:rtl w:val="0"/>
        </w:rPr>
        <w:t xml:space="preserve"> Madrid. Instituto de Derechos Humanos “Bartolomé de las Casas” Universidad Carlos III de Madrid. Editorial Dykinson, 2010.</w:t>
      </w:r>
    </w:p>
  </w:footnote>
  <w:footnote w:id="9">
    <w:p w:rsidR="00000000" w:rsidDel="00000000" w:rsidP="00000000" w:rsidRDefault="00000000" w:rsidRPr="00000000" w14:paraId="00000149">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Al respecto, la Corte Constitucional ha establecido que: “</w:t>
      </w:r>
      <w:r w:rsidDel="00000000" w:rsidR="00000000" w:rsidRPr="00000000">
        <w:rPr>
          <w:rFonts w:ascii="Arial" w:cs="Arial" w:eastAsia="Arial" w:hAnsi="Arial"/>
          <w:i w:val="1"/>
          <w:color w:val="000000"/>
          <w:sz w:val="16"/>
          <w:szCs w:val="16"/>
          <w:rtl w:val="0"/>
        </w:rPr>
        <w:t xml:space="preserve">Los derechos humanos forman una unidad, pues son interdependientes, integrales y universales, de suerte que no es admisible que se desconozcan unos derechos so pretexto de salvaguardar otros. Esta interdependencia y unidad de los derechos humanos tiene como fundamento la idea de que para proteger verdaderamente la dignidad humana es necesario que la persona no sólo tenga órbitas de acción que se encuentren libres de interferencia ajena, como lo quería la filosofía liberal, sino que además es menester que el individuo tenga posibilidades de participación en los destinos colectivos de la sociedad de la cual hace parte, conforme a las aspiraciones de la filosofía democrática, y también que se le aseguren una mínimas condiciones materiales de existencia, según los postulados de las filosofías políticas de orientación social. Los derechos humanos son pues una unidad compleja. Por ello algunos sectores de la doctrina suelen clasificar los derechos humanos en derechos de libertad, provenientes de la tradición liberal, derechos de participación, que son desarrollo de la filosofía democrática, y derechos sociales prestacionales, que corresponden a la influencia de las corrientes de orientación social y socialista.</w:t>
      </w:r>
      <w:r w:rsidDel="00000000" w:rsidR="00000000" w:rsidRPr="00000000">
        <w:rPr>
          <w:rFonts w:ascii="Arial" w:cs="Arial" w:eastAsia="Arial" w:hAnsi="Arial"/>
          <w:color w:val="000000"/>
          <w:sz w:val="16"/>
          <w:szCs w:val="16"/>
          <w:rtl w:val="0"/>
        </w:rPr>
        <w:t xml:space="preserve">” Corte Constitucional, Sentencia C-251 de 1997. Magistrado Ponente: Alejandro Martínez Caballero</w:t>
      </w:r>
    </w:p>
  </w:footnote>
  <w:footnote w:id="10">
    <w:p w:rsidR="00000000" w:rsidDel="00000000" w:rsidP="00000000" w:rsidRDefault="00000000" w:rsidRPr="00000000" w14:paraId="0000014A">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Al respecto, la Corte Constitucional ha dispuesto que: “</w:t>
      </w:r>
      <w:r w:rsidDel="00000000" w:rsidR="00000000" w:rsidRPr="00000000">
        <w:rPr>
          <w:rFonts w:ascii="Arial" w:cs="Arial" w:eastAsia="Arial" w:hAnsi="Arial"/>
          <w:i w:val="1"/>
          <w:color w:val="000000"/>
          <w:sz w:val="16"/>
          <w:szCs w:val="16"/>
          <w:rtl w:val="0"/>
        </w:rPr>
        <w:t xml:space="preserve">La Constitución acoge la fórmula del Estado social de derecho, la cual implica que las autoridades buscan no sólo garantizar a la persona esferas libres de interferencia ajena, sino que es su deber también asegurarles condiciones materiales mínimas de existencia, por lo cual el Estado debe realizar progresivamente los llamados derechos económicos, sociales y culturales. El Estado tiene frente a los particulares no sólo deberes de abstención sino que debe igualmente realizar prestaciones positivas, sobre todo en materia social, a fin de asegurar las condiciones materiales mínimas, sin las cuales no es posible vivir una vida digna. Existe entonces una íntima relación entre la consagración del Estado social de derecho, el reconocimiento de la dignidad humana, y la incorporación de los llamados derechos de segunda generación.” </w:t>
      </w:r>
      <w:r w:rsidDel="00000000" w:rsidR="00000000" w:rsidRPr="00000000">
        <w:rPr>
          <w:rFonts w:ascii="Arial" w:cs="Arial" w:eastAsia="Arial" w:hAnsi="Arial"/>
          <w:color w:val="000000"/>
          <w:sz w:val="16"/>
          <w:szCs w:val="16"/>
          <w:rtl w:val="0"/>
        </w:rPr>
        <w:t xml:space="preserve">Corte Constitucional, Sentencia C-251 de 1997. Magistrado Ponente: Alejandro Martínez Caballero</w:t>
      </w:r>
    </w:p>
  </w:footnote>
  <w:footnote w:id="11">
    <w:p w:rsidR="00000000" w:rsidDel="00000000" w:rsidP="00000000" w:rsidRDefault="00000000" w:rsidRPr="00000000" w14:paraId="0000014B">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WENCHE BARTH EIDE y UWE KRACHT. </w:t>
      </w:r>
      <w:r w:rsidDel="00000000" w:rsidR="00000000" w:rsidRPr="00000000">
        <w:rPr>
          <w:rFonts w:ascii="Arial" w:cs="Arial" w:eastAsia="Arial" w:hAnsi="Arial"/>
          <w:i w:val="1"/>
          <w:color w:val="000000"/>
          <w:sz w:val="16"/>
          <w:szCs w:val="16"/>
          <w:rtl w:val="0"/>
        </w:rPr>
        <w:t xml:space="preserve">Chapter 4: The Right to adequate food in Human Rights Instruments; Legal Norms and Interpretations</w:t>
      </w:r>
      <w:r w:rsidDel="00000000" w:rsidR="00000000" w:rsidRPr="00000000">
        <w:rPr>
          <w:rFonts w:ascii="Arial" w:cs="Arial" w:eastAsia="Arial" w:hAnsi="Arial"/>
          <w:color w:val="000000"/>
          <w:sz w:val="16"/>
          <w:szCs w:val="16"/>
          <w:rtl w:val="0"/>
        </w:rPr>
        <w:t xml:space="preserve">.  En: WENCHE BARTH EIDE y UWE KRACHT, </w:t>
      </w:r>
      <w:r w:rsidDel="00000000" w:rsidR="00000000" w:rsidRPr="00000000">
        <w:rPr>
          <w:rFonts w:ascii="Arial" w:cs="Arial" w:eastAsia="Arial" w:hAnsi="Arial"/>
          <w:i w:val="1"/>
          <w:color w:val="000000"/>
          <w:sz w:val="16"/>
          <w:szCs w:val="16"/>
          <w:rtl w:val="0"/>
        </w:rPr>
        <w:t xml:space="preserve">Food and Human Rights in Development Volume I, Legal and Institutional Dimensions and Selected Topics., </w:t>
      </w:r>
      <w:r w:rsidDel="00000000" w:rsidR="00000000" w:rsidRPr="00000000">
        <w:rPr>
          <w:rFonts w:ascii="Arial" w:cs="Arial" w:eastAsia="Arial" w:hAnsi="Arial"/>
          <w:color w:val="000000"/>
          <w:sz w:val="16"/>
          <w:szCs w:val="16"/>
          <w:rtl w:val="0"/>
        </w:rPr>
        <w:t xml:space="preserve">Editorial Intersentia, Amberes/Oxford, 2005. Pág. 100</w:t>
      </w:r>
    </w:p>
  </w:footnote>
  <w:footnote w:id="12">
    <w:p w:rsidR="00000000" w:rsidDel="00000000" w:rsidP="00000000" w:rsidRDefault="00000000" w:rsidRPr="00000000" w14:paraId="0000014C">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En lo referente a la obligación de respeto, </w:t>
      </w:r>
      <w:r w:rsidDel="00000000" w:rsidR="00000000" w:rsidRPr="00000000">
        <w:rPr>
          <w:rFonts w:ascii="Arial" w:cs="Arial" w:eastAsia="Arial" w:hAnsi="Arial"/>
          <w:i w:val="1"/>
          <w:color w:val="000000"/>
          <w:sz w:val="16"/>
          <w:szCs w:val="16"/>
          <w:rtl w:val="0"/>
        </w:rPr>
        <w:t xml:space="preserve">“(…) significa que los Estados deben abstenerse de interferir en el disfrute de los derechos humanos, o de limitarlos”</w:t>
      </w:r>
      <w:r w:rsidDel="00000000" w:rsidR="00000000" w:rsidRPr="00000000">
        <w:rPr>
          <w:rFonts w:ascii="Arial" w:cs="Arial" w:eastAsia="Arial" w:hAnsi="Arial"/>
          <w:color w:val="000000"/>
          <w:sz w:val="16"/>
          <w:szCs w:val="16"/>
          <w:rtl w:val="0"/>
        </w:rPr>
        <w:t xml:space="preserve">. En: La Oficina del Alto Comisionado para los Derechos Humanos define el criterio de inalienabilidad en el sentido de que “</w:t>
      </w:r>
      <w:r w:rsidDel="00000000" w:rsidR="00000000" w:rsidRPr="00000000">
        <w:rPr>
          <w:rFonts w:ascii="Arial" w:cs="Arial" w:eastAsia="Arial" w:hAnsi="Arial"/>
          <w:i w:val="1"/>
          <w:color w:val="000000"/>
          <w:sz w:val="16"/>
          <w:szCs w:val="16"/>
          <w:rtl w:val="0"/>
        </w:rPr>
        <w:t xml:space="preserve">Los derechos humanos son inalienables. No deben suprimirse, salvo en determinadas situaciones y según las debidas garantías procesales</w:t>
      </w:r>
      <w:r w:rsidDel="00000000" w:rsidR="00000000" w:rsidRPr="00000000">
        <w:rPr>
          <w:rFonts w:ascii="Arial" w:cs="Arial" w:eastAsia="Arial" w:hAnsi="Arial"/>
          <w:color w:val="000000"/>
          <w:sz w:val="16"/>
          <w:szCs w:val="16"/>
          <w:rtl w:val="0"/>
        </w:rPr>
        <w:t xml:space="preserve">.” En: Oficina del Alto Comisionado para los Derechos Humanos. (2014). </w:t>
      </w:r>
      <w:r w:rsidDel="00000000" w:rsidR="00000000" w:rsidRPr="00000000">
        <w:rPr>
          <w:rFonts w:ascii="Arial" w:cs="Arial" w:eastAsia="Arial" w:hAnsi="Arial"/>
          <w:i w:val="1"/>
          <w:color w:val="000000"/>
          <w:sz w:val="16"/>
          <w:szCs w:val="16"/>
          <w:rtl w:val="0"/>
        </w:rPr>
        <w:t xml:space="preserve">Sus Derechos Humanos</w:t>
      </w:r>
      <w:r w:rsidDel="00000000" w:rsidR="00000000" w:rsidRPr="00000000">
        <w:rPr>
          <w:rFonts w:ascii="Arial" w:cs="Arial" w:eastAsia="Arial" w:hAnsi="Arial"/>
          <w:color w:val="000000"/>
          <w:sz w:val="16"/>
          <w:szCs w:val="16"/>
          <w:rtl w:val="0"/>
        </w:rPr>
        <w:t xml:space="preserve">. Recuperado el 7 de octubre de 2014, de Naciones Unidas - Derechos Humanos - Oficina del Alto Comisionado para los Derechos Humanos: http://www.ohchr.org/SP/Issues/Pages/WhatareHumanRights.aspx. En el mismo sentido, ver: Artículo 1 y 2 del Pacto Internacional de Derechos Civiles y Políticos de 1966; Artículos 1 y 2 del Pacto Internacional de Derechos Económicos, Sociales y Culturales de 1966; Artículos 1.1 y 2 de la Convención Americana de Derechos Humanos; y Artículos 1 y 2 del Protocolo Adicional a la Convención Americana de Derechos Humanos en Materia de Derechos Económicos, Sociales y Culturales de 1988.</w:t>
      </w:r>
    </w:p>
  </w:footnote>
  <w:footnote w:id="13">
    <w:p w:rsidR="00000000" w:rsidDel="00000000" w:rsidP="00000000" w:rsidRDefault="00000000" w:rsidRPr="00000000" w14:paraId="0000014D">
      <w:pPr>
        <w:pBdr>
          <w:top w:space="0" w:sz="0" w:val="nil"/>
          <w:left w:space="0" w:sz="0" w:val="nil"/>
          <w:bottom w:space="0" w:sz="0" w:val="nil"/>
          <w:right w:space="0" w:sz="0" w:val="nil"/>
          <w:between w:space="0" w:sz="0" w:val="nil"/>
        </w:pBdr>
        <w:jc w:val="both"/>
        <w:rPr>
          <w:rFonts w:ascii="Arial" w:cs="Arial" w:eastAsia="Arial" w:hAnsi="Arial"/>
          <w:i w:val="1"/>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En lo referente a la obligación de protección, ésta exige que </w:t>
      </w:r>
      <w:r w:rsidDel="00000000" w:rsidR="00000000" w:rsidRPr="00000000">
        <w:rPr>
          <w:rFonts w:ascii="Arial" w:cs="Arial" w:eastAsia="Arial" w:hAnsi="Arial"/>
          <w:i w:val="1"/>
          <w:color w:val="000000"/>
          <w:sz w:val="16"/>
          <w:szCs w:val="16"/>
          <w:rtl w:val="0"/>
        </w:rPr>
        <w:t xml:space="preserve">“(…) los Estados impidan los abusos de los derechos humanos contra individuos y grupos”. En: </w:t>
      </w:r>
      <w:r w:rsidDel="00000000" w:rsidR="00000000" w:rsidRPr="00000000">
        <w:rPr>
          <w:rFonts w:ascii="Arial" w:cs="Arial" w:eastAsia="Arial" w:hAnsi="Arial"/>
          <w:color w:val="000000"/>
          <w:sz w:val="16"/>
          <w:szCs w:val="16"/>
          <w:rtl w:val="0"/>
        </w:rPr>
        <w:t xml:space="preserve">Oficina del Alto Comisionado para los Derechos Humanos. (2014). </w:t>
      </w:r>
      <w:r w:rsidDel="00000000" w:rsidR="00000000" w:rsidRPr="00000000">
        <w:rPr>
          <w:rFonts w:ascii="Arial" w:cs="Arial" w:eastAsia="Arial" w:hAnsi="Arial"/>
          <w:i w:val="1"/>
          <w:color w:val="000000"/>
          <w:sz w:val="16"/>
          <w:szCs w:val="16"/>
          <w:rtl w:val="0"/>
        </w:rPr>
        <w:t xml:space="preserve">Sus Derechos Humanos</w:t>
      </w:r>
      <w:r w:rsidDel="00000000" w:rsidR="00000000" w:rsidRPr="00000000">
        <w:rPr>
          <w:rFonts w:ascii="Arial" w:cs="Arial" w:eastAsia="Arial" w:hAnsi="Arial"/>
          <w:color w:val="000000"/>
          <w:sz w:val="16"/>
          <w:szCs w:val="16"/>
          <w:rtl w:val="0"/>
        </w:rPr>
        <w:t xml:space="preserve">. Recuperado el 7 de octubre de 2014, de Naciones Unidas - Derechos Humanos - Oficina del Alto Comisionado para los Derechos Humanos: http://www.ohchr.org/SP/Issues/Pages/WhatareHumanRights.aspx</w:t>
      </w:r>
      <w:r w:rsidDel="00000000" w:rsidR="00000000" w:rsidRPr="00000000">
        <w:rPr>
          <w:rFonts w:ascii="Arial" w:cs="Arial" w:eastAsia="Arial" w:hAnsi="Arial"/>
          <w:i w:val="1"/>
          <w:color w:val="000000"/>
          <w:sz w:val="16"/>
          <w:szCs w:val="16"/>
          <w:rtl w:val="0"/>
        </w:rPr>
        <w:t xml:space="preserve">. </w:t>
      </w:r>
      <w:r w:rsidDel="00000000" w:rsidR="00000000" w:rsidRPr="00000000">
        <w:rPr>
          <w:rFonts w:ascii="Arial" w:cs="Arial" w:eastAsia="Arial" w:hAnsi="Arial"/>
          <w:color w:val="000000"/>
          <w:sz w:val="16"/>
          <w:szCs w:val="16"/>
          <w:rtl w:val="0"/>
        </w:rPr>
        <w:t xml:space="preserve">En el mismo sentido, ver: Artículo 1 y 2 del Pacto Internacional de Derechos Civiles y Políticos de 1966; Artículos 1 y 2 del Pacto Internacional de Derechos Económicos, Sociales y Culturales de 1966; Artículos 1.1 y 2 de la Convención Americana de Derechos Humanos; y Artículos 1 y 2 del Protocolo Adicional a la Convención Americana de Derechos Humanos en Materia de Derechos Económicos, Sociales y Culturales de 1988.</w:t>
      </w:r>
      <w:r w:rsidDel="00000000" w:rsidR="00000000" w:rsidRPr="00000000">
        <w:rPr>
          <w:rtl w:val="0"/>
        </w:rPr>
      </w:r>
    </w:p>
  </w:footnote>
  <w:footnote w:id="14">
    <w:p w:rsidR="00000000" w:rsidDel="00000000" w:rsidP="00000000" w:rsidRDefault="00000000" w:rsidRPr="00000000" w14:paraId="0000014E">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En lo referente a la obligación de realización, ésta se refiera al deber de  “</w:t>
      </w:r>
      <w:r w:rsidDel="00000000" w:rsidR="00000000" w:rsidRPr="00000000">
        <w:rPr>
          <w:rFonts w:ascii="Arial" w:cs="Arial" w:eastAsia="Arial" w:hAnsi="Arial"/>
          <w:i w:val="1"/>
          <w:color w:val="000000"/>
          <w:sz w:val="16"/>
          <w:szCs w:val="16"/>
          <w:rtl w:val="0"/>
        </w:rPr>
        <w:t xml:space="preserve">adoptar medidas positivas para facilitar el disfrute de los derechos humanos básicos.</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i w:val="1"/>
          <w:color w:val="000000"/>
          <w:sz w:val="16"/>
          <w:szCs w:val="16"/>
          <w:rtl w:val="0"/>
        </w:rPr>
        <w:t xml:space="preserve">En: </w:t>
      </w:r>
      <w:r w:rsidDel="00000000" w:rsidR="00000000" w:rsidRPr="00000000">
        <w:rPr>
          <w:rFonts w:ascii="Arial" w:cs="Arial" w:eastAsia="Arial" w:hAnsi="Arial"/>
          <w:color w:val="000000"/>
          <w:sz w:val="16"/>
          <w:szCs w:val="16"/>
          <w:rtl w:val="0"/>
        </w:rPr>
        <w:t xml:space="preserve">Oficina del Alto Comisionado para los Derechos Humanos. (2014). </w:t>
      </w:r>
      <w:r w:rsidDel="00000000" w:rsidR="00000000" w:rsidRPr="00000000">
        <w:rPr>
          <w:rFonts w:ascii="Arial" w:cs="Arial" w:eastAsia="Arial" w:hAnsi="Arial"/>
          <w:i w:val="1"/>
          <w:color w:val="000000"/>
          <w:sz w:val="16"/>
          <w:szCs w:val="16"/>
          <w:rtl w:val="0"/>
        </w:rPr>
        <w:t xml:space="preserve">Sus Derechos Humanos</w:t>
      </w:r>
      <w:r w:rsidDel="00000000" w:rsidR="00000000" w:rsidRPr="00000000">
        <w:rPr>
          <w:rFonts w:ascii="Arial" w:cs="Arial" w:eastAsia="Arial" w:hAnsi="Arial"/>
          <w:color w:val="000000"/>
          <w:sz w:val="16"/>
          <w:szCs w:val="16"/>
          <w:rtl w:val="0"/>
        </w:rPr>
        <w:t xml:space="preserve">. Recuperado el 7 de octubre de 2014, de Naciones Unidas - Derechos Humanos - Oficina del Alto Comisionado para los Derechos Humanos: http://www.ohchr.org/SP/Issues/Pages/WhatareHumanRights.aspx</w:t>
      </w:r>
      <w:r w:rsidDel="00000000" w:rsidR="00000000" w:rsidRPr="00000000">
        <w:rPr>
          <w:rFonts w:ascii="Arial" w:cs="Arial" w:eastAsia="Arial" w:hAnsi="Arial"/>
          <w:i w:val="1"/>
          <w:color w:val="000000"/>
          <w:sz w:val="16"/>
          <w:szCs w:val="16"/>
          <w:rtl w:val="0"/>
        </w:rPr>
        <w:t xml:space="preserve">. </w:t>
      </w:r>
      <w:r w:rsidDel="00000000" w:rsidR="00000000" w:rsidRPr="00000000">
        <w:rPr>
          <w:rFonts w:ascii="Arial" w:cs="Arial" w:eastAsia="Arial" w:hAnsi="Arial"/>
          <w:color w:val="000000"/>
          <w:sz w:val="16"/>
          <w:szCs w:val="16"/>
          <w:rtl w:val="0"/>
        </w:rPr>
        <w:t xml:space="preserve">En el mismo sentido, ver: Artículo 1 y 2 del Pacto Internacional de Derechos Civiles y Políticos de 1966; Artículos 1 y 2 del Pacto Internacional de Derechos Económicos, Sociales y Culturales de 1966; Artículos 1.1 y 2 de la Convención Americana de Derechos Humanos; y Artículos 1 y 2 del Protocolo Adicional a la Convención Americana de Derechos Humanos en Materia de Derechos Económicos, Sociales y Culturales de 1988.</w:t>
      </w:r>
    </w:p>
  </w:footnote>
  <w:footnote w:id="15">
    <w:p w:rsidR="00000000" w:rsidDel="00000000" w:rsidP="00000000" w:rsidRDefault="00000000" w:rsidRPr="00000000" w14:paraId="0000014F">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Al respecto ver: Artículo 2 del Pacto Internacional de Derechos Civiles y Políticos de 1966; Artículo 2 del Pacto Internacional de Derechos Económicos, Sociales y Culturales; Artículo 1.1 y 2 de la Convención Americana de Derechos Humanos; Artículos 1 y 2 del Protocolo Adicional a la Convención Americana de Derechos Humanos en Materia de Derechos Económicos, Sociales y Culturales de 1988.</w:t>
      </w:r>
    </w:p>
  </w:footnote>
  <w:footnote w:id="16">
    <w:p w:rsidR="00000000" w:rsidDel="00000000" w:rsidP="00000000" w:rsidRDefault="00000000" w:rsidRPr="00000000" w14:paraId="00000150">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i w:val="1"/>
          <w:color w:val="000000"/>
          <w:sz w:val="16"/>
          <w:szCs w:val="16"/>
          <w:rtl w:val="0"/>
        </w:rPr>
        <w:t xml:space="preserve">“Toda persona tiene derecho a un nivel de vida adecuado que le asegure, así como a su familia, la salud y el bienestar, </w:t>
      </w:r>
      <w:r w:rsidDel="00000000" w:rsidR="00000000" w:rsidRPr="00000000">
        <w:rPr>
          <w:rFonts w:ascii="Arial" w:cs="Arial" w:eastAsia="Arial" w:hAnsi="Arial"/>
          <w:b w:val="1"/>
          <w:i w:val="1"/>
          <w:color w:val="000000"/>
          <w:sz w:val="16"/>
          <w:szCs w:val="16"/>
          <w:rtl w:val="0"/>
        </w:rPr>
        <w:t xml:space="preserve">y en especial la alimentación</w:t>
      </w:r>
      <w:r w:rsidDel="00000000" w:rsidR="00000000" w:rsidRPr="00000000">
        <w:rPr>
          <w:rFonts w:ascii="Arial" w:cs="Arial" w:eastAsia="Arial" w:hAnsi="Arial"/>
          <w:i w:val="1"/>
          <w:color w:val="000000"/>
          <w:sz w:val="16"/>
          <w:szCs w:val="16"/>
          <w:rtl w:val="0"/>
        </w:rPr>
        <w:t xml:space="preserve">, el vestido, la vivienda, la asistencia médica y los servicios sociales necesarios; tiene asimismo derecho a los seguros en caso de desempleo, enfermedad, invalidez, viudez, vejez u otros casos de pérdida de sus medios de subsistencia por circunstancias independientes de su voluntad.” </w:t>
      </w:r>
      <w:r w:rsidDel="00000000" w:rsidR="00000000" w:rsidRPr="00000000">
        <w:rPr>
          <w:rFonts w:ascii="Arial" w:cs="Arial" w:eastAsia="Arial" w:hAnsi="Arial"/>
          <w:color w:val="000000"/>
          <w:sz w:val="16"/>
          <w:szCs w:val="16"/>
          <w:rtl w:val="0"/>
        </w:rPr>
        <w:t xml:space="preserve">(Se resalta) </w:t>
      </w:r>
    </w:p>
  </w:footnote>
  <w:footnote w:id="17">
    <w:p w:rsidR="00000000" w:rsidDel="00000000" w:rsidP="00000000" w:rsidRDefault="00000000" w:rsidRPr="00000000" w14:paraId="00000151">
      <w:pPr>
        <w:pBdr>
          <w:top w:space="0" w:sz="0" w:val="nil"/>
          <w:left w:space="0" w:sz="0" w:val="nil"/>
          <w:bottom w:space="0" w:sz="0" w:val="nil"/>
          <w:right w:space="0" w:sz="0" w:val="nil"/>
          <w:between w:space="0" w:sz="0" w:val="nil"/>
        </w:pBdr>
        <w:jc w:val="both"/>
        <w:rPr>
          <w:rFonts w:ascii="Arial" w:cs="Arial" w:eastAsia="Arial" w:hAnsi="Arial"/>
          <w:i w:val="1"/>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i w:val="1"/>
          <w:color w:val="000000"/>
          <w:sz w:val="16"/>
          <w:szCs w:val="16"/>
          <w:rtl w:val="0"/>
        </w:rPr>
        <w:t xml:space="preserve">“1. Los Estados Partes en el presente Pacto reconocen el derecho de toda persona a un nivel de vida adecuado para sí y su familia, incluso </w:t>
      </w:r>
      <w:r w:rsidDel="00000000" w:rsidR="00000000" w:rsidRPr="00000000">
        <w:rPr>
          <w:rFonts w:ascii="Arial" w:cs="Arial" w:eastAsia="Arial" w:hAnsi="Arial"/>
          <w:b w:val="1"/>
          <w:i w:val="1"/>
          <w:color w:val="000000"/>
          <w:sz w:val="16"/>
          <w:szCs w:val="16"/>
          <w:rtl w:val="0"/>
        </w:rPr>
        <w:t xml:space="preserve">alimentación</w:t>
      </w:r>
      <w:r w:rsidDel="00000000" w:rsidR="00000000" w:rsidRPr="00000000">
        <w:rPr>
          <w:rFonts w:ascii="Arial" w:cs="Arial" w:eastAsia="Arial" w:hAnsi="Arial"/>
          <w:i w:val="1"/>
          <w:color w:val="000000"/>
          <w:sz w:val="16"/>
          <w:szCs w:val="16"/>
          <w:rtl w:val="0"/>
        </w:rPr>
        <w:t xml:space="preserve">, vestido y vivienda </w:t>
      </w:r>
      <w:r w:rsidDel="00000000" w:rsidR="00000000" w:rsidRPr="00000000">
        <w:rPr>
          <w:rFonts w:ascii="Arial" w:cs="Arial" w:eastAsia="Arial" w:hAnsi="Arial"/>
          <w:b w:val="1"/>
          <w:i w:val="1"/>
          <w:color w:val="000000"/>
          <w:sz w:val="16"/>
          <w:szCs w:val="16"/>
          <w:rtl w:val="0"/>
        </w:rPr>
        <w:t xml:space="preserve">adecuados</w:t>
      </w:r>
      <w:r w:rsidDel="00000000" w:rsidR="00000000" w:rsidRPr="00000000">
        <w:rPr>
          <w:rFonts w:ascii="Arial" w:cs="Arial" w:eastAsia="Arial" w:hAnsi="Arial"/>
          <w:i w:val="1"/>
          <w:color w:val="000000"/>
          <w:sz w:val="16"/>
          <w:szCs w:val="16"/>
          <w:rtl w:val="0"/>
        </w:rPr>
        <w:t xml:space="preserve">, y a una mejora continua de las condiciones de existencia. Los Estados Partes tomarán medidas apropiadas para asegurar la efectividad de este derecho, reconociendo a este efecto la importancia esencial de la cooperación internacional fundada en el libre consentimiento. (…) 2. Los Estados Partes en el presente Pacto, reconociendo el derecho fundamental de toda persona a estar protegida contra el hambre, adoptarán, individualmente y mediante la cooperación internacional, las medidas, incluidos programas concretos, que se necesiten para: (…) a) Mejorar los métodos de producción, conservación y distribución de alimentos mediante la plena utilización de los conocimientos técnicos y científicos, la divulgación de principios sobre nutrición y el perfeccionamiento o la reforma de los regímenes agrarios, de modo que se logre la explotación y la utilización más eficaces de las riquezas naturales; (…) b) Asegurar una distribución equitativa de los alimentos mundiales en relación con las necesidades, teniendo en cuenta los problemas que se plantean tanto a los países que importan productos alimenticios como a los que los exportan.” </w:t>
      </w:r>
      <w:r w:rsidDel="00000000" w:rsidR="00000000" w:rsidRPr="00000000">
        <w:rPr>
          <w:rFonts w:ascii="Arial" w:cs="Arial" w:eastAsia="Arial" w:hAnsi="Arial"/>
          <w:color w:val="000000"/>
          <w:sz w:val="16"/>
          <w:szCs w:val="16"/>
          <w:rtl w:val="0"/>
        </w:rPr>
        <w:t xml:space="preserve">(Se resalta)</w:t>
      </w:r>
      <w:r w:rsidDel="00000000" w:rsidR="00000000" w:rsidRPr="00000000">
        <w:rPr>
          <w:rtl w:val="0"/>
        </w:rPr>
      </w:r>
    </w:p>
  </w:footnote>
  <w:footnote w:id="18">
    <w:p w:rsidR="00000000" w:rsidDel="00000000" w:rsidP="00000000" w:rsidRDefault="00000000" w:rsidRPr="00000000" w14:paraId="00000152">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Respecto a la Observación General, es preciso resaltar que la misma se constituye como una interpretación experta y autorizada respecto del contenido de los instrumentos de Derecho Internacional que contienen disposiciones relativas a los Derechos Humanos. La misma fue emitida por el órgano de supervisión del Tratado en cuestión, cuya competencia se irroga gracias a las disposiciones contenidas en el mismo. En: WENCHE BARTH EIDE y UWE KRACHT, </w:t>
      </w:r>
      <w:r w:rsidDel="00000000" w:rsidR="00000000" w:rsidRPr="00000000">
        <w:rPr>
          <w:rFonts w:ascii="Arial" w:cs="Arial" w:eastAsia="Arial" w:hAnsi="Arial"/>
          <w:i w:val="1"/>
          <w:color w:val="000000"/>
          <w:sz w:val="16"/>
          <w:szCs w:val="16"/>
          <w:rtl w:val="0"/>
        </w:rPr>
        <w:t xml:space="preserve">Food and Human Rights in Development Volume I, Legal and Institutional Dimensions and Selected Topics., </w:t>
      </w:r>
      <w:r w:rsidDel="00000000" w:rsidR="00000000" w:rsidRPr="00000000">
        <w:rPr>
          <w:rFonts w:ascii="Arial" w:cs="Arial" w:eastAsia="Arial" w:hAnsi="Arial"/>
          <w:color w:val="000000"/>
          <w:sz w:val="16"/>
          <w:szCs w:val="16"/>
          <w:rtl w:val="0"/>
        </w:rPr>
        <w:t xml:space="preserve">Editorial Intersentia, Amberes/Oxford, 2005. Pág. 105. Así mismo, la Corte Constitucional en Sentencia C-251 de 1997 reconoce a dichas observaciones, en conjunción con otros informes oficiales provenientes del Relator de esta clase de derechos, la característica de ser “la doctrina internacional más autorizada en materia de Derechos Económicos, Sociales y Culturales”, como lo es en el presente caso el Derecho a la Alimentación adecuada.</w:t>
      </w:r>
    </w:p>
  </w:footnote>
  <w:footnote w:id="19">
    <w:p w:rsidR="00000000" w:rsidDel="00000000" w:rsidP="00000000" w:rsidRDefault="00000000" w:rsidRPr="00000000" w14:paraId="00000153">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i w:val="1"/>
          <w:color w:val="000000"/>
          <w:sz w:val="16"/>
          <w:szCs w:val="16"/>
          <w:rtl w:val="0"/>
        </w:rPr>
        <w:t xml:space="preserve">1. Los Estados Partes reconocen el derecho del niño al disfrute del más alto nivel posible de salud y a servicios para el tratamiento de las enfermedades y la rehabilitación de la salud. Los Estados Partes se esforzarán por asegurar que ningún niño sea privado de su derecho al disfrute de esos servicios sanitarios. (…) 2. Los Estados Partes asegurarán la plena aplicación de este derecho y, en particular, adoptarán las medidas apropiadas para: a) Reducir la mortalidad infantil y en la niñez;</w:t>
      </w:r>
      <w:r w:rsidDel="00000000" w:rsidR="00000000" w:rsidRPr="00000000">
        <w:rPr>
          <w:rFonts w:ascii="MS Gothic" w:cs="MS Gothic" w:eastAsia="MS Gothic" w:hAnsi="MS Gothic"/>
          <w:i w:val="1"/>
          <w:color w:val="000000"/>
          <w:sz w:val="16"/>
          <w:szCs w:val="16"/>
          <w:rtl w:val="0"/>
        </w:rPr>
        <w:t xml:space="preserve"> </w:t>
      </w:r>
      <w:r w:rsidDel="00000000" w:rsidR="00000000" w:rsidRPr="00000000">
        <w:rPr>
          <w:rFonts w:ascii="Arial" w:cs="Arial" w:eastAsia="Arial" w:hAnsi="Arial"/>
          <w:i w:val="1"/>
          <w:color w:val="000000"/>
          <w:sz w:val="16"/>
          <w:szCs w:val="16"/>
          <w:rtl w:val="0"/>
        </w:rPr>
        <w:t xml:space="preserve">b) Asegurar la prestación de la asistencia médica y la atención sanitaria que sean necesarias a todos los niños, haciendo hincapié en el desarrollo de la atención primaria de la salud;</w:t>
      </w:r>
      <w:r w:rsidDel="00000000" w:rsidR="00000000" w:rsidRPr="00000000">
        <w:rPr>
          <w:rFonts w:ascii="MS Gothic" w:cs="MS Gothic" w:eastAsia="MS Gothic" w:hAnsi="MS Gothic"/>
          <w:i w:val="1"/>
          <w:color w:val="000000"/>
          <w:sz w:val="16"/>
          <w:szCs w:val="16"/>
          <w:rtl w:val="0"/>
        </w:rPr>
        <w:t xml:space="preserve"> </w:t>
      </w:r>
      <w:r w:rsidDel="00000000" w:rsidR="00000000" w:rsidRPr="00000000">
        <w:rPr>
          <w:rFonts w:ascii="Arial" w:cs="Arial" w:eastAsia="Arial" w:hAnsi="Arial"/>
          <w:i w:val="1"/>
          <w:color w:val="000000"/>
          <w:sz w:val="16"/>
          <w:szCs w:val="16"/>
          <w:rtl w:val="0"/>
        </w:rPr>
        <w:t xml:space="preserve">c) Combatir las enfermedades y la mal nutrición en el marco de la atención primaria de la salud mediante, entre otras cosas, la aplicación de la tecnología disponible y el suministro de alimentos nutritivos adecuados y agua potable salubre, teniendo en cuenta los peligros y riesgos de contaminación del medio ambiente;</w:t>
      </w:r>
      <w:r w:rsidDel="00000000" w:rsidR="00000000" w:rsidRPr="00000000">
        <w:rPr>
          <w:rFonts w:ascii="MS Gothic" w:cs="MS Gothic" w:eastAsia="MS Gothic" w:hAnsi="MS Gothic"/>
          <w:i w:val="1"/>
          <w:color w:val="000000"/>
          <w:sz w:val="16"/>
          <w:szCs w:val="16"/>
          <w:rtl w:val="0"/>
        </w:rPr>
        <w:t xml:space="preserve"> </w:t>
      </w:r>
      <w:r w:rsidDel="00000000" w:rsidR="00000000" w:rsidRPr="00000000">
        <w:rPr>
          <w:rFonts w:ascii="Arial" w:cs="Arial" w:eastAsia="Arial" w:hAnsi="Arial"/>
          <w:i w:val="1"/>
          <w:color w:val="000000"/>
          <w:sz w:val="16"/>
          <w:szCs w:val="16"/>
          <w:rtl w:val="0"/>
        </w:rPr>
        <w:t xml:space="preserve">d) Asegurar atención sanitaria prenatal y postnatal apropiada a las madres;</w:t>
      </w:r>
      <w:r w:rsidDel="00000000" w:rsidR="00000000" w:rsidRPr="00000000">
        <w:rPr>
          <w:rFonts w:ascii="MS Gothic" w:cs="MS Gothic" w:eastAsia="MS Gothic" w:hAnsi="MS Gothic"/>
          <w:i w:val="1"/>
          <w:color w:val="000000"/>
          <w:sz w:val="16"/>
          <w:szCs w:val="16"/>
          <w:rtl w:val="0"/>
        </w:rPr>
        <w:t xml:space="preserve"> </w:t>
      </w:r>
      <w:r w:rsidDel="00000000" w:rsidR="00000000" w:rsidRPr="00000000">
        <w:rPr>
          <w:rFonts w:ascii="Arial" w:cs="Arial" w:eastAsia="Arial" w:hAnsi="Arial"/>
          <w:i w:val="1"/>
          <w:color w:val="000000"/>
          <w:sz w:val="16"/>
          <w:szCs w:val="16"/>
          <w:rtl w:val="0"/>
        </w:rPr>
        <w:t xml:space="preserve">e) Asegurar que todos los sectores de la sociedad, y en particular los padres y los niños, conozcan los principios básicos de la salud y la nutrición de los niños, las ventajas de la lactancia materna, la higiene y el saneamiento ambiental y las medidas de prevención de accidentes, tengan acceso a la educación pertinente y reciban apoyo en la aplicación de esos conocimientos;</w:t>
      </w:r>
      <w:r w:rsidDel="00000000" w:rsidR="00000000" w:rsidRPr="00000000">
        <w:rPr>
          <w:rFonts w:ascii="MS Gothic" w:cs="MS Gothic" w:eastAsia="MS Gothic" w:hAnsi="MS Gothic"/>
          <w:i w:val="1"/>
          <w:color w:val="000000"/>
          <w:sz w:val="16"/>
          <w:szCs w:val="16"/>
          <w:rtl w:val="0"/>
        </w:rPr>
        <w:t xml:space="preserve"> </w:t>
      </w:r>
      <w:r w:rsidDel="00000000" w:rsidR="00000000" w:rsidRPr="00000000">
        <w:rPr>
          <w:rFonts w:ascii="Arial" w:cs="Arial" w:eastAsia="Arial" w:hAnsi="Arial"/>
          <w:i w:val="1"/>
          <w:color w:val="000000"/>
          <w:sz w:val="16"/>
          <w:szCs w:val="16"/>
          <w:rtl w:val="0"/>
        </w:rPr>
        <w:t xml:space="preserve">f) Desarrollar la atención sanitaria preventiva, la orientación a los padres y la educación y servicios en materia de planificación de la familia.”</w:t>
      </w:r>
      <w:r w:rsidDel="00000000" w:rsidR="00000000" w:rsidRPr="00000000">
        <w:rPr>
          <w:rtl w:val="0"/>
        </w:rPr>
      </w:r>
    </w:p>
  </w:footnote>
  <w:footnote w:id="20">
    <w:p w:rsidR="00000000" w:rsidDel="00000000" w:rsidP="00000000" w:rsidRDefault="00000000" w:rsidRPr="00000000" w14:paraId="00000154">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i w:val="1"/>
          <w:color w:val="000000"/>
          <w:sz w:val="16"/>
          <w:szCs w:val="16"/>
          <w:rtl w:val="0"/>
        </w:rPr>
        <w:t xml:space="preserve">“2. Sin perjuicio de lo dispuesto en el párrafo 1 supra, los Estados Partes garantizarán a la mujer servicios apropiados en relación con el embarazo, el parto y el período posterior al parto, proporcionando servicios gratuitos cuando fuere necesario y le asegurarán una nutrición adecuada durante el embarazo y la lactancia.”</w:t>
      </w:r>
      <w:r w:rsidDel="00000000" w:rsidR="00000000" w:rsidRPr="00000000">
        <w:rPr>
          <w:rtl w:val="0"/>
        </w:rPr>
      </w:r>
    </w:p>
  </w:footnote>
  <w:footnote w:id="21">
    <w:p w:rsidR="00000000" w:rsidDel="00000000" w:rsidP="00000000" w:rsidRDefault="00000000" w:rsidRPr="00000000" w14:paraId="00000155">
      <w:pPr>
        <w:pBdr>
          <w:top w:space="0" w:sz="0" w:val="nil"/>
          <w:left w:space="0" w:sz="0" w:val="nil"/>
          <w:bottom w:space="0" w:sz="0" w:val="nil"/>
          <w:right w:space="0" w:sz="0" w:val="nil"/>
          <w:between w:space="0" w:sz="0" w:val="nil"/>
        </w:pBdr>
        <w:jc w:val="both"/>
        <w:rPr>
          <w:rFonts w:ascii="Arial" w:cs="Arial" w:eastAsia="Arial" w:hAnsi="Arial"/>
          <w:i w:val="1"/>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25. f </w:t>
      </w:r>
      <w:r w:rsidDel="00000000" w:rsidR="00000000" w:rsidRPr="00000000">
        <w:rPr>
          <w:rFonts w:ascii="Arial" w:cs="Arial" w:eastAsia="Arial" w:hAnsi="Arial"/>
          <w:i w:val="1"/>
          <w:color w:val="000000"/>
          <w:sz w:val="16"/>
          <w:szCs w:val="16"/>
          <w:rtl w:val="0"/>
        </w:rPr>
        <w:t xml:space="preserve">“Impedirán que se nieguen, de manera discriminatoria, servicios de salud o de atención de la salud o alimentos sólidos o líquidos por motivos de discapacidad.”; </w:t>
      </w:r>
      <w:r w:rsidDel="00000000" w:rsidR="00000000" w:rsidRPr="00000000">
        <w:rPr>
          <w:rFonts w:ascii="Arial" w:cs="Arial" w:eastAsia="Arial" w:hAnsi="Arial"/>
          <w:color w:val="000000"/>
          <w:sz w:val="16"/>
          <w:szCs w:val="16"/>
          <w:rtl w:val="0"/>
        </w:rPr>
        <w:t xml:space="preserve">28.1 </w:t>
      </w:r>
      <w:r w:rsidDel="00000000" w:rsidR="00000000" w:rsidRPr="00000000">
        <w:rPr>
          <w:rFonts w:ascii="Arial" w:cs="Arial" w:eastAsia="Arial" w:hAnsi="Arial"/>
          <w:i w:val="1"/>
          <w:color w:val="000000"/>
          <w:sz w:val="16"/>
          <w:szCs w:val="16"/>
          <w:rtl w:val="0"/>
        </w:rPr>
        <w:t xml:space="preserve">“Los Estados Partes reconocen el derecho de las personas con discapacidad a un nivel de vida adecuado para ellas y sus familias, lo cual incluye alimentación, vestido y vivienda adecuados, y a la mejora continua de sus condiciones de vida, y adoptarán las medidas pertinentes para salvaguardar y promover el ejercicio de este derecho sin discriminación por motivos de discapacidad.”</w:t>
      </w:r>
    </w:p>
  </w:footnote>
  <w:footnote w:id="22">
    <w:p w:rsidR="00000000" w:rsidDel="00000000" w:rsidP="00000000" w:rsidRDefault="00000000" w:rsidRPr="00000000" w14:paraId="00000156">
      <w:pPr>
        <w:widowControl w:val="0"/>
        <w:jc w:val="both"/>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i w:val="1"/>
          <w:sz w:val="16"/>
          <w:szCs w:val="16"/>
          <w:rtl w:val="0"/>
        </w:rPr>
        <w:t xml:space="preserve">1. Toda persona tiene derecho a una nutrición adecuada que le asegure la posibilidad de gozar del </w:t>
      </w:r>
      <w:r w:rsidDel="00000000" w:rsidR="00000000" w:rsidRPr="00000000">
        <w:rPr>
          <w:rFonts w:ascii="MS Gothic" w:cs="MS Gothic" w:eastAsia="MS Gothic" w:hAnsi="MS Gothic"/>
          <w:i w:val="1"/>
          <w:sz w:val="16"/>
          <w:szCs w:val="16"/>
          <w:rtl w:val="0"/>
        </w:rPr>
        <w:t xml:space="preserve"> </w:t>
      </w:r>
      <w:r w:rsidDel="00000000" w:rsidR="00000000" w:rsidRPr="00000000">
        <w:rPr>
          <w:rFonts w:ascii="Arial" w:cs="Arial" w:eastAsia="Arial" w:hAnsi="Arial"/>
          <w:i w:val="1"/>
          <w:sz w:val="16"/>
          <w:szCs w:val="16"/>
          <w:rtl w:val="0"/>
        </w:rPr>
        <w:t xml:space="preserve">más alto nivel de desarrollo físico, emocional e intelectual. (…)2. Con el objeto de hacer efectivo este derecho y a erradicar la desnutrición, los Estados partes se</w:t>
      </w:r>
      <w:r w:rsidDel="00000000" w:rsidR="00000000" w:rsidRPr="00000000">
        <w:rPr>
          <w:rFonts w:ascii="MS Gothic" w:cs="MS Gothic" w:eastAsia="MS Gothic" w:hAnsi="MS Gothic"/>
          <w:i w:val="1"/>
          <w:sz w:val="16"/>
          <w:szCs w:val="16"/>
          <w:rtl w:val="0"/>
        </w:rPr>
        <w:t xml:space="preserve"> </w:t>
      </w:r>
      <w:r w:rsidDel="00000000" w:rsidR="00000000" w:rsidRPr="00000000">
        <w:rPr>
          <w:rFonts w:ascii="Arial" w:cs="Arial" w:eastAsia="Arial" w:hAnsi="Arial"/>
          <w:i w:val="1"/>
          <w:sz w:val="16"/>
          <w:szCs w:val="16"/>
          <w:rtl w:val="0"/>
        </w:rPr>
        <w:t xml:space="preserve">comprometen a perfeccionar los métodos de producción, aprovisionamiento y distribución de </w:t>
      </w:r>
      <w:r w:rsidDel="00000000" w:rsidR="00000000" w:rsidRPr="00000000">
        <w:rPr>
          <w:rFonts w:ascii="MS Gothic" w:cs="MS Gothic" w:eastAsia="MS Gothic" w:hAnsi="MS Gothic"/>
          <w:i w:val="1"/>
          <w:sz w:val="16"/>
          <w:szCs w:val="16"/>
          <w:rtl w:val="0"/>
        </w:rPr>
        <w:t xml:space="preserve"> </w:t>
      </w:r>
      <w:r w:rsidDel="00000000" w:rsidR="00000000" w:rsidRPr="00000000">
        <w:rPr>
          <w:rFonts w:ascii="Arial" w:cs="Arial" w:eastAsia="Arial" w:hAnsi="Arial"/>
          <w:i w:val="1"/>
          <w:sz w:val="16"/>
          <w:szCs w:val="16"/>
          <w:rtl w:val="0"/>
        </w:rPr>
        <w:t xml:space="preserve">alimentos, para lo cual se comprometen a promover una mayor cooperación internacional en apoyo de las políticas nacionales sobre la materia.”</w:t>
      </w:r>
      <w:r w:rsidDel="00000000" w:rsidR="00000000" w:rsidRPr="00000000">
        <w:rPr>
          <w:rtl w:val="0"/>
        </w:rPr>
      </w:r>
    </w:p>
  </w:footnote>
  <w:footnote w:id="23">
    <w:p w:rsidR="00000000" w:rsidDel="00000000" w:rsidP="00000000" w:rsidRDefault="00000000" w:rsidRPr="00000000" w14:paraId="00000157">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Ver: Comisión Africana de Derechos Humanos y de los Pueblos. Caso </w:t>
      </w:r>
      <w:r w:rsidDel="00000000" w:rsidR="00000000" w:rsidRPr="00000000">
        <w:rPr>
          <w:rFonts w:ascii="Arial" w:cs="Arial" w:eastAsia="Arial" w:hAnsi="Arial"/>
          <w:i w:val="1"/>
          <w:color w:val="000000"/>
          <w:sz w:val="16"/>
          <w:szCs w:val="16"/>
          <w:rtl w:val="0"/>
        </w:rPr>
        <w:t xml:space="preserve">“The Social and Economic Rights Action Center and the Center for Economic and Social Rights v. Nigeria”</w:t>
      </w:r>
      <w:r w:rsidDel="00000000" w:rsidR="00000000" w:rsidRPr="00000000">
        <w:rPr>
          <w:rFonts w:ascii="Arial" w:cs="Arial" w:eastAsia="Arial" w:hAnsi="Arial"/>
          <w:color w:val="000000"/>
          <w:sz w:val="16"/>
          <w:szCs w:val="16"/>
          <w:rtl w:val="0"/>
        </w:rPr>
        <w:t xml:space="preserve">, comunicación No. 155/96, párr. 64</w:t>
      </w:r>
    </w:p>
  </w:footnote>
  <w:footnote w:id="24">
    <w:p w:rsidR="00000000" w:rsidDel="00000000" w:rsidP="00000000" w:rsidRDefault="00000000" w:rsidRPr="00000000" w14:paraId="00000158">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Consejo Económico y Social de las Naciones Unidas. </w:t>
      </w:r>
      <w:r w:rsidDel="00000000" w:rsidR="00000000" w:rsidRPr="00000000">
        <w:rPr>
          <w:rFonts w:ascii="Arial" w:cs="Arial" w:eastAsia="Arial" w:hAnsi="Arial"/>
          <w:i w:val="1"/>
          <w:color w:val="000000"/>
          <w:sz w:val="16"/>
          <w:szCs w:val="16"/>
          <w:rtl w:val="0"/>
        </w:rPr>
        <w:t xml:space="preserve">Cuestiones sustantivas que se plantean en la aplicación del pacto de derechos económicos, sociales y culturales.</w:t>
      </w:r>
      <w:r w:rsidDel="00000000" w:rsidR="00000000" w:rsidRPr="00000000">
        <w:rPr>
          <w:rFonts w:ascii="Arial" w:cs="Arial" w:eastAsia="Arial" w:hAnsi="Arial"/>
          <w:color w:val="000000"/>
          <w:sz w:val="16"/>
          <w:szCs w:val="16"/>
          <w:rtl w:val="0"/>
        </w:rPr>
        <w:t xml:space="preserve"> Observación General 12. 20º Periodo de Sesiones. 1999</w:t>
      </w:r>
    </w:p>
  </w:footnote>
  <w:footnote w:id="25">
    <w:p w:rsidR="00000000" w:rsidDel="00000000" w:rsidP="00000000" w:rsidRDefault="00000000" w:rsidRPr="00000000" w14:paraId="00000159">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Oficina del Alto Comisionado de las Naciones Unidas para los Derechos Humanos. </w:t>
      </w:r>
      <w:r w:rsidDel="00000000" w:rsidR="00000000" w:rsidRPr="00000000">
        <w:rPr>
          <w:rFonts w:ascii="Arial" w:cs="Arial" w:eastAsia="Arial" w:hAnsi="Arial"/>
          <w:i w:val="1"/>
          <w:color w:val="000000"/>
          <w:sz w:val="16"/>
          <w:szCs w:val="16"/>
          <w:rtl w:val="0"/>
        </w:rPr>
        <w:t xml:space="preserve">Folleto Informativo No. 27.</w:t>
      </w:r>
      <w:r w:rsidDel="00000000" w:rsidR="00000000" w:rsidRPr="00000000">
        <w:rPr>
          <w:rtl w:val="0"/>
        </w:rPr>
      </w:r>
    </w:p>
  </w:footnote>
  <w:footnote w:id="26">
    <w:p w:rsidR="00000000" w:rsidDel="00000000" w:rsidP="00000000" w:rsidRDefault="00000000" w:rsidRPr="00000000" w14:paraId="0000015A">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Consejo Económico y Social de las Naciones Unidas. </w:t>
      </w:r>
      <w:r w:rsidDel="00000000" w:rsidR="00000000" w:rsidRPr="00000000">
        <w:rPr>
          <w:rFonts w:ascii="Arial" w:cs="Arial" w:eastAsia="Arial" w:hAnsi="Arial"/>
          <w:i w:val="1"/>
          <w:color w:val="000000"/>
          <w:sz w:val="16"/>
          <w:szCs w:val="16"/>
          <w:rtl w:val="0"/>
        </w:rPr>
        <w:t xml:space="preserve">Cuestiones sustantivas que se plantean en la aplicación del pacto de derechos económicos, sociales y culturales.</w:t>
      </w:r>
      <w:r w:rsidDel="00000000" w:rsidR="00000000" w:rsidRPr="00000000">
        <w:rPr>
          <w:rFonts w:ascii="Arial" w:cs="Arial" w:eastAsia="Arial" w:hAnsi="Arial"/>
          <w:color w:val="000000"/>
          <w:sz w:val="16"/>
          <w:szCs w:val="16"/>
          <w:rtl w:val="0"/>
        </w:rPr>
        <w:t xml:space="preserve"> Observación General 12. 20º Periodo de Sesiones. 1999. Pár. 15</w:t>
      </w:r>
    </w:p>
  </w:footnote>
  <w:footnote w:id="27">
    <w:p w:rsidR="00000000" w:rsidDel="00000000" w:rsidP="00000000" w:rsidRDefault="00000000" w:rsidRPr="00000000" w14:paraId="0000015B">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Consejo Económico y Social de las Naciones Unidas. </w:t>
      </w:r>
      <w:r w:rsidDel="00000000" w:rsidR="00000000" w:rsidRPr="00000000">
        <w:rPr>
          <w:rFonts w:ascii="Arial" w:cs="Arial" w:eastAsia="Arial" w:hAnsi="Arial"/>
          <w:i w:val="1"/>
          <w:color w:val="000000"/>
          <w:sz w:val="16"/>
          <w:szCs w:val="16"/>
          <w:rtl w:val="0"/>
        </w:rPr>
        <w:t xml:space="preserve">Cuestiones sustantivas que se plantean en la aplicación del pacto de derechos económicos, sociales y culturales.</w:t>
      </w:r>
      <w:r w:rsidDel="00000000" w:rsidR="00000000" w:rsidRPr="00000000">
        <w:rPr>
          <w:rFonts w:ascii="Arial" w:cs="Arial" w:eastAsia="Arial" w:hAnsi="Arial"/>
          <w:color w:val="000000"/>
          <w:sz w:val="16"/>
          <w:szCs w:val="16"/>
          <w:rtl w:val="0"/>
        </w:rPr>
        <w:t xml:space="preserve"> Observación General 12. 20º Periodo de Sesiones. 1999. Pár. 21</w:t>
      </w:r>
    </w:p>
  </w:footnote>
  <w:footnote w:id="28">
    <w:p w:rsidR="00000000" w:rsidDel="00000000" w:rsidP="00000000" w:rsidRDefault="00000000" w:rsidRPr="00000000" w14:paraId="0000015C">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Amartya K. Sen, El derecho a no tener hambre. Estudios de Filosofía y Derecho No. 3 Universidad Externado de Colombia: 2002.</w:t>
      </w:r>
    </w:p>
  </w:footnote>
  <w:footnote w:id="29">
    <w:p w:rsidR="00000000" w:rsidDel="00000000" w:rsidP="00000000" w:rsidRDefault="00000000" w:rsidRPr="00000000" w14:paraId="0000015D">
      <w:pPr>
        <w:pBdr>
          <w:top w:space="0" w:sz="0" w:val="nil"/>
          <w:left w:space="0" w:sz="0" w:val="nil"/>
          <w:bottom w:space="0" w:sz="0" w:val="nil"/>
          <w:right w:space="0" w:sz="0" w:val="nil"/>
          <w:between w:space="0" w:sz="0" w:val="nil"/>
        </w:pBdr>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Ibídem.</w:t>
      </w:r>
    </w:p>
  </w:footnote>
  <w:footnote w:id="30">
    <w:p w:rsidR="00000000" w:rsidDel="00000000" w:rsidP="00000000" w:rsidRDefault="00000000" w:rsidRPr="00000000" w14:paraId="0000015E">
      <w:pPr>
        <w:pBdr>
          <w:top w:space="0" w:sz="0" w:val="nil"/>
          <w:left w:space="0" w:sz="0" w:val="nil"/>
          <w:bottom w:space="0" w:sz="0" w:val="nil"/>
          <w:right w:space="0" w:sz="0" w:val="nil"/>
          <w:between w:space="0" w:sz="0" w:val="nil"/>
        </w:pBdr>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Ibídem.</w:t>
      </w:r>
    </w:p>
  </w:footnote>
  <w:footnote w:id="31">
    <w:p w:rsidR="00000000" w:rsidDel="00000000" w:rsidP="00000000" w:rsidRDefault="00000000" w:rsidRPr="00000000" w14:paraId="0000015F">
      <w:pPr>
        <w:pBdr>
          <w:top w:space="0" w:sz="0" w:val="nil"/>
          <w:left w:space="0" w:sz="0" w:val="nil"/>
          <w:bottom w:space="0" w:sz="0" w:val="nil"/>
          <w:right w:space="0" w:sz="0" w:val="nil"/>
          <w:between w:space="0" w:sz="0" w:val="nil"/>
        </w:pBdr>
        <w:rPr>
          <w:color w:val="000000"/>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Información obtenida de: Constitute Project. </w:t>
      </w:r>
    </w:p>
  </w:footnote>
  <w:footnote w:id="32">
    <w:p w:rsidR="00000000" w:rsidDel="00000000" w:rsidP="00000000" w:rsidRDefault="00000000" w:rsidRPr="00000000" w14:paraId="00000160">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Consejo Económico y Social de las Naciones Unidas. </w:t>
      </w:r>
      <w:r w:rsidDel="00000000" w:rsidR="00000000" w:rsidRPr="00000000">
        <w:rPr>
          <w:rFonts w:ascii="Arial" w:cs="Arial" w:eastAsia="Arial" w:hAnsi="Arial"/>
          <w:i w:val="1"/>
          <w:color w:val="000000"/>
          <w:sz w:val="16"/>
          <w:szCs w:val="16"/>
          <w:rtl w:val="0"/>
        </w:rPr>
        <w:t xml:space="preserve">Cuestiones sustantivas que se plantean en la aplicación del pacto de derechos económicos, sociales y culturales.</w:t>
      </w:r>
      <w:r w:rsidDel="00000000" w:rsidR="00000000" w:rsidRPr="00000000">
        <w:rPr>
          <w:rFonts w:ascii="Arial" w:cs="Arial" w:eastAsia="Arial" w:hAnsi="Arial"/>
          <w:color w:val="000000"/>
          <w:sz w:val="16"/>
          <w:szCs w:val="16"/>
          <w:rtl w:val="0"/>
        </w:rPr>
        <w:t xml:space="preserve"> Observación General 12. 20º Periodo de Sesiones. 1999.</w:t>
      </w:r>
    </w:p>
  </w:footnote>
  <w:footnote w:id="33">
    <w:p w:rsidR="00000000" w:rsidDel="00000000" w:rsidP="00000000" w:rsidRDefault="00000000" w:rsidRPr="00000000" w14:paraId="00000161">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FAO, </w:t>
      </w:r>
      <w:r w:rsidDel="00000000" w:rsidR="00000000" w:rsidRPr="00000000">
        <w:rPr>
          <w:rFonts w:ascii="Arial" w:cs="Arial" w:eastAsia="Arial" w:hAnsi="Arial"/>
          <w:i w:val="1"/>
          <w:color w:val="000000"/>
          <w:sz w:val="16"/>
          <w:szCs w:val="16"/>
          <w:rtl w:val="0"/>
        </w:rPr>
        <w:t xml:space="preserve">El Estado de la Inseguridad Alimentaria en el Mundo</w:t>
      </w:r>
      <w:r w:rsidDel="00000000" w:rsidR="00000000" w:rsidRPr="00000000">
        <w:rPr>
          <w:rFonts w:ascii="Arial" w:cs="Arial" w:eastAsia="Arial" w:hAnsi="Arial"/>
          <w:color w:val="000000"/>
          <w:sz w:val="16"/>
          <w:szCs w:val="16"/>
          <w:rtl w:val="0"/>
        </w:rPr>
        <w:t xml:space="preserve"> – 2001. Roma, 2001 En: Oficina del Alto Comisionado de las Naciones Unidas para los Derechos Humanos - FAO. </w:t>
      </w:r>
      <w:r w:rsidDel="00000000" w:rsidR="00000000" w:rsidRPr="00000000">
        <w:rPr>
          <w:rFonts w:ascii="Arial" w:cs="Arial" w:eastAsia="Arial" w:hAnsi="Arial"/>
          <w:i w:val="1"/>
          <w:color w:val="000000"/>
          <w:sz w:val="16"/>
          <w:szCs w:val="16"/>
          <w:rtl w:val="0"/>
        </w:rPr>
        <w:t xml:space="preserve">Folleto Informativo No. 34. El derecho a la alimentación adecuada. </w:t>
      </w:r>
      <w:r w:rsidDel="00000000" w:rsidR="00000000" w:rsidRPr="00000000">
        <w:rPr>
          <w:rFonts w:ascii="Arial" w:cs="Arial" w:eastAsia="Arial" w:hAnsi="Arial"/>
          <w:color w:val="000000"/>
          <w:sz w:val="16"/>
          <w:szCs w:val="16"/>
          <w:rtl w:val="0"/>
        </w:rPr>
        <w:t xml:space="preserve">Pág. 5</w:t>
      </w:r>
    </w:p>
  </w:footnote>
  <w:footnote w:id="34">
    <w:p w:rsidR="00000000" w:rsidDel="00000000" w:rsidP="00000000" w:rsidRDefault="00000000" w:rsidRPr="00000000" w14:paraId="00000162">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Oficina del Alto Comisionado de las Naciones Unidas para los Derechos Humanos - FAO. </w:t>
      </w:r>
      <w:r w:rsidDel="00000000" w:rsidR="00000000" w:rsidRPr="00000000">
        <w:rPr>
          <w:rFonts w:ascii="Arial" w:cs="Arial" w:eastAsia="Arial" w:hAnsi="Arial"/>
          <w:i w:val="1"/>
          <w:color w:val="000000"/>
          <w:sz w:val="16"/>
          <w:szCs w:val="16"/>
          <w:rtl w:val="0"/>
        </w:rPr>
        <w:t xml:space="preserve">Folleto Informativo No. 34. El derecho a la alimentación adecuada. </w:t>
      </w:r>
      <w:r w:rsidDel="00000000" w:rsidR="00000000" w:rsidRPr="00000000">
        <w:rPr>
          <w:rFonts w:ascii="Arial" w:cs="Arial" w:eastAsia="Arial" w:hAnsi="Arial"/>
          <w:color w:val="000000"/>
          <w:sz w:val="16"/>
          <w:szCs w:val="16"/>
          <w:rtl w:val="0"/>
        </w:rPr>
        <w:t xml:space="preserve">Págs. 5 – 6.</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drawing>
        <wp:anchor allowOverlap="1" behindDoc="0" distB="0" distT="0" distL="114300" distR="114300" hidden="0" layoutInCell="1" locked="0" relativeHeight="0" simplePos="0">
          <wp:simplePos x="0" y="0"/>
          <wp:positionH relativeFrom="page">
            <wp:posOffset>2771775</wp:posOffset>
          </wp:positionH>
          <wp:positionV relativeFrom="page">
            <wp:posOffset>241300</wp:posOffset>
          </wp:positionV>
          <wp:extent cx="2227580" cy="657225"/>
          <wp:effectExtent b="0" l="0" r="0" t="0"/>
          <wp:wrapTopAndBottom distB="0" distT="0"/>
          <wp:docPr descr="Inicio | Camara de Representantes" id="1" name="image1.png"/>
          <a:graphic>
            <a:graphicData uri="http://schemas.openxmlformats.org/drawingml/2006/picture">
              <pic:pic>
                <pic:nvPicPr>
                  <pic:cNvPr descr="Inicio | Camara de Representantes" id="0" name="image1.png"/>
                  <pic:cNvPicPr preferRelativeResize="0"/>
                </pic:nvPicPr>
                <pic:blipFill>
                  <a:blip r:embed="rId1"/>
                  <a:srcRect b="0" l="0" r="0" t="0"/>
                  <a:stretch>
                    <a:fillRect/>
                  </a:stretch>
                </pic:blipFill>
                <pic:spPr>
                  <a:xfrm>
                    <a:off x="0" y="0"/>
                    <a:ext cx="2227580" cy="657225"/>
                  </a:xfrm>
                  <a:prstGeom prst="rect"/>
                  <a:ln/>
                </pic:spPr>
              </pic:pic>
            </a:graphicData>
          </a:graphic>
        </wp:anchor>
      </w:drawing>
    </w:r>
    <w:r w:rsidDel="00000000" w:rsidR="00000000" w:rsidRPr="00000000">
      <w:rPr>
        <w:color w:val="000000"/>
        <w:rtl w:val="0"/>
      </w:rPr>
      <w:t xml:space="preserve">                                  </w:t>
    </w:r>
  </w:p>
  <w:p w:rsidR="00000000" w:rsidDel="00000000" w:rsidP="00000000" w:rsidRDefault="00000000" w:rsidRPr="00000000" w14:paraId="0000016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color w:val="000000"/>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_trad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