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B9D" w:rsidRDefault="00B054CA">
      <w:pPr>
        <w:jc w:val="right"/>
        <w:rPr>
          <w:rFonts w:ascii="Arial" w:eastAsia="Arial" w:hAnsi="Arial" w:cs="Arial"/>
          <w:b/>
          <w:sz w:val="24"/>
          <w:szCs w:val="24"/>
        </w:rPr>
      </w:pPr>
      <w:r>
        <w:rPr>
          <w:rFonts w:ascii="Arial" w:eastAsia="Arial" w:hAnsi="Arial" w:cs="Arial"/>
          <w:b/>
          <w:sz w:val="24"/>
          <w:szCs w:val="24"/>
        </w:rPr>
        <w:t xml:space="preserve">Bogotá D.C, 21 </w:t>
      </w:r>
      <w:r w:rsidR="009A4D35">
        <w:rPr>
          <w:rFonts w:ascii="Arial" w:eastAsia="Arial" w:hAnsi="Arial" w:cs="Arial"/>
          <w:b/>
          <w:sz w:val="24"/>
          <w:szCs w:val="24"/>
        </w:rPr>
        <w:t xml:space="preserve">de </w:t>
      </w:r>
      <w:r>
        <w:rPr>
          <w:rFonts w:ascii="Arial" w:eastAsia="Arial" w:hAnsi="Arial" w:cs="Arial"/>
          <w:b/>
          <w:sz w:val="24"/>
          <w:szCs w:val="24"/>
        </w:rPr>
        <w:t>m</w:t>
      </w:r>
      <w:r w:rsidR="009A4D35">
        <w:rPr>
          <w:rFonts w:ascii="Arial" w:eastAsia="Arial" w:hAnsi="Arial" w:cs="Arial"/>
          <w:b/>
          <w:sz w:val="24"/>
          <w:szCs w:val="24"/>
        </w:rPr>
        <w:t>a</w:t>
      </w:r>
      <w:r>
        <w:rPr>
          <w:rFonts w:ascii="Arial" w:eastAsia="Arial" w:hAnsi="Arial" w:cs="Arial"/>
          <w:b/>
          <w:sz w:val="24"/>
          <w:szCs w:val="24"/>
        </w:rPr>
        <w:t>yo</w:t>
      </w:r>
      <w:r w:rsidR="009A4D35">
        <w:rPr>
          <w:rFonts w:ascii="Arial" w:eastAsia="Arial" w:hAnsi="Arial" w:cs="Arial"/>
          <w:b/>
          <w:sz w:val="24"/>
          <w:szCs w:val="24"/>
        </w:rPr>
        <w:t xml:space="preserve"> de 2024. </w:t>
      </w:r>
    </w:p>
    <w:p w:rsidR="00483B9D" w:rsidRDefault="009A4D35">
      <w:pPr>
        <w:pBdr>
          <w:top w:val="none" w:sz="0" w:space="0" w:color="000000"/>
          <w:left w:val="none" w:sz="0" w:space="0" w:color="000000"/>
          <w:bottom w:val="none" w:sz="0" w:space="0" w:color="000000"/>
          <w:right w:val="none" w:sz="0" w:space="0" w:color="000000"/>
          <w:between w:val="none" w:sz="0" w:space="0" w:color="000000"/>
        </w:pBdr>
        <w:spacing w:after="0"/>
        <w:jc w:val="both"/>
        <w:rPr>
          <w:rFonts w:ascii="Arial" w:eastAsia="Arial" w:hAnsi="Arial" w:cs="Arial"/>
          <w:b/>
          <w:sz w:val="24"/>
          <w:szCs w:val="24"/>
        </w:rPr>
      </w:pPr>
      <w:r>
        <w:rPr>
          <w:rFonts w:ascii="Arial" w:eastAsia="Arial" w:hAnsi="Arial" w:cs="Arial"/>
          <w:sz w:val="24"/>
          <w:szCs w:val="24"/>
        </w:rPr>
        <w:br/>
        <w:t>Doctor</w:t>
      </w:r>
      <w:r>
        <w:rPr>
          <w:rFonts w:ascii="Arial" w:eastAsia="Arial" w:hAnsi="Arial" w:cs="Arial"/>
          <w:sz w:val="24"/>
          <w:szCs w:val="24"/>
        </w:rPr>
        <w:br/>
      </w:r>
      <w:r w:rsidR="00B054CA">
        <w:rPr>
          <w:rFonts w:ascii="Arial" w:eastAsia="Arial" w:hAnsi="Arial" w:cs="Arial"/>
          <w:b/>
          <w:sz w:val="24"/>
          <w:szCs w:val="24"/>
        </w:rPr>
        <w:t>Óscar Hernán Sánchez León</w:t>
      </w:r>
    </w:p>
    <w:p w:rsidR="00B054CA" w:rsidRDefault="009A4D35" w:rsidP="00B054CA">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sz w:val="24"/>
          <w:szCs w:val="24"/>
        </w:rPr>
      </w:pPr>
      <w:r>
        <w:rPr>
          <w:rFonts w:ascii="Arial" w:eastAsia="Arial" w:hAnsi="Arial" w:cs="Arial"/>
          <w:b/>
          <w:sz w:val="24"/>
          <w:szCs w:val="24"/>
        </w:rPr>
        <w:t>Presidente de la Comisión Primera</w:t>
      </w:r>
      <w:r>
        <w:rPr>
          <w:rFonts w:ascii="Arial" w:eastAsia="Arial" w:hAnsi="Arial" w:cs="Arial"/>
          <w:sz w:val="24"/>
          <w:szCs w:val="24"/>
        </w:rPr>
        <w:tab/>
      </w:r>
      <w:r>
        <w:rPr>
          <w:rFonts w:ascii="Arial" w:eastAsia="Arial" w:hAnsi="Arial" w:cs="Arial"/>
          <w:sz w:val="24"/>
          <w:szCs w:val="24"/>
        </w:rPr>
        <w:br/>
      </w:r>
      <w:r w:rsidR="00B054CA" w:rsidRPr="00B054CA">
        <w:rPr>
          <w:rFonts w:ascii="Arial" w:hAnsi="Arial" w:cs="Arial"/>
          <w:b/>
          <w:sz w:val="24"/>
        </w:rPr>
        <w:t>Constitucional Permanente</w:t>
      </w:r>
      <w:r w:rsidR="00B054CA" w:rsidRPr="00B054CA">
        <w:rPr>
          <w:rFonts w:ascii="Arial" w:hAnsi="Arial" w:cs="Arial"/>
          <w:b/>
          <w:sz w:val="24"/>
        </w:rPr>
        <w:br/>
        <w:t>Cámara de Representantes</w:t>
      </w:r>
      <w:r w:rsidR="00B054CA">
        <w:rPr>
          <w:rFonts w:ascii="Arial" w:eastAsia="Arial" w:hAnsi="Arial" w:cs="Arial"/>
          <w:sz w:val="24"/>
          <w:szCs w:val="24"/>
        </w:rPr>
        <w:br/>
        <w:t>Ciudad</w:t>
      </w:r>
    </w:p>
    <w:p w:rsidR="00483B9D" w:rsidRDefault="00483B9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4"/>
          <w:szCs w:val="24"/>
        </w:rPr>
      </w:pPr>
    </w:p>
    <w:p w:rsidR="00483B9D" w:rsidRDefault="009A4D35">
      <w:pPr>
        <w:ind w:left="2160"/>
        <w:jc w:val="both"/>
        <w:rPr>
          <w:rFonts w:ascii="Arial" w:eastAsia="Arial" w:hAnsi="Arial" w:cs="Arial"/>
          <w:sz w:val="24"/>
          <w:szCs w:val="24"/>
        </w:rPr>
      </w:pPr>
      <w:proofErr w:type="spellStart"/>
      <w:r>
        <w:rPr>
          <w:rFonts w:ascii="Arial" w:eastAsia="Arial" w:hAnsi="Arial" w:cs="Arial"/>
          <w:b/>
          <w:sz w:val="24"/>
          <w:szCs w:val="24"/>
        </w:rPr>
        <w:t>Ref</w:t>
      </w:r>
      <w:proofErr w:type="spellEnd"/>
      <w:r>
        <w:rPr>
          <w:rFonts w:ascii="Arial" w:eastAsia="Arial" w:hAnsi="Arial" w:cs="Arial"/>
          <w:b/>
          <w:sz w:val="24"/>
          <w:szCs w:val="24"/>
        </w:rPr>
        <w:t>:</w:t>
      </w:r>
      <w:r>
        <w:rPr>
          <w:rFonts w:ascii="Arial" w:eastAsia="Arial" w:hAnsi="Arial" w:cs="Arial"/>
          <w:sz w:val="24"/>
          <w:szCs w:val="24"/>
        </w:rPr>
        <w:t xml:space="preserve"> Informe de ponencia para </w:t>
      </w:r>
      <w:r w:rsidR="00B054CA">
        <w:rPr>
          <w:rFonts w:ascii="Arial" w:eastAsia="Arial" w:hAnsi="Arial" w:cs="Arial"/>
          <w:sz w:val="24"/>
          <w:szCs w:val="24"/>
        </w:rPr>
        <w:t>primer</w:t>
      </w:r>
      <w:r>
        <w:rPr>
          <w:rFonts w:ascii="Arial" w:eastAsia="Arial" w:hAnsi="Arial" w:cs="Arial"/>
          <w:sz w:val="24"/>
          <w:szCs w:val="24"/>
        </w:rPr>
        <w:t xml:space="preserve"> debate del </w:t>
      </w:r>
      <w:r>
        <w:rPr>
          <w:rFonts w:ascii="Arial" w:eastAsia="Arial" w:hAnsi="Arial" w:cs="Arial"/>
          <w:b/>
          <w:sz w:val="24"/>
          <w:szCs w:val="24"/>
        </w:rPr>
        <w:t>Proyecto de Acto Leg</w:t>
      </w:r>
      <w:r w:rsidR="00B054CA">
        <w:rPr>
          <w:rFonts w:ascii="Arial" w:eastAsia="Arial" w:hAnsi="Arial" w:cs="Arial"/>
          <w:b/>
          <w:sz w:val="24"/>
          <w:szCs w:val="24"/>
        </w:rPr>
        <w:t xml:space="preserve">islativo No. 436 de 2024 Cámara – No. 020 de 2024 Senado, </w:t>
      </w:r>
      <w:r>
        <w:rPr>
          <w:rFonts w:ascii="Arial" w:eastAsia="Arial" w:hAnsi="Arial" w:cs="Arial"/>
          <w:b/>
          <w:sz w:val="24"/>
          <w:szCs w:val="24"/>
        </w:rPr>
        <w:t>“Por el cual se modifica el artículo 65 de la Constitución Política de Colombia”.</w:t>
      </w:r>
    </w:p>
    <w:p w:rsidR="00483B9D" w:rsidRDefault="00483B9D">
      <w:pPr>
        <w:pBdr>
          <w:top w:val="none" w:sz="0" w:space="0" w:color="000000"/>
          <w:left w:val="none" w:sz="0" w:space="0" w:color="000000"/>
          <w:bottom w:val="none" w:sz="0" w:space="0" w:color="000000"/>
          <w:right w:val="none" w:sz="0" w:space="0" w:color="000000"/>
          <w:between w:val="none" w:sz="0" w:space="0" w:color="000000"/>
        </w:pBdr>
        <w:ind w:left="2160"/>
        <w:jc w:val="both"/>
        <w:rPr>
          <w:rFonts w:ascii="Arial" w:eastAsia="Arial" w:hAnsi="Arial" w:cs="Arial"/>
          <w:sz w:val="24"/>
          <w:szCs w:val="24"/>
        </w:rPr>
      </w:pPr>
    </w:p>
    <w:p w:rsidR="00483B9D" w:rsidRDefault="009A4D35">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4"/>
          <w:szCs w:val="24"/>
        </w:rPr>
      </w:pPr>
      <w:r>
        <w:rPr>
          <w:rFonts w:ascii="Arial" w:eastAsia="Arial" w:hAnsi="Arial" w:cs="Arial"/>
          <w:sz w:val="24"/>
          <w:szCs w:val="24"/>
        </w:rPr>
        <w:t>En cumpli</w:t>
      </w:r>
      <w:r w:rsidR="00B054CA">
        <w:rPr>
          <w:rFonts w:ascii="Arial" w:eastAsia="Arial" w:hAnsi="Arial" w:cs="Arial"/>
          <w:sz w:val="24"/>
          <w:szCs w:val="24"/>
        </w:rPr>
        <w:t xml:space="preserve">miento de la designación que nos </w:t>
      </w:r>
      <w:r>
        <w:rPr>
          <w:rFonts w:ascii="Arial" w:eastAsia="Arial" w:hAnsi="Arial" w:cs="Arial"/>
          <w:sz w:val="24"/>
          <w:szCs w:val="24"/>
        </w:rPr>
        <w:t>hizo la Mesa Direc</w:t>
      </w:r>
      <w:r w:rsidR="00B054CA">
        <w:rPr>
          <w:rFonts w:ascii="Arial" w:eastAsia="Arial" w:hAnsi="Arial" w:cs="Arial"/>
          <w:sz w:val="24"/>
          <w:szCs w:val="24"/>
        </w:rPr>
        <w:t xml:space="preserve">tiva de la Comisión Primera, Constitucional Permanente de la Cámara de Representantes </w:t>
      </w:r>
      <w:r w:rsidR="00B054CA">
        <w:rPr>
          <w:rFonts w:ascii="Arial" w:eastAsia="Arial" w:hAnsi="Arial" w:cs="Arial"/>
          <w:sz w:val="24"/>
          <w:szCs w:val="24"/>
        </w:rPr>
        <w:t>mediante Acta 033</w:t>
      </w:r>
      <w:r w:rsidR="00B054CA">
        <w:rPr>
          <w:rFonts w:ascii="Arial" w:eastAsia="Arial" w:hAnsi="Arial" w:cs="Arial"/>
          <w:sz w:val="24"/>
          <w:szCs w:val="24"/>
        </w:rPr>
        <w:t xml:space="preserve"> y con fundamento en los artículos 150, 153 y 156 de la Ley 5 de 1992</w:t>
      </w:r>
      <w:r>
        <w:rPr>
          <w:rFonts w:ascii="Arial" w:eastAsia="Arial" w:hAnsi="Arial" w:cs="Arial"/>
          <w:sz w:val="24"/>
          <w:szCs w:val="24"/>
        </w:rPr>
        <w:t xml:space="preserve">, </w:t>
      </w:r>
      <w:r w:rsidR="00B054CA">
        <w:rPr>
          <w:rFonts w:ascii="Arial" w:eastAsia="Arial" w:hAnsi="Arial" w:cs="Arial"/>
          <w:sz w:val="24"/>
          <w:szCs w:val="24"/>
        </w:rPr>
        <w:t>nos permitimos</w:t>
      </w:r>
      <w:r>
        <w:rPr>
          <w:rFonts w:ascii="Arial" w:eastAsia="Arial" w:hAnsi="Arial" w:cs="Arial"/>
          <w:sz w:val="24"/>
          <w:szCs w:val="24"/>
        </w:rPr>
        <w:t xml:space="preserve"> rendir informe de ponencia para </w:t>
      </w:r>
      <w:r w:rsidR="00B054CA">
        <w:rPr>
          <w:rFonts w:ascii="Arial" w:eastAsia="Arial" w:hAnsi="Arial" w:cs="Arial"/>
          <w:sz w:val="24"/>
          <w:szCs w:val="24"/>
        </w:rPr>
        <w:t>primer</w:t>
      </w:r>
      <w:r>
        <w:rPr>
          <w:rFonts w:ascii="Arial" w:eastAsia="Arial" w:hAnsi="Arial" w:cs="Arial"/>
          <w:sz w:val="24"/>
          <w:szCs w:val="24"/>
        </w:rPr>
        <w:t xml:space="preserve"> debate al Proyecto</w:t>
      </w:r>
      <w:r w:rsidR="00B054CA">
        <w:rPr>
          <w:rFonts w:ascii="Arial" w:eastAsia="Arial" w:hAnsi="Arial" w:cs="Arial"/>
          <w:sz w:val="24"/>
          <w:szCs w:val="24"/>
        </w:rPr>
        <w:t xml:space="preserve"> de Ley</w:t>
      </w:r>
      <w:r>
        <w:rPr>
          <w:rFonts w:ascii="Arial" w:eastAsia="Arial" w:hAnsi="Arial" w:cs="Arial"/>
          <w:sz w:val="24"/>
          <w:szCs w:val="24"/>
        </w:rPr>
        <w:t xml:space="preserve"> de la referencia.</w:t>
      </w:r>
    </w:p>
    <w:p w:rsidR="00483B9D" w:rsidRDefault="00483B9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4"/>
          <w:szCs w:val="24"/>
        </w:rPr>
      </w:pPr>
    </w:p>
    <w:p w:rsidR="00483B9D" w:rsidRDefault="00483B9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4"/>
          <w:szCs w:val="24"/>
        </w:rPr>
      </w:pPr>
    </w:p>
    <w:p w:rsidR="00483B9D" w:rsidRDefault="009A4D35">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4"/>
          <w:szCs w:val="24"/>
        </w:rPr>
      </w:pPr>
      <w:r>
        <w:rPr>
          <w:rFonts w:ascii="Arial" w:eastAsia="Arial" w:hAnsi="Arial" w:cs="Arial"/>
          <w:sz w:val="24"/>
          <w:szCs w:val="24"/>
        </w:rPr>
        <w:t>Cordialmente,</w:t>
      </w:r>
    </w:p>
    <w:p w:rsidR="00B054CA" w:rsidRDefault="00B054CA" w:rsidP="00B054CA">
      <w:pPr>
        <w:rPr>
          <w:rFonts w:ascii="Arial" w:eastAsia="Arial" w:hAnsi="Arial" w:cs="Arial"/>
          <w:sz w:val="24"/>
          <w:szCs w:val="24"/>
        </w:rPr>
      </w:pPr>
    </w:p>
    <w:p w:rsidR="00B054CA" w:rsidRDefault="00B054CA" w:rsidP="00B054CA">
      <w:pPr>
        <w:rPr>
          <w:rFonts w:ascii="Arial" w:eastAsia="Arial" w:hAnsi="Arial" w:cs="Arial"/>
          <w:sz w:val="24"/>
          <w:szCs w:val="24"/>
        </w:rPr>
      </w:pPr>
    </w:p>
    <w:p w:rsidR="00B054CA" w:rsidRDefault="009A4D35" w:rsidP="00B054CA">
      <w:pPr>
        <w:rPr>
          <w:rFonts w:ascii="Arial" w:eastAsia="Arial" w:hAnsi="Arial" w:cs="Arial"/>
          <w:sz w:val="24"/>
          <w:szCs w:val="24"/>
        </w:rPr>
      </w:pPr>
      <w:r>
        <w:rPr>
          <w:rFonts w:ascii="Arial" w:eastAsia="Arial" w:hAnsi="Arial" w:cs="Arial"/>
          <w:b/>
          <w:sz w:val="24"/>
          <w:szCs w:val="24"/>
        </w:rPr>
        <w:t>A</w:t>
      </w:r>
      <w:r w:rsidR="00B054CA">
        <w:rPr>
          <w:rFonts w:ascii="Arial" w:eastAsia="Arial" w:hAnsi="Arial" w:cs="Arial"/>
          <w:b/>
          <w:sz w:val="24"/>
          <w:szCs w:val="24"/>
        </w:rPr>
        <w:t>NA PAOLA GARCIA SOTO</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br/>
      </w:r>
      <w:r w:rsidR="00B054CA">
        <w:rPr>
          <w:rFonts w:ascii="Arial" w:eastAsia="Arial" w:hAnsi="Arial" w:cs="Arial"/>
          <w:b/>
          <w:sz w:val="24"/>
          <w:szCs w:val="24"/>
        </w:rPr>
        <w:t>Representante a la Cámara</w:t>
      </w:r>
      <w:r>
        <w:rPr>
          <w:rFonts w:ascii="Arial" w:eastAsia="Arial" w:hAnsi="Arial" w:cs="Arial"/>
          <w:b/>
          <w:sz w:val="24"/>
          <w:szCs w:val="24"/>
        </w:rPr>
        <w:br/>
      </w:r>
      <w:r w:rsidR="00B054CA">
        <w:rPr>
          <w:rFonts w:ascii="Arial" w:eastAsia="Arial" w:hAnsi="Arial" w:cs="Arial"/>
          <w:sz w:val="24"/>
          <w:szCs w:val="24"/>
        </w:rPr>
        <w:t>Coordinadora ponente</w:t>
      </w:r>
    </w:p>
    <w:p w:rsidR="00B054CA" w:rsidRDefault="00B054CA" w:rsidP="00B054CA">
      <w:pPr>
        <w:ind w:left="-2"/>
        <w:rPr>
          <w:rFonts w:ascii="Arial" w:eastAsia="Arial" w:hAnsi="Arial" w:cs="Arial"/>
          <w:sz w:val="24"/>
          <w:szCs w:val="24"/>
        </w:rPr>
      </w:pPr>
    </w:p>
    <w:p w:rsidR="00B054CA" w:rsidRDefault="00B054CA" w:rsidP="00B054CA">
      <w:pPr>
        <w:ind w:left="-2"/>
        <w:rPr>
          <w:rFonts w:ascii="Arial" w:eastAsia="Arial" w:hAnsi="Arial" w:cs="Arial"/>
          <w:sz w:val="24"/>
          <w:szCs w:val="24"/>
        </w:rPr>
      </w:pPr>
    </w:p>
    <w:p w:rsidR="00B054CA" w:rsidRDefault="00B054CA" w:rsidP="00B054CA">
      <w:pPr>
        <w:ind w:left="-2"/>
        <w:rPr>
          <w:rFonts w:ascii="Arial" w:eastAsia="Arial" w:hAnsi="Arial" w:cs="Arial"/>
          <w:b/>
          <w:sz w:val="24"/>
          <w:szCs w:val="24"/>
        </w:rPr>
      </w:pPr>
      <w:r>
        <w:rPr>
          <w:rFonts w:ascii="Arial" w:eastAsia="Arial" w:hAnsi="Arial" w:cs="Arial"/>
          <w:b/>
          <w:sz w:val="24"/>
          <w:szCs w:val="24"/>
        </w:rPr>
        <w:t>EDUARD GIOVANNY SARMIENTO HIDALGO</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Coordinador</w:t>
      </w:r>
      <w:r>
        <w:rPr>
          <w:rFonts w:ascii="Arial" w:eastAsia="Arial" w:hAnsi="Arial" w:cs="Arial"/>
          <w:sz w:val="24"/>
          <w:szCs w:val="24"/>
        </w:rPr>
        <w:t xml:space="preserve"> ponente</w:t>
      </w:r>
    </w:p>
    <w:p w:rsidR="00B054CA" w:rsidRDefault="00B054CA" w:rsidP="00B054CA">
      <w:pPr>
        <w:ind w:left="-2"/>
        <w:rPr>
          <w:rFonts w:ascii="Arial" w:eastAsia="Arial" w:hAnsi="Arial" w:cs="Arial"/>
          <w:b/>
          <w:sz w:val="24"/>
          <w:szCs w:val="24"/>
        </w:rPr>
      </w:pPr>
    </w:p>
    <w:p w:rsidR="00B054CA" w:rsidRDefault="00B054CA" w:rsidP="00B054CA">
      <w:pPr>
        <w:ind w:left="-2"/>
        <w:rPr>
          <w:rFonts w:ascii="Arial" w:eastAsia="Arial" w:hAnsi="Arial" w:cs="Arial"/>
          <w:b/>
          <w:sz w:val="24"/>
          <w:szCs w:val="24"/>
        </w:rPr>
      </w:pPr>
    </w:p>
    <w:p w:rsidR="00B054CA" w:rsidRDefault="00B054CA" w:rsidP="00B054CA">
      <w:pPr>
        <w:ind w:left="-2"/>
        <w:rPr>
          <w:rFonts w:ascii="Arial" w:eastAsia="Arial" w:hAnsi="Arial" w:cs="Arial"/>
          <w:b/>
          <w:sz w:val="24"/>
          <w:szCs w:val="24"/>
        </w:rPr>
      </w:pPr>
    </w:p>
    <w:p w:rsidR="00B054CA" w:rsidRPr="00B054CA" w:rsidRDefault="00B054CA" w:rsidP="00B054CA">
      <w:pPr>
        <w:rPr>
          <w:rFonts w:ascii="Arial" w:eastAsia="Arial" w:hAnsi="Arial" w:cs="Arial"/>
          <w:sz w:val="24"/>
          <w:szCs w:val="24"/>
        </w:rPr>
      </w:pPr>
      <w:r>
        <w:rPr>
          <w:rFonts w:ascii="Arial" w:eastAsia="Arial" w:hAnsi="Arial" w:cs="Arial"/>
          <w:b/>
          <w:sz w:val="24"/>
          <w:szCs w:val="24"/>
        </w:rPr>
        <w:br/>
        <w:t>ÁLVARO LEONEL RUEDA CABALLERO</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Coordinador ponente</w:t>
      </w: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b/>
          <w:sz w:val="24"/>
          <w:szCs w:val="24"/>
        </w:rPr>
      </w:pPr>
    </w:p>
    <w:p w:rsidR="00B054CA" w:rsidRPr="00B054CA" w:rsidRDefault="00B054CA" w:rsidP="00977018">
      <w:pPr>
        <w:rPr>
          <w:rFonts w:ascii="Arial" w:eastAsia="Arial" w:hAnsi="Arial" w:cs="Arial"/>
          <w:sz w:val="24"/>
          <w:szCs w:val="24"/>
        </w:rPr>
      </w:pPr>
      <w:r>
        <w:rPr>
          <w:rFonts w:ascii="Arial" w:eastAsia="Arial" w:hAnsi="Arial" w:cs="Arial"/>
          <w:b/>
          <w:sz w:val="24"/>
          <w:szCs w:val="24"/>
        </w:rPr>
        <w:t>JULIO CÉSAR TRIANA QUINTERO</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P</w:t>
      </w:r>
      <w:r>
        <w:rPr>
          <w:rFonts w:ascii="Arial" w:eastAsia="Arial" w:hAnsi="Arial" w:cs="Arial"/>
          <w:sz w:val="24"/>
          <w:szCs w:val="24"/>
        </w:rPr>
        <w:t>onente</w:t>
      </w:r>
    </w:p>
    <w:p w:rsidR="00977018" w:rsidRDefault="00977018" w:rsidP="00B054CA">
      <w:pPr>
        <w:ind w:left="-2"/>
        <w:rPr>
          <w:rFonts w:ascii="Arial" w:eastAsia="Arial" w:hAnsi="Arial" w:cs="Arial"/>
          <w:b/>
          <w:sz w:val="24"/>
          <w:szCs w:val="24"/>
        </w:rPr>
      </w:pPr>
    </w:p>
    <w:p w:rsidR="00977018" w:rsidRDefault="00977018" w:rsidP="00B054CA">
      <w:pPr>
        <w:ind w:left="-2"/>
        <w:rPr>
          <w:rFonts w:ascii="Arial" w:eastAsia="Arial" w:hAnsi="Arial" w:cs="Arial"/>
          <w:b/>
          <w:sz w:val="24"/>
          <w:szCs w:val="24"/>
        </w:rPr>
      </w:pPr>
    </w:p>
    <w:p w:rsidR="00B054CA" w:rsidRDefault="00B054CA" w:rsidP="00B054CA">
      <w:pPr>
        <w:ind w:left="-2"/>
        <w:rPr>
          <w:rFonts w:ascii="Arial" w:eastAsia="Arial" w:hAnsi="Arial" w:cs="Arial"/>
          <w:b/>
          <w:sz w:val="24"/>
          <w:szCs w:val="24"/>
        </w:rPr>
      </w:pPr>
      <w:r>
        <w:rPr>
          <w:rFonts w:ascii="Arial" w:eastAsia="Arial" w:hAnsi="Arial" w:cs="Arial"/>
          <w:b/>
          <w:sz w:val="24"/>
          <w:szCs w:val="24"/>
        </w:rPr>
        <w:t>RUTH AMELIA CAYCEDO ROSERO</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b/>
          <w:sz w:val="24"/>
          <w:szCs w:val="24"/>
        </w:rPr>
      </w:pPr>
    </w:p>
    <w:p w:rsidR="00B054CA" w:rsidRDefault="00B054CA" w:rsidP="00977018">
      <w:pPr>
        <w:rPr>
          <w:rFonts w:ascii="Arial" w:eastAsia="Arial" w:hAnsi="Arial" w:cs="Arial"/>
          <w:b/>
          <w:sz w:val="24"/>
          <w:szCs w:val="24"/>
        </w:rPr>
      </w:pPr>
      <w:r>
        <w:rPr>
          <w:rFonts w:ascii="Arial" w:eastAsia="Arial" w:hAnsi="Arial" w:cs="Arial"/>
          <w:b/>
          <w:sz w:val="24"/>
          <w:szCs w:val="24"/>
        </w:rPr>
        <w:t>JOSE JAIME USCÁTEGUI PASTRANA</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B054CA">
      <w:pPr>
        <w:ind w:left="-2"/>
        <w:rPr>
          <w:rFonts w:ascii="Arial" w:eastAsia="Arial" w:hAnsi="Arial" w:cs="Arial"/>
          <w:b/>
          <w:sz w:val="24"/>
          <w:szCs w:val="24"/>
        </w:rPr>
      </w:pPr>
    </w:p>
    <w:p w:rsidR="00977018" w:rsidRDefault="00977018" w:rsidP="00B054CA">
      <w:pPr>
        <w:ind w:left="-2"/>
        <w:rPr>
          <w:rFonts w:ascii="Arial" w:eastAsia="Arial" w:hAnsi="Arial" w:cs="Arial"/>
          <w:b/>
          <w:sz w:val="24"/>
          <w:szCs w:val="24"/>
        </w:rPr>
      </w:pPr>
    </w:p>
    <w:p w:rsidR="00B054CA" w:rsidRDefault="00B054CA" w:rsidP="00B054CA">
      <w:pPr>
        <w:ind w:left="-2"/>
        <w:rPr>
          <w:rFonts w:ascii="Arial" w:eastAsia="Arial" w:hAnsi="Arial" w:cs="Arial"/>
          <w:b/>
          <w:sz w:val="24"/>
          <w:szCs w:val="24"/>
        </w:rPr>
      </w:pPr>
      <w:r>
        <w:rPr>
          <w:rFonts w:ascii="Arial" w:eastAsia="Arial" w:hAnsi="Arial" w:cs="Arial"/>
          <w:b/>
          <w:sz w:val="24"/>
          <w:szCs w:val="24"/>
        </w:rPr>
        <w:t>ORLANDO CASTILLO ADVÍNCULA</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B054CA">
      <w:pPr>
        <w:ind w:left="-2"/>
        <w:rPr>
          <w:rFonts w:ascii="Arial" w:eastAsia="Arial" w:hAnsi="Arial" w:cs="Arial"/>
          <w:b/>
          <w:sz w:val="24"/>
          <w:szCs w:val="24"/>
        </w:rPr>
      </w:pPr>
    </w:p>
    <w:p w:rsidR="00977018" w:rsidRDefault="00977018" w:rsidP="00B054CA">
      <w:pPr>
        <w:ind w:left="-2"/>
        <w:rPr>
          <w:rFonts w:ascii="Arial" w:eastAsia="Arial" w:hAnsi="Arial" w:cs="Arial"/>
          <w:b/>
          <w:sz w:val="24"/>
          <w:szCs w:val="24"/>
        </w:rPr>
      </w:pPr>
    </w:p>
    <w:p w:rsidR="00B054CA" w:rsidRDefault="00B054CA" w:rsidP="00B054CA">
      <w:pPr>
        <w:ind w:left="-2"/>
        <w:rPr>
          <w:rFonts w:ascii="Arial" w:eastAsia="Arial" w:hAnsi="Arial" w:cs="Arial"/>
          <w:b/>
          <w:sz w:val="24"/>
          <w:szCs w:val="24"/>
        </w:rPr>
      </w:pPr>
      <w:r>
        <w:rPr>
          <w:rFonts w:ascii="Arial" w:eastAsia="Arial" w:hAnsi="Arial" w:cs="Arial"/>
          <w:b/>
          <w:sz w:val="24"/>
          <w:szCs w:val="24"/>
        </w:rPr>
        <w:t>DUVALIER SÁNCHEZ ARANGO</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B054CA">
      <w:pPr>
        <w:ind w:left="-2"/>
        <w:rPr>
          <w:rFonts w:ascii="Arial" w:eastAsia="Arial" w:hAnsi="Arial" w:cs="Arial"/>
          <w:b/>
          <w:sz w:val="24"/>
          <w:szCs w:val="24"/>
        </w:rPr>
      </w:pPr>
    </w:p>
    <w:p w:rsidR="00977018" w:rsidRDefault="00977018" w:rsidP="00B054CA">
      <w:pPr>
        <w:ind w:left="-2"/>
        <w:rPr>
          <w:rFonts w:ascii="Arial" w:eastAsia="Arial" w:hAnsi="Arial" w:cs="Arial"/>
          <w:b/>
          <w:sz w:val="24"/>
          <w:szCs w:val="24"/>
        </w:rPr>
      </w:pPr>
    </w:p>
    <w:p w:rsidR="00977018" w:rsidRDefault="00977018" w:rsidP="00B054CA">
      <w:pPr>
        <w:ind w:left="-2"/>
        <w:rPr>
          <w:rFonts w:ascii="Arial" w:eastAsia="Arial" w:hAnsi="Arial" w:cs="Arial"/>
          <w:b/>
          <w:sz w:val="24"/>
          <w:szCs w:val="24"/>
        </w:rPr>
      </w:pPr>
    </w:p>
    <w:p w:rsidR="00B054CA" w:rsidRDefault="00B054CA" w:rsidP="00B054CA">
      <w:pPr>
        <w:ind w:left="-2"/>
        <w:rPr>
          <w:rFonts w:ascii="Arial" w:eastAsia="Arial" w:hAnsi="Arial" w:cs="Arial"/>
          <w:b/>
          <w:sz w:val="24"/>
          <w:szCs w:val="24"/>
        </w:rPr>
      </w:pPr>
      <w:r>
        <w:rPr>
          <w:rFonts w:ascii="Arial" w:eastAsia="Arial" w:hAnsi="Arial" w:cs="Arial"/>
          <w:b/>
          <w:sz w:val="24"/>
          <w:szCs w:val="24"/>
        </w:rPr>
        <w:t>MARELEN CASTILLO TORRES</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B054CA">
      <w:pPr>
        <w:ind w:left="-2"/>
        <w:rPr>
          <w:rFonts w:ascii="Arial" w:eastAsia="Arial" w:hAnsi="Arial" w:cs="Arial"/>
          <w:b/>
          <w:sz w:val="24"/>
          <w:szCs w:val="24"/>
        </w:rPr>
      </w:pPr>
    </w:p>
    <w:p w:rsidR="00977018" w:rsidRDefault="00977018" w:rsidP="00B054CA">
      <w:pPr>
        <w:ind w:left="-2"/>
        <w:rPr>
          <w:rFonts w:ascii="Arial" w:eastAsia="Arial" w:hAnsi="Arial" w:cs="Arial"/>
          <w:b/>
          <w:sz w:val="24"/>
          <w:szCs w:val="24"/>
        </w:rPr>
      </w:pPr>
    </w:p>
    <w:p w:rsidR="00B054CA" w:rsidRDefault="00B054CA" w:rsidP="00B054CA">
      <w:pPr>
        <w:ind w:left="-2"/>
        <w:rPr>
          <w:rFonts w:ascii="Arial" w:eastAsia="Arial" w:hAnsi="Arial" w:cs="Arial"/>
          <w:b/>
          <w:sz w:val="24"/>
          <w:szCs w:val="24"/>
        </w:rPr>
      </w:pPr>
      <w:r>
        <w:rPr>
          <w:rFonts w:ascii="Arial" w:eastAsia="Arial" w:hAnsi="Arial" w:cs="Arial"/>
          <w:b/>
          <w:sz w:val="24"/>
          <w:szCs w:val="24"/>
        </w:rPr>
        <w:t>LUIS ALBERTO ALBÁN URBANO</w:t>
      </w:r>
      <w:r>
        <w:rPr>
          <w:rFonts w:ascii="Arial" w:eastAsia="Arial" w:hAnsi="Arial" w:cs="Arial"/>
          <w:b/>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Ponente</w:t>
      </w:r>
    </w:p>
    <w:p w:rsidR="00483B9D" w:rsidRDefault="009A4D35" w:rsidP="00B054CA">
      <w:pPr>
        <w:ind w:left="-2"/>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
    <w:p w:rsidR="00483B9D" w:rsidRDefault="00483B9D">
      <w:pPr>
        <w:ind w:hanging="2"/>
        <w:jc w:val="both"/>
        <w:rPr>
          <w:rFonts w:ascii="Arial" w:eastAsia="Arial" w:hAnsi="Arial" w:cs="Arial"/>
          <w:sz w:val="24"/>
          <w:szCs w:val="24"/>
        </w:rPr>
      </w:pPr>
    </w:p>
    <w:p w:rsidR="00483B9D" w:rsidRDefault="009A4D35">
      <w:pPr>
        <w:ind w:hanging="2"/>
        <w:jc w:val="both"/>
        <w:rPr>
          <w:rFonts w:ascii="Arial" w:eastAsia="Arial" w:hAnsi="Arial" w:cs="Arial"/>
          <w:sz w:val="24"/>
          <w:szCs w:val="24"/>
        </w:rPr>
      </w:pPr>
      <w:r>
        <w:rPr>
          <w:rFonts w:ascii="Arial" w:eastAsia="Arial" w:hAnsi="Arial" w:cs="Arial"/>
          <w:sz w:val="24"/>
          <w:szCs w:val="24"/>
        </w:rPr>
        <w:tab/>
      </w:r>
    </w:p>
    <w:p w:rsidR="00483B9D" w:rsidRDefault="00483B9D">
      <w:pPr>
        <w:jc w:val="both"/>
        <w:rPr>
          <w:rFonts w:ascii="Arial" w:eastAsia="Arial" w:hAnsi="Arial" w:cs="Arial"/>
          <w:sz w:val="24"/>
          <w:szCs w:val="24"/>
        </w:rPr>
      </w:pPr>
    </w:p>
    <w:p w:rsidR="00483B9D" w:rsidRDefault="00483B9D">
      <w:pPr>
        <w:jc w:val="both"/>
        <w:rPr>
          <w:rFonts w:ascii="Arial" w:eastAsia="Arial" w:hAnsi="Arial" w:cs="Arial"/>
          <w:sz w:val="24"/>
          <w:szCs w:val="24"/>
        </w:rPr>
      </w:pPr>
    </w:p>
    <w:p w:rsidR="00483B9D" w:rsidRDefault="00483B9D">
      <w:pPr>
        <w:jc w:val="both"/>
        <w:rPr>
          <w:rFonts w:ascii="Arial" w:eastAsia="Arial" w:hAnsi="Arial" w:cs="Arial"/>
          <w:sz w:val="24"/>
          <w:szCs w:val="24"/>
        </w:rPr>
      </w:pPr>
    </w:p>
    <w:p w:rsidR="00483B9D" w:rsidRDefault="00483B9D">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177D34" w:rsidRDefault="00177D34">
      <w:pPr>
        <w:jc w:val="both"/>
        <w:rPr>
          <w:rFonts w:ascii="Arial" w:eastAsia="Arial" w:hAnsi="Arial" w:cs="Arial"/>
          <w:sz w:val="24"/>
          <w:szCs w:val="24"/>
        </w:rPr>
      </w:pPr>
    </w:p>
    <w:p w:rsidR="00483B9D" w:rsidRDefault="00483B9D">
      <w:pPr>
        <w:jc w:val="both"/>
        <w:rPr>
          <w:rFonts w:ascii="Arial" w:eastAsia="Arial" w:hAnsi="Arial" w:cs="Arial"/>
          <w:sz w:val="24"/>
          <w:szCs w:val="24"/>
        </w:rPr>
      </w:pPr>
    </w:p>
    <w:p w:rsidR="00483B9D" w:rsidRDefault="009A4D35">
      <w:pPr>
        <w:pBdr>
          <w:top w:val="single" w:sz="4" w:space="0" w:color="000000"/>
          <w:left w:val="single" w:sz="4" w:space="0" w:color="000000"/>
          <w:bottom w:val="single" w:sz="4" w:space="0" w:color="000000"/>
          <w:right w:val="single" w:sz="4" w:space="0" w:color="000000"/>
        </w:pBdr>
        <w:ind w:hanging="2"/>
        <w:jc w:val="center"/>
        <w:rPr>
          <w:rFonts w:ascii="Arial" w:eastAsia="Arial" w:hAnsi="Arial" w:cs="Arial"/>
          <w:sz w:val="24"/>
          <w:szCs w:val="24"/>
        </w:rPr>
      </w:pPr>
      <w:r>
        <w:rPr>
          <w:rFonts w:ascii="Arial" w:eastAsia="Arial" w:hAnsi="Arial" w:cs="Arial"/>
          <w:b/>
          <w:sz w:val="24"/>
          <w:szCs w:val="24"/>
        </w:rPr>
        <w:lastRenderedPageBreak/>
        <w:t>TRÁMITE DEL PROYECTO</w:t>
      </w:r>
    </w:p>
    <w:p w:rsidR="00483B9D" w:rsidRDefault="009A4D35">
      <w:pPr>
        <w:ind w:hanging="2"/>
        <w:jc w:val="both"/>
        <w:rPr>
          <w:rFonts w:ascii="Arial" w:eastAsia="Arial" w:hAnsi="Arial" w:cs="Arial"/>
          <w:sz w:val="24"/>
          <w:szCs w:val="24"/>
        </w:rPr>
      </w:pPr>
      <w:r>
        <w:rPr>
          <w:rFonts w:ascii="Arial" w:eastAsia="Arial" w:hAnsi="Arial" w:cs="Arial"/>
          <w:b/>
          <w:sz w:val="24"/>
          <w:szCs w:val="24"/>
        </w:rPr>
        <w:t>Origen:</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Congresional</w:t>
      </w:r>
    </w:p>
    <w:p w:rsidR="00483B9D" w:rsidRDefault="009A4D35">
      <w:pPr>
        <w:ind w:left="2880" w:hanging="2880"/>
        <w:jc w:val="both"/>
        <w:rPr>
          <w:rFonts w:ascii="Arial" w:eastAsia="Arial" w:hAnsi="Arial" w:cs="Arial"/>
          <w:sz w:val="24"/>
          <w:szCs w:val="24"/>
        </w:rPr>
      </w:pPr>
      <w:proofErr w:type="gramStart"/>
      <w:r>
        <w:rPr>
          <w:rFonts w:ascii="Arial" w:eastAsia="Arial" w:hAnsi="Arial" w:cs="Arial"/>
          <w:b/>
          <w:sz w:val="24"/>
          <w:szCs w:val="24"/>
        </w:rPr>
        <w:t>Autor:</w:t>
      </w:r>
      <w:r>
        <w:rPr>
          <w:rFonts w:ascii="Arial" w:eastAsia="Arial" w:hAnsi="Arial" w:cs="Arial"/>
          <w:b/>
          <w:sz w:val="24"/>
          <w:szCs w:val="24"/>
        </w:rPr>
        <w:tab/>
      </w:r>
      <w:r>
        <w:rPr>
          <w:rFonts w:ascii="Arial" w:eastAsia="Arial" w:hAnsi="Arial" w:cs="Arial"/>
          <w:sz w:val="24"/>
          <w:szCs w:val="24"/>
        </w:rPr>
        <w:t>HH.SS</w:t>
      </w:r>
      <w:proofErr w:type="gramEnd"/>
      <w:r>
        <w:rPr>
          <w:rFonts w:ascii="Arial" w:eastAsia="Arial" w:hAnsi="Arial" w:cs="Arial"/>
          <w:sz w:val="24"/>
          <w:szCs w:val="24"/>
        </w:rPr>
        <w:t xml:space="preserve">: Alfredo </w:t>
      </w:r>
      <w:proofErr w:type="spellStart"/>
      <w:r>
        <w:rPr>
          <w:rFonts w:ascii="Arial" w:eastAsia="Arial" w:hAnsi="Arial" w:cs="Arial"/>
          <w:sz w:val="24"/>
          <w:szCs w:val="24"/>
        </w:rPr>
        <w:t>Deluque</w:t>
      </w:r>
      <w:proofErr w:type="spellEnd"/>
      <w:r>
        <w:rPr>
          <w:rFonts w:ascii="Arial" w:eastAsia="Arial" w:hAnsi="Arial" w:cs="Arial"/>
          <w:sz w:val="24"/>
          <w:szCs w:val="24"/>
        </w:rPr>
        <w:t xml:space="preserve"> Zuleta, Antonio Correa Jiménez, Alejandro Vega Pérez, </w:t>
      </w:r>
      <w:proofErr w:type="spellStart"/>
      <w:r>
        <w:rPr>
          <w:rFonts w:ascii="Arial" w:eastAsia="Arial" w:hAnsi="Arial" w:cs="Arial"/>
          <w:sz w:val="24"/>
          <w:szCs w:val="24"/>
        </w:rPr>
        <w:t>Jahel</w:t>
      </w:r>
      <w:proofErr w:type="spellEnd"/>
      <w:r>
        <w:rPr>
          <w:rFonts w:ascii="Arial" w:eastAsia="Arial" w:hAnsi="Arial" w:cs="Arial"/>
          <w:sz w:val="24"/>
          <w:szCs w:val="24"/>
        </w:rPr>
        <w:t xml:space="preserve"> Quiroga Carrillo, José Luis Pérez </w:t>
      </w:r>
      <w:proofErr w:type="spellStart"/>
      <w:r>
        <w:rPr>
          <w:rFonts w:ascii="Arial" w:eastAsia="Arial" w:hAnsi="Arial" w:cs="Arial"/>
          <w:sz w:val="24"/>
          <w:szCs w:val="24"/>
        </w:rPr>
        <w:t>Oyuela</w:t>
      </w:r>
      <w:proofErr w:type="spellEnd"/>
      <w:r>
        <w:rPr>
          <w:rFonts w:ascii="Arial" w:eastAsia="Arial" w:hAnsi="Arial" w:cs="Arial"/>
          <w:sz w:val="24"/>
          <w:szCs w:val="24"/>
        </w:rPr>
        <w:t xml:space="preserve">, Didier Lobo Chinchilla, Fabio Amín </w:t>
      </w:r>
      <w:proofErr w:type="spellStart"/>
      <w:r>
        <w:rPr>
          <w:rFonts w:ascii="Arial" w:eastAsia="Arial" w:hAnsi="Arial" w:cs="Arial"/>
          <w:sz w:val="24"/>
          <w:szCs w:val="24"/>
        </w:rPr>
        <w:t>Saleme</w:t>
      </w:r>
      <w:proofErr w:type="spellEnd"/>
      <w:r>
        <w:rPr>
          <w:rFonts w:ascii="Arial" w:eastAsia="Arial" w:hAnsi="Arial" w:cs="Arial"/>
          <w:sz w:val="24"/>
          <w:szCs w:val="24"/>
        </w:rPr>
        <w:t xml:space="preserve">, Gloria Flórez Schneider, Alejandro Carlos Chacón Camargo. – </w:t>
      </w:r>
      <w:proofErr w:type="gramStart"/>
      <w:r>
        <w:rPr>
          <w:rFonts w:ascii="Arial" w:eastAsia="Arial" w:hAnsi="Arial" w:cs="Arial"/>
          <w:sz w:val="24"/>
          <w:szCs w:val="24"/>
        </w:rPr>
        <w:t>HH.RR</w:t>
      </w:r>
      <w:proofErr w:type="gramEnd"/>
      <w:r>
        <w:rPr>
          <w:rFonts w:ascii="Arial" w:eastAsia="Arial" w:hAnsi="Arial" w:cs="Arial"/>
          <w:sz w:val="24"/>
          <w:szCs w:val="24"/>
        </w:rPr>
        <w:t xml:space="preserve">: </w:t>
      </w:r>
      <w:proofErr w:type="spellStart"/>
      <w:r>
        <w:rPr>
          <w:rFonts w:ascii="Arial" w:eastAsia="Arial" w:hAnsi="Arial" w:cs="Arial"/>
          <w:sz w:val="24"/>
          <w:szCs w:val="24"/>
        </w:rPr>
        <w:t>E</w:t>
      </w:r>
      <w:r>
        <w:rPr>
          <w:rFonts w:ascii="Arial" w:eastAsia="Arial" w:hAnsi="Arial" w:cs="Arial"/>
          <w:sz w:val="24"/>
          <w:szCs w:val="24"/>
        </w:rPr>
        <w:t>duard</w:t>
      </w:r>
      <w:proofErr w:type="spellEnd"/>
      <w:r>
        <w:rPr>
          <w:rFonts w:ascii="Arial" w:eastAsia="Arial" w:hAnsi="Arial" w:cs="Arial"/>
          <w:sz w:val="24"/>
          <w:szCs w:val="24"/>
        </w:rPr>
        <w:t xml:space="preserve"> Sarmiento Hidalgo.</w:t>
      </w:r>
    </w:p>
    <w:p w:rsidR="00483B9D" w:rsidRDefault="009A4D35">
      <w:pPr>
        <w:spacing w:after="0" w:line="240" w:lineRule="auto"/>
        <w:rPr>
          <w:rFonts w:ascii="Arial" w:eastAsia="Arial" w:hAnsi="Arial" w:cs="Arial"/>
          <w:sz w:val="24"/>
          <w:szCs w:val="24"/>
        </w:rPr>
      </w:pPr>
      <w:r>
        <w:rPr>
          <w:rFonts w:ascii="Arial" w:eastAsia="Arial" w:hAnsi="Arial" w:cs="Arial"/>
          <w:b/>
          <w:sz w:val="24"/>
          <w:szCs w:val="24"/>
        </w:rPr>
        <w:t>Proyecto Original:</w:t>
      </w:r>
      <w:r>
        <w:rPr>
          <w:rFonts w:ascii="Arial" w:eastAsia="Arial" w:hAnsi="Arial" w:cs="Arial"/>
          <w:sz w:val="24"/>
          <w:szCs w:val="24"/>
        </w:rPr>
        <w:tab/>
        <w:t xml:space="preserve"> </w:t>
      </w:r>
      <w:r>
        <w:rPr>
          <w:rFonts w:ascii="Arial" w:eastAsia="Arial" w:hAnsi="Arial" w:cs="Arial"/>
          <w:sz w:val="24"/>
          <w:szCs w:val="24"/>
        </w:rPr>
        <w:tab/>
        <w:t>Gaceta N° 90/2024</w:t>
      </w:r>
    </w:p>
    <w:p w:rsidR="00483B9D" w:rsidRDefault="00483B9D">
      <w:pPr>
        <w:tabs>
          <w:tab w:val="left" w:pos="708"/>
        </w:tabs>
        <w:spacing w:after="120"/>
        <w:ind w:hanging="2"/>
        <w:jc w:val="both"/>
        <w:rPr>
          <w:rFonts w:ascii="Arial" w:eastAsia="Arial" w:hAnsi="Arial" w:cs="Arial"/>
          <w:sz w:val="24"/>
          <w:szCs w:val="24"/>
        </w:rPr>
      </w:pPr>
    </w:p>
    <w:p w:rsidR="00483B9D" w:rsidRDefault="009A4D35">
      <w:pPr>
        <w:spacing w:line="240" w:lineRule="auto"/>
        <w:ind w:left="2880" w:hanging="2880"/>
        <w:jc w:val="both"/>
        <w:rPr>
          <w:rFonts w:ascii="Arial" w:eastAsia="Arial" w:hAnsi="Arial" w:cs="Arial"/>
          <w:sz w:val="24"/>
          <w:szCs w:val="24"/>
        </w:rPr>
      </w:pPr>
      <w:r>
        <w:rPr>
          <w:rFonts w:ascii="Arial" w:eastAsia="Arial" w:hAnsi="Arial" w:cs="Arial"/>
          <w:b/>
          <w:sz w:val="24"/>
          <w:szCs w:val="24"/>
        </w:rPr>
        <w:t>Trámite en Senado:</w:t>
      </w:r>
      <w:r>
        <w:rPr>
          <w:rFonts w:ascii="Arial" w:eastAsia="Arial" w:hAnsi="Arial" w:cs="Arial"/>
          <w:b/>
          <w:sz w:val="24"/>
          <w:szCs w:val="24"/>
        </w:rPr>
        <w:tab/>
      </w:r>
      <w:r>
        <w:rPr>
          <w:rFonts w:ascii="Arial" w:eastAsia="Arial" w:hAnsi="Arial" w:cs="Arial"/>
          <w:sz w:val="24"/>
          <w:szCs w:val="24"/>
        </w:rPr>
        <w:t>El día dieciséis (16) de febrero de 2024 se radicó el expediente del proyecto de Acto Legislativo No. 020 de 2024 Senado “Por el cual se modifica el artículo 65 de la Const</w:t>
      </w:r>
      <w:r>
        <w:rPr>
          <w:rFonts w:ascii="Arial" w:eastAsia="Arial" w:hAnsi="Arial" w:cs="Arial"/>
          <w:sz w:val="24"/>
          <w:szCs w:val="24"/>
        </w:rPr>
        <w:t>itución Política de Colombia”; aprobándose la misma sin modificaciones.</w:t>
      </w:r>
    </w:p>
    <w:p w:rsidR="00483B9D" w:rsidRDefault="009A4D35">
      <w:pPr>
        <w:spacing w:line="240" w:lineRule="auto"/>
        <w:ind w:left="2880"/>
        <w:jc w:val="both"/>
        <w:rPr>
          <w:rFonts w:ascii="Arial" w:eastAsia="Arial" w:hAnsi="Arial" w:cs="Arial"/>
          <w:sz w:val="24"/>
          <w:szCs w:val="24"/>
        </w:rPr>
      </w:pPr>
      <w:r>
        <w:rPr>
          <w:rFonts w:ascii="Arial" w:eastAsia="Arial" w:hAnsi="Arial" w:cs="Arial"/>
          <w:sz w:val="24"/>
          <w:szCs w:val="24"/>
        </w:rPr>
        <w:t xml:space="preserve">El día veintiocho (28) de febrero de 2024 la Mesa Directiva de la Comisión Primera del Senado de la República mediante Acta MD-20 se designó como ponente al Senador Alfredo </w:t>
      </w:r>
      <w:proofErr w:type="spellStart"/>
      <w:r>
        <w:rPr>
          <w:rFonts w:ascii="Arial" w:eastAsia="Arial" w:hAnsi="Arial" w:cs="Arial"/>
          <w:sz w:val="24"/>
          <w:szCs w:val="24"/>
        </w:rPr>
        <w:t>Deluque</w:t>
      </w:r>
      <w:proofErr w:type="spellEnd"/>
      <w:r>
        <w:rPr>
          <w:rFonts w:ascii="Arial" w:eastAsia="Arial" w:hAnsi="Arial" w:cs="Arial"/>
          <w:sz w:val="24"/>
          <w:szCs w:val="24"/>
        </w:rPr>
        <w:t xml:space="preserve"> Zuleta.</w:t>
      </w:r>
    </w:p>
    <w:p w:rsidR="00483B9D" w:rsidRDefault="009A4D35">
      <w:pPr>
        <w:spacing w:line="240" w:lineRule="auto"/>
        <w:ind w:left="2880"/>
        <w:jc w:val="both"/>
        <w:rPr>
          <w:rFonts w:ascii="Arial" w:eastAsia="Arial" w:hAnsi="Arial" w:cs="Arial"/>
          <w:sz w:val="24"/>
          <w:szCs w:val="24"/>
        </w:rPr>
      </w:pPr>
      <w:r>
        <w:rPr>
          <w:rFonts w:ascii="Arial" w:eastAsia="Arial" w:hAnsi="Arial" w:cs="Arial"/>
          <w:sz w:val="24"/>
          <w:szCs w:val="24"/>
        </w:rPr>
        <w:t xml:space="preserve">El día </w:t>
      </w:r>
      <w:r>
        <w:rPr>
          <w:rFonts w:ascii="Arial" w:eastAsia="Arial" w:hAnsi="Arial" w:cs="Arial"/>
          <w:sz w:val="24"/>
          <w:szCs w:val="24"/>
        </w:rPr>
        <w:t>20 de marzo fue aprobad</w:t>
      </w:r>
      <w:r w:rsidR="00977018">
        <w:rPr>
          <w:rFonts w:ascii="Arial" w:eastAsia="Arial" w:hAnsi="Arial" w:cs="Arial"/>
          <w:sz w:val="24"/>
          <w:szCs w:val="24"/>
        </w:rPr>
        <w:t>o en Comisión Primera de Senado</w:t>
      </w:r>
      <w:r>
        <w:rPr>
          <w:rFonts w:ascii="Arial" w:eastAsia="Arial" w:hAnsi="Arial" w:cs="Arial"/>
          <w:sz w:val="24"/>
          <w:szCs w:val="24"/>
        </w:rPr>
        <w:t xml:space="preserve">, se </w:t>
      </w:r>
      <w:r>
        <w:rPr>
          <w:rFonts w:ascii="Arial" w:eastAsia="Arial" w:hAnsi="Arial" w:cs="Arial"/>
          <w:sz w:val="24"/>
          <w:szCs w:val="24"/>
        </w:rPr>
        <w:t xml:space="preserve">designó como ponente al Senador Alfredo </w:t>
      </w:r>
      <w:proofErr w:type="spellStart"/>
      <w:r>
        <w:rPr>
          <w:rFonts w:ascii="Arial" w:eastAsia="Arial" w:hAnsi="Arial" w:cs="Arial"/>
          <w:sz w:val="24"/>
          <w:szCs w:val="24"/>
        </w:rPr>
        <w:t>Deluque</w:t>
      </w:r>
      <w:proofErr w:type="spellEnd"/>
      <w:r>
        <w:rPr>
          <w:rFonts w:ascii="Arial" w:eastAsia="Arial" w:hAnsi="Arial" w:cs="Arial"/>
          <w:sz w:val="24"/>
          <w:szCs w:val="24"/>
        </w:rPr>
        <w:t xml:space="preserve"> Zuleta.</w:t>
      </w:r>
    </w:p>
    <w:p w:rsidR="00977018" w:rsidRDefault="00977018">
      <w:pPr>
        <w:spacing w:line="240" w:lineRule="auto"/>
        <w:ind w:left="2880"/>
        <w:jc w:val="both"/>
        <w:rPr>
          <w:rFonts w:ascii="Arial" w:eastAsia="Arial" w:hAnsi="Arial" w:cs="Arial"/>
          <w:sz w:val="24"/>
          <w:szCs w:val="24"/>
        </w:rPr>
      </w:pPr>
      <w:r>
        <w:rPr>
          <w:rFonts w:ascii="Arial" w:eastAsia="Arial" w:hAnsi="Arial" w:cs="Arial"/>
          <w:sz w:val="24"/>
          <w:szCs w:val="24"/>
        </w:rPr>
        <w:t xml:space="preserve">El día 07 de mayo de 2024 fue aprobado en la plenaria del Senado de la República. </w:t>
      </w:r>
    </w:p>
    <w:p w:rsidR="00977018" w:rsidRDefault="00977018">
      <w:pPr>
        <w:spacing w:line="240" w:lineRule="auto"/>
        <w:ind w:left="2880"/>
        <w:jc w:val="both"/>
        <w:rPr>
          <w:rFonts w:ascii="Arial" w:eastAsia="Arial" w:hAnsi="Arial" w:cs="Arial"/>
          <w:sz w:val="24"/>
          <w:szCs w:val="24"/>
        </w:rPr>
      </w:pPr>
    </w:p>
    <w:p w:rsidR="00483B9D" w:rsidRDefault="009A4D35">
      <w:pPr>
        <w:pBdr>
          <w:top w:val="single" w:sz="4" w:space="0" w:color="000000"/>
          <w:left w:val="single" w:sz="4" w:space="0" w:color="000000"/>
          <w:bottom w:val="single" w:sz="4" w:space="0" w:color="000000"/>
          <w:right w:val="single" w:sz="4" w:space="0" w:color="000000"/>
        </w:pBdr>
        <w:ind w:hanging="2"/>
        <w:jc w:val="center"/>
        <w:rPr>
          <w:rFonts w:ascii="Arial" w:eastAsia="Arial" w:hAnsi="Arial" w:cs="Arial"/>
          <w:sz w:val="24"/>
          <w:szCs w:val="24"/>
        </w:rPr>
      </w:pPr>
      <w:r>
        <w:rPr>
          <w:rFonts w:ascii="Arial" w:eastAsia="Arial" w:hAnsi="Arial" w:cs="Arial"/>
          <w:b/>
          <w:sz w:val="24"/>
          <w:szCs w:val="24"/>
        </w:rPr>
        <w:t xml:space="preserve">OBJETO DEL PROYECTO </w:t>
      </w:r>
    </w:p>
    <w:p w:rsidR="00483B9D" w:rsidRDefault="009A4D35">
      <w:pPr>
        <w:jc w:val="both"/>
        <w:rPr>
          <w:rFonts w:ascii="Arial" w:eastAsia="Arial" w:hAnsi="Arial" w:cs="Arial"/>
          <w:sz w:val="24"/>
          <w:szCs w:val="24"/>
        </w:rPr>
      </w:pPr>
      <w:r>
        <w:rPr>
          <w:rFonts w:ascii="Arial" w:eastAsia="Arial" w:hAnsi="Arial" w:cs="Arial"/>
          <w:sz w:val="24"/>
          <w:szCs w:val="24"/>
        </w:rPr>
        <w:t>El proyecto de Acto Legislativo que se pone a consideración del Honorable Congreso de la República tiene por objeto establecer la obligación del Estado de dirigir sus políticas ha</w:t>
      </w:r>
      <w:r>
        <w:rPr>
          <w:rFonts w:ascii="Arial" w:eastAsia="Arial" w:hAnsi="Arial" w:cs="Arial"/>
          <w:sz w:val="24"/>
          <w:szCs w:val="24"/>
        </w:rPr>
        <w:t>cia el aseguramiento del derecho a la alimentación, a proteger contra el hambre, la desnutrición y la malnutrición, a promover condiciones de seguridad y autonomías alimentarias de su población.</w:t>
      </w:r>
    </w:p>
    <w:p w:rsidR="00483B9D" w:rsidRDefault="009A4D35">
      <w:pPr>
        <w:jc w:val="both"/>
        <w:rPr>
          <w:rFonts w:ascii="Arial" w:eastAsia="Arial" w:hAnsi="Arial" w:cs="Arial"/>
          <w:sz w:val="24"/>
          <w:szCs w:val="24"/>
        </w:rPr>
      </w:pPr>
      <w:r>
        <w:rPr>
          <w:rFonts w:ascii="Arial" w:eastAsia="Arial" w:hAnsi="Arial" w:cs="Arial"/>
          <w:sz w:val="24"/>
          <w:szCs w:val="24"/>
        </w:rPr>
        <w:t>Al respecto, es necesario mencionar que dicha prerrogativa, s</w:t>
      </w:r>
      <w:r>
        <w:rPr>
          <w:rFonts w:ascii="Arial" w:eastAsia="Arial" w:hAnsi="Arial" w:cs="Arial"/>
          <w:sz w:val="24"/>
          <w:szCs w:val="24"/>
        </w:rPr>
        <w:t>e encuentra consagrada en sendos instrumentos internacionales ratificados por el Estado colombiano</w:t>
      </w:r>
      <w:r>
        <w:rPr>
          <w:rFonts w:ascii="Arial" w:eastAsia="Arial" w:hAnsi="Arial" w:cs="Arial"/>
          <w:sz w:val="24"/>
          <w:szCs w:val="24"/>
          <w:vertAlign w:val="superscript"/>
        </w:rPr>
        <w:footnoteReference w:id="1"/>
      </w:r>
      <w:r>
        <w:rPr>
          <w:rFonts w:ascii="Arial" w:eastAsia="Arial" w:hAnsi="Arial" w:cs="Arial"/>
          <w:sz w:val="24"/>
          <w:szCs w:val="24"/>
        </w:rPr>
        <w:t xml:space="preserve"> y, adicionalmente, se pretende dar cumplimiento a obligaciones </w:t>
      </w:r>
      <w:r>
        <w:rPr>
          <w:rFonts w:ascii="Arial" w:eastAsia="Arial" w:hAnsi="Arial" w:cs="Arial"/>
          <w:sz w:val="24"/>
          <w:szCs w:val="24"/>
        </w:rPr>
        <w:lastRenderedPageBreak/>
        <w:t>internacionales que el Estado colombiano ha adquirido y que se encuentran en completa consona</w:t>
      </w:r>
      <w:r>
        <w:rPr>
          <w:rFonts w:ascii="Arial" w:eastAsia="Arial" w:hAnsi="Arial" w:cs="Arial"/>
          <w:sz w:val="24"/>
          <w:szCs w:val="24"/>
        </w:rPr>
        <w:t>ncia con lo consagrado en el ordenamiento interno,  en virtud de lo establecido en diversas disposiciones constitucionales y en particular con lo dispuesto en el artículo 93 de la Constitución Política de 1991.</w:t>
      </w:r>
    </w:p>
    <w:p w:rsidR="00483B9D" w:rsidRDefault="00483B9D">
      <w:pPr>
        <w:jc w:val="both"/>
        <w:rPr>
          <w:rFonts w:ascii="Arial" w:eastAsia="Arial" w:hAnsi="Arial" w:cs="Arial"/>
          <w:sz w:val="24"/>
          <w:szCs w:val="24"/>
        </w:rPr>
      </w:pPr>
    </w:p>
    <w:p w:rsidR="00483B9D" w:rsidRDefault="009A4D35">
      <w:pPr>
        <w:pBdr>
          <w:top w:val="single" w:sz="4" w:space="0" w:color="000000"/>
          <w:left w:val="single" w:sz="4" w:space="0" w:color="000000"/>
          <w:bottom w:val="single" w:sz="4" w:space="0" w:color="000000"/>
          <w:right w:val="single" w:sz="4" w:space="0" w:color="000000"/>
        </w:pBdr>
        <w:ind w:hanging="2"/>
        <w:jc w:val="center"/>
        <w:rPr>
          <w:rFonts w:ascii="Arial" w:eastAsia="Arial" w:hAnsi="Arial" w:cs="Arial"/>
          <w:sz w:val="24"/>
          <w:szCs w:val="24"/>
        </w:rPr>
      </w:pPr>
      <w:r>
        <w:rPr>
          <w:rFonts w:ascii="Arial" w:eastAsia="Arial" w:hAnsi="Arial" w:cs="Arial"/>
          <w:b/>
          <w:sz w:val="24"/>
          <w:szCs w:val="24"/>
        </w:rPr>
        <w:t>ANTECEDENTES DEL PROYECTO</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La Senadora Maritz</w:t>
      </w:r>
      <w:r>
        <w:rPr>
          <w:rFonts w:ascii="Arial" w:eastAsia="Arial" w:hAnsi="Arial" w:cs="Arial"/>
          <w:color w:val="000000"/>
          <w:sz w:val="24"/>
          <w:szCs w:val="24"/>
        </w:rPr>
        <w:t xml:space="preserve">a Martínez </w:t>
      </w:r>
      <w:proofErr w:type="spellStart"/>
      <w:r>
        <w:rPr>
          <w:rFonts w:ascii="Arial" w:eastAsia="Arial" w:hAnsi="Arial" w:cs="Arial"/>
          <w:color w:val="000000"/>
          <w:sz w:val="24"/>
          <w:szCs w:val="24"/>
        </w:rPr>
        <w:t>Aristizábal</w:t>
      </w:r>
      <w:proofErr w:type="spellEnd"/>
      <w:r>
        <w:rPr>
          <w:rFonts w:ascii="Arial" w:eastAsia="Arial" w:hAnsi="Arial" w:cs="Arial"/>
          <w:color w:val="000000"/>
          <w:sz w:val="24"/>
          <w:szCs w:val="24"/>
        </w:rPr>
        <w:t xml:space="preserve"> como congresista del Partido de la U, presentó esta iniciativa en cuatro ocasiones: Proyecto de Acto </w:t>
      </w:r>
      <w:proofErr w:type="gramStart"/>
      <w:r>
        <w:rPr>
          <w:rFonts w:ascii="Arial" w:eastAsia="Arial" w:hAnsi="Arial" w:cs="Arial"/>
          <w:color w:val="000000"/>
          <w:sz w:val="24"/>
          <w:szCs w:val="24"/>
        </w:rPr>
        <w:t>Legislativo  Nº</w:t>
      </w:r>
      <w:proofErr w:type="gramEnd"/>
      <w:r>
        <w:rPr>
          <w:rFonts w:ascii="Arial" w:eastAsia="Arial" w:hAnsi="Arial" w:cs="Arial"/>
          <w:color w:val="000000"/>
          <w:sz w:val="24"/>
          <w:szCs w:val="24"/>
        </w:rPr>
        <w:t xml:space="preserve"> 36/19, el Nº 13/19, el Nº 01/20, y el Nº 11/21. Este último, logró tener cuatro debates de los ocho necesarios que s</w:t>
      </w:r>
      <w:r>
        <w:rPr>
          <w:rFonts w:ascii="Arial" w:eastAsia="Arial" w:hAnsi="Arial" w:cs="Arial"/>
          <w:color w:val="000000"/>
          <w:sz w:val="24"/>
          <w:szCs w:val="24"/>
        </w:rPr>
        <w:t>e necesitan para que se aprueben este tipo de propuestas legislativas, que buscan modificar artículos de la Constitución Política de Colombia.</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 xml:space="preserve">En la legislatura 2022-2023 se radicó como Proyecto de Acto Legislativo 001 de 2022 Senado, y fue aprobado hasta el primer debate de segunda vuelta en la Comisión Primera del Senado.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Igualmente, el 20 de julio de 2023, para el primer periodo de la legisla</w:t>
      </w:r>
      <w:r>
        <w:rPr>
          <w:rFonts w:ascii="Arial" w:eastAsia="Arial" w:hAnsi="Arial" w:cs="Arial"/>
          <w:color w:val="000000"/>
          <w:sz w:val="24"/>
          <w:szCs w:val="24"/>
        </w:rPr>
        <w:t>tura 2023-2024, se radicó como proyecto de Acto Legislativo 004 de 2023 Senado y surtió su trámite de primera vuelta en Senado, pero por tiempos fue archivado al no alcanzar en dicho periodo los otros dos debates en Cámara de Representantes.</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En dichos proy</w:t>
      </w:r>
      <w:r>
        <w:rPr>
          <w:rFonts w:ascii="Arial" w:eastAsia="Arial" w:hAnsi="Arial" w:cs="Arial"/>
          <w:color w:val="000000"/>
          <w:sz w:val="24"/>
          <w:szCs w:val="24"/>
        </w:rPr>
        <w:t xml:space="preserve">ectos de Acto Legislativo se mantuvo el mismo espíritu de este proyecto: establecer constitucionalmente que el Estado garantice el derecho a la alimentación adecuada y a proteger contra el hambre y la desnutrición, </w:t>
      </w:r>
      <w:proofErr w:type="gramStart"/>
      <w:r>
        <w:rPr>
          <w:rFonts w:ascii="Arial" w:eastAsia="Arial" w:hAnsi="Arial" w:cs="Arial"/>
          <w:color w:val="000000"/>
          <w:sz w:val="24"/>
          <w:szCs w:val="24"/>
        </w:rPr>
        <w:t>promoviendo</w:t>
      </w:r>
      <w:proofErr w:type="gramEnd"/>
      <w:r>
        <w:rPr>
          <w:rFonts w:ascii="Arial" w:eastAsia="Arial" w:hAnsi="Arial" w:cs="Arial"/>
          <w:color w:val="000000"/>
          <w:sz w:val="24"/>
          <w:szCs w:val="24"/>
        </w:rPr>
        <w:t xml:space="preserve"> además, condiciones de seguri</w:t>
      </w:r>
      <w:r>
        <w:rPr>
          <w:rFonts w:ascii="Arial" w:eastAsia="Arial" w:hAnsi="Arial" w:cs="Arial"/>
          <w:color w:val="000000"/>
          <w:sz w:val="24"/>
          <w:szCs w:val="24"/>
        </w:rPr>
        <w:t>dad alimentaria y autonomías alimentaria en el territorio nacional.</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Así, este proyecto de Acto Legislativo se convierte en la séptima iniciativa tendiente a establecer de manera expresa en la máxima norma del ordenamiento jurídico nacional el derecho que </w:t>
      </w:r>
      <w:r>
        <w:rPr>
          <w:rFonts w:ascii="Arial" w:eastAsia="Arial" w:hAnsi="Arial" w:cs="Arial"/>
          <w:color w:val="000000"/>
          <w:sz w:val="24"/>
          <w:szCs w:val="24"/>
        </w:rPr>
        <w:t>le asiste a cada ser humano a estar protegido contra el hambre y la desnutrición.</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En Colombia, un país con vocación agrícola, se mantienen alarmantes cifras de desnutrición e inseguridad alimentaria. Si bien existen instrumentos normativos y de política te</w:t>
      </w:r>
      <w:r>
        <w:rPr>
          <w:rFonts w:ascii="Arial" w:eastAsia="Arial" w:hAnsi="Arial" w:cs="Arial"/>
          <w:color w:val="000000"/>
          <w:sz w:val="24"/>
          <w:szCs w:val="24"/>
        </w:rPr>
        <w:t>ndientes a alcanzar objetivos relacionados con seguridad alimentaria y alimentación adecuada, en nuestra norma fundante no hay un reconocimiento expreso al derecho humano a la alimentación, tal y como se ha concebido y desarrollado en el derecho internacio</w:t>
      </w:r>
      <w:r>
        <w:rPr>
          <w:rFonts w:ascii="Arial" w:eastAsia="Arial" w:hAnsi="Arial" w:cs="Arial"/>
          <w:color w:val="000000"/>
          <w:sz w:val="24"/>
          <w:szCs w:val="24"/>
        </w:rPr>
        <w:t>nal de los derechos humanos. Se hace necesario contar con disposiciones jurídicas que permitan al Gobierno Nacional reconocer la importancia debida a la garantía de la Seguridad Alimentaria para la población, al tiempo que a través de la consagración const</w:t>
      </w:r>
      <w:r>
        <w:rPr>
          <w:rFonts w:ascii="Arial" w:eastAsia="Arial" w:hAnsi="Arial" w:cs="Arial"/>
          <w:color w:val="000000"/>
          <w:sz w:val="24"/>
          <w:szCs w:val="24"/>
        </w:rPr>
        <w:t xml:space="preserve">itucional de esta prerrogativa fundamental se otorgan herramientas que le permiten a la ciudadanía ser veedora y exigir el cumplimiento progresivo de la garantía de uno de los derechos más básicos y esenciales: el poder alimentarse dignamente.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Según el Ba</w:t>
      </w:r>
      <w:r>
        <w:rPr>
          <w:rFonts w:ascii="Arial" w:eastAsia="Arial" w:hAnsi="Arial" w:cs="Arial"/>
          <w:color w:val="000000"/>
          <w:sz w:val="24"/>
          <w:szCs w:val="24"/>
        </w:rPr>
        <w:t>nco Mundial (2022), en el mundo los niveles de hambre siguen siendo alarmantemente altos. En el año 2021, sobrepasaron todos los registros anteriores según la edición de 2022 del Informe mundial sobre las crisis alimentarias, cerca de 193 millones de perso</w:t>
      </w:r>
      <w:r>
        <w:rPr>
          <w:rFonts w:ascii="Arial" w:eastAsia="Arial" w:hAnsi="Arial" w:cs="Arial"/>
          <w:color w:val="000000"/>
          <w:sz w:val="24"/>
          <w:szCs w:val="24"/>
        </w:rPr>
        <w:t>nas sufren inseguridad alimentaria grave, o sea aproximadamente 40 millones más que en 2020 cuando se registró el anterior récord. Los conflictos y la inseguridad se identifican como los principales factores que impulsan el aumento de la inseguridad alimen</w:t>
      </w:r>
      <w:r>
        <w:rPr>
          <w:rFonts w:ascii="Arial" w:eastAsia="Arial" w:hAnsi="Arial" w:cs="Arial"/>
          <w:color w:val="000000"/>
          <w:sz w:val="24"/>
          <w:szCs w:val="24"/>
        </w:rPr>
        <w:t xml:space="preserve">taria.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De hecho, en el mencionado informe sobre el estado de la seguridad alimentaria y nutricional, en el mundo (2020) realizado por FAO, IFAD, UNICEF, el Programa Mundial de Alimentos y la Organización Mundial de la Salud, el 8,9% del total de la poblac</w:t>
      </w:r>
      <w:r>
        <w:rPr>
          <w:rFonts w:ascii="Arial" w:eastAsia="Arial" w:hAnsi="Arial" w:cs="Arial"/>
          <w:color w:val="000000"/>
          <w:sz w:val="24"/>
          <w:szCs w:val="24"/>
        </w:rPr>
        <w:t xml:space="preserve">ión global (690 millones de personas) padece hambre, y alrededor del 25,6% del total de la población global (2000 millones de personas, aproximadamente) se encuentran en condiciones de inseguridad alimentaria severa o moderada.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Las anteriores cifras demue</w:t>
      </w:r>
      <w:r>
        <w:rPr>
          <w:rFonts w:ascii="Arial" w:eastAsia="Arial" w:hAnsi="Arial" w:cs="Arial"/>
          <w:color w:val="000000"/>
          <w:sz w:val="24"/>
          <w:szCs w:val="24"/>
        </w:rPr>
        <w:t>stran una tendencia creciente desde el año 2014, que indican que el mundo, previo a la pandemia, no lograba cumplir con el Objetivo de Desarrollo Sostenible Nº 2: Hambre cero a 2030, esto debido a factores como (1) conflictos y violencia; (2) condiciones c</w:t>
      </w:r>
      <w:r>
        <w:rPr>
          <w:rFonts w:ascii="Arial" w:eastAsia="Arial" w:hAnsi="Arial" w:cs="Arial"/>
          <w:color w:val="000000"/>
          <w:sz w:val="24"/>
          <w:szCs w:val="24"/>
        </w:rPr>
        <w:t xml:space="preserve">limáticas adversas producto del calentamiento global y; (3) la desaceleración económica, las cuales afectaban especialmente a África, Asia y América Latina.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Así pues, de continuar con la tendencia evidenciada en los años anteriores, de acuerdo con el</w:t>
      </w:r>
      <w:r>
        <w:rPr>
          <w:rFonts w:ascii="Arial" w:eastAsia="Arial" w:hAnsi="Arial" w:cs="Arial"/>
          <w:color w:val="000000"/>
          <w:sz w:val="24"/>
          <w:szCs w:val="24"/>
        </w:rPr>
        <w:t xml:space="preserve"> informe, el mundo podría encontrarse en una situación peor a la del punto de partida del ODS 2, ya que mientras que en 2015 alrededor de 795 millones de personas pasaban hambre, en 2030 esta cifra puede llegar a los 840 millones.                          </w:t>
      </w:r>
      <w:r>
        <w:rPr>
          <w:rFonts w:ascii="Arial" w:eastAsia="Arial" w:hAnsi="Arial" w:cs="Arial"/>
          <w:color w:val="000000"/>
          <w:sz w:val="24"/>
          <w:szCs w:val="24"/>
        </w:rPr>
        <w:t xml:space="preserve">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lastRenderedPageBreak/>
        <w:t>Sin embargo, esta perspectiva no toma en consideración el impacto que generará la pandemia, que tiene el pote</w:t>
      </w:r>
      <w:r>
        <w:rPr>
          <w:rFonts w:ascii="Arial" w:eastAsia="Arial" w:hAnsi="Arial" w:cs="Arial"/>
          <w:color w:val="000000"/>
          <w:sz w:val="24"/>
          <w:szCs w:val="24"/>
        </w:rPr>
        <w:t>ncial de adicionar entre 83 millones y 132 millones de personas al número de seres humanos que padecen hambre en el año 2020, esto último dependiendo del escenario de crecimiento económico global, el cual aún no resulta del todo claro o predecible. Esta co</w:t>
      </w:r>
      <w:r>
        <w:rPr>
          <w:rFonts w:ascii="Arial" w:eastAsia="Arial" w:hAnsi="Arial" w:cs="Arial"/>
          <w:color w:val="000000"/>
          <w:sz w:val="24"/>
          <w:szCs w:val="24"/>
        </w:rPr>
        <w:t>yuntura hace entonces que sea aún más dudoso que se cumplan las metas y objetivos trazados en el ODS 2, si no se toman medidas necesarias para frenar el hambre en el mundo.</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Es necesario señalar que, de acuerdo con el informe, son múltiples las formas en la</w:t>
      </w:r>
      <w:r>
        <w:rPr>
          <w:rFonts w:ascii="Arial" w:eastAsia="Arial" w:hAnsi="Arial" w:cs="Arial"/>
          <w:color w:val="000000"/>
          <w:sz w:val="24"/>
          <w:szCs w:val="24"/>
        </w:rPr>
        <w:t xml:space="preserve">s cuales la pandemia – y las medidas destinadas a su contención – pueden llegar a incidir en los sistemas de producción alimentarios y por extensión en la seguridad alimentaria.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En ese sentido, se resalta que a pesar de que no se ha registrado escasez gra</w:t>
      </w:r>
      <w:r>
        <w:rPr>
          <w:rFonts w:ascii="Arial" w:eastAsia="Arial" w:hAnsi="Arial" w:cs="Arial"/>
          <w:color w:val="000000"/>
          <w:sz w:val="24"/>
          <w:szCs w:val="24"/>
        </w:rPr>
        <w:t>ve en cultivos como el trigo, el maíz, el arroz o la soya, medidas como la restricción de la movilidad, los aislamientos preventivos obligatorios y la desaceleración económica generalizada generarán que sea mucho más difícil acceder a alimentos para los gr</w:t>
      </w:r>
      <w:r>
        <w:rPr>
          <w:rFonts w:ascii="Arial" w:eastAsia="Arial" w:hAnsi="Arial" w:cs="Arial"/>
          <w:color w:val="000000"/>
          <w:sz w:val="24"/>
          <w:szCs w:val="24"/>
        </w:rPr>
        <w:t>upos más vulnerables de la población, sobre todo en los países de ingreso bajo o medio (como es el caso de Colombia y de la mayoría de países de América Latina y el Caribe), ya que los Estados no contaban con los mecanismos de contingencia y los fondos nec</w:t>
      </w:r>
      <w:r>
        <w:rPr>
          <w:rFonts w:ascii="Arial" w:eastAsia="Arial" w:hAnsi="Arial" w:cs="Arial"/>
          <w:color w:val="000000"/>
          <w:sz w:val="24"/>
          <w:szCs w:val="24"/>
        </w:rPr>
        <w:t>esarios para estimular las economías y proteger a la población más vulnerable, razón por la cual las consecuencias de la crisis económica derivada de la pandemia se sentirán en mayor medida en países como los nuestros, sin que en este momento sea posible c</w:t>
      </w:r>
      <w:r>
        <w:rPr>
          <w:rFonts w:ascii="Arial" w:eastAsia="Arial" w:hAnsi="Arial" w:cs="Arial"/>
          <w:color w:val="000000"/>
          <w:sz w:val="24"/>
          <w:szCs w:val="24"/>
        </w:rPr>
        <w:t>ontar con un estimado puntual (o la magnitud del impacto) dado el desconocimiento, la falta de información y lo impredecible de la situación.</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 xml:space="preserve">Además, los precios de los alimentos han aumentado de manera exponencial en gran medida a los elevados precios de </w:t>
      </w:r>
      <w:r>
        <w:rPr>
          <w:rFonts w:ascii="Arial" w:eastAsia="Arial" w:hAnsi="Arial" w:cs="Arial"/>
          <w:color w:val="000000"/>
          <w:sz w:val="24"/>
          <w:szCs w:val="24"/>
        </w:rPr>
        <w:t>los insumos que, combinados con los altos costos del transporte y las interrupciones del comercio provocadas por la guerra en Ucrania, están aumentando el costo de las importaciones, impactando más fuertemente a los países pobres y en desarrollo, que son l</w:t>
      </w:r>
      <w:r>
        <w:rPr>
          <w:rFonts w:ascii="Arial" w:eastAsia="Arial" w:hAnsi="Arial" w:cs="Arial"/>
          <w:color w:val="000000"/>
          <w:sz w:val="24"/>
          <w:szCs w:val="24"/>
        </w:rPr>
        <w:t>os que más dependen de las importaciones de alimentos. (Banco Mundial 2022).</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De hecho, para corte del 19 de mayo de 2022, el índice de precios agrícolas aumentó en un 42 % respecto a enero de 2021. Los precios del maíz y el trigo son un 55 % y un 91 % más altos, respectivamente, que los de enero de 2021, y los precios del arroz son</w:t>
      </w:r>
      <w:r>
        <w:rPr>
          <w:rFonts w:ascii="Arial" w:eastAsia="Arial" w:hAnsi="Arial" w:cs="Arial"/>
          <w:color w:val="000000"/>
          <w:sz w:val="24"/>
          <w:szCs w:val="24"/>
        </w:rPr>
        <w:t xml:space="preserve"> un 12 % más bajos. Esto, genera procesos inflacionarios de los precios internos, </w:t>
      </w:r>
      <w:proofErr w:type="gramStart"/>
      <w:r>
        <w:rPr>
          <w:rFonts w:ascii="Arial" w:eastAsia="Arial" w:hAnsi="Arial" w:cs="Arial"/>
          <w:color w:val="000000"/>
          <w:sz w:val="24"/>
          <w:szCs w:val="24"/>
        </w:rPr>
        <w:t>así</w:t>
      </w:r>
      <w:proofErr w:type="gramEnd"/>
      <w:r>
        <w:rPr>
          <w:rFonts w:ascii="Arial" w:eastAsia="Arial" w:hAnsi="Arial" w:cs="Arial"/>
          <w:color w:val="000000"/>
          <w:sz w:val="24"/>
          <w:szCs w:val="24"/>
        </w:rPr>
        <w:t xml:space="preserve"> por ejemplo, entre enero de 2022 y abril de 2022, el 92,9 % de los países de ingreso bajo, el 84,2 % de los países de ingreso mediano bajo y el 78 % de los países de ingr</w:t>
      </w:r>
      <w:r>
        <w:rPr>
          <w:rFonts w:ascii="Arial" w:eastAsia="Arial" w:hAnsi="Arial" w:cs="Arial"/>
          <w:color w:val="000000"/>
          <w:sz w:val="24"/>
          <w:szCs w:val="24"/>
        </w:rPr>
        <w:t xml:space="preserve">eso mediano alto han registrado niveles de inflación superiores al 5 %, y muchos experimentaron una inflación de dos dígitos. (Banco Mundial 2022). Esta tendencia ha continuado (Banco Mundial, 2023) y, en </w:t>
      </w:r>
      <w:r>
        <w:rPr>
          <w:rFonts w:ascii="Arial" w:eastAsia="Arial" w:hAnsi="Arial" w:cs="Arial"/>
          <w:color w:val="000000"/>
          <w:sz w:val="24"/>
          <w:szCs w:val="24"/>
        </w:rPr>
        <w:lastRenderedPageBreak/>
        <w:t xml:space="preserve">Colombia, por ejemplo, se ha registrado un alza en </w:t>
      </w:r>
      <w:r>
        <w:rPr>
          <w:rFonts w:ascii="Arial" w:eastAsia="Arial" w:hAnsi="Arial" w:cs="Arial"/>
          <w:color w:val="000000"/>
          <w:sz w:val="24"/>
          <w:szCs w:val="24"/>
        </w:rPr>
        <w:t xml:space="preserve">el precio del arroz desde julio de 2022 impulsada por los altos costos y la reducción de la producción.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Si bien Colombia ha avanzado en materia de disminución de la población que padece de desnutrición (pasó de 11,3% - por encima de la media de América de</w:t>
      </w:r>
      <w:r>
        <w:rPr>
          <w:rFonts w:ascii="Arial" w:eastAsia="Arial" w:hAnsi="Arial" w:cs="Arial"/>
          <w:color w:val="000000"/>
          <w:sz w:val="24"/>
          <w:szCs w:val="24"/>
        </w:rPr>
        <w:t>l Sur – a 5.5% - acorde con la media de la región –), no es menos cierto que, como bien lo advierte la FAO, el impacto que generará la pandemia y   la guerra en Ucrania se sentirá en mayor medida en países como el nuestro – situación que se evidenció con l</w:t>
      </w:r>
      <w:r>
        <w:rPr>
          <w:rFonts w:ascii="Arial" w:eastAsia="Arial" w:hAnsi="Arial" w:cs="Arial"/>
          <w:color w:val="000000"/>
          <w:sz w:val="24"/>
          <w:szCs w:val="24"/>
        </w:rPr>
        <w:t>a proliferación de banderas rojas en las viviendas y el clamor de gran parte de la ciudadanía de abrir la economía para poder contar con los recursos económicos para poder subsistir y alimentarse, así como por el fuerte alza en los precios de la canasta bá</w:t>
      </w:r>
      <w:r>
        <w:rPr>
          <w:rFonts w:ascii="Arial" w:eastAsia="Arial" w:hAnsi="Arial" w:cs="Arial"/>
          <w:color w:val="000000"/>
          <w:sz w:val="24"/>
          <w:szCs w:val="24"/>
        </w:rPr>
        <w:t>sica.</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De hecho, de acuerdo con la última actualización del Informe sobre Seguridad Alimentaria del Banco Mundial (2023), Colombia resultó ser una de las mayores 10 economías con alta tasa de inflación real en alimentos (13%) y dentro de los 20 países con i</w:t>
      </w:r>
      <w:r>
        <w:rPr>
          <w:rFonts w:ascii="Arial" w:eastAsia="Arial" w:hAnsi="Arial" w:cs="Arial"/>
          <w:color w:val="000000"/>
          <w:sz w:val="24"/>
          <w:szCs w:val="24"/>
        </w:rPr>
        <w:t>nflación nominal en precios de alimentos superior al 30%. Por lo tanto, resulta entonces necesario actuar de manera proactiva y contar con los mecanismos que permitan al país establecer una política pública coherente para responder y garantizar los derecho</w:t>
      </w:r>
      <w:r>
        <w:rPr>
          <w:rFonts w:ascii="Arial" w:eastAsia="Arial" w:hAnsi="Arial" w:cs="Arial"/>
          <w:color w:val="000000"/>
          <w:sz w:val="24"/>
          <w:szCs w:val="24"/>
        </w:rPr>
        <w:t>s fundamentales de la ciudadanía.</w:t>
      </w:r>
    </w:p>
    <w:p w:rsidR="00483B9D" w:rsidRDefault="00483B9D">
      <w:pPr>
        <w:jc w:val="both"/>
        <w:rPr>
          <w:rFonts w:ascii="Arial" w:eastAsia="Arial" w:hAnsi="Arial" w:cs="Arial"/>
          <w:color w:val="000000"/>
          <w:sz w:val="24"/>
          <w:szCs w:val="24"/>
        </w:rPr>
      </w:pPr>
    </w:p>
    <w:p w:rsidR="00483B9D" w:rsidRDefault="009A4D35">
      <w:pPr>
        <w:pBdr>
          <w:top w:val="single" w:sz="4" w:space="0" w:color="000000"/>
          <w:left w:val="single" w:sz="4" w:space="0" w:color="000000"/>
          <w:bottom w:val="single" w:sz="4" w:space="0" w:color="000000"/>
          <w:right w:val="single" w:sz="4" w:space="0" w:color="000000"/>
        </w:pBdr>
        <w:ind w:hanging="2"/>
        <w:jc w:val="center"/>
        <w:rPr>
          <w:rFonts w:ascii="Arial" w:eastAsia="Arial" w:hAnsi="Arial" w:cs="Arial"/>
          <w:sz w:val="24"/>
          <w:szCs w:val="24"/>
        </w:rPr>
      </w:pPr>
      <w:r>
        <w:rPr>
          <w:rFonts w:ascii="Arial" w:eastAsia="Arial" w:hAnsi="Arial" w:cs="Arial"/>
          <w:b/>
          <w:sz w:val="24"/>
          <w:szCs w:val="24"/>
        </w:rPr>
        <w:t>COMENTARIOS DEL PONENTE</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De acuerdo con la más reciente ronda de la encuesta de Pulso Social (DANE, 2022</w:t>
      </w:r>
      <w:proofErr w:type="gramStart"/>
      <w:r>
        <w:rPr>
          <w:rFonts w:ascii="Arial" w:eastAsia="Arial" w:hAnsi="Arial" w:cs="Arial"/>
          <w:sz w:val="24"/>
          <w:szCs w:val="24"/>
        </w:rPr>
        <w:t>),  es</w:t>
      </w:r>
      <w:proofErr w:type="gramEnd"/>
      <w:r>
        <w:rPr>
          <w:rFonts w:ascii="Arial" w:eastAsia="Arial" w:hAnsi="Arial" w:cs="Arial"/>
          <w:sz w:val="24"/>
          <w:szCs w:val="24"/>
        </w:rPr>
        <w:t xml:space="preserve"> crítica la situación de los hogares en materia económica y de seguridad alimentaria. Así las cosas, para noviem</w:t>
      </w:r>
      <w:r>
        <w:rPr>
          <w:rFonts w:ascii="Arial" w:eastAsia="Arial" w:hAnsi="Arial" w:cs="Arial"/>
          <w:sz w:val="24"/>
          <w:szCs w:val="24"/>
        </w:rPr>
        <w:t>bre del año 2022, indica el DANE que en promedio 66,5% de las personas encuestadas, comparando su situación económica      con la de hace un año, señalando que cuentan con una menor posibilidad de comprar alimentos, ropa, zapatos y artículos de primera nec</w:t>
      </w:r>
      <w:r>
        <w:rPr>
          <w:rFonts w:ascii="Arial" w:eastAsia="Arial" w:hAnsi="Arial" w:cs="Arial"/>
          <w:sz w:val="24"/>
          <w:szCs w:val="24"/>
        </w:rPr>
        <w:t xml:space="preserve">esidad. Esta situación resulta ligeramente mayor (3,6 % por encima de la media) para aquellas familias conformadas por cuatro o más integrantes. </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El panorama general resulta preocupante, el deterioro en las condiciones de seguridad alimentaria (que se expl</w:t>
      </w:r>
      <w:r>
        <w:rPr>
          <w:rFonts w:ascii="Arial" w:eastAsia="Arial" w:hAnsi="Arial" w:cs="Arial"/>
          <w:sz w:val="24"/>
          <w:szCs w:val="24"/>
        </w:rPr>
        <w:t>ica como la capacidad de acceder a alimentos suficientes y adecuados para garantizar la ingesta calórica y nutricional requerida para mantener una vida sana y desarrollar actividades básicas) es francamente alarmante de acuerdo con las estimaciones realiza</w:t>
      </w:r>
      <w:r>
        <w:rPr>
          <w:rFonts w:ascii="Arial" w:eastAsia="Arial" w:hAnsi="Arial" w:cs="Arial"/>
          <w:sz w:val="24"/>
          <w:szCs w:val="24"/>
        </w:rPr>
        <w:t xml:space="preserve">das por el DANE (2022), en la misma encuesta de Pulso Social. </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 xml:space="preserve">Antes del inicio del Aislamiento Preventivo Obligatorio, 9 de cada 10 hogares en Colombia (el 90, 1%) consumía como mínimo tres comidas diarias. A 2022, se tiene que dicha proporción se redujo </w:t>
      </w:r>
      <w:r>
        <w:rPr>
          <w:rFonts w:ascii="Arial" w:eastAsia="Arial" w:hAnsi="Arial" w:cs="Arial"/>
          <w:sz w:val="24"/>
          <w:szCs w:val="24"/>
        </w:rPr>
        <w:t xml:space="preserve">a 7 de cada 10 hogares (el 73,8%), lo que representa una caída de 16,3% de hogares en situación de inseguridad alimentaria. Para el </w:t>
      </w:r>
      <w:r>
        <w:rPr>
          <w:rFonts w:ascii="Arial" w:eastAsia="Arial" w:hAnsi="Arial" w:cs="Arial"/>
          <w:sz w:val="24"/>
          <w:szCs w:val="24"/>
        </w:rPr>
        <w:lastRenderedPageBreak/>
        <w:t xml:space="preserve">tercer trimestre de 2022. vale la pena anotar que 12 de las 23 ciudades objeto de análisis por parte del DANE se encuentran </w:t>
      </w:r>
      <w:r>
        <w:rPr>
          <w:rFonts w:ascii="Arial" w:eastAsia="Arial" w:hAnsi="Arial" w:cs="Arial"/>
          <w:sz w:val="24"/>
          <w:szCs w:val="24"/>
        </w:rPr>
        <w:t>por debajo de la media nacional.</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Se presenta una notoria disminución en el número de comidas diarias entre antes de la medida de aislamiento preventivo y noviembre de 2022 , buena parte de las capitales de la región Caribe, que se encuentran en los niveles</w:t>
      </w:r>
      <w:r>
        <w:rPr>
          <w:rFonts w:ascii="Arial" w:eastAsia="Arial" w:hAnsi="Arial" w:cs="Arial"/>
          <w:sz w:val="24"/>
          <w:szCs w:val="24"/>
        </w:rPr>
        <w:t xml:space="preserve"> más críticos, así: (1) Cartagena (que pasó de un 60,5  % de hogares con tres comidas diarias a un 36,9 %); (2) Valledupar    (que pasó de un 90,6 % de hogares con tres comidas diarias a un 61,3%); (3) Sincelejo (que pasó de un 75,6% de hogares con tres co</w:t>
      </w:r>
      <w:r>
        <w:rPr>
          <w:rFonts w:ascii="Arial" w:eastAsia="Arial" w:hAnsi="Arial" w:cs="Arial"/>
          <w:sz w:val="24"/>
          <w:szCs w:val="24"/>
        </w:rPr>
        <w:t>midas diarias a un 44,5 %); (4) Montería (que pasó de un 66,6% de hogares con tres comidas diarias a un 54,2% y por fuera de dicha región las tres principales ciudades que han visto un deterioro en el porcentaje de hogares en situación de seguridad aliment</w:t>
      </w:r>
      <w:r>
        <w:rPr>
          <w:rFonts w:ascii="Arial" w:eastAsia="Arial" w:hAnsi="Arial" w:cs="Arial"/>
          <w:sz w:val="24"/>
          <w:szCs w:val="24"/>
        </w:rPr>
        <w:t>aria son: (6) Neiva (que pasó de un 92,8% de hogares con tres comidas diarias a un 68%); (7) Ibagué (que pasó de un 93,2 % de hogares con tres comidas diarias a un 60,5 %) y (8) Florencia  (que pasó de un 83,6% de hogares con tres comidas diarias a un 55%)</w:t>
      </w:r>
      <w:r>
        <w:rPr>
          <w:rFonts w:ascii="Arial" w:eastAsia="Arial" w:hAnsi="Arial" w:cs="Arial"/>
          <w:sz w:val="24"/>
          <w:szCs w:val="24"/>
        </w:rPr>
        <w:t>.</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A pesar de que han existido diversas estrategias tendientes a mitigar la grave crisis económica que enfrentan la mayoría de los hogares colombianos, en materia de acceso a alimentos suficientes por parte de los hogares queda un enorme camino por recorrer</w:t>
      </w:r>
      <w:r>
        <w:rPr>
          <w:rFonts w:ascii="Arial" w:eastAsia="Arial" w:hAnsi="Arial" w:cs="Arial"/>
          <w:sz w:val="24"/>
          <w:szCs w:val="24"/>
        </w:rPr>
        <w:t xml:space="preserve">. Entre los resultados de la encuesta del DANE en cuanto a seguridad alimentaria, se evidenció que durante e incluso luego de la pandemia, son cada vez menos los hogares que pueden acceder a las 3 comidas diarias.  Así, se estableció que en noviembre de </w:t>
      </w:r>
      <w:proofErr w:type="gramStart"/>
      <w:r>
        <w:rPr>
          <w:rFonts w:ascii="Arial" w:eastAsia="Arial" w:hAnsi="Arial" w:cs="Arial"/>
          <w:sz w:val="24"/>
          <w:szCs w:val="24"/>
        </w:rPr>
        <w:t>20</w:t>
      </w:r>
      <w:r>
        <w:rPr>
          <w:rFonts w:ascii="Arial" w:eastAsia="Arial" w:hAnsi="Arial" w:cs="Arial"/>
          <w:sz w:val="24"/>
          <w:szCs w:val="24"/>
        </w:rPr>
        <w:t>22,  25</w:t>
      </w:r>
      <w:proofErr w:type="gramEnd"/>
      <w:r>
        <w:rPr>
          <w:rFonts w:ascii="Arial" w:eastAsia="Arial" w:hAnsi="Arial" w:cs="Arial"/>
          <w:sz w:val="24"/>
          <w:szCs w:val="24"/>
        </w:rPr>
        <w:t>% de los encuestados consume 2 comidas y 1,3% consume 1 al día.</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Por su parte, el 73,8 % de la población total logró acceder 3 comidas al día, mostrando un leve aumentó en comparación del mes de febrero de este mismo año, en donde el porcentaje ronda</w:t>
      </w:r>
      <w:r>
        <w:rPr>
          <w:rFonts w:ascii="Arial" w:eastAsia="Arial" w:hAnsi="Arial" w:cs="Arial"/>
          <w:sz w:val="24"/>
          <w:szCs w:val="24"/>
        </w:rPr>
        <w:t>ba el 70%.  Esta cifra es bien preocupante, en cuanto refleja la difícil situación de los colombianos, quienes antes de la pandemia, para marzo 2019, 93,4% de ellos, accedían a 3 comidas al día.</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El panorama anteriormente esbozado se ha agravado. Sin embarg</w:t>
      </w:r>
      <w:r>
        <w:rPr>
          <w:rFonts w:ascii="Arial" w:eastAsia="Arial" w:hAnsi="Arial" w:cs="Arial"/>
          <w:sz w:val="24"/>
          <w:szCs w:val="24"/>
        </w:rPr>
        <w:t>o, no pueden dejarse de lado las cifras que nos brindaba la Encuesta de Situación Nutricional (ENSIN, 2015), previa a la pandemia, cuyos resultados son francamente preocupantes: En Colombia, previo a la pandemia, el 54,2% de los hogares se encuentran en si</w:t>
      </w:r>
      <w:r>
        <w:rPr>
          <w:rFonts w:ascii="Arial" w:eastAsia="Arial" w:hAnsi="Arial" w:cs="Arial"/>
          <w:sz w:val="24"/>
          <w:szCs w:val="24"/>
        </w:rPr>
        <w:t>tuación de inseguridad alimentaria (ISAH)</w:t>
      </w:r>
      <w:r>
        <w:rPr>
          <w:rFonts w:ascii="Arial" w:eastAsia="Arial" w:hAnsi="Arial" w:cs="Arial"/>
          <w:sz w:val="24"/>
          <w:szCs w:val="24"/>
          <w:vertAlign w:val="superscript"/>
        </w:rPr>
        <w:t>1</w:t>
      </w:r>
      <w:r>
        <w:rPr>
          <w:rFonts w:ascii="Arial" w:eastAsia="Arial" w:hAnsi="Arial" w:cs="Arial"/>
          <w:sz w:val="24"/>
          <w:szCs w:val="24"/>
        </w:rPr>
        <w:t xml:space="preserve"> (39,1% en inseguridad alimentaria leve, 13,8% moderada y 8,5% severa).</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 xml:space="preserve">Esta información se puede desagregar en diferentes variables, a saber: </w:t>
      </w:r>
      <w:r>
        <w:rPr>
          <w:rFonts w:ascii="Arial" w:eastAsia="Arial" w:hAnsi="Arial" w:cs="Arial"/>
          <w:b/>
          <w:sz w:val="24"/>
          <w:szCs w:val="24"/>
        </w:rPr>
        <w:t>(1)</w:t>
      </w:r>
      <w:r>
        <w:rPr>
          <w:rFonts w:ascii="Arial" w:eastAsia="Arial" w:hAnsi="Arial" w:cs="Arial"/>
          <w:sz w:val="24"/>
          <w:szCs w:val="24"/>
        </w:rPr>
        <w:t xml:space="preserve"> </w:t>
      </w:r>
      <w:r>
        <w:rPr>
          <w:rFonts w:ascii="Arial" w:eastAsia="Arial" w:hAnsi="Arial" w:cs="Arial"/>
          <w:b/>
          <w:sz w:val="24"/>
          <w:szCs w:val="24"/>
        </w:rPr>
        <w:t>Género:</w:t>
      </w:r>
      <w:r>
        <w:rPr>
          <w:rFonts w:ascii="Arial" w:eastAsia="Arial" w:hAnsi="Arial" w:cs="Arial"/>
          <w:sz w:val="24"/>
          <w:szCs w:val="24"/>
        </w:rPr>
        <w:t xml:space="preserve"> de los hogares que se encuentran en esta situación, se tien</w:t>
      </w:r>
      <w:r>
        <w:rPr>
          <w:rFonts w:ascii="Arial" w:eastAsia="Arial" w:hAnsi="Arial" w:cs="Arial"/>
          <w:sz w:val="24"/>
          <w:szCs w:val="24"/>
        </w:rPr>
        <w:t xml:space="preserve">e que el 57% tienen una jefatura femenina y un 52% tienen a un hombre en cabeza del hogar; </w:t>
      </w:r>
      <w:r>
        <w:rPr>
          <w:rFonts w:ascii="Arial" w:eastAsia="Arial" w:hAnsi="Arial" w:cs="Arial"/>
          <w:b/>
          <w:sz w:val="24"/>
          <w:szCs w:val="24"/>
        </w:rPr>
        <w:t xml:space="preserve">(2) Pertenencia étnica: </w:t>
      </w:r>
      <w:r>
        <w:rPr>
          <w:rFonts w:ascii="Arial" w:eastAsia="Arial" w:hAnsi="Arial" w:cs="Arial"/>
          <w:sz w:val="24"/>
          <w:szCs w:val="24"/>
        </w:rPr>
        <w:t xml:space="preserve">77% de los hogares indígenas se encuentran en inseguridad alimentaria. Esta condición se replica para el 68.9% de los hogares </w:t>
      </w:r>
      <w:r>
        <w:rPr>
          <w:rFonts w:ascii="Arial" w:eastAsia="Arial" w:hAnsi="Arial" w:cs="Arial"/>
          <w:sz w:val="24"/>
          <w:szCs w:val="24"/>
        </w:rPr>
        <w:lastRenderedPageBreak/>
        <w:t>afrodescendient</w:t>
      </w:r>
      <w:r>
        <w:rPr>
          <w:rFonts w:ascii="Arial" w:eastAsia="Arial" w:hAnsi="Arial" w:cs="Arial"/>
          <w:sz w:val="24"/>
          <w:szCs w:val="24"/>
        </w:rPr>
        <w:t xml:space="preserve">es y para el reseñado 54.2% de los hogares que se consideran sin pertenencia étnica; </w:t>
      </w:r>
      <w:r>
        <w:rPr>
          <w:rFonts w:ascii="Arial" w:eastAsia="Arial" w:hAnsi="Arial" w:cs="Arial"/>
          <w:b/>
          <w:sz w:val="24"/>
          <w:szCs w:val="24"/>
        </w:rPr>
        <w:t xml:space="preserve">(3) Regiones: </w:t>
      </w:r>
      <w:r>
        <w:rPr>
          <w:rFonts w:ascii="Arial" w:eastAsia="Arial" w:hAnsi="Arial" w:cs="Arial"/>
          <w:sz w:val="24"/>
          <w:szCs w:val="24"/>
        </w:rPr>
        <w:t>La inseguridad alimentaria de los hogares en las regiones se reporta de la siguiente forma: 65% del total de los hogares de la región atlántica; 64% de la re</w:t>
      </w:r>
      <w:r>
        <w:rPr>
          <w:rFonts w:ascii="Arial" w:eastAsia="Arial" w:hAnsi="Arial" w:cs="Arial"/>
          <w:sz w:val="24"/>
          <w:szCs w:val="24"/>
        </w:rPr>
        <w:t xml:space="preserve">gión de la Orinoquia y la Amazonia; 57.4% de la Pacífica; 52% de la Oriental; 50,2% en Bogotá y 49.3% en la Central; </w:t>
      </w:r>
      <w:r>
        <w:rPr>
          <w:rFonts w:ascii="Arial" w:eastAsia="Arial" w:hAnsi="Arial" w:cs="Arial"/>
          <w:b/>
          <w:sz w:val="24"/>
          <w:szCs w:val="24"/>
        </w:rPr>
        <w:t xml:space="preserve">(4) Índice de riqueza: </w:t>
      </w:r>
      <w:r>
        <w:rPr>
          <w:rFonts w:ascii="Arial" w:eastAsia="Arial" w:hAnsi="Arial" w:cs="Arial"/>
          <w:sz w:val="24"/>
          <w:szCs w:val="24"/>
        </w:rPr>
        <w:t>71.2% de los hogares con ingresos más bajos se encuentran en situación de inseguridad alimentaria; esta situación se replica para el 62.7% de quienes reportan índice de riqueza bajo; 49.3% de quienes reportan índice de riqueza medio y 33% de quienes report</w:t>
      </w:r>
      <w:r>
        <w:rPr>
          <w:rFonts w:ascii="Arial" w:eastAsia="Arial" w:hAnsi="Arial" w:cs="Arial"/>
          <w:sz w:val="24"/>
          <w:szCs w:val="24"/>
        </w:rPr>
        <w:t>an ingresos altos.</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En lo que respecta a la situación de la infancia y la niñez, la ENSIN (2015) resalta que La desnutrición crónica (que mide el retraso en la talla para la edad) se situó en un 10,8% y la desnutrición aguda en menores de 5 años se ubicó en</w:t>
      </w:r>
      <w:r>
        <w:rPr>
          <w:rFonts w:ascii="Arial" w:eastAsia="Arial" w:hAnsi="Arial" w:cs="Arial"/>
          <w:sz w:val="24"/>
          <w:szCs w:val="24"/>
        </w:rPr>
        <w:t xml:space="preserve"> 2,3%, muy por encima del 0.9% evidenciado en la ENSIN (2010). </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Ahora bien, la anterior situación se contrasta con el más reciente informe de la FAO, sobre seguridad alimentaria y nutrición</w:t>
      </w:r>
      <w:r>
        <w:rPr>
          <w:rFonts w:ascii="Arial" w:eastAsia="Arial" w:hAnsi="Arial" w:cs="Arial"/>
          <w:sz w:val="24"/>
          <w:szCs w:val="24"/>
          <w:vertAlign w:val="superscript"/>
        </w:rPr>
        <w:footnoteReference w:id="2"/>
      </w:r>
      <w:r>
        <w:rPr>
          <w:rFonts w:ascii="Arial" w:eastAsia="Arial" w:hAnsi="Arial" w:cs="Arial"/>
          <w:sz w:val="24"/>
          <w:szCs w:val="24"/>
        </w:rPr>
        <w:t>. De acuerdo con esta organización internacional, el 6.5% de los c</w:t>
      </w:r>
      <w:r>
        <w:rPr>
          <w:rFonts w:ascii="Arial" w:eastAsia="Arial" w:hAnsi="Arial" w:cs="Arial"/>
          <w:sz w:val="24"/>
          <w:szCs w:val="24"/>
        </w:rPr>
        <w:t>olombianos están en condición de hambre, ubicando al país en un lugar vergonzoso, por encima de la media regional, situado en un 6,1%. En cuanto a desnutrición global, que marca el peso para la edad, se tiene que ésta afecta a 3,7% de los menores del país.</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En lo que respecta a los menores de 5 a 12 años se tiene que 7 de cada 100 menores en edad escolar presentan desnutrición crónica. Situación que es más grave para los menores indígenas, donde 30 de cada 100 menores presentan este problema, mientras que es</w:t>
      </w:r>
      <w:r>
        <w:rPr>
          <w:rFonts w:ascii="Arial" w:eastAsia="Arial" w:hAnsi="Arial" w:cs="Arial"/>
          <w:sz w:val="24"/>
          <w:szCs w:val="24"/>
        </w:rPr>
        <w:t>ta situación se extiende a 11 de cada 100 niños de los hogares más pobres del país.</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 xml:space="preserve">Por su parte, la Encuesta Nacional de Calidad de Vida realizada para 2022 por el DANE reveló que la inseguridad alimentaria moderada o grave es el 28,1 % y alcanza el 32,5 </w:t>
      </w:r>
      <w:r>
        <w:rPr>
          <w:rFonts w:ascii="Arial" w:eastAsia="Arial" w:hAnsi="Arial" w:cs="Arial"/>
          <w:sz w:val="24"/>
          <w:szCs w:val="24"/>
        </w:rPr>
        <w:t>% en centros poblados y rurales dispersos.</w:t>
      </w:r>
    </w:p>
    <w:p w:rsidR="00483B9D" w:rsidRDefault="009A4D35">
      <w:pPr>
        <w:shd w:val="clear" w:color="auto" w:fill="FFFFFF"/>
        <w:jc w:val="both"/>
        <w:rPr>
          <w:rFonts w:ascii="Arial" w:eastAsia="Arial" w:hAnsi="Arial" w:cs="Arial"/>
          <w:sz w:val="24"/>
          <w:szCs w:val="24"/>
        </w:rPr>
      </w:pPr>
      <w:r>
        <w:rPr>
          <w:rFonts w:ascii="Arial" w:eastAsia="Arial" w:hAnsi="Arial" w:cs="Arial"/>
          <w:sz w:val="24"/>
          <w:szCs w:val="24"/>
        </w:rPr>
        <w:t>Teniendo en cuenta la situación anteriormente descrita, y reiterando que el derecho a la alimentación es considerado un derecho humano en el derecho internacional de los derechos humanos, se presenta nuevamente es</w:t>
      </w:r>
      <w:r>
        <w:rPr>
          <w:rFonts w:ascii="Arial" w:eastAsia="Arial" w:hAnsi="Arial" w:cs="Arial"/>
          <w:sz w:val="24"/>
          <w:szCs w:val="24"/>
        </w:rPr>
        <w:t>ta iniciativa que busca consagrar en la Constitución Política de manera expresa el derecho a la alimentación adecuada y el deber del Estado de garantizarlo de manera progresiva.</w:t>
      </w:r>
    </w:p>
    <w:p w:rsidR="00483B9D" w:rsidRDefault="009A4D35">
      <w:pPr>
        <w:pBdr>
          <w:top w:val="single" w:sz="4" w:space="0" w:color="000000"/>
          <w:left w:val="single" w:sz="4" w:space="0" w:color="000000"/>
          <w:bottom w:val="single" w:sz="4" w:space="0" w:color="000000"/>
          <w:right w:val="single" w:sz="4" w:space="0" w:color="000000"/>
        </w:pBdr>
        <w:ind w:hanging="2"/>
        <w:jc w:val="center"/>
        <w:rPr>
          <w:rFonts w:ascii="Arial" w:eastAsia="Arial" w:hAnsi="Arial" w:cs="Arial"/>
          <w:sz w:val="24"/>
          <w:szCs w:val="24"/>
        </w:rPr>
      </w:pPr>
      <w:r>
        <w:rPr>
          <w:rFonts w:ascii="Arial" w:eastAsia="Arial" w:hAnsi="Arial" w:cs="Arial"/>
          <w:b/>
          <w:sz w:val="24"/>
          <w:szCs w:val="24"/>
        </w:rPr>
        <w:t>MARCO JURÍDICO</w:t>
      </w:r>
    </w:p>
    <w:p w:rsidR="00483B9D" w:rsidRDefault="009A4D35">
      <w:pPr>
        <w:numPr>
          <w:ilvl w:val="0"/>
          <w:numId w:val="3"/>
        </w:numPr>
        <w:spacing w:before="85" w:after="57"/>
        <w:jc w:val="both"/>
        <w:rPr>
          <w:rFonts w:ascii="Arial" w:eastAsia="Arial" w:hAnsi="Arial" w:cs="Arial"/>
          <w:b/>
          <w:sz w:val="24"/>
          <w:szCs w:val="24"/>
        </w:rPr>
      </w:pPr>
      <w:r>
        <w:rPr>
          <w:rFonts w:ascii="Arial" w:eastAsia="Arial" w:hAnsi="Arial" w:cs="Arial"/>
          <w:b/>
          <w:sz w:val="24"/>
          <w:szCs w:val="24"/>
        </w:rPr>
        <w:t>Referencia al Sistema Internacional de los Derechos Humanos y a</w:t>
      </w:r>
      <w:r>
        <w:rPr>
          <w:rFonts w:ascii="Arial" w:eastAsia="Arial" w:hAnsi="Arial" w:cs="Arial"/>
          <w:b/>
          <w:sz w:val="24"/>
          <w:szCs w:val="24"/>
        </w:rPr>
        <w:t>l Derecho Humano a la Alimentación</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lastRenderedPageBreak/>
        <w:t>Los Derechos Humanos se constituyen como aquellas prerrogativas que resultan ser inherentes al ser humano en tanto miembro perteneciente a la especie. El goce de los mismos debe garantizarse y protegerse sin distinción alguna de nacionalidad, lugar de resi</w:t>
      </w:r>
      <w:r>
        <w:rPr>
          <w:rFonts w:ascii="Arial" w:eastAsia="Arial" w:hAnsi="Arial" w:cs="Arial"/>
          <w:sz w:val="24"/>
          <w:szCs w:val="24"/>
        </w:rPr>
        <w:t>dencia, sexo, origen nacional o étnico, color, religión, lengua, o cualquier otra condición</w:t>
      </w:r>
      <w:r>
        <w:rPr>
          <w:rFonts w:ascii="Arial" w:eastAsia="Arial" w:hAnsi="Arial" w:cs="Arial"/>
          <w:sz w:val="24"/>
          <w:szCs w:val="24"/>
          <w:vertAlign w:val="superscript"/>
        </w:rPr>
        <w:footnoteReference w:id="3"/>
      </w:r>
      <w:r>
        <w:rPr>
          <w:rFonts w:ascii="Arial" w:eastAsia="Arial" w:hAnsi="Arial" w:cs="Arial"/>
          <w:sz w:val="24"/>
          <w:szCs w:val="24"/>
        </w:rPr>
        <w:t>. De esta forma, todo ser humano es titular y debe gozar de estos derechos en igualdad y sin discriminación</w:t>
      </w:r>
      <w:r>
        <w:rPr>
          <w:rFonts w:ascii="Arial" w:eastAsia="Arial" w:hAnsi="Arial" w:cs="Arial"/>
          <w:sz w:val="24"/>
          <w:szCs w:val="24"/>
          <w:vertAlign w:val="superscript"/>
        </w:rPr>
        <w:footnoteReference w:id="4"/>
      </w:r>
      <w:r>
        <w:rPr>
          <w:rFonts w:ascii="Arial" w:eastAsia="Arial" w:hAnsi="Arial" w:cs="Arial"/>
          <w:sz w:val="24"/>
          <w:szCs w:val="24"/>
        </w:rPr>
        <w:t>. Estos derechos son universales</w:t>
      </w:r>
      <w:r>
        <w:rPr>
          <w:rFonts w:ascii="Arial" w:eastAsia="Arial" w:hAnsi="Arial" w:cs="Arial"/>
          <w:sz w:val="24"/>
          <w:szCs w:val="24"/>
          <w:vertAlign w:val="superscript"/>
        </w:rPr>
        <w:footnoteReference w:id="5"/>
      </w:r>
      <w:r>
        <w:rPr>
          <w:rFonts w:ascii="Arial" w:eastAsia="Arial" w:hAnsi="Arial" w:cs="Arial"/>
          <w:sz w:val="24"/>
          <w:szCs w:val="24"/>
        </w:rPr>
        <w:t xml:space="preserve"> e inalienables</w:t>
      </w:r>
      <w:r>
        <w:rPr>
          <w:rFonts w:ascii="Arial" w:eastAsia="Arial" w:hAnsi="Arial" w:cs="Arial"/>
          <w:sz w:val="24"/>
          <w:szCs w:val="24"/>
          <w:vertAlign w:val="superscript"/>
        </w:rPr>
        <w:footnoteReference w:id="6"/>
      </w:r>
      <w:r>
        <w:rPr>
          <w:rFonts w:ascii="Arial" w:eastAsia="Arial" w:hAnsi="Arial" w:cs="Arial"/>
          <w:sz w:val="24"/>
          <w:szCs w:val="24"/>
        </w:rPr>
        <w:t>. Así m</w:t>
      </w:r>
      <w:r>
        <w:rPr>
          <w:rFonts w:ascii="Arial" w:eastAsia="Arial" w:hAnsi="Arial" w:cs="Arial"/>
          <w:sz w:val="24"/>
          <w:szCs w:val="24"/>
        </w:rPr>
        <w:t>ismo, se consideran en todo caso interrelacionados, interdependientes e indivisibles</w:t>
      </w:r>
      <w:r>
        <w:rPr>
          <w:rFonts w:ascii="Arial" w:eastAsia="Arial" w:hAnsi="Arial" w:cs="Arial"/>
          <w:sz w:val="24"/>
          <w:szCs w:val="24"/>
          <w:vertAlign w:val="superscript"/>
        </w:rPr>
        <w:footnoteReference w:id="7"/>
      </w:r>
      <w:r>
        <w:rPr>
          <w:rFonts w:ascii="Arial" w:eastAsia="Arial" w:hAnsi="Arial" w:cs="Arial"/>
          <w:sz w:val="24"/>
          <w:szCs w:val="24"/>
        </w:rPr>
        <w:t>. Ahora, pese a estar contemplados en la denominada Carta Internacional de los Derechos Humanos</w:t>
      </w:r>
      <w:r>
        <w:rPr>
          <w:rFonts w:ascii="Arial" w:eastAsia="Arial" w:hAnsi="Arial" w:cs="Arial"/>
          <w:sz w:val="24"/>
          <w:szCs w:val="24"/>
          <w:vertAlign w:val="superscript"/>
        </w:rPr>
        <w:footnoteReference w:id="8"/>
      </w:r>
      <w:r>
        <w:rPr>
          <w:rFonts w:ascii="Arial" w:eastAsia="Arial" w:hAnsi="Arial" w:cs="Arial"/>
          <w:sz w:val="24"/>
          <w:szCs w:val="24"/>
        </w:rPr>
        <w:t xml:space="preserve">, compuesta por la Declaración Universal de los Derechos Humanos de 1948 y </w:t>
      </w:r>
      <w:r>
        <w:rPr>
          <w:rFonts w:ascii="Arial" w:eastAsia="Arial" w:hAnsi="Arial" w:cs="Arial"/>
          <w:sz w:val="24"/>
          <w:szCs w:val="24"/>
        </w:rPr>
        <w:t>por los sucesivos Pactos a los que se hará referencia a continuación, doctrinalmente, los Derechos Humanos se han categorizado  en tres grupos, a saber: Derechos Civiles y Políticos o de primera generación, los cuales se encuentran contenidos tanto en la D</w:t>
      </w:r>
      <w:r>
        <w:rPr>
          <w:rFonts w:ascii="Arial" w:eastAsia="Arial" w:hAnsi="Arial" w:cs="Arial"/>
          <w:sz w:val="24"/>
          <w:szCs w:val="24"/>
        </w:rPr>
        <w:t xml:space="preserve">eclaración Universal de los Derechos Humanos de 1948, de manera general, como en el Pacto Internacional de Derechos Civiles y Políticos de 1966; Derechos Económicos, Sociales y Culturales o de segunda generación, los cuales se encuentran consagrados ya en </w:t>
      </w:r>
      <w:r>
        <w:rPr>
          <w:rFonts w:ascii="Arial" w:eastAsia="Arial" w:hAnsi="Arial" w:cs="Arial"/>
          <w:sz w:val="24"/>
          <w:szCs w:val="24"/>
        </w:rPr>
        <w:t xml:space="preserve">la Declaración Universal de los Derechos Humanos de 1948, </w:t>
      </w:r>
      <w:r>
        <w:rPr>
          <w:rFonts w:ascii="Arial" w:eastAsia="Arial" w:hAnsi="Arial" w:cs="Arial"/>
          <w:i/>
          <w:sz w:val="24"/>
          <w:szCs w:val="24"/>
        </w:rPr>
        <w:t>grosso modo</w:t>
      </w:r>
      <w:r>
        <w:rPr>
          <w:rFonts w:ascii="Arial" w:eastAsia="Arial" w:hAnsi="Arial" w:cs="Arial"/>
          <w:sz w:val="24"/>
          <w:szCs w:val="24"/>
        </w:rPr>
        <w:t xml:space="preserve">, como en el Pacto Internacional de Derechos Económicos, Sociales y Culturales de 1966; y Derechos Colectivos o de tercera </w:t>
      </w:r>
      <w:r>
        <w:rPr>
          <w:rFonts w:ascii="Arial" w:eastAsia="Arial" w:hAnsi="Arial" w:cs="Arial"/>
          <w:sz w:val="24"/>
          <w:szCs w:val="24"/>
        </w:rPr>
        <w:lastRenderedPageBreak/>
        <w:t>generación</w:t>
      </w:r>
      <w:r>
        <w:rPr>
          <w:rFonts w:ascii="Arial" w:eastAsia="Arial" w:hAnsi="Arial" w:cs="Arial"/>
          <w:sz w:val="24"/>
          <w:szCs w:val="24"/>
          <w:vertAlign w:val="superscript"/>
        </w:rPr>
        <w:footnoteReference w:id="9"/>
      </w:r>
      <w:r>
        <w:rPr>
          <w:rFonts w:ascii="Arial" w:eastAsia="Arial" w:hAnsi="Arial" w:cs="Arial"/>
          <w:sz w:val="24"/>
          <w:szCs w:val="24"/>
        </w:rPr>
        <w:t>.  Al respecto, es menester resaltar nuevamente la in</w:t>
      </w:r>
      <w:r>
        <w:rPr>
          <w:rFonts w:ascii="Arial" w:eastAsia="Arial" w:hAnsi="Arial" w:cs="Arial"/>
          <w:sz w:val="24"/>
          <w:szCs w:val="24"/>
        </w:rPr>
        <w:t>terdependencia y unidad de los Derechos Humanos</w:t>
      </w:r>
      <w:r>
        <w:rPr>
          <w:rFonts w:ascii="Arial" w:eastAsia="Arial" w:hAnsi="Arial" w:cs="Arial"/>
          <w:sz w:val="24"/>
          <w:szCs w:val="24"/>
          <w:vertAlign w:val="superscript"/>
        </w:rPr>
        <w:footnoteReference w:id="10"/>
      </w:r>
      <w:r>
        <w:rPr>
          <w:rFonts w:ascii="Arial" w:eastAsia="Arial" w:hAnsi="Arial" w:cs="Arial"/>
          <w:sz w:val="24"/>
          <w:szCs w:val="24"/>
        </w:rPr>
        <w:t>, la cual cobra especial importancia, de conformidad con la Corte Constitucional, en el marco de un Estado Social de Derecho, fórmula acogida por la Constitución Política de 1991</w:t>
      </w:r>
      <w:r>
        <w:rPr>
          <w:rFonts w:ascii="Arial" w:eastAsia="Arial" w:hAnsi="Arial" w:cs="Arial"/>
          <w:sz w:val="24"/>
          <w:szCs w:val="24"/>
          <w:vertAlign w:val="superscript"/>
        </w:rPr>
        <w:footnoteReference w:id="11"/>
      </w:r>
      <w:r>
        <w:rPr>
          <w:rFonts w:ascii="Arial" w:eastAsia="Arial" w:hAnsi="Arial" w:cs="Arial"/>
          <w:sz w:val="24"/>
          <w:szCs w:val="24"/>
        </w:rPr>
        <w:t>.</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Del mismo modo, es preciso </w:t>
      </w:r>
      <w:r>
        <w:rPr>
          <w:rFonts w:ascii="Arial" w:eastAsia="Arial" w:hAnsi="Arial" w:cs="Arial"/>
          <w:sz w:val="24"/>
          <w:szCs w:val="24"/>
        </w:rPr>
        <w:t>anotar que los Derechos Humanos representan los valores universales y constituyen imperativos éticos destinados a salvaguardar la dignidad de cada ser humano mediante el establecimiento de normas, lineamientos y procedimientos tendientes al aseguramiento y</w:t>
      </w:r>
      <w:r>
        <w:rPr>
          <w:rFonts w:ascii="Arial" w:eastAsia="Arial" w:hAnsi="Arial" w:cs="Arial"/>
          <w:sz w:val="24"/>
          <w:szCs w:val="24"/>
        </w:rPr>
        <w:t xml:space="preserve"> garantía de la precitada finalidad</w:t>
      </w:r>
      <w:r>
        <w:rPr>
          <w:rFonts w:ascii="Arial" w:eastAsia="Arial" w:hAnsi="Arial" w:cs="Arial"/>
          <w:sz w:val="24"/>
          <w:szCs w:val="24"/>
          <w:vertAlign w:val="superscript"/>
        </w:rPr>
        <w:footnoteReference w:id="12"/>
      </w:r>
      <w:r>
        <w:rPr>
          <w:rFonts w:ascii="Arial" w:eastAsia="Arial" w:hAnsi="Arial" w:cs="Arial"/>
          <w:sz w:val="24"/>
          <w:szCs w:val="24"/>
        </w:rPr>
        <w:t>.</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Al respecto, es menester resaltar que el Derecho Internacional de los Derechos Humanos impone a los Estados obligaciones positivas y negativas, entendidas en </w:t>
      </w:r>
      <w:r>
        <w:rPr>
          <w:rFonts w:ascii="Arial" w:eastAsia="Arial" w:hAnsi="Arial" w:cs="Arial"/>
          <w:sz w:val="24"/>
          <w:szCs w:val="24"/>
        </w:rPr>
        <w:lastRenderedPageBreak/>
        <w:t>todo caso como obligaciones destinadas al respeto</w:t>
      </w:r>
      <w:r>
        <w:rPr>
          <w:rFonts w:ascii="Arial" w:eastAsia="Arial" w:hAnsi="Arial" w:cs="Arial"/>
          <w:sz w:val="24"/>
          <w:szCs w:val="24"/>
          <w:vertAlign w:val="superscript"/>
        </w:rPr>
        <w:footnoteReference w:id="13"/>
      </w:r>
      <w:r>
        <w:rPr>
          <w:rFonts w:ascii="Arial" w:eastAsia="Arial" w:hAnsi="Arial" w:cs="Arial"/>
          <w:sz w:val="24"/>
          <w:szCs w:val="24"/>
        </w:rPr>
        <w:t>, protecci</w:t>
      </w:r>
      <w:r>
        <w:rPr>
          <w:rFonts w:ascii="Arial" w:eastAsia="Arial" w:hAnsi="Arial" w:cs="Arial"/>
          <w:sz w:val="24"/>
          <w:szCs w:val="24"/>
        </w:rPr>
        <w:t>ón</w:t>
      </w:r>
      <w:r>
        <w:rPr>
          <w:rFonts w:ascii="Arial" w:eastAsia="Arial" w:hAnsi="Arial" w:cs="Arial"/>
          <w:sz w:val="24"/>
          <w:szCs w:val="24"/>
          <w:vertAlign w:val="superscript"/>
        </w:rPr>
        <w:footnoteReference w:id="14"/>
      </w:r>
      <w:r>
        <w:rPr>
          <w:rFonts w:ascii="Arial" w:eastAsia="Arial" w:hAnsi="Arial" w:cs="Arial"/>
          <w:sz w:val="24"/>
          <w:szCs w:val="24"/>
        </w:rPr>
        <w:t xml:space="preserve"> y realización</w:t>
      </w:r>
      <w:r>
        <w:rPr>
          <w:rFonts w:ascii="Arial" w:eastAsia="Arial" w:hAnsi="Arial" w:cs="Arial"/>
          <w:sz w:val="24"/>
          <w:szCs w:val="24"/>
          <w:vertAlign w:val="superscript"/>
        </w:rPr>
        <w:footnoteReference w:id="15"/>
      </w:r>
      <w:r>
        <w:rPr>
          <w:rFonts w:ascii="Arial" w:eastAsia="Arial" w:hAnsi="Arial" w:cs="Arial"/>
          <w:sz w:val="24"/>
          <w:szCs w:val="24"/>
        </w:rPr>
        <w:t xml:space="preserve"> de los mismos. Es precisamente en atención a los precitados deberes, de los cuales el Estado colombiano es titular, que se garantizar el Derecho Humano a la alimentación adecuada.</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En ese sentido, vale la pena resaltar que los diversos i</w:t>
      </w:r>
      <w:r>
        <w:rPr>
          <w:rFonts w:ascii="Arial" w:eastAsia="Arial" w:hAnsi="Arial" w:cs="Arial"/>
          <w:sz w:val="24"/>
          <w:szCs w:val="24"/>
        </w:rPr>
        <w:t>nstrumentos internacionales a los cuales se ha hecho referencia en la presente exposición de motivos han facultado a los Estados para que éstos adopten las medidas internas que consideren más apropiadas, de conformidad con sus contextos y realidades intern</w:t>
      </w:r>
      <w:r>
        <w:rPr>
          <w:rFonts w:ascii="Arial" w:eastAsia="Arial" w:hAnsi="Arial" w:cs="Arial"/>
          <w:sz w:val="24"/>
          <w:szCs w:val="24"/>
        </w:rPr>
        <w:t>as, con el propósito de lograr la efectiva realización de los Derechos contemplados en la Carta Internacional de Derechos Humanos y de los sucesivos instrumentos de carácter regional que consagran disposiciones similares</w:t>
      </w:r>
      <w:r>
        <w:rPr>
          <w:rFonts w:ascii="Arial" w:eastAsia="Arial" w:hAnsi="Arial" w:cs="Arial"/>
          <w:sz w:val="24"/>
          <w:szCs w:val="24"/>
          <w:vertAlign w:val="superscript"/>
        </w:rPr>
        <w:footnoteReference w:id="16"/>
      </w:r>
      <w:r>
        <w:rPr>
          <w:rFonts w:ascii="Arial" w:eastAsia="Arial" w:hAnsi="Arial" w:cs="Arial"/>
          <w:sz w:val="24"/>
          <w:szCs w:val="24"/>
        </w:rPr>
        <w:t xml:space="preserve">. </w:t>
      </w:r>
    </w:p>
    <w:p w:rsidR="00483B9D" w:rsidRDefault="00483B9D">
      <w:pPr>
        <w:spacing w:before="85" w:after="57"/>
        <w:jc w:val="both"/>
        <w:rPr>
          <w:rFonts w:ascii="Arial" w:eastAsia="Arial" w:hAnsi="Arial" w:cs="Arial"/>
          <w:sz w:val="24"/>
          <w:szCs w:val="24"/>
        </w:rPr>
      </w:pPr>
    </w:p>
    <w:p w:rsidR="00483B9D" w:rsidRDefault="00483B9D">
      <w:pPr>
        <w:spacing w:before="85" w:after="57"/>
        <w:jc w:val="both"/>
        <w:rPr>
          <w:rFonts w:ascii="Arial" w:eastAsia="Arial" w:hAnsi="Arial" w:cs="Arial"/>
          <w:sz w:val="24"/>
          <w:szCs w:val="24"/>
        </w:rPr>
      </w:pPr>
    </w:p>
    <w:p w:rsidR="00483B9D" w:rsidRDefault="00483B9D">
      <w:pPr>
        <w:spacing w:before="85" w:after="57"/>
        <w:jc w:val="both"/>
        <w:rPr>
          <w:rFonts w:ascii="Arial" w:eastAsia="Arial" w:hAnsi="Arial" w:cs="Arial"/>
          <w:sz w:val="24"/>
          <w:szCs w:val="24"/>
        </w:rPr>
      </w:pPr>
    </w:p>
    <w:p w:rsidR="00483B9D" w:rsidRDefault="009A4D35">
      <w:pPr>
        <w:numPr>
          <w:ilvl w:val="0"/>
          <w:numId w:val="3"/>
        </w:numPr>
        <w:spacing w:before="85" w:after="57"/>
        <w:jc w:val="both"/>
        <w:rPr>
          <w:rFonts w:ascii="Arial" w:eastAsia="Arial" w:hAnsi="Arial" w:cs="Arial"/>
          <w:b/>
          <w:sz w:val="24"/>
          <w:szCs w:val="24"/>
        </w:rPr>
      </w:pPr>
      <w:r>
        <w:rPr>
          <w:rFonts w:ascii="Arial" w:eastAsia="Arial" w:hAnsi="Arial" w:cs="Arial"/>
          <w:b/>
          <w:sz w:val="24"/>
          <w:szCs w:val="24"/>
        </w:rPr>
        <w:lastRenderedPageBreak/>
        <w:t xml:space="preserve"> El Derecho Humano a la Alime</w:t>
      </w:r>
      <w:r>
        <w:rPr>
          <w:rFonts w:ascii="Arial" w:eastAsia="Arial" w:hAnsi="Arial" w:cs="Arial"/>
          <w:b/>
          <w:sz w:val="24"/>
          <w:szCs w:val="24"/>
        </w:rPr>
        <w:t>ntación como Derecho Económico, Social y Cultural (DESC).</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Respecto al derecho humano a la alimentación, que puede calificarse como el núcleo duro del presente proyecto de Ley, es pertinente resaltar que el mismo se ha considerado como parte de los denomina</w:t>
      </w:r>
      <w:r>
        <w:rPr>
          <w:rFonts w:ascii="Arial" w:eastAsia="Arial" w:hAnsi="Arial" w:cs="Arial"/>
          <w:sz w:val="24"/>
          <w:szCs w:val="24"/>
        </w:rPr>
        <w:t>dos Derechos Económicos Sociales y Culturales y, en adición a lo anterior, ha sido aceptado universalmente. Así, éste se encuentra contemplado en diversos instrumentos y doctrina de Derecho Internacional relacionados con los Derechos Humanos, entre estos:</w:t>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t>El Artículo 25.1 de la Declaración Universal de los Derechos Humanos de la Asamblea General de las Naciones Unidas de 1948</w:t>
      </w:r>
      <w:r>
        <w:rPr>
          <w:rFonts w:ascii="Arial" w:eastAsia="Arial" w:hAnsi="Arial" w:cs="Arial"/>
          <w:sz w:val="24"/>
          <w:szCs w:val="24"/>
          <w:vertAlign w:val="superscript"/>
        </w:rPr>
        <w:footnoteReference w:id="17"/>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t>El Artículo 11 Pacto Internacional de Derechos Económicos, Sociales y Culturales de 1966</w:t>
      </w:r>
      <w:r>
        <w:rPr>
          <w:rFonts w:ascii="Arial" w:eastAsia="Arial" w:hAnsi="Arial" w:cs="Arial"/>
          <w:sz w:val="24"/>
          <w:szCs w:val="24"/>
          <w:vertAlign w:val="superscript"/>
        </w:rPr>
        <w:footnoteReference w:id="18"/>
      </w:r>
      <w:r>
        <w:rPr>
          <w:rFonts w:ascii="Arial" w:eastAsia="Arial" w:hAnsi="Arial" w:cs="Arial"/>
          <w:sz w:val="24"/>
          <w:szCs w:val="24"/>
        </w:rPr>
        <w:t xml:space="preserve"> en conjunto con la Observación General No. 12 del Comité de Derechos Económicos, Sociales y Culturales de las Naciones Unidas</w:t>
      </w:r>
      <w:r>
        <w:rPr>
          <w:rFonts w:ascii="Arial" w:eastAsia="Arial" w:hAnsi="Arial" w:cs="Arial"/>
          <w:sz w:val="24"/>
          <w:szCs w:val="24"/>
          <w:vertAlign w:val="superscript"/>
        </w:rPr>
        <w:footnoteReference w:id="19"/>
      </w:r>
      <w:r>
        <w:rPr>
          <w:rFonts w:ascii="Arial" w:eastAsia="Arial" w:hAnsi="Arial" w:cs="Arial"/>
          <w:sz w:val="24"/>
          <w:szCs w:val="24"/>
        </w:rPr>
        <w:t xml:space="preserve">. </w:t>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t>El Artículo 24 de la Convención de los Derechos del Niño</w:t>
      </w:r>
      <w:r>
        <w:rPr>
          <w:rFonts w:ascii="Arial" w:eastAsia="Arial" w:hAnsi="Arial" w:cs="Arial"/>
          <w:sz w:val="24"/>
          <w:szCs w:val="24"/>
          <w:vertAlign w:val="superscript"/>
        </w:rPr>
        <w:footnoteReference w:id="20"/>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lastRenderedPageBreak/>
        <w:t xml:space="preserve">El Artículo 12.2 de la Convención sobre la Eliminación de Todas las </w:t>
      </w:r>
      <w:r>
        <w:rPr>
          <w:rFonts w:ascii="Arial" w:eastAsia="Arial" w:hAnsi="Arial" w:cs="Arial"/>
          <w:sz w:val="24"/>
          <w:szCs w:val="24"/>
        </w:rPr>
        <w:t>Formas de Discriminación contra la Mujer</w:t>
      </w:r>
      <w:r>
        <w:rPr>
          <w:rFonts w:ascii="Arial" w:eastAsia="Arial" w:hAnsi="Arial" w:cs="Arial"/>
          <w:sz w:val="24"/>
          <w:szCs w:val="24"/>
          <w:vertAlign w:val="superscript"/>
        </w:rPr>
        <w:footnoteReference w:id="21"/>
      </w:r>
      <w:r>
        <w:rPr>
          <w:rFonts w:ascii="Arial" w:eastAsia="Arial" w:hAnsi="Arial" w:cs="Arial"/>
          <w:sz w:val="24"/>
          <w:szCs w:val="24"/>
        </w:rPr>
        <w:t>.</w:t>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t>El literal f del Artículo 25, en el contexto del derecho a la salud, y el literal l del artículo 28 en el contexto del derecho a un nivel de vida adecuado y a la protección social, de la Convención sobre los Derec</w:t>
      </w:r>
      <w:r>
        <w:rPr>
          <w:rFonts w:ascii="Arial" w:eastAsia="Arial" w:hAnsi="Arial" w:cs="Arial"/>
          <w:sz w:val="24"/>
          <w:szCs w:val="24"/>
        </w:rPr>
        <w:t>hos de las Personas con Discapacidad</w:t>
      </w:r>
      <w:r>
        <w:rPr>
          <w:rFonts w:ascii="Arial" w:eastAsia="Arial" w:hAnsi="Arial" w:cs="Arial"/>
          <w:sz w:val="24"/>
          <w:szCs w:val="24"/>
          <w:vertAlign w:val="superscript"/>
        </w:rPr>
        <w:footnoteReference w:id="22"/>
      </w:r>
      <w:r>
        <w:rPr>
          <w:rFonts w:ascii="Arial" w:eastAsia="Arial" w:hAnsi="Arial" w:cs="Arial"/>
          <w:sz w:val="24"/>
          <w:szCs w:val="24"/>
        </w:rPr>
        <w:t xml:space="preserve">. </w:t>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t>El Artículo 12 del Protocolo Adicional a la Convención Americana sobre Derechos Humanos en Materia de Derechos Económicos, Sociales y Culturales - Protocolo de San Salvador – de 1988</w:t>
      </w:r>
      <w:r>
        <w:rPr>
          <w:rFonts w:ascii="Arial" w:eastAsia="Arial" w:hAnsi="Arial" w:cs="Arial"/>
          <w:sz w:val="24"/>
          <w:szCs w:val="24"/>
          <w:vertAlign w:val="superscript"/>
        </w:rPr>
        <w:footnoteReference w:id="23"/>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t>Los literales c, y d del Artícul</w:t>
      </w:r>
      <w:r>
        <w:rPr>
          <w:rFonts w:ascii="Arial" w:eastAsia="Arial" w:hAnsi="Arial" w:cs="Arial"/>
          <w:sz w:val="24"/>
          <w:szCs w:val="24"/>
        </w:rPr>
        <w:t>o 14.2 de la Carta Africana sobre los Derecho y Bienestar del Niño, en conexidad con el derecho a la salud y a los servicios de salud.</w:t>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t>El Artículo 14 y 15 del Protocolo de la Carta Africana de Derechos Humanos y de los Pueblos sobre los Derechos de la Muje</w:t>
      </w:r>
      <w:r>
        <w:rPr>
          <w:rFonts w:ascii="Arial" w:eastAsia="Arial" w:hAnsi="Arial" w:cs="Arial"/>
          <w:sz w:val="24"/>
          <w:szCs w:val="24"/>
        </w:rPr>
        <w:t>r en África.</w:t>
      </w:r>
    </w:p>
    <w:p w:rsidR="00483B9D" w:rsidRDefault="009A4D35">
      <w:pPr>
        <w:numPr>
          <w:ilvl w:val="0"/>
          <w:numId w:val="1"/>
        </w:numPr>
        <w:spacing w:before="85" w:after="57"/>
        <w:jc w:val="both"/>
        <w:rPr>
          <w:rFonts w:ascii="Arial" w:eastAsia="Arial" w:hAnsi="Arial" w:cs="Arial"/>
          <w:sz w:val="24"/>
          <w:szCs w:val="24"/>
        </w:rPr>
      </w:pPr>
      <w:r>
        <w:rPr>
          <w:rFonts w:ascii="Arial" w:eastAsia="Arial" w:hAnsi="Arial" w:cs="Arial"/>
          <w:sz w:val="24"/>
          <w:szCs w:val="24"/>
        </w:rPr>
        <w:t xml:space="preserve">Jurisprudencialmente, la Comisión Africana de Derechos Humanos y de los Pueblos ha interpretado que el derecho a la alimentación se encuentra enunciado implícitamente en la Carta Africana de los Derechos Humanos y de los Pueblos de 1981, esto </w:t>
      </w:r>
      <w:r>
        <w:rPr>
          <w:rFonts w:ascii="Arial" w:eastAsia="Arial" w:hAnsi="Arial" w:cs="Arial"/>
          <w:sz w:val="24"/>
          <w:szCs w:val="24"/>
        </w:rPr>
        <w:t>último a través de la conexidad que existe con los derechos a la vida, a la salud y al desarrollo económico, social y cultural</w:t>
      </w:r>
      <w:r>
        <w:rPr>
          <w:rFonts w:ascii="Arial" w:eastAsia="Arial" w:hAnsi="Arial" w:cs="Arial"/>
          <w:sz w:val="24"/>
          <w:szCs w:val="24"/>
          <w:vertAlign w:val="superscript"/>
        </w:rPr>
        <w:footnoteReference w:id="24"/>
      </w:r>
      <w:r>
        <w:rPr>
          <w:rFonts w:ascii="Arial" w:eastAsia="Arial" w:hAnsi="Arial" w:cs="Arial"/>
          <w:sz w:val="24"/>
          <w:szCs w:val="24"/>
        </w:rPr>
        <w:t>.</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lastRenderedPageBreak/>
        <w:t>En adición a lo anterior, el mismo ha sido mencionado, complementado, reconocido y/o desarrollado en diferentes instrumentos d</w:t>
      </w:r>
      <w:r>
        <w:rPr>
          <w:rFonts w:ascii="Arial" w:eastAsia="Arial" w:hAnsi="Arial" w:cs="Arial"/>
          <w:sz w:val="24"/>
          <w:szCs w:val="24"/>
        </w:rPr>
        <w:t xml:space="preserve">e </w:t>
      </w:r>
      <w:proofErr w:type="spellStart"/>
      <w:r>
        <w:rPr>
          <w:rFonts w:ascii="Arial" w:eastAsia="Arial" w:hAnsi="Arial" w:cs="Arial"/>
          <w:i/>
          <w:sz w:val="24"/>
          <w:szCs w:val="24"/>
        </w:rPr>
        <w:t>soft-law</w:t>
      </w:r>
      <w:proofErr w:type="spellEnd"/>
      <w:r>
        <w:rPr>
          <w:rFonts w:ascii="Arial" w:eastAsia="Arial" w:hAnsi="Arial" w:cs="Arial"/>
          <w:i/>
          <w:sz w:val="24"/>
          <w:szCs w:val="24"/>
        </w:rPr>
        <w:t xml:space="preserve"> </w:t>
      </w:r>
      <w:r>
        <w:rPr>
          <w:rFonts w:ascii="Arial" w:eastAsia="Arial" w:hAnsi="Arial" w:cs="Arial"/>
          <w:sz w:val="24"/>
          <w:szCs w:val="24"/>
        </w:rPr>
        <w:t>de derecho internacional, como lo son, entre otros:</w:t>
      </w:r>
    </w:p>
    <w:p w:rsidR="00483B9D" w:rsidRDefault="009A4D35">
      <w:pPr>
        <w:numPr>
          <w:ilvl w:val="0"/>
          <w:numId w:val="2"/>
        </w:numPr>
        <w:spacing w:before="85" w:after="57"/>
        <w:jc w:val="both"/>
        <w:rPr>
          <w:rFonts w:ascii="Arial" w:eastAsia="Arial" w:hAnsi="Arial" w:cs="Arial"/>
          <w:sz w:val="24"/>
          <w:szCs w:val="24"/>
        </w:rPr>
      </w:pPr>
      <w:r>
        <w:rPr>
          <w:rFonts w:ascii="Arial" w:eastAsia="Arial" w:hAnsi="Arial" w:cs="Arial"/>
          <w:sz w:val="24"/>
          <w:szCs w:val="24"/>
        </w:rPr>
        <w:t>La Declaración Universal sobre la Erradicación del Hambre y la Malnutrición de 1974.</w:t>
      </w:r>
    </w:p>
    <w:p w:rsidR="00483B9D" w:rsidRDefault="009A4D35">
      <w:pPr>
        <w:numPr>
          <w:ilvl w:val="0"/>
          <w:numId w:val="2"/>
        </w:numPr>
        <w:spacing w:before="85" w:after="57"/>
        <w:jc w:val="both"/>
        <w:rPr>
          <w:rFonts w:ascii="Arial" w:eastAsia="Arial" w:hAnsi="Arial" w:cs="Arial"/>
          <w:sz w:val="24"/>
          <w:szCs w:val="24"/>
        </w:rPr>
      </w:pPr>
      <w:r>
        <w:rPr>
          <w:rFonts w:ascii="Arial" w:eastAsia="Arial" w:hAnsi="Arial" w:cs="Arial"/>
          <w:sz w:val="24"/>
          <w:szCs w:val="24"/>
        </w:rPr>
        <w:t>La Declaración Mundial sobre la Nutrición de 1992.</w:t>
      </w:r>
    </w:p>
    <w:p w:rsidR="00483B9D" w:rsidRDefault="009A4D35">
      <w:pPr>
        <w:numPr>
          <w:ilvl w:val="0"/>
          <w:numId w:val="2"/>
        </w:numPr>
        <w:spacing w:before="85" w:after="57"/>
        <w:jc w:val="both"/>
        <w:rPr>
          <w:rFonts w:ascii="Arial" w:eastAsia="Arial" w:hAnsi="Arial" w:cs="Arial"/>
          <w:sz w:val="24"/>
          <w:szCs w:val="24"/>
        </w:rPr>
      </w:pPr>
      <w:r>
        <w:rPr>
          <w:rFonts w:ascii="Arial" w:eastAsia="Arial" w:hAnsi="Arial" w:cs="Arial"/>
          <w:sz w:val="24"/>
          <w:szCs w:val="24"/>
        </w:rPr>
        <w:t>La Declaración de Roma sobre la Seguridad Alimentaria Mun</w:t>
      </w:r>
      <w:r>
        <w:rPr>
          <w:rFonts w:ascii="Arial" w:eastAsia="Arial" w:hAnsi="Arial" w:cs="Arial"/>
          <w:sz w:val="24"/>
          <w:szCs w:val="24"/>
        </w:rPr>
        <w:t>dial de 1966.</w:t>
      </w:r>
    </w:p>
    <w:p w:rsidR="00483B9D" w:rsidRDefault="009A4D35">
      <w:pPr>
        <w:numPr>
          <w:ilvl w:val="0"/>
          <w:numId w:val="2"/>
        </w:numPr>
        <w:spacing w:before="85" w:after="57"/>
        <w:jc w:val="both"/>
        <w:rPr>
          <w:rFonts w:ascii="Arial" w:eastAsia="Arial" w:hAnsi="Arial" w:cs="Arial"/>
          <w:sz w:val="24"/>
          <w:szCs w:val="24"/>
        </w:rPr>
      </w:pPr>
      <w:r>
        <w:rPr>
          <w:rFonts w:ascii="Arial" w:eastAsia="Arial" w:hAnsi="Arial" w:cs="Arial"/>
          <w:sz w:val="24"/>
          <w:szCs w:val="24"/>
        </w:rPr>
        <w:t>La Resolución 2004/19 de la Asamblea General de las Naciones Unidas.</w:t>
      </w:r>
    </w:p>
    <w:p w:rsidR="00483B9D" w:rsidRDefault="009A4D35">
      <w:pPr>
        <w:numPr>
          <w:ilvl w:val="0"/>
          <w:numId w:val="2"/>
        </w:numPr>
        <w:spacing w:before="85" w:after="57"/>
        <w:jc w:val="both"/>
        <w:rPr>
          <w:rFonts w:ascii="Arial" w:eastAsia="Arial" w:hAnsi="Arial" w:cs="Arial"/>
          <w:sz w:val="24"/>
          <w:szCs w:val="24"/>
        </w:rPr>
      </w:pPr>
      <w:r>
        <w:rPr>
          <w:rFonts w:ascii="Arial" w:eastAsia="Arial" w:hAnsi="Arial" w:cs="Arial"/>
          <w:sz w:val="24"/>
          <w:szCs w:val="24"/>
        </w:rPr>
        <w:t>El Folleto Informativo No. 34 de la Oficina del Alto Comisionado de las Naciones Unidas para los Derechos Humanos y la FAO respecto al Derecho a la Alimentación Adecuada.</w:t>
      </w:r>
    </w:p>
    <w:p w:rsidR="00483B9D" w:rsidRDefault="009A4D35">
      <w:pPr>
        <w:numPr>
          <w:ilvl w:val="0"/>
          <w:numId w:val="2"/>
        </w:numPr>
        <w:spacing w:before="85" w:after="57"/>
        <w:jc w:val="both"/>
        <w:rPr>
          <w:rFonts w:ascii="Arial" w:eastAsia="Arial" w:hAnsi="Arial" w:cs="Arial"/>
          <w:sz w:val="24"/>
          <w:szCs w:val="24"/>
        </w:rPr>
      </w:pPr>
      <w:r>
        <w:rPr>
          <w:rFonts w:ascii="Arial" w:eastAsia="Arial" w:hAnsi="Arial" w:cs="Arial"/>
          <w:sz w:val="24"/>
          <w:szCs w:val="24"/>
        </w:rPr>
        <w:t>El Informe de fecha 11 de agosto de 2010 del Relator Especial de las Naciones Unidas sobre el derecho a la alimentación, en donde se señala que “</w:t>
      </w:r>
      <w:r>
        <w:rPr>
          <w:rFonts w:ascii="Arial" w:eastAsia="Arial" w:hAnsi="Arial" w:cs="Arial"/>
          <w:i/>
          <w:sz w:val="24"/>
          <w:szCs w:val="24"/>
        </w:rPr>
        <w:t>El acceso a la tierra y la seguridad de la tenencia son esenciales para asegurar el disfrute no solo del derech</w:t>
      </w:r>
      <w:r>
        <w:rPr>
          <w:rFonts w:ascii="Arial" w:eastAsia="Arial" w:hAnsi="Arial" w:cs="Arial"/>
          <w:i/>
          <w:sz w:val="24"/>
          <w:szCs w:val="24"/>
        </w:rPr>
        <w:t>o a la alimentación, sino también de otros derechos humanos, incluidos el derecho al trabajo (de los campesinos que no poseen tierras) y el derecho a la vivienda</w:t>
      </w:r>
      <w:r>
        <w:rPr>
          <w:rFonts w:ascii="Arial" w:eastAsia="Arial" w:hAnsi="Arial" w:cs="Arial"/>
          <w:sz w:val="24"/>
          <w:szCs w:val="24"/>
        </w:rPr>
        <w:t xml:space="preserve">”. </w:t>
      </w:r>
    </w:p>
    <w:p w:rsidR="00483B9D" w:rsidRDefault="00483B9D">
      <w:pPr>
        <w:spacing w:before="85" w:after="57"/>
        <w:ind w:left="720"/>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En lo referente a su contenido y alcance, es preciso atender a las disposiciones contempla</w:t>
      </w:r>
      <w:r>
        <w:rPr>
          <w:rFonts w:ascii="Arial" w:eastAsia="Arial" w:hAnsi="Arial" w:cs="Arial"/>
          <w:sz w:val="24"/>
          <w:szCs w:val="24"/>
        </w:rPr>
        <w:t xml:space="preserve">das en la Observación General No. 12 del Comité de Derechos Económicos, Sociales y Culturales de las Naciones Unidas. Así pues, dicho Comité de expertos ha resaltado que el Derecho Humano a la alimentación adecuada se encuentra intrínsecamente relacionado </w:t>
      </w:r>
      <w:r>
        <w:rPr>
          <w:rFonts w:ascii="Arial" w:eastAsia="Arial" w:hAnsi="Arial" w:cs="Arial"/>
          <w:sz w:val="24"/>
          <w:szCs w:val="24"/>
        </w:rPr>
        <w:t>con la dignidad humana y resulta ser un presupuesto indispensable para el goce efectivo de cualquier otro Derecho. De la misma forma, ha establecido que existe una conexidad entre el mismo y con los postulados inherentes a la justicia social, en tanto requ</w:t>
      </w:r>
      <w:r>
        <w:rPr>
          <w:rFonts w:ascii="Arial" w:eastAsia="Arial" w:hAnsi="Arial" w:cs="Arial"/>
          <w:sz w:val="24"/>
          <w:szCs w:val="24"/>
        </w:rPr>
        <w:t>iere la adopción de políticas de índole económico, social y ambiental adecuadas que permitan su garantía y, de paso, implementar políticas públicas tendientes a la erradicación de la pobreza y la efectiva realización de otros derechos.</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En lo referente al </w:t>
      </w:r>
      <w:r>
        <w:rPr>
          <w:rFonts w:ascii="Arial" w:eastAsia="Arial" w:hAnsi="Arial" w:cs="Arial"/>
          <w:sz w:val="24"/>
          <w:szCs w:val="24"/>
        </w:rPr>
        <w:t>contenido sustancial del mentado derecho, el mismo ha sido entendido por parte del Comité como:</w:t>
      </w:r>
    </w:p>
    <w:p w:rsidR="00483B9D" w:rsidRDefault="009A4D35">
      <w:pPr>
        <w:spacing w:before="85" w:after="57"/>
        <w:jc w:val="both"/>
        <w:rPr>
          <w:rFonts w:ascii="Arial" w:eastAsia="Arial" w:hAnsi="Arial" w:cs="Arial"/>
          <w:i/>
          <w:sz w:val="24"/>
          <w:szCs w:val="24"/>
        </w:rPr>
      </w:pPr>
      <w:r>
        <w:rPr>
          <w:rFonts w:ascii="Arial" w:eastAsia="Arial" w:hAnsi="Arial" w:cs="Arial"/>
          <w:i/>
          <w:sz w:val="24"/>
          <w:szCs w:val="24"/>
        </w:rPr>
        <w:t>“El derecho a la alimentación adecuada se ejerce cuando todo hombre, mujer o niño, ya sea sólo o en común con otros, tiene acceso físico y económico, en todo mo</w:t>
      </w:r>
      <w:r>
        <w:rPr>
          <w:rFonts w:ascii="Arial" w:eastAsia="Arial" w:hAnsi="Arial" w:cs="Arial"/>
          <w:i/>
          <w:sz w:val="24"/>
          <w:szCs w:val="24"/>
        </w:rPr>
        <w:t>mento, a la alimentación adecuada o a medios para obtenerla. El derecho a la alimentación adecuada no debe interpretarse, por consiguiente, en forma estrecha o restrictiva asimilándolo a un conjunto de calorías, proteínas y otros elementos nutritivos concr</w:t>
      </w:r>
      <w:r>
        <w:rPr>
          <w:rFonts w:ascii="Arial" w:eastAsia="Arial" w:hAnsi="Arial" w:cs="Arial"/>
          <w:i/>
          <w:sz w:val="24"/>
          <w:szCs w:val="24"/>
        </w:rPr>
        <w:t xml:space="preserve">etos. El derecho a la alimentación adecuada tendrá que alcanzarse </w:t>
      </w:r>
      <w:r>
        <w:rPr>
          <w:rFonts w:ascii="Arial" w:eastAsia="Arial" w:hAnsi="Arial" w:cs="Arial"/>
          <w:i/>
          <w:sz w:val="24"/>
          <w:szCs w:val="24"/>
        </w:rPr>
        <w:lastRenderedPageBreak/>
        <w:t xml:space="preserve">progresivamente. No obstante, los Estados tienen la obligación básica de adoptar las medidas necesarias para mitigar y aliviar el hambre tal como se dispone en el párrafo 2 del artículo 11, </w:t>
      </w:r>
      <w:r>
        <w:rPr>
          <w:rFonts w:ascii="Arial" w:eastAsia="Arial" w:hAnsi="Arial" w:cs="Arial"/>
          <w:i/>
          <w:sz w:val="24"/>
          <w:szCs w:val="24"/>
        </w:rPr>
        <w:t>incluso en caso de desastre natural o de otra índole.”</w:t>
      </w:r>
      <w:r>
        <w:rPr>
          <w:rFonts w:ascii="Arial" w:eastAsia="Arial" w:hAnsi="Arial" w:cs="Arial"/>
          <w:i/>
          <w:sz w:val="24"/>
          <w:szCs w:val="24"/>
          <w:vertAlign w:val="superscript"/>
        </w:rPr>
        <w:footnoteReference w:id="25"/>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De la misma manera, el Relator Especial de las Naciones Unidas sobre el Derecho a la alimentación ha contribuido a la definición sustantiva de dicho derecho, estableciendo que el mismo consiste en:</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E</w:t>
      </w:r>
      <w:r>
        <w:rPr>
          <w:rFonts w:ascii="Arial" w:eastAsia="Arial" w:hAnsi="Arial" w:cs="Arial"/>
          <w:i/>
          <w:sz w:val="24"/>
          <w:szCs w:val="24"/>
        </w:rPr>
        <w:t>l derecho a tener acceso, de manera regular, permanente y libre, sea directamente, sea mediante compra en dinero, a una alimentación cuantitativa y cualitativamente adecuada y suficiente, que corresponda a las tradiciones culturales de la población a que p</w:t>
      </w:r>
      <w:r>
        <w:rPr>
          <w:rFonts w:ascii="Arial" w:eastAsia="Arial" w:hAnsi="Arial" w:cs="Arial"/>
          <w:i/>
          <w:sz w:val="24"/>
          <w:szCs w:val="24"/>
        </w:rPr>
        <w:t>ertenece el consumidor y que garantice una vida psíquica y física, individual y colectiva, libre de angustias, satisfactoria y digna.</w:t>
      </w:r>
      <w:r>
        <w:rPr>
          <w:rFonts w:ascii="Arial" w:eastAsia="Arial" w:hAnsi="Arial" w:cs="Arial"/>
          <w:sz w:val="24"/>
          <w:szCs w:val="24"/>
        </w:rPr>
        <w:t>”</w:t>
      </w:r>
      <w:r>
        <w:rPr>
          <w:rFonts w:ascii="Arial" w:eastAsia="Arial" w:hAnsi="Arial" w:cs="Arial"/>
          <w:sz w:val="24"/>
          <w:szCs w:val="24"/>
          <w:vertAlign w:val="superscript"/>
        </w:rPr>
        <w:footnoteReference w:id="26"/>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Al respecto, surgen ciertos conceptos que resultan destacables con respecto al derecho a la alimentación, a saber: </w:t>
      </w:r>
      <w:r>
        <w:rPr>
          <w:rFonts w:ascii="Arial" w:eastAsia="Arial" w:hAnsi="Arial" w:cs="Arial"/>
          <w:b/>
          <w:sz w:val="24"/>
          <w:szCs w:val="24"/>
        </w:rPr>
        <w:t>disponibilidad, accesibilidad, adecuación y sostenibilidad</w:t>
      </w:r>
      <w:r>
        <w:rPr>
          <w:rFonts w:ascii="Arial" w:eastAsia="Arial" w:hAnsi="Arial" w:cs="Arial"/>
          <w:sz w:val="24"/>
          <w:szCs w:val="24"/>
        </w:rPr>
        <w:t xml:space="preserve">. </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Por disponible, debe entenderse que el alimento pueda ser obtenido ya a través de la producción de alimentos, el cultivo de la tierra y/o la ganadería, la caza o la recolección, y que también se</w:t>
      </w:r>
      <w:r>
        <w:rPr>
          <w:rFonts w:ascii="Arial" w:eastAsia="Arial" w:hAnsi="Arial" w:cs="Arial"/>
          <w:sz w:val="24"/>
          <w:szCs w:val="24"/>
        </w:rPr>
        <w:t xml:space="preserve"> encuentre disponible para su venta y acceso en mercados y comercio. Este concepto ha sido en parte desarrollado en el Plan Nacional de Seguridad Alimentaria y Nutricional 2012 – 2019 (PNSAN), en donde se entiende por disponible como </w:t>
      </w:r>
      <w:r>
        <w:rPr>
          <w:rFonts w:ascii="Arial" w:eastAsia="Arial" w:hAnsi="Arial" w:cs="Arial"/>
          <w:i/>
          <w:sz w:val="24"/>
          <w:szCs w:val="24"/>
        </w:rPr>
        <w:t>“la cantidad de alimen</w:t>
      </w:r>
      <w:r>
        <w:rPr>
          <w:rFonts w:ascii="Arial" w:eastAsia="Arial" w:hAnsi="Arial" w:cs="Arial"/>
          <w:i/>
          <w:sz w:val="24"/>
          <w:szCs w:val="24"/>
        </w:rPr>
        <w:t xml:space="preserve">tos con que se cuenta a nivel nacional, regional y local; </w:t>
      </w:r>
      <w:r>
        <w:rPr>
          <w:rFonts w:ascii="Arial" w:eastAsia="Arial" w:hAnsi="Arial" w:cs="Arial"/>
          <w:sz w:val="24"/>
          <w:szCs w:val="24"/>
        </w:rPr>
        <w:t xml:space="preserve">(y) </w:t>
      </w:r>
      <w:r>
        <w:rPr>
          <w:rFonts w:ascii="Arial" w:eastAsia="Arial" w:hAnsi="Arial" w:cs="Arial"/>
          <w:i/>
          <w:sz w:val="24"/>
          <w:szCs w:val="24"/>
        </w:rPr>
        <w:t>está relacionada con el suministro suficiente de estos frente a los requerimientos de la población y depende fundamentalmente de la producción y la importación. Está determinada por: La estructu</w:t>
      </w:r>
      <w:r>
        <w:rPr>
          <w:rFonts w:ascii="Arial" w:eastAsia="Arial" w:hAnsi="Arial" w:cs="Arial"/>
          <w:i/>
          <w:sz w:val="24"/>
          <w:szCs w:val="24"/>
        </w:rPr>
        <w:t xml:space="preserve">ra productiva (agropecuaria, agroindustrial); los sistemas de comercialización y distribución internos y externos; los factores productivos (tierra, financiamiento, agua, tecnología, recurso humano); las condiciones </w:t>
      </w:r>
      <w:proofErr w:type="spellStart"/>
      <w:r>
        <w:rPr>
          <w:rFonts w:ascii="Arial" w:eastAsia="Arial" w:hAnsi="Arial" w:cs="Arial"/>
          <w:i/>
          <w:sz w:val="24"/>
          <w:szCs w:val="24"/>
        </w:rPr>
        <w:t>ecosistémicas</w:t>
      </w:r>
      <w:proofErr w:type="spellEnd"/>
      <w:r>
        <w:rPr>
          <w:rFonts w:ascii="Arial" w:eastAsia="Arial" w:hAnsi="Arial" w:cs="Arial"/>
          <w:i/>
          <w:sz w:val="24"/>
          <w:szCs w:val="24"/>
        </w:rPr>
        <w:t xml:space="preserve"> (clima, recursos genéticos</w:t>
      </w:r>
      <w:r>
        <w:rPr>
          <w:rFonts w:ascii="Arial" w:eastAsia="Arial" w:hAnsi="Arial" w:cs="Arial"/>
          <w:i/>
          <w:sz w:val="24"/>
          <w:szCs w:val="24"/>
        </w:rPr>
        <w:t xml:space="preserve"> y biodiversidad); las políticas de producción y comercio; y el conflicto sociopolítico (relaciones económicas, sociales y políticas entre actores).</w:t>
      </w:r>
      <w:r>
        <w:rPr>
          <w:rFonts w:ascii="Arial" w:eastAsia="Arial" w:hAnsi="Arial" w:cs="Arial"/>
          <w:sz w:val="24"/>
          <w:szCs w:val="24"/>
        </w:rPr>
        <w:t xml:space="preserve">” </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Del mismo modo, el alimento debe ser </w:t>
      </w:r>
      <w:r>
        <w:rPr>
          <w:rFonts w:ascii="Arial" w:eastAsia="Arial" w:hAnsi="Arial" w:cs="Arial"/>
          <w:b/>
          <w:sz w:val="24"/>
          <w:szCs w:val="24"/>
        </w:rPr>
        <w:t>accesible</w:t>
      </w:r>
      <w:r>
        <w:rPr>
          <w:rFonts w:ascii="Arial" w:eastAsia="Arial" w:hAnsi="Arial" w:cs="Arial"/>
          <w:sz w:val="24"/>
          <w:szCs w:val="24"/>
        </w:rPr>
        <w:t>, ya en el plano económico como en el plano físico. En cua</w:t>
      </w:r>
      <w:r>
        <w:rPr>
          <w:rFonts w:ascii="Arial" w:eastAsia="Arial" w:hAnsi="Arial" w:cs="Arial"/>
          <w:sz w:val="24"/>
          <w:szCs w:val="24"/>
        </w:rPr>
        <w:t>nto a la accesibilidad económica, dicho aspecto hace referencia a que debe garantizarse que las personas se encuentren en condiciones adecuadas de permitirse la adquisición de los alimentos sin perjuicio de otras erogaciones que resulten necesarias para at</w:t>
      </w:r>
      <w:r>
        <w:rPr>
          <w:rFonts w:ascii="Arial" w:eastAsia="Arial" w:hAnsi="Arial" w:cs="Arial"/>
          <w:sz w:val="24"/>
          <w:szCs w:val="24"/>
        </w:rPr>
        <w:t xml:space="preserve">ender necesidades básicas. En cuanto </w:t>
      </w:r>
      <w:r>
        <w:rPr>
          <w:rFonts w:ascii="Arial" w:eastAsia="Arial" w:hAnsi="Arial" w:cs="Arial"/>
          <w:sz w:val="24"/>
          <w:szCs w:val="24"/>
        </w:rPr>
        <w:lastRenderedPageBreak/>
        <w:t>a la accesibilidad física, dicho criterio hace referencia a que los alimentos deben ser accesibles de manera universal y prestando especial atención a aquellas comunidades y ciudadanos que se encuentran en situaciones d</w:t>
      </w:r>
      <w:r>
        <w:rPr>
          <w:rFonts w:ascii="Arial" w:eastAsia="Arial" w:hAnsi="Arial" w:cs="Arial"/>
          <w:sz w:val="24"/>
          <w:szCs w:val="24"/>
        </w:rPr>
        <w:t>e vulnerabilidad. Al respecto, el PNSAN 2012 – 2019 ha dispuesto que debe entenderse por acceso como “</w:t>
      </w:r>
      <w:r>
        <w:rPr>
          <w:rFonts w:ascii="Arial" w:eastAsia="Arial" w:hAnsi="Arial" w:cs="Arial"/>
          <w:i/>
          <w:sz w:val="24"/>
          <w:szCs w:val="24"/>
        </w:rPr>
        <w:t>la posibilidad de todas las personas de alcanzar una alimentación adecuada y sostenible. Se refiere a los alimentos que puede obtener o comprar una famili</w:t>
      </w:r>
      <w:r>
        <w:rPr>
          <w:rFonts w:ascii="Arial" w:eastAsia="Arial" w:hAnsi="Arial" w:cs="Arial"/>
          <w:i/>
          <w:sz w:val="24"/>
          <w:szCs w:val="24"/>
        </w:rPr>
        <w:t>a, comunidad o país. Sus determinantes básicos son: Nivel y distribución de ingresos (monetarios y no monetarios) y los precios de los alimentos.</w:t>
      </w:r>
      <w:r>
        <w:rPr>
          <w:rFonts w:ascii="Arial" w:eastAsia="Arial" w:hAnsi="Arial" w:cs="Arial"/>
          <w:sz w:val="24"/>
          <w:szCs w:val="24"/>
        </w:rPr>
        <w:t>”</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En tercer lugar, el alimento debe ser </w:t>
      </w:r>
      <w:r>
        <w:rPr>
          <w:rFonts w:ascii="Arial" w:eastAsia="Arial" w:hAnsi="Arial" w:cs="Arial"/>
          <w:b/>
          <w:sz w:val="24"/>
          <w:szCs w:val="24"/>
        </w:rPr>
        <w:t>adecuado.</w:t>
      </w:r>
      <w:r>
        <w:rPr>
          <w:rFonts w:ascii="Arial" w:eastAsia="Arial" w:hAnsi="Arial" w:cs="Arial"/>
          <w:sz w:val="24"/>
          <w:szCs w:val="24"/>
        </w:rPr>
        <w:t xml:space="preserve"> Dicho criterio se refiere a que la alimentación debe satisfa</w:t>
      </w:r>
      <w:r>
        <w:rPr>
          <w:rFonts w:ascii="Arial" w:eastAsia="Arial" w:hAnsi="Arial" w:cs="Arial"/>
          <w:sz w:val="24"/>
          <w:szCs w:val="24"/>
        </w:rPr>
        <w:t>cer las necesidades básicas de dieta teniendo en cuenta la condición de la persona. Dentro de dicho criterio se contemplan también la necesidad de garantizar que los alimentos sean seguros para el consumo humano, es decir, que se encuentren libres de susta</w:t>
      </w:r>
      <w:r>
        <w:rPr>
          <w:rFonts w:ascii="Arial" w:eastAsia="Arial" w:hAnsi="Arial" w:cs="Arial"/>
          <w:sz w:val="24"/>
          <w:szCs w:val="24"/>
        </w:rPr>
        <w:t>ncias nocivas y/o contaminantes que puedan atentar contra la salud humana. También se encuentra contemplado el concepto de alimento culturalmente aceptable, el cual se refiere a la necesidad de que los alimentos que se provean no se encuentren proscritos p</w:t>
      </w:r>
      <w:r>
        <w:rPr>
          <w:rFonts w:ascii="Arial" w:eastAsia="Arial" w:hAnsi="Arial" w:cs="Arial"/>
          <w:sz w:val="24"/>
          <w:szCs w:val="24"/>
        </w:rPr>
        <w:t xml:space="preserve">or las tradiciones ni los valores culturales o religiosos de las comunidades. Respecto a este criterio establecido como fundamental por la doctrina internacional, el PNSAN 2012 – 2019 no hace ninguna referencia explícita respecto al mismo, aunque se hacen </w:t>
      </w:r>
      <w:r>
        <w:rPr>
          <w:rFonts w:ascii="Arial" w:eastAsia="Arial" w:hAnsi="Arial" w:cs="Arial"/>
          <w:sz w:val="24"/>
          <w:szCs w:val="24"/>
        </w:rPr>
        <w:t>tangenciales referencias al mismo dentro de los criterios previamente mencionados.</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Respecto a las obligaciones que impone el derecho a la alimentación adecuada a los Estados, las cuales fueron esbozadas anteriormente, es preciso desarrollar. Así pues, es p</w:t>
      </w:r>
      <w:r>
        <w:rPr>
          <w:rFonts w:ascii="Arial" w:eastAsia="Arial" w:hAnsi="Arial" w:cs="Arial"/>
          <w:sz w:val="24"/>
          <w:szCs w:val="24"/>
        </w:rPr>
        <w:t>reciso entonces acudir nuevamente a lo estipulado en la Observación General No. 12, el cual establece que:</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w:t>
      </w:r>
      <w:r>
        <w:rPr>
          <w:rFonts w:ascii="Arial" w:eastAsia="Arial" w:hAnsi="Arial" w:cs="Arial"/>
          <w:i/>
          <w:sz w:val="24"/>
          <w:szCs w:val="24"/>
        </w:rPr>
        <w:t>El derecho a la alimentación adecuada, al igual que cualquier otro derecho humano, impone tres tipos o niveles de obligaciones a los Estados Partes</w:t>
      </w:r>
      <w:r>
        <w:rPr>
          <w:rFonts w:ascii="Arial" w:eastAsia="Arial" w:hAnsi="Arial" w:cs="Arial"/>
          <w:i/>
          <w:sz w:val="24"/>
          <w:szCs w:val="24"/>
        </w:rPr>
        <w:t xml:space="preserve">: las obligaciones de </w:t>
      </w:r>
      <w:r>
        <w:rPr>
          <w:rFonts w:ascii="Arial" w:eastAsia="Arial" w:hAnsi="Arial" w:cs="Arial"/>
          <w:b/>
          <w:i/>
          <w:sz w:val="24"/>
          <w:szCs w:val="24"/>
        </w:rPr>
        <w:t>respetar, proteger y realizar</w:t>
      </w:r>
      <w:r>
        <w:rPr>
          <w:rFonts w:ascii="Arial" w:eastAsia="Arial" w:hAnsi="Arial" w:cs="Arial"/>
          <w:i/>
          <w:sz w:val="24"/>
          <w:szCs w:val="24"/>
        </w:rPr>
        <w:t>. A su vez, la obligación de realizar entraña tanto la obligación de facilitar como la obligación de hacer efectivo. La obligación de respetar el acceso existente a una alimentación adecuada requiere que l</w:t>
      </w:r>
      <w:r>
        <w:rPr>
          <w:rFonts w:ascii="Arial" w:eastAsia="Arial" w:hAnsi="Arial" w:cs="Arial"/>
          <w:i/>
          <w:sz w:val="24"/>
          <w:szCs w:val="24"/>
        </w:rPr>
        <w:t>os Estados no adopten medidas de ningún tipo que tengan por resultado impedir ese acceso. La obligación de proteger requiere que el Estado Parte adopte medidas para velar por que las empresas o los particulares no priven a las personas del acceso a una ali</w:t>
      </w:r>
      <w:r>
        <w:rPr>
          <w:rFonts w:ascii="Arial" w:eastAsia="Arial" w:hAnsi="Arial" w:cs="Arial"/>
          <w:i/>
          <w:sz w:val="24"/>
          <w:szCs w:val="24"/>
        </w:rPr>
        <w:t>mentación adecuada. La obligación de realizar (facilitar) significa que el Estado debe procurar iniciar actividades con el fin de fortalecer el acceso y la utilización por parte de la población de los recursos y medios que aseguren sus medios de vida, incl</w:t>
      </w:r>
      <w:r>
        <w:rPr>
          <w:rFonts w:ascii="Arial" w:eastAsia="Arial" w:hAnsi="Arial" w:cs="Arial"/>
          <w:i/>
          <w:sz w:val="24"/>
          <w:szCs w:val="24"/>
        </w:rPr>
        <w:t xml:space="preserve">uida la seguridad alimentaria. Por último, cuando un individuo o un grupo sea incapaz, por razones que escapen a su control, de disfrutar el derecho a una alimentación adecuada por los medios a su alcance, los Estados tienen la obligación </w:t>
      </w:r>
      <w:r>
        <w:rPr>
          <w:rFonts w:ascii="Arial" w:eastAsia="Arial" w:hAnsi="Arial" w:cs="Arial"/>
          <w:i/>
          <w:sz w:val="24"/>
          <w:szCs w:val="24"/>
        </w:rPr>
        <w:lastRenderedPageBreak/>
        <w:t>de realizar (hace</w:t>
      </w:r>
      <w:r>
        <w:rPr>
          <w:rFonts w:ascii="Arial" w:eastAsia="Arial" w:hAnsi="Arial" w:cs="Arial"/>
          <w:i/>
          <w:sz w:val="24"/>
          <w:szCs w:val="24"/>
        </w:rPr>
        <w:t>r efectivo) ese derecho directamente. Esta obligación también se aplica a las personas que son víctimas de catástrofes naturales o de otra índole.</w:t>
      </w:r>
      <w:r>
        <w:rPr>
          <w:rFonts w:ascii="Arial" w:eastAsia="Arial" w:hAnsi="Arial" w:cs="Arial"/>
          <w:sz w:val="24"/>
          <w:szCs w:val="24"/>
        </w:rPr>
        <w:t>”</w:t>
      </w:r>
      <w:r>
        <w:rPr>
          <w:rFonts w:ascii="Arial" w:eastAsia="Arial" w:hAnsi="Arial" w:cs="Arial"/>
          <w:sz w:val="24"/>
          <w:szCs w:val="24"/>
          <w:vertAlign w:val="superscript"/>
        </w:rPr>
        <w:footnoteReference w:id="27"/>
      </w:r>
      <w:r>
        <w:rPr>
          <w:rFonts w:ascii="Arial" w:eastAsia="Arial" w:hAnsi="Arial" w:cs="Arial"/>
          <w:sz w:val="24"/>
          <w:szCs w:val="24"/>
        </w:rPr>
        <w:t xml:space="preserve"> (se resalta)</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Finalmente, el derecho a la alimentación tiene una dimensión de </w:t>
      </w:r>
      <w:r>
        <w:rPr>
          <w:rFonts w:ascii="Arial" w:eastAsia="Arial" w:hAnsi="Arial" w:cs="Arial"/>
          <w:b/>
          <w:sz w:val="24"/>
          <w:szCs w:val="24"/>
        </w:rPr>
        <w:t>sostenibilidad</w:t>
      </w:r>
      <w:r>
        <w:rPr>
          <w:rFonts w:ascii="Arial" w:eastAsia="Arial" w:hAnsi="Arial" w:cs="Arial"/>
          <w:sz w:val="24"/>
          <w:szCs w:val="24"/>
        </w:rPr>
        <w:t>, que implica i</w:t>
      </w:r>
      <w:r>
        <w:rPr>
          <w:rFonts w:ascii="Arial" w:eastAsia="Arial" w:hAnsi="Arial" w:cs="Arial"/>
          <w:sz w:val="24"/>
          <w:szCs w:val="24"/>
        </w:rPr>
        <w:t>) la disponibilidad y acceso hacia el futuro; y ii) su producción y consumo ambiental, económica y socialmente sostenible.</w:t>
      </w:r>
    </w:p>
    <w:p w:rsidR="00483B9D" w:rsidRDefault="00483B9D">
      <w:pPr>
        <w:spacing w:before="85" w:after="57"/>
        <w:jc w:val="both"/>
        <w:rPr>
          <w:rFonts w:ascii="Arial" w:eastAsia="Arial" w:hAnsi="Arial" w:cs="Arial"/>
          <w:sz w:val="24"/>
          <w:szCs w:val="24"/>
        </w:rPr>
      </w:pPr>
    </w:p>
    <w:p w:rsidR="00483B9D" w:rsidRDefault="009A4D35">
      <w:pPr>
        <w:numPr>
          <w:ilvl w:val="0"/>
          <w:numId w:val="3"/>
        </w:numPr>
        <w:spacing w:before="85" w:after="57"/>
        <w:jc w:val="both"/>
        <w:rPr>
          <w:rFonts w:ascii="Arial" w:eastAsia="Arial" w:hAnsi="Arial" w:cs="Arial"/>
          <w:b/>
          <w:sz w:val="24"/>
          <w:szCs w:val="24"/>
        </w:rPr>
      </w:pPr>
      <w:r>
        <w:rPr>
          <w:rFonts w:ascii="Arial" w:eastAsia="Arial" w:hAnsi="Arial" w:cs="Arial"/>
          <w:b/>
          <w:sz w:val="24"/>
          <w:szCs w:val="24"/>
        </w:rPr>
        <w:t xml:space="preserve"> Consideraciones frente a la exigibilidad del derecho en los términos planteados en el proyecto.</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En lo que respecta a la exigibilidad del derecho, en los términos que se plantean en el articulado, se ha reconocido que los medios para garantizar el mentado derecho variarán de manera inevitable y considerable de un Estado Parte a otro. En virtud de lo a</w:t>
      </w:r>
      <w:r>
        <w:rPr>
          <w:rFonts w:ascii="Arial" w:eastAsia="Arial" w:hAnsi="Arial" w:cs="Arial"/>
          <w:sz w:val="24"/>
          <w:szCs w:val="24"/>
        </w:rPr>
        <w:t xml:space="preserve">nterior, existe una libertad de aproximación y enfoques al momento de formular políticas públicas que estén destinadas a cumplir con las obligaciones que se encuentran contempladas en el artículo 11 del Pacto Internacional de Derechos Económicos, Sociales </w:t>
      </w:r>
      <w:r>
        <w:rPr>
          <w:rFonts w:ascii="Arial" w:eastAsia="Arial" w:hAnsi="Arial" w:cs="Arial"/>
          <w:sz w:val="24"/>
          <w:szCs w:val="24"/>
        </w:rPr>
        <w:t>y Culturales</w:t>
      </w:r>
      <w:r>
        <w:rPr>
          <w:rFonts w:ascii="Arial" w:eastAsia="Arial" w:hAnsi="Arial" w:cs="Arial"/>
          <w:sz w:val="24"/>
          <w:szCs w:val="24"/>
          <w:vertAlign w:val="superscript"/>
        </w:rPr>
        <w:footnoteReference w:id="28"/>
      </w:r>
      <w:r>
        <w:rPr>
          <w:rFonts w:ascii="Arial" w:eastAsia="Arial" w:hAnsi="Arial" w:cs="Arial"/>
          <w:sz w:val="24"/>
          <w:szCs w:val="24"/>
        </w:rPr>
        <w:t>, cuya realización en sí (salvo en aquellos casos en los cuales se vean involucrados Niños, Niñas y Adolescentes) se debe materializar de manera progresiva, conforme a la disponibilidad presupuestal de los Estados.</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En ese sentido, resulta nece</w:t>
      </w:r>
      <w:r>
        <w:rPr>
          <w:rFonts w:ascii="Arial" w:eastAsia="Arial" w:hAnsi="Arial" w:cs="Arial"/>
          <w:sz w:val="24"/>
          <w:szCs w:val="24"/>
        </w:rPr>
        <w:t xml:space="preserve">sario traer a colación lo dispuesto por el economista y premio Nobel de economía </w:t>
      </w:r>
      <w:proofErr w:type="spellStart"/>
      <w:r>
        <w:rPr>
          <w:rFonts w:ascii="Arial" w:eastAsia="Arial" w:hAnsi="Arial" w:cs="Arial"/>
          <w:sz w:val="24"/>
          <w:szCs w:val="24"/>
        </w:rPr>
        <w:t>Amartya</w:t>
      </w:r>
      <w:proofErr w:type="spellEnd"/>
      <w:r>
        <w:rPr>
          <w:rFonts w:ascii="Arial" w:eastAsia="Arial" w:hAnsi="Arial" w:cs="Arial"/>
          <w:sz w:val="24"/>
          <w:szCs w:val="24"/>
        </w:rPr>
        <w:t xml:space="preserve"> </w:t>
      </w:r>
      <w:proofErr w:type="spellStart"/>
      <w:r>
        <w:rPr>
          <w:rFonts w:ascii="Arial" w:eastAsia="Arial" w:hAnsi="Arial" w:cs="Arial"/>
          <w:sz w:val="24"/>
          <w:szCs w:val="24"/>
        </w:rPr>
        <w:t>Sen</w:t>
      </w:r>
      <w:proofErr w:type="spellEnd"/>
      <w:r>
        <w:rPr>
          <w:rFonts w:ascii="Arial" w:eastAsia="Arial" w:hAnsi="Arial" w:cs="Arial"/>
          <w:sz w:val="24"/>
          <w:szCs w:val="24"/>
        </w:rPr>
        <w:t xml:space="preserve"> en su escrito “</w:t>
      </w:r>
      <w:proofErr w:type="spellStart"/>
      <w:r>
        <w:rPr>
          <w:rFonts w:ascii="Arial" w:eastAsia="Arial" w:hAnsi="Arial" w:cs="Arial"/>
          <w:i/>
          <w:sz w:val="24"/>
          <w:szCs w:val="24"/>
        </w:rPr>
        <w:t>The</w:t>
      </w:r>
      <w:proofErr w:type="spellEnd"/>
      <w:r>
        <w:rPr>
          <w:rFonts w:ascii="Arial" w:eastAsia="Arial" w:hAnsi="Arial" w:cs="Arial"/>
          <w:i/>
          <w:sz w:val="24"/>
          <w:szCs w:val="24"/>
        </w:rPr>
        <w:t xml:space="preserve"> </w:t>
      </w:r>
      <w:proofErr w:type="spellStart"/>
      <w:r>
        <w:rPr>
          <w:rFonts w:ascii="Arial" w:eastAsia="Arial" w:hAnsi="Arial" w:cs="Arial"/>
          <w:i/>
          <w:sz w:val="24"/>
          <w:szCs w:val="24"/>
        </w:rPr>
        <w:t>right</w:t>
      </w:r>
      <w:proofErr w:type="spellEnd"/>
      <w:r>
        <w:rPr>
          <w:rFonts w:ascii="Arial" w:eastAsia="Arial" w:hAnsi="Arial" w:cs="Arial"/>
          <w:i/>
          <w:sz w:val="24"/>
          <w:szCs w:val="24"/>
        </w:rPr>
        <w:t xml:space="preserve"> </w:t>
      </w:r>
      <w:proofErr w:type="spellStart"/>
      <w:r>
        <w:rPr>
          <w:rFonts w:ascii="Arial" w:eastAsia="Arial" w:hAnsi="Arial" w:cs="Arial"/>
          <w:i/>
          <w:sz w:val="24"/>
          <w:szCs w:val="24"/>
        </w:rPr>
        <w:t>not</w:t>
      </w:r>
      <w:proofErr w:type="spellEnd"/>
      <w:r>
        <w:rPr>
          <w:rFonts w:ascii="Arial" w:eastAsia="Arial" w:hAnsi="Arial" w:cs="Arial"/>
          <w:i/>
          <w:sz w:val="24"/>
          <w:szCs w:val="24"/>
        </w:rPr>
        <w:t xml:space="preserve"> to be </w:t>
      </w:r>
      <w:proofErr w:type="spellStart"/>
      <w:r>
        <w:rPr>
          <w:rFonts w:ascii="Arial" w:eastAsia="Arial" w:hAnsi="Arial" w:cs="Arial"/>
          <w:i/>
          <w:sz w:val="24"/>
          <w:szCs w:val="24"/>
        </w:rPr>
        <w:t>hungry</w:t>
      </w:r>
      <w:proofErr w:type="spellEnd"/>
      <w:r>
        <w:rPr>
          <w:rFonts w:ascii="Arial" w:eastAsia="Arial" w:hAnsi="Arial" w:cs="Arial"/>
          <w:sz w:val="24"/>
          <w:szCs w:val="24"/>
        </w:rPr>
        <w:t>” (1982) quien plantea la existencia de una nueva categoría de derechos que denomina “</w:t>
      </w:r>
      <w:proofErr w:type="spellStart"/>
      <w:r>
        <w:rPr>
          <w:rFonts w:ascii="Arial" w:eastAsia="Arial" w:hAnsi="Arial" w:cs="Arial"/>
          <w:sz w:val="24"/>
          <w:szCs w:val="24"/>
        </w:rPr>
        <w:t>metaderechos</w:t>
      </w:r>
      <w:proofErr w:type="spellEnd"/>
      <w:r>
        <w:rPr>
          <w:rFonts w:ascii="Arial" w:eastAsia="Arial" w:hAnsi="Arial" w:cs="Arial"/>
          <w:sz w:val="24"/>
          <w:szCs w:val="24"/>
        </w:rPr>
        <w:t xml:space="preserve">”. En ese sentido, </w:t>
      </w:r>
      <w:proofErr w:type="spellStart"/>
      <w:r>
        <w:rPr>
          <w:rFonts w:ascii="Arial" w:eastAsia="Arial" w:hAnsi="Arial" w:cs="Arial"/>
          <w:sz w:val="24"/>
          <w:szCs w:val="24"/>
        </w:rPr>
        <w:t>Sen</w:t>
      </w:r>
      <w:proofErr w:type="spellEnd"/>
      <w:r>
        <w:rPr>
          <w:rFonts w:ascii="Arial" w:eastAsia="Arial" w:hAnsi="Arial" w:cs="Arial"/>
          <w:sz w:val="24"/>
          <w:szCs w:val="24"/>
        </w:rPr>
        <w:t xml:space="preserve"> p</w:t>
      </w:r>
      <w:r>
        <w:rPr>
          <w:rFonts w:ascii="Arial" w:eastAsia="Arial" w:hAnsi="Arial" w:cs="Arial"/>
          <w:sz w:val="24"/>
          <w:szCs w:val="24"/>
        </w:rPr>
        <w:t>lantea que “</w:t>
      </w:r>
      <w:r>
        <w:rPr>
          <w:rFonts w:ascii="Arial" w:eastAsia="Arial" w:hAnsi="Arial" w:cs="Arial"/>
          <w:i/>
          <w:sz w:val="24"/>
          <w:szCs w:val="24"/>
        </w:rPr>
        <w:t xml:space="preserve">un </w:t>
      </w:r>
      <w:proofErr w:type="spellStart"/>
      <w:r>
        <w:rPr>
          <w:rFonts w:ascii="Arial" w:eastAsia="Arial" w:hAnsi="Arial" w:cs="Arial"/>
          <w:i/>
          <w:sz w:val="24"/>
          <w:szCs w:val="24"/>
        </w:rPr>
        <w:t>metaderecho</w:t>
      </w:r>
      <w:proofErr w:type="spellEnd"/>
      <w:r>
        <w:rPr>
          <w:rFonts w:ascii="Arial" w:eastAsia="Arial" w:hAnsi="Arial" w:cs="Arial"/>
          <w:i/>
          <w:sz w:val="24"/>
          <w:szCs w:val="24"/>
        </w:rPr>
        <w:t xml:space="preserve"> a algo x puede ser definido como el derecho a tener políticas p(x) que persigan genuinamente el objetivo de hacer realizable el derecho a x</w:t>
      </w:r>
      <w:r>
        <w:rPr>
          <w:rFonts w:ascii="Arial" w:eastAsia="Arial" w:hAnsi="Arial" w:cs="Arial"/>
          <w:sz w:val="24"/>
          <w:szCs w:val="24"/>
        </w:rPr>
        <w:t>”</w:t>
      </w:r>
      <w:r>
        <w:rPr>
          <w:rFonts w:ascii="Arial" w:eastAsia="Arial" w:hAnsi="Arial" w:cs="Arial"/>
          <w:sz w:val="24"/>
          <w:szCs w:val="24"/>
          <w:vertAlign w:val="superscript"/>
        </w:rPr>
        <w:footnoteReference w:id="29"/>
      </w:r>
      <w:r>
        <w:rPr>
          <w:rFonts w:ascii="Arial" w:eastAsia="Arial" w:hAnsi="Arial" w:cs="Arial"/>
          <w:sz w:val="24"/>
          <w:szCs w:val="24"/>
        </w:rPr>
        <w:t xml:space="preserve"> Con el propósito de ejemplificar su afirmación, el autor plantea un ejemplo de la Const</w:t>
      </w:r>
      <w:r>
        <w:rPr>
          <w:rFonts w:ascii="Arial" w:eastAsia="Arial" w:hAnsi="Arial" w:cs="Arial"/>
          <w:sz w:val="24"/>
          <w:szCs w:val="24"/>
        </w:rPr>
        <w:t>itución de la India en donde claramente se esboza una redacción “</w:t>
      </w:r>
      <w:r>
        <w:rPr>
          <w:rFonts w:ascii="Arial" w:eastAsia="Arial" w:hAnsi="Arial" w:cs="Arial"/>
          <w:i/>
          <w:sz w:val="24"/>
          <w:szCs w:val="24"/>
        </w:rPr>
        <w:t xml:space="preserve">suficientemente cuidadosa para evitar aseverar que tal derecho existe de antemano </w:t>
      </w:r>
      <w:r>
        <w:rPr>
          <w:rFonts w:ascii="Arial" w:eastAsia="Arial" w:hAnsi="Arial" w:cs="Arial"/>
          <w:sz w:val="24"/>
          <w:szCs w:val="24"/>
        </w:rPr>
        <w:t xml:space="preserve">(pese a que es deseable su existencia y puede argumentarse desde el ámbito de la conexidad con Derechos </w:t>
      </w:r>
      <w:r>
        <w:rPr>
          <w:rFonts w:ascii="Arial" w:eastAsia="Arial" w:hAnsi="Arial" w:cs="Arial"/>
          <w:sz w:val="24"/>
          <w:szCs w:val="24"/>
        </w:rPr>
        <w:lastRenderedPageBreak/>
        <w:t>Funda</w:t>
      </w:r>
      <w:r>
        <w:rPr>
          <w:rFonts w:ascii="Arial" w:eastAsia="Arial" w:hAnsi="Arial" w:cs="Arial"/>
          <w:sz w:val="24"/>
          <w:szCs w:val="24"/>
        </w:rPr>
        <w:t xml:space="preserve">mentales de corte no prestacional), </w:t>
      </w:r>
      <w:r>
        <w:rPr>
          <w:rFonts w:ascii="Arial" w:eastAsia="Arial" w:hAnsi="Arial" w:cs="Arial"/>
          <w:i/>
          <w:sz w:val="24"/>
          <w:szCs w:val="24"/>
        </w:rPr>
        <w:t>al decir que tan solo las políticas deben ser dirigidas a hacer posible tener medios adecuados para la realización del fin</w:t>
      </w:r>
      <w:r>
        <w:rPr>
          <w:rFonts w:ascii="Arial" w:eastAsia="Arial" w:hAnsi="Arial" w:cs="Arial"/>
          <w:sz w:val="24"/>
          <w:szCs w:val="24"/>
        </w:rPr>
        <w:t>”</w:t>
      </w:r>
      <w:r>
        <w:rPr>
          <w:rFonts w:ascii="Arial" w:eastAsia="Arial" w:hAnsi="Arial" w:cs="Arial"/>
          <w:sz w:val="24"/>
          <w:szCs w:val="24"/>
          <w:vertAlign w:val="superscript"/>
        </w:rPr>
        <w:footnoteReference w:id="30"/>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El eje central de la teoría esbozada por </w:t>
      </w:r>
      <w:proofErr w:type="spellStart"/>
      <w:r>
        <w:rPr>
          <w:rFonts w:ascii="Arial" w:eastAsia="Arial" w:hAnsi="Arial" w:cs="Arial"/>
          <w:sz w:val="24"/>
          <w:szCs w:val="24"/>
        </w:rPr>
        <w:t>Sen</w:t>
      </w:r>
      <w:proofErr w:type="spellEnd"/>
      <w:r>
        <w:rPr>
          <w:rFonts w:ascii="Arial" w:eastAsia="Arial" w:hAnsi="Arial" w:cs="Arial"/>
          <w:sz w:val="24"/>
          <w:szCs w:val="24"/>
        </w:rPr>
        <w:t xml:space="preserve"> parte de una sencilla premisa: la redacción consig</w:t>
      </w:r>
      <w:r>
        <w:rPr>
          <w:rFonts w:ascii="Arial" w:eastAsia="Arial" w:hAnsi="Arial" w:cs="Arial"/>
          <w:sz w:val="24"/>
          <w:szCs w:val="24"/>
        </w:rPr>
        <w:t xml:space="preserve">nada, de ser aceptada y </w:t>
      </w:r>
      <w:proofErr w:type="spellStart"/>
      <w:r>
        <w:rPr>
          <w:rFonts w:ascii="Arial" w:eastAsia="Arial" w:hAnsi="Arial" w:cs="Arial"/>
          <w:sz w:val="24"/>
          <w:szCs w:val="24"/>
        </w:rPr>
        <w:t>positivizada</w:t>
      </w:r>
      <w:proofErr w:type="spellEnd"/>
      <w:r>
        <w:rPr>
          <w:rFonts w:ascii="Arial" w:eastAsia="Arial" w:hAnsi="Arial" w:cs="Arial"/>
          <w:sz w:val="24"/>
          <w:szCs w:val="24"/>
        </w:rPr>
        <w:t xml:space="preserve"> en el texto constitucional, plantea que tan solo se le otorgaría el reconocimiento y las herramientas para exigir al Gobierno el derecho a que se pongan en práctica las políticas (definidas por el autor como p(x)) y que</w:t>
      </w:r>
      <w:r>
        <w:rPr>
          <w:rFonts w:ascii="Arial" w:eastAsia="Arial" w:hAnsi="Arial" w:cs="Arial"/>
          <w:sz w:val="24"/>
          <w:szCs w:val="24"/>
        </w:rPr>
        <w:t xml:space="preserve"> sean conducentes para la realización y materialización del fin perseguido (definido como x por el Autor). </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En ese sentido, de acuerdo con </w:t>
      </w:r>
      <w:proofErr w:type="spellStart"/>
      <w:r>
        <w:rPr>
          <w:rFonts w:ascii="Arial" w:eastAsia="Arial" w:hAnsi="Arial" w:cs="Arial"/>
          <w:sz w:val="24"/>
          <w:szCs w:val="24"/>
        </w:rPr>
        <w:t>Sen</w:t>
      </w:r>
      <w:proofErr w:type="spellEnd"/>
      <w:r>
        <w:rPr>
          <w:rFonts w:ascii="Arial" w:eastAsia="Arial" w:hAnsi="Arial" w:cs="Arial"/>
          <w:sz w:val="24"/>
          <w:szCs w:val="24"/>
        </w:rPr>
        <w:t xml:space="preserve"> “</w:t>
      </w:r>
      <w:r>
        <w:rPr>
          <w:rFonts w:ascii="Arial" w:eastAsia="Arial" w:hAnsi="Arial" w:cs="Arial"/>
          <w:i/>
          <w:sz w:val="24"/>
          <w:szCs w:val="24"/>
        </w:rPr>
        <w:t xml:space="preserve">no resulta difícil observar por qué los </w:t>
      </w:r>
      <w:proofErr w:type="spellStart"/>
      <w:r>
        <w:rPr>
          <w:rFonts w:ascii="Arial" w:eastAsia="Arial" w:hAnsi="Arial" w:cs="Arial"/>
          <w:i/>
          <w:sz w:val="24"/>
          <w:szCs w:val="24"/>
        </w:rPr>
        <w:t>metaderechos</w:t>
      </w:r>
      <w:proofErr w:type="spellEnd"/>
      <w:r>
        <w:rPr>
          <w:rFonts w:ascii="Arial" w:eastAsia="Arial" w:hAnsi="Arial" w:cs="Arial"/>
          <w:i/>
          <w:sz w:val="24"/>
          <w:szCs w:val="24"/>
        </w:rPr>
        <w:t xml:space="preserve"> de este tipo tienen relevancia particular para objetivos económicos tales como la remoción de la pobreza o el hambre. En muchos países en donde </w:t>
      </w:r>
      <w:r>
        <w:rPr>
          <w:rFonts w:ascii="Arial" w:eastAsia="Arial" w:hAnsi="Arial" w:cs="Arial"/>
          <w:sz w:val="24"/>
          <w:szCs w:val="24"/>
        </w:rPr>
        <w:t xml:space="preserve">(estas dos situaciones) </w:t>
      </w:r>
      <w:r>
        <w:rPr>
          <w:rFonts w:ascii="Arial" w:eastAsia="Arial" w:hAnsi="Arial" w:cs="Arial"/>
          <w:i/>
          <w:sz w:val="24"/>
          <w:szCs w:val="24"/>
        </w:rPr>
        <w:t>están diseminados, puede que no exi</w:t>
      </w:r>
      <w:r>
        <w:rPr>
          <w:rFonts w:ascii="Arial" w:eastAsia="Arial" w:hAnsi="Arial" w:cs="Arial"/>
          <w:i/>
          <w:sz w:val="24"/>
          <w:szCs w:val="24"/>
        </w:rPr>
        <w:t>sta ningún modo factible mediante el cual en un futuro cercano se le garantice a todos ser liberados de aquellas, pero sí políticas que rápidamente conducirán a tal liberación</w:t>
      </w:r>
      <w:r>
        <w:rPr>
          <w:rFonts w:ascii="Arial" w:eastAsia="Arial" w:hAnsi="Arial" w:cs="Arial"/>
          <w:sz w:val="24"/>
          <w:szCs w:val="24"/>
        </w:rPr>
        <w:t>.”</w:t>
      </w:r>
      <w:r>
        <w:rPr>
          <w:rFonts w:ascii="Arial" w:eastAsia="Arial" w:hAnsi="Arial" w:cs="Arial"/>
          <w:sz w:val="24"/>
          <w:szCs w:val="24"/>
          <w:vertAlign w:val="superscript"/>
        </w:rPr>
        <w:footnoteReference w:id="31"/>
      </w:r>
      <w:r>
        <w:rPr>
          <w:rFonts w:ascii="Arial" w:eastAsia="Arial" w:hAnsi="Arial" w:cs="Arial"/>
          <w:sz w:val="24"/>
          <w:szCs w:val="24"/>
        </w:rPr>
        <w:t xml:space="preserve"> Tomando en consideración el anterior panorama, se cree que establecer el </w:t>
      </w:r>
      <w:proofErr w:type="spellStart"/>
      <w:r>
        <w:rPr>
          <w:rFonts w:ascii="Arial" w:eastAsia="Arial" w:hAnsi="Arial" w:cs="Arial"/>
          <w:sz w:val="24"/>
          <w:szCs w:val="24"/>
        </w:rPr>
        <w:t>meta</w:t>
      </w:r>
      <w:r>
        <w:rPr>
          <w:rFonts w:ascii="Arial" w:eastAsia="Arial" w:hAnsi="Arial" w:cs="Arial"/>
          <w:sz w:val="24"/>
          <w:szCs w:val="24"/>
        </w:rPr>
        <w:t>derecho</w:t>
      </w:r>
      <w:proofErr w:type="spellEnd"/>
      <w:r>
        <w:rPr>
          <w:rFonts w:ascii="Arial" w:eastAsia="Arial" w:hAnsi="Arial" w:cs="Arial"/>
          <w:sz w:val="24"/>
          <w:szCs w:val="24"/>
        </w:rPr>
        <w:t xml:space="preserve"> a ser liberado del hambre es el derecho no a la provisión y prestación permanente de los alimentos, sino a la acción, a exigirle al Estado que despliegue una serie de medidas y políticas públicas serias a través de las cuales se materialice el dere</w:t>
      </w:r>
      <w:r>
        <w:rPr>
          <w:rFonts w:ascii="Arial" w:eastAsia="Arial" w:hAnsi="Arial" w:cs="Arial"/>
          <w:sz w:val="24"/>
          <w:szCs w:val="24"/>
        </w:rPr>
        <w:t>cho-objetivo de contar con una población libre del flagelo del hambre.</w:t>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Tomando en consideración la teoría expuesta por </w:t>
      </w:r>
      <w:proofErr w:type="spellStart"/>
      <w:r>
        <w:rPr>
          <w:rFonts w:ascii="Arial" w:eastAsia="Arial" w:hAnsi="Arial" w:cs="Arial"/>
          <w:sz w:val="24"/>
          <w:szCs w:val="24"/>
        </w:rPr>
        <w:t>Sen</w:t>
      </w:r>
      <w:proofErr w:type="spellEnd"/>
      <w:r>
        <w:rPr>
          <w:rFonts w:ascii="Arial" w:eastAsia="Arial" w:hAnsi="Arial" w:cs="Arial"/>
          <w:sz w:val="24"/>
          <w:szCs w:val="24"/>
        </w:rPr>
        <w:t xml:space="preserve">, se establece una redacción a través de la cual se </w:t>
      </w:r>
      <w:proofErr w:type="spellStart"/>
      <w:r>
        <w:rPr>
          <w:rFonts w:ascii="Arial" w:eastAsia="Arial" w:hAnsi="Arial" w:cs="Arial"/>
          <w:sz w:val="24"/>
          <w:szCs w:val="24"/>
        </w:rPr>
        <w:t>positivice</w:t>
      </w:r>
      <w:proofErr w:type="spellEnd"/>
      <w:r>
        <w:rPr>
          <w:rFonts w:ascii="Arial" w:eastAsia="Arial" w:hAnsi="Arial" w:cs="Arial"/>
          <w:sz w:val="24"/>
          <w:szCs w:val="24"/>
        </w:rPr>
        <w:t xml:space="preserve"> en la Constitución Política la obligación del Estado a actuar e implem</w:t>
      </w:r>
      <w:r>
        <w:rPr>
          <w:rFonts w:ascii="Arial" w:eastAsia="Arial" w:hAnsi="Arial" w:cs="Arial"/>
          <w:sz w:val="24"/>
          <w:szCs w:val="24"/>
        </w:rPr>
        <w:t>entar políticas públicas a través de las cuales se pueda llegar a garantizar de manera universal (aunque progresiva y conforme a la realidad económica del país) el derecho a la alimentación adecuada, a la seguridad y a las autonomías alimentarias.</w:t>
      </w:r>
    </w:p>
    <w:p w:rsidR="00483B9D" w:rsidRDefault="00483B9D">
      <w:pPr>
        <w:spacing w:before="85" w:after="57"/>
        <w:jc w:val="both"/>
        <w:rPr>
          <w:rFonts w:ascii="Arial" w:eastAsia="Arial" w:hAnsi="Arial" w:cs="Arial"/>
          <w:sz w:val="24"/>
          <w:szCs w:val="24"/>
        </w:rPr>
      </w:pPr>
    </w:p>
    <w:p w:rsidR="00483B9D" w:rsidRDefault="009A4D35">
      <w:pPr>
        <w:numPr>
          <w:ilvl w:val="0"/>
          <w:numId w:val="3"/>
        </w:numPr>
        <w:spacing w:before="85" w:after="57"/>
        <w:jc w:val="both"/>
        <w:rPr>
          <w:rFonts w:ascii="Arial" w:eastAsia="Arial" w:hAnsi="Arial" w:cs="Arial"/>
          <w:b/>
          <w:sz w:val="24"/>
          <w:szCs w:val="24"/>
        </w:rPr>
      </w:pPr>
      <w:r>
        <w:rPr>
          <w:rFonts w:ascii="Arial" w:eastAsia="Arial" w:hAnsi="Arial" w:cs="Arial"/>
          <w:b/>
          <w:sz w:val="24"/>
          <w:szCs w:val="24"/>
        </w:rPr>
        <w:t>El dere</w:t>
      </w:r>
      <w:r>
        <w:rPr>
          <w:rFonts w:ascii="Arial" w:eastAsia="Arial" w:hAnsi="Arial" w:cs="Arial"/>
          <w:b/>
          <w:sz w:val="24"/>
          <w:szCs w:val="24"/>
        </w:rPr>
        <w:t>cho a estar protegido contra el hambre y la desnutrición en el derecho comparado.</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 xml:space="preserve">Son varios los Estados los que, a pesar de haber ratificado y adoptado el Pacto Internacional de Derechos Económicos, Sociales y Culturales los que han </w:t>
      </w:r>
      <w:r>
        <w:rPr>
          <w:rFonts w:ascii="Arial" w:eastAsia="Arial" w:hAnsi="Arial" w:cs="Arial"/>
          <w:sz w:val="24"/>
          <w:szCs w:val="24"/>
        </w:rPr>
        <w:lastRenderedPageBreak/>
        <w:t>consagrado explícitame</w:t>
      </w:r>
      <w:r>
        <w:rPr>
          <w:rFonts w:ascii="Arial" w:eastAsia="Arial" w:hAnsi="Arial" w:cs="Arial"/>
          <w:sz w:val="24"/>
          <w:szCs w:val="24"/>
        </w:rPr>
        <w:t>nte en sus constituciones el reconocimiento del derecho a estar protegido contra el hambre y la desnutrición, así</w:t>
      </w:r>
      <w:r>
        <w:rPr>
          <w:rFonts w:ascii="Arial" w:eastAsia="Arial" w:hAnsi="Arial" w:cs="Arial"/>
          <w:sz w:val="24"/>
          <w:szCs w:val="24"/>
          <w:vertAlign w:val="superscript"/>
        </w:rPr>
        <w:footnoteReference w:id="32"/>
      </w:r>
      <w:r>
        <w:rPr>
          <w:rFonts w:ascii="Arial" w:eastAsia="Arial" w:hAnsi="Arial" w:cs="Arial"/>
          <w:sz w:val="24"/>
          <w:szCs w:val="24"/>
        </w:rPr>
        <w:t>:</w:t>
      </w:r>
    </w:p>
    <w:p w:rsidR="00483B9D" w:rsidRDefault="00483B9D">
      <w:pPr>
        <w:spacing w:before="85" w:after="57"/>
        <w:jc w:val="both"/>
        <w:rPr>
          <w:rFonts w:ascii="Arial" w:eastAsia="Arial" w:hAnsi="Arial" w:cs="Arial"/>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21"/>
        <w:gridCol w:w="7307"/>
      </w:tblGrid>
      <w:tr w:rsidR="00483B9D" w:rsidTr="00483B9D">
        <w:tc>
          <w:tcPr>
            <w:tcW w:w="1521" w:type="dxa"/>
          </w:tcPr>
          <w:p w:rsidR="00483B9D" w:rsidRDefault="009A4D35">
            <w:pPr>
              <w:spacing w:before="85" w:after="57" w:line="259" w:lineRule="auto"/>
              <w:jc w:val="center"/>
              <w:rPr>
                <w:rFonts w:ascii="Arial" w:eastAsia="Arial" w:hAnsi="Arial" w:cs="Arial"/>
                <w:b/>
                <w:sz w:val="13"/>
                <w:szCs w:val="13"/>
              </w:rPr>
            </w:pPr>
            <w:r>
              <w:rPr>
                <w:rFonts w:ascii="Arial" w:eastAsia="Arial" w:hAnsi="Arial" w:cs="Arial"/>
                <w:b/>
                <w:sz w:val="13"/>
                <w:szCs w:val="13"/>
              </w:rPr>
              <w:t>País</w:t>
            </w:r>
          </w:p>
        </w:tc>
        <w:tc>
          <w:tcPr>
            <w:tcW w:w="7307" w:type="dxa"/>
          </w:tcPr>
          <w:p w:rsidR="00483B9D" w:rsidRDefault="009A4D35">
            <w:pPr>
              <w:spacing w:before="85" w:after="57" w:line="259" w:lineRule="auto"/>
              <w:jc w:val="center"/>
              <w:rPr>
                <w:rFonts w:ascii="Arial" w:eastAsia="Arial" w:hAnsi="Arial" w:cs="Arial"/>
                <w:b/>
                <w:sz w:val="13"/>
                <w:szCs w:val="13"/>
              </w:rPr>
            </w:pPr>
            <w:r>
              <w:rPr>
                <w:rFonts w:ascii="Arial" w:eastAsia="Arial" w:hAnsi="Arial" w:cs="Arial"/>
                <w:b/>
                <w:sz w:val="13"/>
                <w:szCs w:val="13"/>
              </w:rPr>
              <w:t>Texto constitucional</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Bolivia</w:t>
            </w:r>
          </w:p>
          <w:p w:rsidR="00483B9D" w:rsidRDefault="00483B9D">
            <w:pPr>
              <w:spacing w:before="85" w:after="57" w:line="259" w:lineRule="auto"/>
              <w:jc w:val="both"/>
              <w:rPr>
                <w:rFonts w:ascii="Arial" w:eastAsia="Arial" w:hAnsi="Arial" w:cs="Arial"/>
                <w:sz w:val="13"/>
                <w:szCs w:val="13"/>
              </w:rPr>
            </w:pP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Artículo 16: 1. Toda persona tiene derecho al agua y a la alimentación. (…) El Estado tiene la obligación de garantizar la seguridad alimentaria, a través de una alimentación sana, adecuada y suficiente para toda la población.</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Cuba</w:t>
            </w:r>
          </w:p>
          <w:p w:rsidR="00483B9D" w:rsidRDefault="00483B9D">
            <w:pPr>
              <w:spacing w:before="85" w:after="57" w:line="259" w:lineRule="auto"/>
              <w:jc w:val="both"/>
              <w:rPr>
                <w:rFonts w:ascii="Arial" w:eastAsia="Arial" w:hAnsi="Arial" w:cs="Arial"/>
                <w:sz w:val="13"/>
                <w:szCs w:val="13"/>
              </w:rPr>
            </w:pP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Artículo 77. Todas las</w:t>
            </w:r>
            <w:r>
              <w:rPr>
                <w:rFonts w:ascii="Arial" w:eastAsia="Arial" w:hAnsi="Arial" w:cs="Arial"/>
                <w:sz w:val="13"/>
                <w:szCs w:val="13"/>
              </w:rPr>
              <w:t xml:space="preserve"> personas tienen derecho a la alimentación sana y adecuada. El Estado crea las condiciones para fortalecer la seguridad alimentaria de toda la población.</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Ecuador</w:t>
            </w:r>
          </w:p>
          <w:p w:rsidR="00483B9D" w:rsidRDefault="00483B9D">
            <w:pPr>
              <w:spacing w:before="85" w:after="57" w:line="259" w:lineRule="auto"/>
              <w:jc w:val="both"/>
              <w:rPr>
                <w:rFonts w:ascii="Arial" w:eastAsia="Arial" w:hAnsi="Arial" w:cs="Arial"/>
                <w:sz w:val="13"/>
                <w:szCs w:val="13"/>
              </w:rPr>
            </w:pP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Artículo 3. Son deberes primordiales del Estado: (…) 1. Garantizar sin discriminación alguna</w:t>
            </w:r>
            <w:r>
              <w:rPr>
                <w:rFonts w:ascii="Arial" w:eastAsia="Arial" w:hAnsi="Arial" w:cs="Arial"/>
                <w:sz w:val="13"/>
                <w:szCs w:val="13"/>
              </w:rPr>
              <w:t xml:space="preserve"> el efectivo goce de los derechos establecidos en la Constitución y en los instrumentos internacionales, en particular la educación, la salud, la alimentación, la seguridad social y el agua para sus habitantes.</w:t>
            </w:r>
          </w:p>
          <w:p w:rsidR="00483B9D" w:rsidRDefault="00483B9D">
            <w:pPr>
              <w:spacing w:before="85" w:after="57" w:line="259" w:lineRule="auto"/>
              <w:jc w:val="both"/>
              <w:rPr>
                <w:rFonts w:ascii="Arial" w:eastAsia="Arial" w:hAnsi="Arial" w:cs="Arial"/>
                <w:sz w:val="13"/>
                <w:szCs w:val="13"/>
              </w:rPr>
            </w:pPr>
          </w:p>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 xml:space="preserve">Artículo 32. La salud es un derecho que garantiza el Estado, cuya realización se vincula al ejercicio de otros derechos, entre ellos el derecho al agua, la alimentación, la educación, la cultura física, el trabajo, la seguridad social, los ambientes sanos </w:t>
            </w:r>
            <w:r>
              <w:rPr>
                <w:rFonts w:ascii="Arial" w:eastAsia="Arial" w:hAnsi="Arial" w:cs="Arial"/>
                <w:sz w:val="13"/>
                <w:szCs w:val="13"/>
              </w:rPr>
              <w:t>y otros que sustentan el buen vivir.</w:t>
            </w:r>
          </w:p>
          <w:p w:rsidR="00483B9D" w:rsidRDefault="00483B9D">
            <w:pPr>
              <w:spacing w:before="85" w:after="57" w:line="259" w:lineRule="auto"/>
              <w:jc w:val="both"/>
              <w:rPr>
                <w:rFonts w:ascii="Arial" w:eastAsia="Arial" w:hAnsi="Arial" w:cs="Arial"/>
                <w:sz w:val="13"/>
                <w:szCs w:val="13"/>
              </w:rPr>
            </w:pPr>
          </w:p>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Artículo 66. Se reconoce y garantizará a las personas: (…) 2. El derecho a una vida digna, que asegure la salud, alimentación y nutrición, agua potable, vivienda, saneamiento ambiental, educación, trabajo, empleo, desc</w:t>
            </w:r>
            <w:r>
              <w:rPr>
                <w:rFonts w:ascii="Arial" w:eastAsia="Arial" w:hAnsi="Arial" w:cs="Arial"/>
                <w:sz w:val="13"/>
                <w:szCs w:val="13"/>
              </w:rPr>
              <w:t>anso y ocio, cultura física, vestido, seguridad social y otros servicios sociales necesarios.</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Haití</w:t>
            </w: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Artículo 22. El Estado reconoce el derecho de todo ciudadano a una vivienda digna, a la educación, a la alimentación y a la seguridad social.</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República Is</w:t>
            </w:r>
            <w:r>
              <w:rPr>
                <w:rFonts w:ascii="Arial" w:eastAsia="Arial" w:hAnsi="Arial" w:cs="Arial"/>
                <w:sz w:val="13"/>
                <w:szCs w:val="13"/>
              </w:rPr>
              <w:t>lámica de Irán</w:t>
            </w:r>
          </w:p>
          <w:p w:rsidR="00483B9D" w:rsidRDefault="00483B9D">
            <w:pPr>
              <w:spacing w:before="85" w:after="57" w:line="259" w:lineRule="auto"/>
              <w:jc w:val="both"/>
              <w:rPr>
                <w:rFonts w:ascii="Arial" w:eastAsia="Arial" w:hAnsi="Arial" w:cs="Arial"/>
                <w:sz w:val="13"/>
                <w:szCs w:val="13"/>
              </w:rPr>
            </w:pP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Principio 3. Para alcanzar los objetivos mencionados en el principio segundo, el Gobierno de la República Islámica tiene la responsabilidad de poner en funcionamiento todos los medios a su alcance para conseguir los siguientes fines: (…) 12. Cimentar una e</w:t>
            </w:r>
            <w:r>
              <w:rPr>
                <w:rFonts w:ascii="Arial" w:eastAsia="Arial" w:hAnsi="Arial" w:cs="Arial"/>
                <w:sz w:val="13"/>
                <w:szCs w:val="13"/>
              </w:rPr>
              <w:t>conomía sana y equitativa, de acuerdo con los principios islámicos, para crear bienestar, erradicar la pobreza y eliminar todo tipo de miseria en los campos de la </w:t>
            </w:r>
            <w:r>
              <w:rPr>
                <w:rFonts w:ascii="Arial" w:eastAsia="Arial" w:hAnsi="Arial" w:cs="Arial"/>
                <w:b/>
                <w:sz w:val="13"/>
                <w:szCs w:val="13"/>
              </w:rPr>
              <w:t>a</w:t>
            </w:r>
            <w:r>
              <w:rPr>
                <w:rFonts w:ascii="Arial" w:eastAsia="Arial" w:hAnsi="Arial" w:cs="Arial"/>
                <w:sz w:val="13"/>
                <w:szCs w:val="13"/>
              </w:rPr>
              <w:t>limentación, de la vivienda, del trabajo, de la salud y generalizar la aseguración.</w:t>
            </w:r>
          </w:p>
          <w:p w:rsidR="00483B9D" w:rsidRDefault="00483B9D">
            <w:pPr>
              <w:spacing w:before="85" w:after="57" w:line="259" w:lineRule="auto"/>
              <w:jc w:val="both"/>
              <w:rPr>
                <w:rFonts w:ascii="Arial" w:eastAsia="Arial" w:hAnsi="Arial" w:cs="Arial"/>
                <w:sz w:val="13"/>
                <w:szCs w:val="13"/>
              </w:rPr>
            </w:pPr>
          </w:p>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Princip</w:t>
            </w:r>
            <w:r>
              <w:rPr>
                <w:rFonts w:ascii="Arial" w:eastAsia="Arial" w:hAnsi="Arial" w:cs="Arial"/>
                <w:sz w:val="13"/>
                <w:szCs w:val="13"/>
              </w:rPr>
              <w:t>io 43. Al objeto de garantizar la independencia económica de la sociedad, erradicar la pobreza y la miseria y satisfacer las necesidades humanas en el curso de su crecimiento salvaguardando su libertad, la economía de la República Islámica de Irán se basar</w:t>
            </w:r>
            <w:r>
              <w:rPr>
                <w:rFonts w:ascii="Arial" w:eastAsia="Arial" w:hAnsi="Arial" w:cs="Arial"/>
                <w:sz w:val="13"/>
                <w:szCs w:val="13"/>
              </w:rPr>
              <w:t>á en los siguientes principios: (…) 1. Garantizar las necesidades básicas para todos: vivienda, alimentación, vestido, servicios sanitarios, medicamentos, educación, enseñanza, así como los medios necesarios para constituir la familia.</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Kenia</w:t>
            </w: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 xml:space="preserve">Artículo 43. </w:t>
            </w:r>
            <w:r>
              <w:rPr>
                <w:rFonts w:ascii="Arial" w:eastAsia="Arial" w:hAnsi="Arial" w:cs="Arial"/>
                <w:sz w:val="13"/>
                <w:szCs w:val="13"/>
              </w:rPr>
              <w:t>1. Todas las personas tienen derecho: (…) c. A no padecer hambre y a tener alimentos adecuados de aceptable calidad.</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México</w:t>
            </w:r>
          </w:p>
          <w:p w:rsidR="00483B9D" w:rsidRDefault="00483B9D">
            <w:pPr>
              <w:spacing w:before="85" w:after="57" w:line="259" w:lineRule="auto"/>
              <w:jc w:val="both"/>
              <w:rPr>
                <w:rFonts w:ascii="Arial" w:eastAsia="Arial" w:hAnsi="Arial" w:cs="Arial"/>
                <w:sz w:val="13"/>
                <w:szCs w:val="13"/>
              </w:rPr>
            </w:pP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Artículo 4. Toda persona tiene derecho a la alimentación nutritiva, suficiente y de calidad. El Estado lo garantizará. (…) En toda</w:t>
            </w:r>
            <w:r>
              <w:rPr>
                <w:rFonts w:ascii="Arial" w:eastAsia="Arial" w:hAnsi="Arial" w:cs="Arial"/>
                <w:sz w:val="13"/>
                <w:szCs w:val="13"/>
              </w:rPr>
              <w:t>s las decisiones y actuaciones del Estado se velará y cumplirá con el principio del interés superior de la niñez, garantizando de manera plena sus derechos. Los niños y las niñas tienen derecho a la satisfacción de sus necesidades de alimentación, salud, e</w:t>
            </w:r>
            <w:r>
              <w:rPr>
                <w:rFonts w:ascii="Arial" w:eastAsia="Arial" w:hAnsi="Arial" w:cs="Arial"/>
                <w:sz w:val="13"/>
                <w:szCs w:val="13"/>
              </w:rPr>
              <w:t>ducación y sano esparcimiento para su desarrollo integral. Este principio deberá guiar el diseño, ejecución, seguimiento y evaluación de las políticas públicas dirigidas a la niñez.</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Nicaragua</w:t>
            </w: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Es derecho de los nicaragüenses estar protegidos contra el hamb</w:t>
            </w:r>
            <w:r>
              <w:rPr>
                <w:rFonts w:ascii="Arial" w:eastAsia="Arial" w:hAnsi="Arial" w:cs="Arial"/>
                <w:sz w:val="13"/>
                <w:szCs w:val="13"/>
              </w:rPr>
              <w:t>re. El Estado promoverá programas que aseguren una adecuada disponibilidad de alimentos y una distribución equitativa de los mismos.</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Nigeria</w:t>
            </w: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2. El Estado dirigirá su política con el fin de garantizar: (…) d. que se le proporcionen a todos los ciudadanos u</w:t>
            </w:r>
            <w:r>
              <w:rPr>
                <w:rFonts w:ascii="Arial" w:eastAsia="Arial" w:hAnsi="Arial" w:cs="Arial"/>
                <w:sz w:val="13"/>
                <w:szCs w:val="13"/>
              </w:rPr>
              <w:t>n alojamiento adecuado y suficiente, alimentación adecuada y suficiente, un salario mínimo nacional razonables, cuidados y pensiones para la tercera edad; prestaciones en caso de desempleo y enfermedad, y asistencia social para los incapacitados.</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Panamá</w:t>
            </w: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E</w:t>
            </w:r>
            <w:r>
              <w:rPr>
                <w:rFonts w:ascii="Arial" w:eastAsia="Arial" w:hAnsi="Arial" w:cs="Arial"/>
                <w:sz w:val="13"/>
                <w:szCs w:val="13"/>
              </w:rPr>
              <w:t>n materia de salud, corresponde primordialmente al Estado el desarrollo de las siguientes actividades, integrando las funciones de prevención, curación y rehabilitación: (…) 1. Desarrollar una política nacional de alimentación y nutrición que asegure un óp</w:t>
            </w:r>
            <w:r>
              <w:rPr>
                <w:rFonts w:ascii="Arial" w:eastAsia="Arial" w:hAnsi="Arial" w:cs="Arial"/>
                <w:sz w:val="13"/>
                <w:szCs w:val="13"/>
              </w:rPr>
              <w:t>timo estado nutricional para toda la población, al promover la disponibilidad, el consumo y el aprovechamiento biológico de los alimentos adecuados.</w:t>
            </w:r>
          </w:p>
          <w:p w:rsidR="00483B9D" w:rsidRDefault="00483B9D">
            <w:pPr>
              <w:spacing w:before="85" w:after="57" w:line="259" w:lineRule="auto"/>
              <w:jc w:val="both"/>
              <w:rPr>
                <w:rFonts w:ascii="Arial" w:eastAsia="Arial" w:hAnsi="Arial" w:cs="Arial"/>
                <w:sz w:val="13"/>
                <w:szCs w:val="13"/>
              </w:rPr>
            </w:pP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Paraguay</w:t>
            </w: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Artículo 57. La familia, la sociedad y los poderes públicos promoverán su bienestar mediante servicios sociales que se ocupen de sus necesidades de alimentación, salud, vivienda, cultura y ocio.</w:t>
            </w:r>
          </w:p>
        </w:tc>
      </w:tr>
      <w:tr w:rsidR="00483B9D" w:rsidTr="00483B9D">
        <w:tc>
          <w:tcPr>
            <w:tcW w:w="1521"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lastRenderedPageBreak/>
              <w:t>República Dominicana</w:t>
            </w:r>
          </w:p>
        </w:tc>
        <w:tc>
          <w:tcPr>
            <w:tcW w:w="7307" w:type="dxa"/>
          </w:tcPr>
          <w:p w:rsidR="00483B9D" w:rsidRDefault="009A4D35">
            <w:pPr>
              <w:spacing w:before="85" w:after="57" w:line="259" w:lineRule="auto"/>
              <w:jc w:val="both"/>
              <w:rPr>
                <w:rFonts w:ascii="Arial" w:eastAsia="Arial" w:hAnsi="Arial" w:cs="Arial"/>
                <w:sz w:val="13"/>
                <w:szCs w:val="13"/>
              </w:rPr>
            </w:pPr>
            <w:r>
              <w:rPr>
                <w:rFonts w:ascii="Arial" w:eastAsia="Arial" w:hAnsi="Arial" w:cs="Arial"/>
                <w:sz w:val="13"/>
                <w:szCs w:val="13"/>
              </w:rPr>
              <w:t>Artículo 61. Toda persona tiene derecho</w:t>
            </w:r>
            <w:r>
              <w:rPr>
                <w:rFonts w:ascii="Arial" w:eastAsia="Arial" w:hAnsi="Arial" w:cs="Arial"/>
                <w:sz w:val="13"/>
                <w:szCs w:val="13"/>
              </w:rPr>
              <w:t xml:space="preserve"> a la salud integral. En consecuencia: (…) 1. El Estado debe velar por la protección de la salud de todas las personas, el acceso al agua potable, el mejoramiento de la alimentación, de los servicios sanitarios, las condiciones higiénicas, el saneamiento a</w:t>
            </w:r>
            <w:r>
              <w:rPr>
                <w:rFonts w:ascii="Arial" w:eastAsia="Arial" w:hAnsi="Arial" w:cs="Arial"/>
                <w:sz w:val="13"/>
                <w:szCs w:val="13"/>
              </w:rPr>
              <w:t>mbiental, así como procurar los medios para la prevención y tratamiento de todas las enfermedades, asegurando el acceso a medicamentos de calidad y dando asistencia médica y hospitalaria gratuita a quienes la requieran;</w:t>
            </w:r>
          </w:p>
        </w:tc>
      </w:tr>
    </w:tbl>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Es necesario resaltar que la total</w:t>
      </w:r>
      <w:r>
        <w:rPr>
          <w:rFonts w:ascii="Arial" w:eastAsia="Arial" w:hAnsi="Arial" w:cs="Arial"/>
          <w:sz w:val="24"/>
          <w:szCs w:val="24"/>
        </w:rPr>
        <w:t>idad de los Estados que consagran de una u otra forma el derecho a estar protegidos contra el hambre y la desnutrición – bien sea de manera directa o en conexidad con el derecho a la salud – son Estados en vías de desarrollo, tal y como es el caso de Colom</w:t>
      </w:r>
      <w:r>
        <w:rPr>
          <w:rFonts w:ascii="Arial" w:eastAsia="Arial" w:hAnsi="Arial" w:cs="Arial"/>
          <w:sz w:val="24"/>
          <w:szCs w:val="24"/>
        </w:rPr>
        <w:t>bia, por lo que no es de recibo un argumento que indique que el país no puede consagrar en su ordenamiento jurídico este derecho -  en las condiciones señaladas en el acápite de exigibilidad – ya que en al menos 13 países (la mayoría de ellos perteneciente</w:t>
      </w:r>
      <w:r>
        <w:rPr>
          <w:rFonts w:ascii="Arial" w:eastAsia="Arial" w:hAnsi="Arial" w:cs="Arial"/>
          <w:sz w:val="24"/>
          <w:szCs w:val="24"/>
        </w:rPr>
        <w:t>s a la región de América Latina y el Caribe) ha sido posible elevar a rango constitucional el derecho a estar protegido contra el hambre y la desnutrición, y con base en esta disposición jurídica, tener la legitimidad así como la obligación de adoptar medi</w:t>
      </w:r>
      <w:r>
        <w:rPr>
          <w:rFonts w:ascii="Arial" w:eastAsia="Arial" w:hAnsi="Arial" w:cs="Arial"/>
          <w:sz w:val="24"/>
          <w:szCs w:val="24"/>
        </w:rPr>
        <w:t>das que permitan garantizar la protección de este derecho esencial para cualquier ser humano.</w:t>
      </w:r>
    </w:p>
    <w:p w:rsidR="00483B9D" w:rsidRDefault="00483B9D">
      <w:pPr>
        <w:spacing w:before="85" w:after="57"/>
        <w:jc w:val="both"/>
        <w:rPr>
          <w:rFonts w:ascii="Arial" w:eastAsia="Arial" w:hAnsi="Arial" w:cs="Arial"/>
          <w:sz w:val="24"/>
          <w:szCs w:val="24"/>
        </w:rPr>
      </w:pPr>
    </w:p>
    <w:p w:rsidR="00483B9D" w:rsidRDefault="009A4D35">
      <w:pPr>
        <w:numPr>
          <w:ilvl w:val="0"/>
          <w:numId w:val="3"/>
        </w:numPr>
        <w:spacing w:before="85" w:after="57"/>
        <w:jc w:val="both"/>
        <w:rPr>
          <w:rFonts w:ascii="Arial" w:eastAsia="Arial" w:hAnsi="Arial" w:cs="Arial"/>
          <w:b/>
          <w:sz w:val="24"/>
          <w:szCs w:val="24"/>
        </w:rPr>
      </w:pPr>
      <w:r>
        <w:rPr>
          <w:rFonts w:ascii="Arial" w:eastAsia="Arial" w:hAnsi="Arial" w:cs="Arial"/>
          <w:b/>
          <w:sz w:val="24"/>
          <w:szCs w:val="24"/>
        </w:rPr>
        <w:t xml:space="preserve">Concepto de Seguridad Alimentaria en el contexto internacional. </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Pese a ser un concepto que se encuentra intrínsecamente relacionado con los objetivos del Derecho a la Alimentación Adecuada, es necesario entrar a distinguir la Seguridad Alimentaria, como concepto doctrinario carente de significancia en el ámbito jurídic</w:t>
      </w:r>
      <w:r>
        <w:rPr>
          <w:rFonts w:ascii="Arial" w:eastAsia="Arial" w:hAnsi="Arial" w:cs="Arial"/>
          <w:sz w:val="24"/>
          <w:szCs w:val="24"/>
        </w:rPr>
        <w:t xml:space="preserve">o, del Derecho a la Alimentación, el cual es completamente vinculante para el Estado colombiano al ser reconocido como un Derecho Humano. </w:t>
      </w: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Así pues, tradicionalmente se ha entendido a la seguridad alimentaria como “</w:t>
      </w:r>
      <w:r>
        <w:rPr>
          <w:rFonts w:ascii="Arial" w:eastAsia="Arial" w:hAnsi="Arial" w:cs="Arial"/>
          <w:i/>
          <w:sz w:val="24"/>
          <w:szCs w:val="24"/>
        </w:rPr>
        <w:t xml:space="preserve">la posibilidad de acceso a los alimentos </w:t>
      </w:r>
      <w:r>
        <w:rPr>
          <w:rFonts w:ascii="Arial" w:eastAsia="Arial" w:hAnsi="Arial" w:cs="Arial"/>
          <w:i/>
          <w:sz w:val="24"/>
          <w:szCs w:val="24"/>
        </w:rPr>
        <w:t>por parte de las generaciones presentes y futuras</w:t>
      </w:r>
      <w:r>
        <w:rPr>
          <w:rFonts w:ascii="Arial" w:eastAsia="Arial" w:hAnsi="Arial" w:cs="Arial"/>
          <w:sz w:val="24"/>
          <w:szCs w:val="24"/>
        </w:rPr>
        <w:t>”</w:t>
      </w:r>
      <w:r>
        <w:rPr>
          <w:rFonts w:ascii="Arial" w:eastAsia="Arial" w:hAnsi="Arial" w:cs="Arial"/>
          <w:sz w:val="24"/>
          <w:szCs w:val="24"/>
          <w:vertAlign w:val="superscript"/>
        </w:rPr>
        <w:footnoteReference w:id="33"/>
      </w:r>
      <w:r>
        <w:rPr>
          <w:rFonts w:ascii="Arial" w:eastAsia="Arial" w:hAnsi="Arial" w:cs="Arial"/>
          <w:sz w:val="24"/>
          <w:szCs w:val="24"/>
        </w:rPr>
        <w:t>. Así mismo, de conformidad con la FAO, existe seguridad alimentaria “</w:t>
      </w:r>
      <w:r>
        <w:rPr>
          <w:rFonts w:ascii="Arial" w:eastAsia="Arial" w:hAnsi="Arial" w:cs="Arial"/>
          <w:i/>
          <w:sz w:val="24"/>
          <w:szCs w:val="24"/>
        </w:rPr>
        <w:t>cuando todas las personas tienen en todo momento el acceso físico, social y económico a alimentos suficientes, inocuos y nutritivos que</w:t>
      </w:r>
      <w:r>
        <w:rPr>
          <w:rFonts w:ascii="Arial" w:eastAsia="Arial" w:hAnsi="Arial" w:cs="Arial"/>
          <w:i/>
          <w:sz w:val="24"/>
          <w:szCs w:val="24"/>
        </w:rPr>
        <w:t xml:space="preserve"> satisfacen sus necesidades y preferencias alimentarias para llevar una vida activa y sana</w:t>
      </w:r>
      <w:r>
        <w:rPr>
          <w:rFonts w:ascii="Arial" w:eastAsia="Arial" w:hAnsi="Arial" w:cs="Arial"/>
          <w:sz w:val="24"/>
          <w:szCs w:val="24"/>
        </w:rPr>
        <w:t>”</w:t>
      </w:r>
      <w:r>
        <w:rPr>
          <w:rFonts w:ascii="Arial" w:eastAsia="Arial" w:hAnsi="Arial" w:cs="Arial"/>
          <w:sz w:val="24"/>
          <w:szCs w:val="24"/>
          <w:vertAlign w:val="superscript"/>
        </w:rPr>
        <w:footnoteReference w:id="34"/>
      </w:r>
      <w:r>
        <w:rPr>
          <w:rFonts w:ascii="Arial" w:eastAsia="Arial" w:hAnsi="Arial" w:cs="Arial"/>
          <w:sz w:val="24"/>
          <w:szCs w:val="24"/>
        </w:rPr>
        <w:t xml:space="preserve">. </w:t>
      </w:r>
      <w:r>
        <w:rPr>
          <w:rFonts w:ascii="Arial" w:eastAsia="Arial" w:hAnsi="Arial" w:cs="Arial"/>
          <w:i/>
          <w:sz w:val="24"/>
          <w:szCs w:val="24"/>
        </w:rPr>
        <w:t xml:space="preserve"> </w:t>
      </w:r>
      <w:r>
        <w:rPr>
          <w:rFonts w:ascii="Arial" w:eastAsia="Arial" w:hAnsi="Arial" w:cs="Arial"/>
          <w:sz w:val="24"/>
          <w:szCs w:val="24"/>
        </w:rPr>
        <w:t xml:space="preserve">Del mismo modo, la Oficina del Alto Comisionado de las Naciones Unidas para los Derechos Humanos y la FAO en el Folleto Informativo No. 34 sobre el derecho a la </w:t>
      </w:r>
      <w:r>
        <w:rPr>
          <w:rFonts w:ascii="Arial" w:eastAsia="Arial" w:hAnsi="Arial" w:cs="Arial"/>
          <w:sz w:val="24"/>
          <w:szCs w:val="24"/>
        </w:rPr>
        <w:t>alimentación adecuada ha establecido que “</w:t>
      </w:r>
      <w:r>
        <w:rPr>
          <w:rFonts w:ascii="Arial" w:eastAsia="Arial" w:hAnsi="Arial" w:cs="Arial"/>
          <w:i/>
          <w:sz w:val="24"/>
          <w:szCs w:val="24"/>
        </w:rPr>
        <w:t xml:space="preserve">Se trata de una condición previa del ejercicio pleno del derecho a la alimentación. No obstante, el propio concepto de </w:t>
      </w:r>
      <w:r>
        <w:rPr>
          <w:rFonts w:ascii="Arial" w:eastAsia="Arial" w:hAnsi="Arial" w:cs="Arial"/>
          <w:i/>
          <w:sz w:val="24"/>
          <w:szCs w:val="24"/>
        </w:rPr>
        <w:lastRenderedPageBreak/>
        <w:t>seguridad alimentaria no es un concepto jurídico en sí mismo, no impone obligaciones a los inte</w:t>
      </w:r>
      <w:r>
        <w:rPr>
          <w:rFonts w:ascii="Arial" w:eastAsia="Arial" w:hAnsi="Arial" w:cs="Arial"/>
          <w:i/>
          <w:sz w:val="24"/>
          <w:szCs w:val="24"/>
        </w:rPr>
        <w:t>resados ni les otorga derechos</w:t>
      </w:r>
      <w:r>
        <w:rPr>
          <w:rFonts w:ascii="Arial" w:eastAsia="Arial" w:hAnsi="Arial" w:cs="Arial"/>
          <w:sz w:val="24"/>
          <w:szCs w:val="24"/>
        </w:rPr>
        <w:t>”</w:t>
      </w:r>
      <w:r>
        <w:rPr>
          <w:rFonts w:ascii="Arial" w:eastAsia="Arial" w:hAnsi="Arial" w:cs="Arial"/>
          <w:sz w:val="24"/>
          <w:szCs w:val="24"/>
          <w:vertAlign w:val="superscript"/>
        </w:rPr>
        <w:footnoteReference w:id="35"/>
      </w:r>
    </w:p>
    <w:p w:rsidR="00483B9D" w:rsidRDefault="00483B9D">
      <w:pPr>
        <w:spacing w:before="85" w:after="57"/>
        <w:jc w:val="both"/>
        <w:rPr>
          <w:rFonts w:ascii="Arial" w:eastAsia="Arial" w:hAnsi="Arial" w:cs="Arial"/>
          <w:sz w:val="24"/>
          <w:szCs w:val="24"/>
        </w:rPr>
      </w:pPr>
    </w:p>
    <w:p w:rsidR="00483B9D" w:rsidRDefault="009A4D35">
      <w:pPr>
        <w:spacing w:before="85" w:after="57"/>
        <w:jc w:val="both"/>
        <w:rPr>
          <w:rFonts w:ascii="Arial" w:eastAsia="Arial" w:hAnsi="Arial" w:cs="Arial"/>
          <w:sz w:val="24"/>
          <w:szCs w:val="24"/>
        </w:rPr>
      </w:pPr>
      <w:r>
        <w:rPr>
          <w:rFonts w:ascii="Arial" w:eastAsia="Arial" w:hAnsi="Arial" w:cs="Arial"/>
          <w:sz w:val="24"/>
          <w:szCs w:val="24"/>
        </w:rPr>
        <w:t>Así pues, con el presente proyecto de ley se plantea establecer el derecho fundamental a la alimentación adecuada en el ordenamiento jurídico interno, en los términos establecidos por parte de la Organización de las Nacion</w:t>
      </w:r>
      <w:r>
        <w:rPr>
          <w:rFonts w:ascii="Arial" w:eastAsia="Arial" w:hAnsi="Arial" w:cs="Arial"/>
          <w:sz w:val="24"/>
          <w:szCs w:val="24"/>
        </w:rPr>
        <w:t>es Unidas para la Alimentación y la Agricultura, de la cual se toman los elementos fundantes para la elaboración del artículo propuesto en el presente proyecto, todo lo anterior con el propósito de dar cumplimiento a las disposiciones del corpus iuris de d</w:t>
      </w:r>
      <w:r>
        <w:rPr>
          <w:rFonts w:ascii="Arial" w:eastAsia="Arial" w:hAnsi="Arial" w:cs="Arial"/>
          <w:sz w:val="24"/>
          <w:szCs w:val="24"/>
        </w:rPr>
        <w:t>erecho internacional que han sido suscritas por parte del Estado colombiano, hoy en día enteramente vinculantes y como paso necesario para la construcción de condiciones de seguridad alimentaria en el territorio nacional.</w:t>
      </w:r>
    </w:p>
    <w:p w:rsidR="00483B9D" w:rsidRDefault="00483B9D">
      <w:pPr>
        <w:spacing w:before="85" w:after="57"/>
        <w:jc w:val="both"/>
        <w:rPr>
          <w:rFonts w:ascii="Arial" w:eastAsia="Arial" w:hAnsi="Arial" w:cs="Arial"/>
          <w:sz w:val="24"/>
          <w:szCs w:val="24"/>
        </w:rPr>
      </w:pPr>
    </w:p>
    <w:p w:rsidR="00483B9D" w:rsidRDefault="009A4D35">
      <w:pPr>
        <w:pBdr>
          <w:top w:val="single" w:sz="4" w:space="1" w:color="000000"/>
          <w:left w:val="single" w:sz="4" w:space="4" w:color="000000"/>
          <w:bottom w:val="single" w:sz="4" w:space="0" w:color="000000"/>
          <w:right w:val="single" w:sz="4" w:space="4" w:color="000000"/>
          <w:between w:val="none" w:sz="0" w:space="0" w:color="000000"/>
        </w:pBdr>
        <w:ind w:hanging="2"/>
        <w:jc w:val="center"/>
        <w:rPr>
          <w:rFonts w:ascii="Arial" w:eastAsia="Arial" w:hAnsi="Arial" w:cs="Arial"/>
          <w:sz w:val="24"/>
          <w:szCs w:val="24"/>
        </w:rPr>
      </w:pPr>
      <w:r>
        <w:rPr>
          <w:rFonts w:ascii="Arial" w:eastAsia="Arial" w:hAnsi="Arial" w:cs="Arial"/>
          <w:b/>
          <w:sz w:val="24"/>
          <w:szCs w:val="24"/>
        </w:rPr>
        <w:t>CONFLICTO DE INTERÉS</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 xml:space="preserve">Teniendo en cuenta el artículo 3 de la Ley 2003 de 2019, “Por la cual se modifica parcialmente la Ley 5 de 1992”, y de conformidad con el artículo 286 de la Ley 5 de 1992, modificado por el artículo 1 de la Ley 2003 de 2019, el cual establece que: </w:t>
      </w:r>
    </w:p>
    <w:p w:rsidR="00483B9D" w:rsidRDefault="009A4D35">
      <w:pPr>
        <w:ind w:left="567"/>
        <w:jc w:val="both"/>
        <w:rPr>
          <w:rFonts w:ascii="Arial" w:eastAsia="Arial" w:hAnsi="Arial" w:cs="Arial"/>
          <w:color w:val="000000"/>
          <w:sz w:val="20"/>
          <w:szCs w:val="20"/>
        </w:rPr>
      </w:pPr>
      <w:r>
        <w:rPr>
          <w:rFonts w:ascii="Arial" w:eastAsia="Arial" w:hAnsi="Arial" w:cs="Arial"/>
          <w:color w:val="000000"/>
          <w:sz w:val="20"/>
          <w:szCs w:val="20"/>
        </w:rPr>
        <w:t>“Artícu</w:t>
      </w:r>
      <w:r>
        <w:rPr>
          <w:rFonts w:ascii="Arial" w:eastAsia="Arial" w:hAnsi="Arial" w:cs="Arial"/>
          <w:color w:val="000000"/>
          <w:sz w:val="20"/>
          <w:szCs w:val="20"/>
        </w:rPr>
        <w:t xml:space="preserve">lo 286. Régimen de conflicto de interés de los congresistas. Todos los congresistas deberán declarar los conflictos </w:t>
      </w:r>
      <w:r>
        <w:rPr>
          <w:rFonts w:ascii="Arial" w:eastAsia="Arial" w:hAnsi="Arial" w:cs="Arial"/>
          <w:sz w:val="20"/>
          <w:szCs w:val="20"/>
        </w:rPr>
        <w:t>de intereses</w:t>
      </w:r>
      <w:r>
        <w:rPr>
          <w:rFonts w:ascii="Arial" w:eastAsia="Arial" w:hAnsi="Arial" w:cs="Arial"/>
          <w:color w:val="000000"/>
          <w:sz w:val="20"/>
          <w:szCs w:val="20"/>
        </w:rPr>
        <w:t xml:space="preserve"> que pudieran surgir </w:t>
      </w:r>
      <w:r>
        <w:rPr>
          <w:rFonts w:ascii="Arial" w:eastAsia="Arial" w:hAnsi="Arial" w:cs="Arial"/>
          <w:sz w:val="20"/>
          <w:szCs w:val="20"/>
        </w:rPr>
        <w:t>en el ejercicio</w:t>
      </w:r>
      <w:r>
        <w:rPr>
          <w:rFonts w:ascii="Arial" w:eastAsia="Arial" w:hAnsi="Arial" w:cs="Arial"/>
          <w:color w:val="000000"/>
          <w:sz w:val="20"/>
          <w:szCs w:val="20"/>
        </w:rPr>
        <w:t xml:space="preserve"> de sus funciones. Se entiende como conflicto de interés una situación donde la discusión o </w:t>
      </w:r>
      <w:r>
        <w:rPr>
          <w:rFonts w:ascii="Arial" w:eastAsia="Arial" w:hAnsi="Arial" w:cs="Arial"/>
          <w:color w:val="000000"/>
          <w:sz w:val="20"/>
          <w:szCs w:val="20"/>
        </w:rPr>
        <w:t>votación de un proyecto de ley o acto legislativo o artículo, pueda resultar en un beneficio particular, actual y directo a favor del congresista.</w:t>
      </w:r>
    </w:p>
    <w:p w:rsidR="00483B9D" w:rsidRDefault="009A4D35">
      <w:pPr>
        <w:ind w:left="567"/>
        <w:jc w:val="both"/>
        <w:rPr>
          <w:rFonts w:ascii="Arial" w:eastAsia="Arial" w:hAnsi="Arial" w:cs="Arial"/>
          <w:color w:val="000000"/>
          <w:sz w:val="20"/>
          <w:szCs w:val="20"/>
        </w:rPr>
      </w:pPr>
      <w:r>
        <w:rPr>
          <w:rFonts w:ascii="Arial" w:eastAsia="Arial" w:hAnsi="Arial" w:cs="Arial"/>
          <w:color w:val="000000"/>
          <w:sz w:val="20"/>
          <w:szCs w:val="20"/>
        </w:rPr>
        <w:t xml:space="preserve"> a) Beneficio particular: aquel que otorga un privilegio o genera ganancias o crea indemnizaciones económicas</w:t>
      </w:r>
      <w:r>
        <w:rPr>
          <w:rFonts w:ascii="Arial" w:eastAsia="Arial" w:hAnsi="Arial" w:cs="Arial"/>
          <w:color w:val="000000"/>
          <w:sz w:val="20"/>
          <w:szCs w:val="20"/>
        </w:rPr>
        <w:t xml:space="preserve"> o elimina obligaciones a favor del congresista de las que no gozan el resto de los ciudadanos. Modifique normas que afecten investigaciones penales, disciplinarias, fiscales o administrativas a las que se encuentre formalmente vinculado. </w:t>
      </w:r>
    </w:p>
    <w:p w:rsidR="00483B9D" w:rsidRDefault="009A4D35">
      <w:pPr>
        <w:ind w:left="567"/>
        <w:jc w:val="both"/>
        <w:rPr>
          <w:rFonts w:ascii="Arial" w:eastAsia="Arial" w:hAnsi="Arial" w:cs="Arial"/>
          <w:color w:val="000000"/>
          <w:sz w:val="20"/>
          <w:szCs w:val="20"/>
        </w:rPr>
      </w:pPr>
      <w:r>
        <w:rPr>
          <w:rFonts w:ascii="Arial" w:eastAsia="Arial" w:hAnsi="Arial" w:cs="Arial"/>
          <w:color w:val="000000"/>
          <w:sz w:val="20"/>
          <w:szCs w:val="20"/>
        </w:rPr>
        <w:t>b) Beneficio act</w:t>
      </w:r>
      <w:r>
        <w:rPr>
          <w:rFonts w:ascii="Arial" w:eastAsia="Arial" w:hAnsi="Arial" w:cs="Arial"/>
          <w:color w:val="000000"/>
          <w:sz w:val="20"/>
          <w:szCs w:val="20"/>
        </w:rPr>
        <w:t xml:space="preserve">ual: aquel que efectivamente se configura en las circunstancias presentes y existentes al momento en el que el congresista participa de la decisión. </w:t>
      </w:r>
    </w:p>
    <w:p w:rsidR="00483B9D" w:rsidRDefault="009A4D35">
      <w:pPr>
        <w:ind w:left="567"/>
        <w:jc w:val="both"/>
        <w:rPr>
          <w:rFonts w:ascii="Arial" w:eastAsia="Arial" w:hAnsi="Arial" w:cs="Arial"/>
          <w:color w:val="000000"/>
          <w:sz w:val="20"/>
          <w:szCs w:val="20"/>
        </w:rPr>
      </w:pPr>
      <w:r>
        <w:rPr>
          <w:rFonts w:ascii="Arial" w:eastAsia="Arial" w:hAnsi="Arial" w:cs="Arial"/>
          <w:color w:val="000000"/>
          <w:sz w:val="20"/>
          <w:szCs w:val="20"/>
        </w:rPr>
        <w:t xml:space="preserve">c) Beneficio directo: aquel que se produzca de forma específica respecto del congresista, de su cónyuge, compañero o compañera permanente, o parientes dentro del segundo grado de consanguinidad, segundo de afinidad o primero civil. </w:t>
      </w:r>
    </w:p>
    <w:p w:rsidR="00483B9D" w:rsidRDefault="009A4D35">
      <w:pPr>
        <w:ind w:left="567"/>
        <w:jc w:val="both"/>
        <w:rPr>
          <w:rFonts w:ascii="Arial" w:eastAsia="Arial" w:hAnsi="Arial" w:cs="Arial"/>
          <w:color w:val="000000"/>
          <w:sz w:val="20"/>
          <w:szCs w:val="20"/>
        </w:rPr>
      </w:pPr>
      <w:r>
        <w:rPr>
          <w:rFonts w:ascii="Arial" w:eastAsia="Arial" w:hAnsi="Arial" w:cs="Arial"/>
          <w:color w:val="000000"/>
          <w:sz w:val="20"/>
          <w:szCs w:val="20"/>
        </w:rPr>
        <w:t xml:space="preserve">(…)” </w:t>
      </w: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Igualmente, El Co</w:t>
      </w:r>
      <w:r>
        <w:rPr>
          <w:rFonts w:ascii="Arial" w:eastAsia="Arial" w:hAnsi="Arial" w:cs="Arial"/>
          <w:color w:val="000000"/>
          <w:sz w:val="24"/>
          <w:szCs w:val="24"/>
        </w:rPr>
        <w:t xml:space="preserve">nsejo de Estado en su sentencia 02830 del 16 de julio de 2019, determinó: </w:t>
      </w:r>
    </w:p>
    <w:p w:rsidR="00483B9D" w:rsidRDefault="009A4D35">
      <w:pPr>
        <w:ind w:left="709"/>
        <w:jc w:val="both"/>
        <w:rPr>
          <w:rFonts w:ascii="Arial" w:eastAsia="Arial" w:hAnsi="Arial" w:cs="Arial"/>
          <w:color w:val="000000"/>
          <w:sz w:val="20"/>
          <w:szCs w:val="20"/>
        </w:rPr>
      </w:pPr>
      <w:r>
        <w:rPr>
          <w:rFonts w:ascii="Arial" w:eastAsia="Arial" w:hAnsi="Arial" w:cs="Arial"/>
          <w:color w:val="000000"/>
          <w:sz w:val="20"/>
          <w:szCs w:val="20"/>
        </w:rPr>
        <w:t xml:space="preserve">“No cualquier interés configura la causal de desinvestidura en comento, pues se sabe que sólo lo será aquél del que se pueda predicar que es directo, esto es, que per se el alegado </w:t>
      </w:r>
      <w:r>
        <w:rPr>
          <w:rFonts w:ascii="Arial" w:eastAsia="Arial" w:hAnsi="Arial" w:cs="Arial"/>
          <w:color w:val="000000"/>
          <w:sz w:val="20"/>
          <w:szCs w:val="20"/>
        </w:rPr>
        <w:lastRenderedPageBreak/>
        <w:t>beneficio, provecho o utilidad encuentre su fuente en el asunto que fue conocido por el legislador; particular, que el mismo sea específico o personal, bien para el congresista o quienes se encuentren relacionados con él; y actual o inmediato, que concurra</w:t>
      </w:r>
      <w:r>
        <w:rPr>
          <w:rFonts w:ascii="Arial" w:eastAsia="Arial" w:hAnsi="Arial" w:cs="Arial"/>
          <w:color w:val="000000"/>
          <w:sz w:val="20"/>
          <w:szCs w:val="20"/>
        </w:rPr>
        <w:t xml:space="preserve"> para el momento en que ocurrió la participación o votación del congresista, lo que excluye sucesos contingentes, futuros o imprevisibles…”. </w:t>
      </w:r>
    </w:p>
    <w:p w:rsidR="00483B9D" w:rsidRDefault="00483B9D">
      <w:pPr>
        <w:ind w:left="709"/>
        <w:jc w:val="both"/>
        <w:rPr>
          <w:rFonts w:ascii="Arial" w:eastAsia="Arial" w:hAnsi="Arial" w:cs="Arial"/>
          <w:color w:val="000000"/>
          <w:sz w:val="20"/>
          <w:szCs w:val="20"/>
        </w:rPr>
      </w:pPr>
    </w:p>
    <w:p w:rsidR="00483B9D" w:rsidRDefault="009A4D35">
      <w:pPr>
        <w:jc w:val="both"/>
        <w:rPr>
          <w:rFonts w:ascii="Arial" w:eastAsia="Arial" w:hAnsi="Arial" w:cs="Arial"/>
          <w:color w:val="000000"/>
          <w:sz w:val="24"/>
          <w:szCs w:val="24"/>
        </w:rPr>
      </w:pPr>
      <w:r>
        <w:rPr>
          <w:rFonts w:ascii="Arial" w:eastAsia="Arial" w:hAnsi="Arial" w:cs="Arial"/>
          <w:color w:val="000000"/>
          <w:sz w:val="24"/>
          <w:szCs w:val="24"/>
        </w:rPr>
        <w:t xml:space="preserve">Bajo este marco, se considera que la discusión y aprobación del presente Proyecto de Ley, a pesar de su carácter </w:t>
      </w:r>
      <w:r>
        <w:rPr>
          <w:rFonts w:ascii="Arial" w:eastAsia="Arial" w:hAnsi="Arial" w:cs="Arial"/>
          <w:color w:val="000000"/>
          <w:sz w:val="24"/>
          <w:szCs w:val="24"/>
        </w:rPr>
        <w:t>general y extenso en la materia que trata, podría crear conflictos de interés en tanto al congresista o pariente dentro de los grados de ley sea beneficiario con los términos dispuestos en la presente ley. En este sentido, es importante subrayar que la des</w:t>
      </w:r>
      <w:r>
        <w:rPr>
          <w:rFonts w:ascii="Arial" w:eastAsia="Arial" w:hAnsi="Arial" w:cs="Arial"/>
          <w:color w:val="000000"/>
          <w:sz w:val="24"/>
          <w:szCs w:val="24"/>
        </w:rPr>
        <w:t xml:space="preserve">cripción de los posibles conflictos de interés que se puedan presentar frente al trámite o votación de la iniciativa, conforme a lo dispuesto en el artículo 291 de la Ley 5 de 1992 modificado por la Ley 2003 de 2019, no exime al Congresista de identificar </w:t>
      </w:r>
      <w:r>
        <w:rPr>
          <w:rFonts w:ascii="Arial" w:eastAsia="Arial" w:hAnsi="Arial" w:cs="Arial"/>
          <w:color w:val="000000"/>
          <w:sz w:val="24"/>
          <w:szCs w:val="24"/>
        </w:rPr>
        <w:t xml:space="preserve">causales adicionales en las que pueda estar inmerso. </w:t>
      </w:r>
    </w:p>
    <w:p w:rsidR="00483B9D" w:rsidRDefault="00483B9D">
      <w:pPr>
        <w:jc w:val="both"/>
        <w:rPr>
          <w:rFonts w:ascii="Arial" w:eastAsia="Arial" w:hAnsi="Arial" w:cs="Arial"/>
          <w:color w:val="000000"/>
          <w:sz w:val="24"/>
          <w:szCs w:val="24"/>
        </w:rPr>
      </w:pPr>
    </w:p>
    <w:p w:rsidR="00483B9D" w:rsidRDefault="009A4D35">
      <w:pPr>
        <w:pBdr>
          <w:top w:val="single" w:sz="4" w:space="1" w:color="000000"/>
          <w:left w:val="single" w:sz="4" w:space="4" w:color="000000"/>
          <w:bottom w:val="single" w:sz="4" w:space="0" w:color="000000"/>
          <w:right w:val="single" w:sz="4" w:space="4" w:color="000000"/>
          <w:between w:val="none" w:sz="0" w:space="0" w:color="000000"/>
        </w:pBdr>
        <w:ind w:hanging="2"/>
        <w:jc w:val="center"/>
        <w:rPr>
          <w:rFonts w:ascii="Arial" w:eastAsia="Arial" w:hAnsi="Arial" w:cs="Arial"/>
          <w:sz w:val="24"/>
          <w:szCs w:val="24"/>
        </w:rPr>
      </w:pPr>
      <w:r>
        <w:rPr>
          <w:rFonts w:ascii="Arial" w:eastAsia="Arial" w:hAnsi="Arial" w:cs="Arial"/>
          <w:b/>
          <w:sz w:val="24"/>
          <w:szCs w:val="24"/>
        </w:rPr>
        <w:t>PROPOSICIÓN</w:t>
      </w:r>
    </w:p>
    <w:p w:rsidR="00483B9D" w:rsidRDefault="009A4D35">
      <w:pPr>
        <w:jc w:val="both"/>
        <w:rPr>
          <w:rFonts w:ascii="Times New Roman" w:eastAsia="Times New Roman" w:hAnsi="Times New Roman" w:cs="Times New Roman"/>
          <w:sz w:val="24"/>
          <w:szCs w:val="24"/>
        </w:rPr>
      </w:pPr>
      <w:r>
        <w:rPr>
          <w:rFonts w:ascii="Arial" w:eastAsia="Arial" w:hAnsi="Arial" w:cs="Arial"/>
          <w:sz w:val="24"/>
          <w:szCs w:val="24"/>
        </w:rPr>
        <w:t xml:space="preserve">Con fundamento en las anteriores consideraciones, en cumplimiento de los requisitos establecidos en la Ley 5 de 1992, presento </w:t>
      </w:r>
      <w:r>
        <w:rPr>
          <w:rFonts w:ascii="Arial" w:eastAsia="Arial" w:hAnsi="Arial" w:cs="Arial"/>
          <w:b/>
          <w:sz w:val="24"/>
          <w:szCs w:val="24"/>
          <w:u w:val="single"/>
        </w:rPr>
        <w:t>PONENCIA POSITIVA</w:t>
      </w:r>
      <w:r>
        <w:rPr>
          <w:rFonts w:ascii="Arial" w:eastAsia="Arial" w:hAnsi="Arial" w:cs="Arial"/>
          <w:sz w:val="24"/>
          <w:szCs w:val="24"/>
        </w:rPr>
        <w:t xml:space="preserve"> y en consecuencia solicito a la </w:t>
      </w:r>
      <w:r w:rsidR="00977018">
        <w:rPr>
          <w:rFonts w:ascii="Arial" w:eastAsia="Arial" w:hAnsi="Arial" w:cs="Arial"/>
          <w:sz w:val="24"/>
          <w:szCs w:val="24"/>
        </w:rPr>
        <w:t xml:space="preserve">Comisión Primera, Constitucional Permanente de la Cámara de Representantes </w:t>
      </w:r>
      <w:r>
        <w:rPr>
          <w:rFonts w:ascii="Arial" w:eastAsia="Arial" w:hAnsi="Arial" w:cs="Arial"/>
          <w:sz w:val="24"/>
          <w:szCs w:val="24"/>
        </w:rPr>
        <w:t xml:space="preserve">dar </w:t>
      </w:r>
      <w:r w:rsidR="00977018">
        <w:rPr>
          <w:rFonts w:ascii="Arial" w:eastAsia="Arial" w:hAnsi="Arial" w:cs="Arial"/>
          <w:b/>
          <w:sz w:val="24"/>
          <w:szCs w:val="24"/>
          <w:u w:val="single"/>
        </w:rPr>
        <w:t>PRIMER</w:t>
      </w:r>
      <w:r>
        <w:rPr>
          <w:rFonts w:ascii="Arial" w:eastAsia="Arial" w:hAnsi="Arial" w:cs="Arial"/>
          <w:b/>
          <w:sz w:val="24"/>
          <w:szCs w:val="24"/>
          <w:u w:val="single"/>
        </w:rPr>
        <w:t xml:space="preserve"> DEBATE</w:t>
      </w:r>
      <w:r>
        <w:rPr>
          <w:rFonts w:ascii="Arial" w:eastAsia="Arial" w:hAnsi="Arial" w:cs="Arial"/>
          <w:b/>
          <w:sz w:val="24"/>
          <w:szCs w:val="24"/>
        </w:rPr>
        <w:t xml:space="preserve"> </w:t>
      </w:r>
      <w:r>
        <w:rPr>
          <w:rFonts w:ascii="Arial" w:eastAsia="Arial" w:hAnsi="Arial" w:cs="Arial"/>
          <w:sz w:val="24"/>
          <w:szCs w:val="24"/>
        </w:rPr>
        <w:t xml:space="preserve">al </w:t>
      </w:r>
      <w:r w:rsidR="00977018">
        <w:rPr>
          <w:rFonts w:ascii="Arial" w:eastAsia="Arial" w:hAnsi="Arial" w:cs="Arial"/>
          <w:b/>
          <w:sz w:val="24"/>
          <w:szCs w:val="24"/>
        </w:rPr>
        <w:t>Proyecto de Acto Legislativo No. 436 de 2024 Cámara – No. 020 de 2024 Senado</w:t>
      </w:r>
      <w:r>
        <w:rPr>
          <w:rFonts w:ascii="Arial" w:eastAsia="Arial" w:hAnsi="Arial" w:cs="Arial"/>
          <w:b/>
          <w:sz w:val="24"/>
          <w:szCs w:val="24"/>
        </w:rPr>
        <w:t xml:space="preserve"> “Por el cual se modifica el artículo 65 de la Constitución Política de Colombia”, </w:t>
      </w:r>
      <w:r>
        <w:rPr>
          <w:rFonts w:ascii="Arial" w:eastAsia="Arial" w:hAnsi="Arial" w:cs="Arial"/>
          <w:sz w:val="24"/>
          <w:szCs w:val="24"/>
        </w:rPr>
        <w:t xml:space="preserve">conforme al texto </w:t>
      </w:r>
      <w:r w:rsidR="00977018">
        <w:rPr>
          <w:rFonts w:ascii="Arial" w:eastAsia="Arial" w:hAnsi="Arial" w:cs="Arial"/>
          <w:sz w:val="24"/>
          <w:szCs w:val="24"/>
        </w:rPr>
        <w:t>aprobado en la plenaria del Senado el 07 de mayo de 2024</w:t>
      </w:r>
      <w:r>
        <w:rPr>
          <w:rFonts w:ascii="Arial" w:eastAsia="Arial" w:hAnsi="Arial" w:cs="Arial"/>
          <w:sz w:val="24"/>
          <w:szCs w:val="24"/>
        </w:rPr>
        <w:t>, que se relaciona a continuación</w:t>
      </w:r>
      <w:r>
        <w:rPr>
          <w:rFonts w:ascii="Arial" w:eastAsia="Arial" w:hAnsi="Arial" w:cs="Arial"/>
          <w:color w:val="222222"/>
          <w:sz w:val="24"/>
          <w:szCs w:val="24"/>
          <w:highlight w:val="white"/>
        </w:rPr>
        <w:t>.</w:t>
      </w:r>
    </w:p>
    <w:p w:rsidR="00977018" w:rsidRDefault="009A4D35" w:rsidP="00977018">
      <w:pPr>
        <w:spacing w:line="264" w:lineRule="auto"/>
        <w:ind w:hanging="2"/>
        <w:jc w:val="both"/>
        <w:rPr>
          <w:rFonts w:ascii="Arial" w:eastAsia="Arial" w:hAnsi="Arial" w:cs="Arial"/>
          <w:sz w:val="24"/>
          <w:szCs w:val="24"/>
        </w:rPr>
      </w:pPr>
      <w:r>
        <w:rPr>
          <w:rFonts w:ascii="Arial" w:eastAsia="Arial" w:hAnsi="Arial" w:cs="Arial"/>
          <w:sz w:val="24"/>
          <w:szCs w:val="24"/>
        </w:rPr>
        <w:t>Cordialmente</w:t>
      </w:r>
      <w:r>
        <w:rPr>
          <w:rFonts w:ascii="Arial" w:eastAsia="Arial" w:hAnsi="Arial" w:cs="Arial"/>
          <w:sz w:val="24"/>
          <w:szCs w:val="24"/>
        </w:rPr>
        <w:t>,</w:t>
      </w:r>
    </w:p>
    <w:p w:rsidR="00977018" w:rsidRDefault="00977018" w:rsidP="00977018">
      <w:pPr>
        <w:rPr>
          <w:rFonts w:ascii="Arial" w:eastAsia="Arial" w:hAnsi="Arial" w:cs="Arial"/>
          <w:sz w:val="24"/>
          <w:szCs w:val="24"/>
        </w:rPr>
      </w:pPr>
    </w:p>
    <w:p w:rsidR="00977018" w:rsidRDefault="00977018" w:rsidP="00977018">
      <w:pPr>
        <w:rPr>
          <w:rFonts w:ascii="Arial" w:eastAsia="Arial" w:hAnsi="Arial" w:cs="Arial"/>
          <w:sz w:val="24"/>
          <w:szCs w:val="24"/>
        </w:rPr>
      </w:pPr>
    </w:p>
    <w:p w:rsidR="00977018" w:rsidRDefault="00977018" w:rsidP="00977018">
      <w:pPr>
        <w:rPr>
          <w:rFonts w:ascii="Arial" w:eastAsia="Arial" w:hAnsi="Arial" w:cs="Arial"/>
          <w:sz w:val="24"/>
          <w:szCs w:val="24"/>
        </w:rPr>
      </w:pPr>
    </w:p>
    <w:p w:rsidR="00977018" w:rsidRDefault="00977018" w:rsidP="00977018">
      <w:pPr>
        <w:rPr>
          <w:rFonts w:ascii="Arial" w:eastAsia="Arial" w:hAnsi="Arial" w:cs="Arial"/>
          <w:sz w:val="24"/>
          <w:szCs w:val="24"/>
        </w:rPr>
      </w:pPr>
      <w:r>
        <w:rPr>
          <w:rFonts w:ascii="Arial" w:eastAsia="Arial" w:hAnsi="Arial" w:cs="Arial"/>
          <w:b/>
          <w:sz w:val="24"/>
          <w:szCs w:val="24"/>
        </w:rPr>
        <w:t xml:space="preserve">ANA PAOLA GARCIA SOTO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Coordinadora ponente</w:t>
      </w:r>
    </w:p>
    <w:p w:rsidR="00977018" w:rsidRDefault="00977018" w:rsidP="00977018">
      <w:pPr>
        <w:ind w:left="-2"/>
        <w:rPr>
          <w:rFonts w:ascii="Arial" w:eastAsia="Arial" w:hAnsi="Arial" w:cs="Arial"/>
          <w:sz w:val="24"/>
          <w:szCs w:val="24"/>
        </w:rPr>
      </w:pPr>
    </w:p>
    <w:p w:rsidR="00977018" w:rsidRDefault="00977018" w:rsidP="00977018">
      <w:pPr>
        <w:ind w:left="-2"/>
        <w:rPr>
          <w:rFonts w:ascii="Arial" w:eastAsia="Arial" w:hAnsi="Arial" w:cs="Arial"/>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lastRenderedPageBreak/>
        <w:t>EDUARD GIOVANNY SARMIENTO HIDALGO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Coordinador ponente</w:t>
      </w:r>
    </w:p>
    <w:p w:rsidR="00977018" w:rsidRDefault="00977018" w:rsidP="00977018">
      <w:pPr>
        <w:ind w:left="-2"/>
        <w:rPr>
          <w:rFonts w:ascii="Arial" w:eastAsia="Arial" w:hAnsi="Arial" w:cs="Arial"/>
          <w:b/>
          <w:sz w:val="24"/>
          <w:szCs w:val="24"/>
        </w:rPr>
      </w:pPr>
    </w:p>
    <w:p w:rsidR="00977018" w:rsidRDefault="00977018" w:rsidP="00977018">
      <w:pPr>
        <w:rPr>
          <w:rFonts w:ascii="Arial" w:eastAsia="Arial" w:hAnsi="Arial" w:cs="Arial"/>
          <w:b/>
          <w:sz w:val="24"/>
          <w:szCs w:val="24"/>
        </w:rPr>
      </w:pPr>
    </w:p>
    <w:p w:rsidR="00977018" w:rsidRPr="00B054CA" w:rsidRDefault="00977018" w:rsidP="00977018">
      <w:pPr>
        <w:rPr>
          <w:rFonts w:ascii="Arial" w:eastAsia="Arial" w:hAnsi="Arial" w:cs="Arial"/>
          <w:sz w:val="24"/>
          <w:szCs w:val="24"/>
        </w:rPr>
      </w:pPr>
      <w:r>
        <w:rPr>
          <w:rFonts w:ascii="Arial" w:eastAsia="Arial" w:hAnsi="Arial" w:cs="Arial"/>
          <w:b/>
          <w:sz w:val="24"/>
          <w:szCs w:val="24"/>
        </w:rPr>
        <w:br/>
        <w:t>ÁLVARO LEONEL RUEDA CABALLERO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Coordinador ponente</w:t>
      </w: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b/>
          <w:sz w:val="24"/>
          <w:szCs w:val="24"/>
        </w:rPr>
      </w:pPr>
    </w:p>
    <w:p w:rsidR="00977018" w:rsidRPr="00B054CA" w:rsidRDefault="00977018" w:rsidP="00977018">
      <w:pPr>
        <w:rPr>
          <w:rFonts w:ascii="Arial" w:eastAsia="Arial" w:hAnsi="Arial" w:cs="Arial"/>
          <w:sz w:val="24"/>
          <w:szCs w:val="24"/>
        </w:rPr>
      </w:pPr>
      <w:r>
        <w:rPr>
          <w:rFonts w:ascii="Arial" w:eastAsia="Arial" w:hAnsi="Arial" w:cs="Arial"/>
          <w:b/>
          <w:sz w:val="24"/>
          <w:szCs w:val="24"/>
        </w:rPr>
        <w:t>JULIO CÉSAR TRIANA QUINTERO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RUTH AMELIA CAYCEDO ROSERO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b/>
          <w:sz w:val="24"/>
          <w:szCs w:val="24"/>
        </w:rPr>
      </w:pPr>
      <w:r>
        <w:rPr>
          <w:rFonts w:ascii="Arial" w:eastAsia="Arial" w:hAnsi="Arial" w:cs="Arial"/>
          <w:b/>
          <w:sz w:val="24"/>
          <w:szCs w:val="24"/>
        </w:rPr>
        <w:t>JOSE JAIME USCÁTEGUI PASTRANA</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ORLANDO CASTILLO ADVÍNCULA</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lastRenderedPageBreak/>
        <w:t>DUVALIER SÁNCHEZ ARANGO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MARELEN CASTILLO TORRES</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LUIS ALBERTO ALBÁN URBANO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spacing w:line="264" w:lineRule="auto"/>
        <w:ind w:hanging="2"/>
        <w:jc w:val="both"/>
        <w:rPr>
          <w:rFonts w:ascii="Arial" w:eastAsia="Arial" w:hAnsi="Arial" w:cs="Arial"/>
          <w:sz w:val="24"/>
          <w:szCs w:val="24"/>
        </w:rPr>
      </w:pPr>
    </w:p>
    <w:p w:rsidR="00483B9D" w:rsidRDefault="00483B9D">
      <w:pPr>
        <w:spacing w:line="264" w:lineRule="auto"/>
        <w:ind w:hanging="2"/>
        <w:jc w:val="both"/>
        <w:rPr>
          <w:rFonts w:ascii="Arial" w:eastAsia="Arial" w:hAnsi="Arial" w:cs="Arial"/>
          <w:sz w:val="24"/>
          <w:szCs w:val="24"/>
        </w:rPr>
      </w:pPr>
    </w:p>
    <w:p w:rsidR="00483B9D" w:rsidRDefault="009A4D35">
      <w:pPr>
        <w:ind w:hanging="2"/>
        <w:jc w:val="both"/>
        <w:rPr>
          <w:rFonts w:ascii="Arial" w:eastAsia="Arial" w:hAnsi="Arial" w:cs="Arial"/>
          <w:sz w:val="24"/>
          <w:szCs w:val="24"/>
        </w:rPr>
        <w:sectPr w:rsidR="00483B9D">
          <w:headerReference w:type="default" r:id="rId8"/>
          <w:footerReference w:type="default" r:id="rId9"/>
          <w:pgSz w:w="12240" w:h="15840"/>
          <w:pgMar w:top="1418" w:right="1701" w:bottom="1418" w:left="1701" w:header="709" w:footer="709" w:gutter="0"/>
          <w:pgNumType w:start="1"/>
          <w:cols w:space="720"/>
        </w:sectPr>
      </w:pPr>
      <w:r>
        <w:rPr>
          <w:rFonts w:ascii="Arial" w:eastAsia="Arial" w:hAnsi="Arial" w:cs="Arial"/>
          <w:sz w:val="24"/>
          <w:szCs w:val="24"/>
        </w:rPr>
        <w:tab/>
      </w:r>
    </w:p>
    <w:p w:rsidR="006A0381" w:rsidRDefault="006A0381">
      <w:pPr>
        <w:spacing w:line="240" w:lineRule="auto"/>
        <w:jc w:val="center"/>
        <w:rPr>
          <w:rFonts w:ascii="Arial" w:eastAsia="Arial" w:hAnsi="Arial" w:cs="Arial"/>
          <w:b/>
          <w:sz w:val="24"/>
          <w:szCs w:val="24"/>
        </w:rPr>
      </w:pPr>
      <w:r>
        <w:rPr>
          <w:rFonts w:ascii="Arial" w:eastAsia="Arial" w:hAnsi="Arial" w:cs="Arial"/>
          <w:b/>
          <w:sz w:val="24"/>
          <w:szCs w:val="24"/>
        </w:rPr>
        <w:lastRenderedPageBreak/>
        <w:t>TEXTO PROPUESTO PARA PRIMER DEBATE EN LA COMISIÓN PRIMERA CONSTITUCIONAL PERMANENTE EN LA CÁMARA DE REPRESENTANTES</w:t>
      </w:r>
    </w:p>
    <w:p w:rsidR="006A0381" w:rsidRDefault="006A0381">
      <w:pPr>
        <w:spacing w:line="240" w:lineRule="auto"/>
        <w:jc w:val="center"/>
        <w:rPr>
          <w:rFonts w:ascii="Arial" w:eastAsia="Arial" w:hAnsi="Arial" w:cs="Arial"/>
          <w:b/>
          <w:sz w:val="24"/>
          <w:szCs w:val="24"/>
        </w:rPr>
      </w:pPr>
      <w:bookmarkStart w:id="0" w:name="_GoBack"/>
      <w:bookmarkEnd w:id="0"/>
    </w:p>
    <w:p w:rsidR="00977018" w:rsidRDefault="009A4D35">
      <w:pPr>
        <w:spacing w:line="240" w:lineRule="auto"/>
        <w:jc w:val="center"/>
        <w:rPr>
          <w:rFonts w:ascii="Arial" w:eastAsia="Arial" w:hAnsi="Arial" w:cs="Arial"/>
          <w:b/>
          <w:sz w:val="24"/>
          <w:szCs w:val="24"/>
        </w:rPr>
      </w:pPr>
      <w:r>
        <w:rPr>
          <w:rFonts w:ascii="Arial" w:eastAsia="Arial" w:hAnsi="Arial" w:cs="Arial"/>
          <w:b/>
          <w:sz w:val="24"/>
          <w:szCs w:val="24"/>
        </w:rPr>
        <w:t xml:space="preserve">PROYECTO DE ACTO LEGISLATIVO No. </w:t>
      </w:r>
      <w:r w:rsidR="00977018">
        <w:rPr>
          <w:rFonts w:ascii="Arial" w:eastAsia="Arial" w:hAnsi="Arial" w:cs="Arial"/>
          <w:b/>
          <w:sz w:val="24"/>
          <w:szCs w:val="24"/>
        </w:rPr>
        <w:t>436 de 2024 Cámara – 020 de 2024 Senado</w:t>
      </w:r>
    </w:p>
    <w:p w:rsidR="00483B9D" w:rsidRDefault="009A4D35">
      <w:pPr>
        <w:spacing w:line="240" w:lineRule="auto"/>
        <w:jc w:val="center"/>
        <w:rPr>
          <w:rFonts w:ascii="Arial" w:eastAsia="Arial" w:hAnsi="Arial" w:cs="Arial"/>
          <w:b/>
          <w:sz w:val="24"/>
          <w:szCs w:val="24"/>
        </w:rPr>
      </w:pPr>
      <w:r>
        <w:rPr>
          <w:rFonts w:ascii="Arial" w:eastAsia="Arial" w:hAnsi="Arial" w:cs="Arial"/>
          <w:b/>
          <w:sz w:val="24"/>
          <w:szCs w:val="24"/>
        </w:rPr>
        <w:br/>
        <w:t>“Por el cual se modifica el artículo 65 de la Constitución Política de Colombia”</w:t>
      </w:r>
    </w:p>
    <w:p w:rsidR="00483B9D" w:rsidRDefault="009A4D35">
      <w:pPr>
        <w:tabs>
          <w:tab w:val="center" w:pos="4252"/>
          <w:tab w:val="left" w:pos="6470"/>
        </w:tabs>
        <w:spacing w:line="240" w:lineRule="auto"/>
        <w:jc w:val="center"/>
        <w:rPr>
          <w:rFonts w:ascii="Arial" w:eastAsia="Arial" w:hAnsi="Arial" w:cs="Arial"/>
          <w:b/>
          <w:sz w:val="24"/>
          <w:szCs w:val="24"/>
        </w:rPr>
      </w:pPr>
      <w:r>
        <w:rPr>
          <w:rFonts w:ascii="Arial" w:eastAsia="Arial" w:hAnsi="Arial" w:cs="Arial"/>
          <w:b/>
          <w:sz w:val="24"/>
          <w:szCs w:val="24"/>
        </w:rPr>
        <w:t>El Congreso de Colombia,</w:t>
      </w:r>
      <w:r>
        <w:rPr>
          <w:rFonts w:ascii="Arial" w:eastAsia="Arial" w:hAnsi="Arial" w:cs="Arial"/>
          <w:b/>
          <w:sz w:val="24"/>
          <w:szCs w:val="24"/>
        </w:rPr>
        <w:br/>
        <w:t>DECRETA:</w:t>
      </w:r>
    </w:p>
    <w:p w:rsidR="00483B9D" w:rsidRDefault="009A4D35">
      <w:pPr>
        <w:tabs>
          <w:tab w:val="center" w:pos="4252"/>
          <w:tab w:val="left" w:pos="6470"/>
        </w:tabs>
        <w:spacing w:line="240" w:lineRule="auto"/>
        <w:jc w:val="both"/>
        <w:rPr>
          <w:rFonts w:ascii="Arial" w:eastAsia="Arial" w:hAnsi="Arial" w:cs="Arial"/>
          <w:b/>
          <w:sz w:val="24"/>
          <w:szCs w:val="24"/>
        </w:rPr>
      </w:pPr>
      <w:r>
        <w:rPr>
          <w:rFonts w:ascii="Arial" w:eastAsia="Arial" w:hAnsi="Arial" w:cs="Arial"/>
          <w:b/>
          <w:sz w:val="24"/>
          <w:szCs w:val="24"/>
        </w:rPr>
        <w:t xml:space="preserve">Artículo 1. </w:t>
      </w:r>
      <w:r>
        <w:rPr>
          <w:rFonts w:ascii="Arial" w:eastAsia="Arial" w:hAnsi="Arial" w:cs="Arial"/>
          <w:sz w:val="24"/>
          <w:szCs w:val="24"/>
        </w:rPr>
        <w:t>Modifíquese el artículo 65 de la Constitución Política de Colombia, el cual quedará así:</w:t>
      </w:r>
    </w:p>
    <w:p w:rsidR="00483B9D" w:rsidRDefault="009A4D35">
      <w:pPr>
        <w:tabs>
          <w:tab w:val="center" w:pos="4252"/>
          <w:tab w:val="left" w:pos="6470"/>
        </w:tabs>
        <w:spacing w:line="240" w:lineRule="auto"/>
        <w:jc w:val="both"/>
        <w:rPr>
          <w:rFonts w:ascii="Arial" w:eastAsia="Arial" w:hAnsi="Arial" w:cs="Arial"/>
          <w:sz w:val="24"/>
          <w:szCs w:val="24"/>
        </w:rPr>
      </w:pPr>
      <w:r>
        <w:rPr>
          <w:rFonts w:ascii="Arial" w:eastAsia="Arial" w:hAnsi="Arial" w:cs="Arial"/>
          <w:b/>
          <w:sz w:val="24"/>
          <w:szCs w:val="24"/>
        </w:rPr>
        <w:t xml:space="preserve">Artículo 65. </w:t>
      </w:r>
      <w:r>
        <w:rPr>
          <w:rFonts w:ascii="Arial" w:eastAsia="Arial" w:hAnsi="Arial" w:cs="Arial"/>
          <w:sz w:val="24"/>
          <w:szCs w:val="24"/>
        </w:rPr>
        <w:t>El Estado garantizará el derecho humano a la alimentación adecuada, de manera progresiva y salvaguardando la interculturalidad, y a estar prot</w:t>
      </w:r>
      <w:r>
        <w:rPr>
          <w:rFonts w:ascii="Arial" w:eastAsia="Arial" w:hAnsi="Arial" w:cs="Arial"/>
          <w:sz w:val="24"/>
          <w:szCs w:val="24"/>
        </w:rPr>
        <w:t>egido contra el hambre, la malnutrición y la desnutrición. Así mismo, promoverá condiciones de seguridad, soberanía y autonomías alimentarias en el territorio nacional y generará acciones para minimizar la pérdida de alimentos.</w:t>
      </w:r>
    </w:p>
    <w:p w:rsidR="00483B9D" w:rsidRDefault="009A4D35">
      <w:pPr>
        <w:tabs>
          <w:tab w:val="center" w:pos="4252"/>
          <w:tab w:val="left" w:pos="6470"/>
        </w:tabs>
        <w:spacing w:line="240" w:lineRule="auto"/>
        <w:jc w:val="both"/>
        <w:rPr>
          <w:rFonts w:ascii="Arial" w:eastAsia="Arial" w:hAnsi="Arial" w:cs="Arial"/>
          <w:sz w:val="24"/>
          <w:szCs w:val="24"/>
        </w:rPr>
      </w:pPr>
      <w:r>
        <w:rPr>
          <w:rFonts w:ascii="Arial" w:eastAsia="Arial" w:hAnsi="Arial" w:cs="Arial"/>
          <w:sz w:val="24"/>
          <w:szCs w:val="24"/>
        </w:rPr>
        <w:t xml:space="preserve">La producción y acceso a de </w:t>
      </w:r>
      <w:r>
        <w:rPr>
          <w:rFonts w:ascii="Arial" w:eastAsia="Arial" w:hAnsi="Arial" w:cs="Arial"/>
          <w:sz w:val="24"/>
          <w:szCs w:val="24"/>
        </w:rPr>
        <w:t>alimentos gozará de la especial protección del Estado. Para tal efecto, se otorgará prioridad al desarrollo sostenible e integral de las actividades agrícolas, agroalimentarias, agroindustriales, agroecológicas, pecuarias, pesqueras, acuáticas y forestales</w:t>
      </w:r>
      <w:r>
        <w:rPr>
          <w:rFonts w:ascii="Arial" w:eastAsia="Arial" w:hAnsi="Arial" w:cs="Arial"/>
          <w:sz w:val="24"/>
          <w:szCs w:val="24"/>
        </w:rPr>
        <w:t>, así como también a la adecuación de tierras, construcción de obras de infraestructura física y logística que facilite la disponibilidad de alimentos en todo el territorio nacional.</w:t>
      </w:r>
    </w:p>
    <w:p w:rsidR="00483B9D" w:rsidRDefault="009A4D35">
      <w:pPr>
        <w:tabs>
          <w:tab w:val="center" w:pos="4252"/>
          <w:tab w:val="left" w:pos="6470"/>
        </w:tabs>
        <w:spacing w:line="240" w:lineRule="auto"/>
        <w:jc w:val="both"/>
        <w:rPr>
          <w:rFonts w:ascii="Arial" w:eastAsia="Arial" w:hAnsi="Arial" w:cs="Arial"/>
          <w:sz w:val="24"/>
          <w:szCs w:val="24"/>
        </w:rPr>
      </w:pPr>
      <w:r>
        <w:rPr>
          <w:rFonts w:ascii="Arial" w:eastAsia="Arial" w:hAnsi="Arial" w:cs="Arial"/>
          <w:sz w:val="24"/>
          <w:szCs w:val="24"/>
        </w:rPr>
        <w:t xml:space="preserve">De igual manera, el Estado promoverá la investigación y la transferencia </w:t>
      </w:r>
      <w:r>
        <w:rPr>
          <w:rFonts w:ascii="Arial" w:eastAsia="Arial" w:hAnsi="Arial" w:cs="Arial"/>
          <w:sz w:val="24"/>
          <w:szCs w:val="24"/>
        </w:rPr>
        <w:t>de conocimiento y tecnología para la producción de alimentos y materias primas de origen agropecuario y acuícola, con el propósito de incrementar la productividad, así como proteger y salvaguardar los medios e insumos de la actividad.</w:t>
      </w:r>
    </w:p>
    <w:p w:rsidR="00483B9D" w:rsidRDefault="009A4D35">
      <w:pPr>
        <w:tabs>
          <w:tab w:val="center" w:pos="4252"/>
          <w:tab w:val="left" w:pos="6470"/>
        </w:tabs>
        <w:spacing w:line="240" w:lineRule="auto"/>
        <w:jc w:val="both"/>
        <w:rPr>
          <w:rFonts w:ascii="Arial" w:eastAsia="Arial" w:hAnsi="Arial" w:cs="Arial"/>
          <w:b/>
          <w:sz w:val="24"/>
          <w:szCs w:val="24"/>
        </w:rPr>
      </w:pPr>
      <w:r>
        <w:rPr>
          <w:rFonts w:ascii="Arial" w:eastAsia="Arial" w:hAnsi="Arial" w:cs="Arial"/>
          <w:b/>
          <w:sz w:val="24"/>
          <w:szCs w:val="24"/>
        </w:rPr>
        <w:t xml:space="preserve">Artículo 2. </w:t>
      </w:r>
      <w:r>
        <w:rPr>
          <w:rFonts w:ascii="Arial" w:eastAsia="Arial" w:hAnsi="Arial" w:cs="Arial"/>
          <w:sz w:val="24"/>
          <w:szCs w:val="24"/>
        </w:rPr>
        <w:t>El Congre</w:t>
      </w:r>
      <w:r>
        <w:rPr>
          <w:rFonts w:ascii="Arial" w:eastAsia="Arial" w:hAnsi="Arial" w:cs="Arial"/>
          <w:sz w:val="24"/>
          <w:szCs w:val="24"/>
        </w:rPr>
        <w:t>so de la República tramitará y expedirá en la siguiente legislatura la ley estatutaria que desarrolle y reglamente lo previsto en el presente Acto Legislativo. En esta ley se diseñarán medidas especiales, prioritarias e inmediatas que requieran las zonas d</w:t>
      </w:r>
      <w:r>
        <w:rPr>
          <w:rFonts w:ascii="Arial" w:eastAsia="Arial" w:hAnsi="Arial" w:cs="Arial"/>
          <w:sz w:val="24"/>
          <w:szCs w:val="24"/>
        </w:rPr>
        <w:t xml:space="preserve">el país que presenten mayores tasas de desnutrición y mortalidad por causas asociadas a esta. En el término de dos (2) meses, luego de la entrada en vigencia de este acto legislativo, el Gobierno Nacional identificará las zonas que requieren estas medidas </w:t>
      </w:r>
      <w:r>
        <w:rPr>
          <w:rFonts w:ascii="Arial" w:eastAsia="Arial" w:hAnsi="Arial" w:cs="Arial"/>
          <w:sz w:val="24"/>
          <w:szCs w:val="24"/>
        </w:rPr>
        <w:t>y propondrá al Congreso de la República las políticas urgentes que se necesiten implementar en cada una de ellas.</w:t>
      </w:r>
    </w:p>
    <w:p w:rsidR="00977018" w:rsidRPr="00977018" w:rsidRDefault="009A4D35" w:rsidP="00977018">
      <w:pPr>
        <w:tabs>
          <w:tab w:val="center" w:pos="4252"/>
          <w:tab w:val="left" w:pos="6470"/>
        </w:tabs>
        <w:spacing w:line="240" w:lineRule="auto"/>
        <w:jc w:val="both"/>
        <w:rPr>
          <w:rFonts w:ascii="Arial" w:eastAsia="Arial" w:hAnsi="Arial" w:cs="Arial"/>
          <w:sz w:val="24"/>
          <w:szCs w:val="24"/>
        </w:rPr>
      </w:pPr>
      <w:r>
        <w:rPr>
          <w:rFonts w:ascii="Arial" w:eastAsia="Arial" w:hAnsi="Arial" w:cs="Arial"/>
          <w:b/>
          <w:sz w:val="24"/>
          <w:szCs w:val="24"/>
        </w:rPr>
        <w:t xml:space="preserve">Artículo 3. </w:t>
      </w:r>
      <w:r w:rsidR="006A0381">
        <w:rPr>
          <w:rFonts w:ascii="Arial" w:eastAsia="Arial" w:hAnsi="Arial" w:cs="Arial"/>
          <w:b/>
          <w:sz w:val="24"/>
          <w:szCs w:val="24"/>
        </w:rPr>
        <w:t xml:space="preserve">Vigencia. </w:t>
      </w:r>
      <w:r>
        <w:rPr>
          <w:rFonts w:ascii="Arial" w:eastAsia="Arial" w:hAnsi="Arial" w:cs="Arial"/>
          <w:sz w:val="24"/>
          <w:szCs w:val="24"/>
        </w:rPr>
        <w:t xml:space="preserve">El presente Acto Legislativo entrará en vigencia a partir de su promulgación. </w:t>
      </w:r>
    </w:p>
    <w:p w:rsidR="00977018" w:rsidRDefault="00977018" w:rsidP="00977018">
      <w:pPr>
        <w:spacing w:line="240" w:lineRule="auto"/>
        <w:jc w:val="both"/>
        <w:rPr>
          <w:rFonts w:ascii="Arial" w:hAnsi="Arial" w:cs="Arial"/>
          <w:noProof/>
          <w:sz w:val="24"/>
          <w:lang w:val="es-CO"/>
        </w:rPr>
      </w:pPr>
      <w:r>
        <w:rPr>
          <w:rFonts w:ascii="Arial" w:hAnsi="Arial" w:cs="Arial"/>
          <w:noProof/>
          <w:sz w:val="24"/>
          <w:lang w:val="es-CO"/>
        </w:rPr>
        <w:t>De los congresistas,</w:t>
      </w:r>
    </w:p>
    <w:p w:rsidR="00977018" w:rsidRDefault="00977018" w:rsidP="00977018">
      <w:pPr>
        <w:spacing w:line="240" w:lineRule="auto"/>
        <w:jc w:val="both"/>
        <w:rPr>
          <w:rFonts w:ascii="Arial" w:hAnsi="Arial" w:cs="Arial"/>
          <w:noProof/>
          <w:sz w:val="24"/>
          <w:lang w:val="es-CO"/>
        </w:rPr>
      </w:pPr>
    </w:p>
    <w:p w:rsidR="00977018" w:rsidRDefault="00977018" w:rsidP="00977018">
      <w:pPr>
        <w:spacing w:line="240" w:lineRule="auto"/>
        <w:jc w:val="both"/>
        <w:rPr>
          <w:rFonts w:ascii="Arial" w:hAnsi="Arial" w:cs="Arial"/>
          <w:noProof/>
          <w:sz w:val="24"/>
          <w:lang w:val="es-CO"/>
        </w:rPr>
      </w:pPr>
    </w:p>
    <w:p w:rsidR="00977018" w:rsidRPr="00977018" w:rsidRDefault="00977018" w:rsidP="00977018">
      <w:pPr>
        <w:spacing w:line="240" w:lineRule="auto"/>
        <w:jc w:val="both"/>
        <w:rPr>
          <w:rFonts w:ascii="Arial" w:hAnsi="Arial" w:cs="Arial"/>
          <w:noProof/>
          <w:sz w:val="24"/>
          <w:lang w:val="es-CO"/>
        </w:rPr>
      </w:pP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sz w:val="24"/>
          <w:szCs w:val="24"/>
        </w:rPr>
      </w:pPr>
      <w:r>
        <w:rPr>
          <w:rFonts w:ascii="Arial" w:eastAsia="Arial" w:hAnsi="Arial" w:cs="Arial"/>
          <w:b/>
          <w:sz w:val="24"/>
          <w:szCs w:val="24"/>
        </w:rPr>
        <w:t xml:space="preserve">ANA PAOLA GARCIA SOTO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br/>
      </w:r>
      <w:r>
        <w:rPr>
          <w:rFonts w:ascii="Arial" w:eastAsia="Arial" w:hAnsi="Arial" w:cs="Arial"/>
          <w:b/>
          <w:sz w:val="24"/>
          <w:szCs w:val="24"/>
        </w:rPr>
        <w:t>Representante a la Cámara</w:t>
      </w:r>
      <w:r>
        <w:rPr>
          <w:rFonts w:ascii="Arial" w:eastAsia="Arial" w:hAnsi="Arial" w:cs="Arial"/>
          <w:b/>
          <w:sz w:val="24"/>
          <w:szCs w:val="24"/>
        </w:rPr>
        <w:br/>
      </w:r>
      <w:r>
        <w:rPr>
          <w:rFonts w:ascii="Arial" w:eastAsia="Arial" w:hAnsi="Arial" w:cs="Arial"/>
          <w:sz w:val="24"/>
          <w:szCs w:val="24"/>
        </w:rPr>
        <w:t>Coordinadora ponente</w:t>
      </w:r>
    </w:p>
    <w:p w:rsidR="00977018" w:rsidRDefault="00977018" w:rsidP="00977018">
      <w:pPr>
        <w:ind w:left="-2"/>
        <w:rPr>
          <w:rFonts w:ascii="Arial" w:eastAsia="Arial" w:hAnsi="Arial" w:cs="Arial"/>
          <w:sz w:val="24"/>
          <w:szCs w:val="24"/>
        </w:rPr>
      </w:pPr>
    </w:p>
    <w:p w:rsidR="00977018" w:rsidRDefault="00977018" w:rsidP="00977018">
      <w:pPr>
        <w:ind w:left="-2"/>
        <w:rPr>
          <w:rFonts w:ascii="Arial" w:eastAsia="Arial" w:hAnsi="Arial" w:cs="Arial"/>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EDUARD GIOVANNY SARMIENTO HIDALGO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Coordinador 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Pr="00977018" w:rsidRDefault="00977018" w:rsidP="00977018">
      <w:pPr>
        <w:ind w:left="-2"/>
        <w:rPr>
          <w:rFonts w:ascii="Arial" w:eastAsia="Arial" w:hAnsi="Arial" w:cs="Arial"/>
          <w:b/>
          <w:sz w:val="24"/>
          <w:szCs w:val="24"/>
        </w:rPr>
      </w:pPr>
      <w:r>
        <w:rPr>
          <w:rFonts w:ascii="Arial" w:eastAsia="Arial" w:hAnsi="Arial" w:cs="Arial"/>
          <w:b/>
          <w:sz w:val="24"/>
          <w:szCs w:val="24"/>
        </w:rPr>
        <w:br/>
        <w:t>ÁLVARO LEONEL RUEDA CABALLERO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Coordinador ponente</w:t>
      </w: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b/>
          <w:sz w:val="24"/>
          <w:szCs w:val="24"/>
        </w:rPr>
      </w:pPr>
    </w:p>
    <w:p w:rsidR="00977018" w:rsidRPr="00B054CA" w:rsidRDefault="00977018" w:rsidP="00977018">
      <w:pPr>
        <w:rPr>
          <w:rFonts w:ascii="Arial" w:eastAsia="Arial" w:hAnsi="Arial" w:cs="Arial"/>
          <w:sz w:val="24"/>
          <w:szCs w:val="24"/>
        </w:rPr>
      </w:pPr>
      <w:r>
        <w:rPr>
          <w:rFonts w:ascii="Arial" w:eastAsia="Arial" w:hAnsi="Arial" w:cs="Arial"/>
          <w:b/>
          <w:sz w:val="24"/>
          <w:szCs w:val="24"/>
        </w:rPr>
        <w:t>JULIO CÉSAR TRIANA QUINTERO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RUTH AMELIA CAYCEDO ROSERO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b/>
          <w:sz w:val="24"/>
          <w:szCs w:val="24"/>
        </w:rPr>
      </w:pPr>
    </w:p>
    <w:p w:rsidR="00977018" w:rsidRDefault="00977018" w:rsidP="00977018">
      <w:pPr>
        <w:rPr>
          <w:rFonts w:ascii="Arial" w:eastAsia="Arial" w:hAnsi="Arial" w:cs="Arial"/>
          <w:b/>
          <w:sz w:val="24"/>
          <w:szCs w:val="24"/>
        </w:rPr>
      </w:pPr>
      <w:r>
        <w:rPr>
          <w:rFonts w:ascii="Arial" w:eastAsia="Arial" w:hAnsi="Arial" w:cs="Arial"/>
          <w:b/>
          <w:sz w:val="24"/>
          <w:szCs w:val="24"/>
        </w:rPr>
        <w:lastRenderedPageBreak/>
        <w:t>JOSE JAIME USCÁTEGUI PASTRANA</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ORLANDO CASTILLO ADVÍNCULA</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DUVALIER SÁNCHEZ ARANGO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MARELEN CASTILLO TORRES</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p>
    <w:p w:rsidR="00977018" w:rsidRDefault="00977018" w:rsidP="00977018">
      <w:pPr>
        <w:ind w:left="-2"/>
        <w:rPr>
          <w:rFonts w:ascii="Arial" w:eastAsia="Arial" w:hAnsi="Arial" w:cs="Arial"/>
          <w:b/>
          <w:sz w:val="24"/>
          <w:szCs w:val="24"/>
        </w:rPr>
      </w:pPr>
      <w:r>
        <w:rPr>
          <w:rFonts w:ascii="Arial" w:eastAsia="Arial" w:hAnsi="Arial" w:cs="Arial"/>
          <w:b/>
          <w:sz w:val="24"/>
          <w:szCs w:val="24"/>
        </w:rPr>
        <w:t>LUIS ALBERTO ALBÁN URBANO</w:t>
      </w:r>
      <w:r>
        <w:rPr>
          <w:rFonts w:ascii="Arial" w:eastAsia="Arial" w:hAnsi="Arial" w:cs="Arial"/>
          <w:b/>
          <w:sz w:val="24"/>
          <w:szCs w:val="24"/>
        </w:rPr>
        <w:br/>
        <w:t>Representante a la Cámara</w:t>
      </w:r>
      <w:r>
        <w:rPr>
          <w:rFonts w:ascii="Arial" w:eastAsia="Arial" w:hAnsi="Arial" w:cs="Arial"/>
          <w:b/>
          <w:sz w:val="24"/>
          <w:szCs w:val="24"/>
        </w:rPr>
        <w:br/>
      </w:r>
      <w:r>
        <w:rPr>
          <w:rFonts w:ascii="Arial" w:eastAsia="Arial" w:hAnsi="Arial" w:cs="Arial"/>
          <w:sz w:val="24"/>
          <w:szCs w:val="24"/>
        </w:rPr>
        <w:t>Ponente</w:t>
      </w:r>
    </w:p>
    <w:p w:rsidR="00977018" w:rsidRDefault="00977018">
      <w:pPr>
        <w:spacing w:line="240" w:lineRule="auto"/>
        <w:jc w:val="both"/>
        <w:rPr>
          <w:rFonts w:ascii="Arial" w:eastAsia="Arial" w:hAnsi="Arial" w:cs="Arial"/>
          <w:sz w:val="24"/>
          <w:szCs w:val="24"/>
        </w:rPr>
      </w:pPr>
    </w:p>
    <w:p w:rsidR="00483B9D" w:rsidRDefault="00483B9D">
      <w:pPr>
        <w:spacing w:line="240" w:lineRule="auto"/>
        <w:ind w:hanging="2"/>
        <w:jc w:val="both"/>
      </w:pPr>
    </w:p>
    <w:sectPr w:rsidR="00483B9D">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35" w:rsidRDefault="009A4D35">
      <w:pPr>
        <w:spacing w:after="0" w:line="240" w:lineRule="auto"/>
      </w:pPr>
      <w:r>
        <w:separator/>
      </w:r>
    </w:p>
  </w:endnote>
  <w:endnote w:type="continuationSeparator" w:id="0">
    <w:p w:rsidR="009A4D35" w:rsidRDefault="009A4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B9D" w:rsidRDefault="009A4D35">
    <w:pPr>
      <w:pBdr>
        <w:top w:val="nil"/>
        <w:left w:val="nil"/>
        <w:bottom w:val="nil"/>
        <w:right w:val="nil"/>
        <w:between w:val="nil"/>
      </w:pBdr>
      <w:tabs>
        <w:tab w:val="center" w:pos="4419"/>
        <w:tab w:val="right" w:pos="8838"/>
      </w:tabs>
      <w:spacing w:after="0" w:line="240" w:lineRule="auto"/>
      <w:rPr>
        <w:color w:val="000000"/>
      </w:rPr>
    </w:pPr>
    <w:r>
      <w:rPr>
        <w:rFonts w:ascii="Times New Roman" w:eastAsia="Times New Roman" w:hAnsi="Times New Roman" w:cs="Times New Roman"/>
        <w:color w:val="000000"/>
        <w:sz w:val="2"/>
        <w:szCs w:val="2"/>
        <w:highlight w:val="black"/>
      </w:rPr>
      <w:t xml:space="preserve"> </w:t>
    </w:r>
  </w:p>
  <w:p w:rsidR="00483B9D" w:rsidRDefault="00483B9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35" w:rsidRDefault="009A4D35">
      <w:pPr>
        <w:spacing w:after="0" w:line="240" w:lineRule="auto"/>
      </w:pPr>
      <w:r>
        <w:separator/>
      </w:r>
    </w:p>
  </w:footnote>
  <w:footnote w:type="continuationSeparator" w:id="0">
    <w:p w:rsidR="009A4D35" w:rsidRDefault="009A4D35">
      <w:pPr>
        <w:spacing w:after="0" w:line="240" w:lineRule="auto"/>
      </w:pPr>
      <w:r>
        <w:continuationSeparator/>
      </w:r>
    </w:p>
  </w:footnote>
  <w:footnote w:id="1">
    <w:p w:rsidR="00483B9D" w:rsidRDefault="009A4D35">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Artículo 25 (como parte del derecho a un nivel de vida adecuado) de la Declaración Universal de los Derechos Humanos de 1948 adoptada por la Asamblea General de las Naciones Unidas en Resolución 217 A (II</w:t>
      </w:r>
      <w:r>
        <w:rPr>
          <w:rFonts w:ascii="Arial" w:eastAsia="Arial" w:hAnsi="Arial" w:cs="Arial"/>
          <w:color w:val="000000"/>
          <w:sz w:val="20"/>
          <w:szCs w:val="20"/>
        </w:rPr>
        <w:t>I) de fecha 10 de diciembre de 1948, la cual es considerada como Fuente de Derecho Internacional de conformidad con el artículo 38 del Estatuto de la Corte Internacional de Justicia, en tanto cumple con los requisitos para ser considerada Costumbre Interna</w:t>
      </w:r>
      <w:r>
        <w:rPr>
          <w:rFonts w:ascii="Arial" w:eastAsia="Arial" w:hAnsi="Arial" w:cs="Arial"/>
          <w:color w:val="000000"/>
          <w:sz w:val="20"/>
          <w:szCs w:val="20"/>
        </w:rPr>
        <w:t>cional; Artículos 11 (derecho a un nivel de vida adecuado) y 12 (derecho de toda persona a estar protegida contra el hambre) del Pacto Internacional de Derechos Económicos de 1966, Sociales y Culturales; y el Artículo 12 (derecho a la alimentación) del Pro</w:t>
      </w:r>
      <w:r>
        <w:rPr>
          <w:rFonts w:ascii="Arial" w:eastAsia="Arial" w:hAnsi="Arial" w:cs="Arial"/>
          <w:color w:val="000000"/>
          <w:sz w:val="20"/>
          <w:szCs w:val="20"/>
        </w:rPr>
        <w:t xml:space="preserve">tocolo Adicional a la Convención Americana sobre Derechos Humanos en Materia de Derechos Económicos Sociales y Culturales “Protocolo de San Salvador” de 1988. Así mismo, es menester resaltar que el doctrinante MARCO GERARDO MONROY CABRA ha señalado que en </w:t>
      </w:r>
      <w:r>
        <w:rPr>
          <w:rFonts w:ascii="Arial" w:eastAsia="Arial" w:hAnsi="Arial" w:cs="Arial"/>
          <w:color w:val="000000"/>
          <w:sz w:val="20"/>
          <w:szCs w:val="20"/>
        </w:rPr>
        <w:t>general “</w:t>
      </w:r>
      <w:r>
        <w:rPr>
          <w:rFonts w:ascii="Arial" w:eastAsia="Arial" w:hAnsi="Arial" w:cs="Arial"/>
          <w:i/>
          <w:color w:val="000000"/>
          <w:sz w:val="20"/>
          <w:szCs w:val="20"/>
        </w:rPr>
        <w:t xml:space="preserve">las normas que regulan el respeto a los derechos humanos son de </w:t>
      </w:r>
      <w:proofErr w:type="spellStart"/>
      <w:r>
        <w:rPr>
          <w:rFonts w:ascii="Arial" w:eastAsia="Arial" w:hAnsi="Arial" w:cs="Arial"/>
          <w:i/>
          <w:color w:val="000000"/>
          <w:sz w:val="20"/>
          <w:szCs w:val="20"/>
        </w:rPr>
        <w:t>ius</w:t>
      </w:r>
      <w:proofErr w:type="spellEnd"/>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cogens</w:t>
      </w:r>
      <w:proofErr w:type="spellEnd"/>
      <w:r>
        <w:rPr>
          <w:rFonts w:ascii="Arial" w:eastAsia="Arial" w:hAnsi="Arial" w:cs="Arial"/>
          <w:i/>
          <w:color w:val="000000"/>
          <w:sz w:val="20"/>
          <w:szCs w:val="20"/>
        </w:rPr>
        <w:t xml:space="preserve">, de orden público </w:t>
      </w:r>
      <w:proofErr w:type="gramStart"/>
      <w:r>
        <w:rPr>
          <w:rFonts w:ascii="Arial" w:eastAsia="Arial" w:hAnsi="Arial" w:cs="Arial"/>
          <w:i/>
          <w:color w:val="000000"/>
          <w:sz w:val="20"/>
          <w:szCs w:val="20"/>
        </w:rPr>
        <w:t>y</w:t>
      </w:r>
      <w:proofErr w:type="gramEnd"/>
      <w:r>
        <w:rPr>
          <w:rFonts w:ascii="Arial" w:eastAsia="Arial" w:hAnsi="Arial" w:cs="Arial"/>
          <w:i/>
          <w:color w:val="000000"/>
          <w:sz w:val="20"/>
          <w:szCs w:val="20"/>
        </w:rPr>
        <w:t xml:space="preserve"> por tanto, imperativas y obligatorias para la comunidad internacional</w:t>
      </w:r>
      <w:r>
        <w:rPr>
          <w:rFonts w:ascii="Arial" w:eastAsia="Arial" w:hAnsi="Arial" w:cs="Arial"/>
          <w:color w:val="000000"/>
          <w:sz w:val="20"/>
          <w:szCs w:val="20"/>
        </w:rPr>
        <w:t xml:space="preserve">” En: MARCO GERARDO MONROY CABRA, </w:t>
      </w:r>
      <w:r>
        <w:rPr>
          <w:rFonts w:ascii="Arial" w:eastAsia="Arial" w:hAnsi="Arial" w:cs="Arial"/>
          <w:i/>
          <w:color w:val="000000"/>
          <w:sz w:val="20"/>
          <w:szCs w:val="20"/>
        </w:rPr>
        <w:t>Derecho Internacional Público</w:t>
      </w:r>
      <w:r>
        <w:rPr>
          <w:rFonts w:ascii="Arial" w:eastAsia="Arial" w:hAnsi="Arial" w:cs="Arial"/>
          <w:color w:val="000000"/>
          <w:sz w:val="20"/>
          <w:szCs w:val="20"/>
        </w:rPr>
        <w:t xml:space="preserve">, Bogotá, Editorial </w:t>
      </w:r>
      <w:r>
        <w:rPr>
          <w:rFonts w:ascii="Arial" w:eastAsia="Arial" w:hAnsi="Arial" w:cs="Arial"/>
          <w:color w:val="000000"/>
          <w:sz w:val="20"/>
          <w:szCs w:val="20"/>
        </w:rPr>
        <w:t>Temis, 2011. Pág. 660-661, por lo que el presente proyecto de Ley apunta a dar cumplimiento a obligaciones imperativas de carácter internacional que el Estado colombiano ha contraído en virtud de su pertenencia a la Comunidad Internacional y debido a la su</w:t>
      </w:r>
      <w:r>
        <w:rPr>
          <w:rFonts w:ascii="Arial" w:eastAsia="Arial" w:hAnsi="Arial" w:cs="Arial"/>
          <w:color w:val="000000"/>
          <w:sz w:val="20"/>
          <w:szCs w:val="20"/>
        </w:rPr>
        <w:t>scripción de sendos Tratados sobre Derechos Humanos que le son vinculantes.</w:t>
      </w:r>
    </w:p>
  </w:footnote>
  <w:footnote w:id="2">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FAO. </w:t>
      </w:r>
      <w:r>
        <w:rPr>
          <w:rFonts w:ascii="Arial" w:eastAsia="Arial" w:hAnsi="Arial" w:cs="Arial"/>
          <w:i/>
          <w:color w:val="000000"/>
          <w:sz w:val="16"/>
          <w:szCs w:val="16"/>
        </w:rPr>
        <w:t>Informe del Estado Mundial de la Seguridad Alimentaria y la Nutrición</w:t>
      </w:r>
      <w:r>
        <w:rPr>
          <w:rFonts w:ascii="Arial" w:eastAsia="Arial" w:hAnsi="Arial" w:cs="Arial"/>
          <w:color w:val="000000"/>
          <w:sz w:val="16"/>
          <w:szCs w:val="16"/>
        </w:rPr>
        <w:t xml:space="preserve"> (2018)</w:t>
      </w:r>
    </w:p>
  </w:footnote>
  <w:footnote w:id="3">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Recupera</w:t>
      </w:r>
      <w:r>
        <w:rPr>
          <w:rFonts w:ascii="Arial" w:eastAsia="Arial" w:hAnsi="Arial" w:cs="Arial"/>
          <w:color w:val="000000"/>
          <w:sz w:val="16"/>
          <w:szCs w:val="16"/>
        </w:rPr>
        <w:t>do el 7 de octubre de 2014 desde Naciones Unidas - Derechos Humanos - Oficina del Alto Comisionado para los Derechos Humanos:  http://www.ohchr.org/SP/Issues/Pages/WhatareHumanRights.aspx</w:t>
      </w:r>
    </w:p>
  </w:footnote>
  <w:footnote w:id="4">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Así lo dispone el Artículo 1 de la Declaración Universal de los De</w:t>
      </w:r>
      <w:r>
        <w:rPr>
          <w:rFonts w:ascii="Arial" w:eastAsia="Arial" w:hAnsi="Arial" w:cs="Arial"/>
          <w:color w:val="000000"/>
          <w:sz w:val="16"/>
          <w:szCs w:val="16"/>
        </w:rPr>
        <w:t xml:space="preserve">rechos Humanos que establece que </w:t>
      </w:r>
      <w:r>
        <w:rPr>
          <w:rFonts w:ascii="Arial" w:eastAsia="Arial" w:hAnsi="Arial" w:cs="Arial"/>
          <w:i/>
          <w:color w:val="000000"/>
          <w:sz w:val="16"/>
          <w:szCs w:val="16"/>
        </w:rPr>
        <w:t>“todos los seres humanos nacen libres e iguales en dignidad y derechos”</w:t>
      </w:r>
    </w:p>
  </w:footnote>
  <w:footnote w:id="5">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El principio de universalidad constituye la piedra angular del Derecho Internacional de los Derechos Humanos. Como ejemplo de éste es preciso acudir </w:t>
      </w:r>
      <w:r>
        <w:rPr>
          <w:rFonts w:ascii="Arial" w:eastAsia="Arial" w:hAnsi="Arial" w:cs="Arial"/>
          <w:color w:val="000000"/>
          <w:sz w:val="16"/>
          <w:szCs w:val="16"/>
        </w:rPr>
        <w:t xml:space="preserve">a las disposiciones de la Declaración Mundial de Derechos Humanos y el Programa de Acción de Viena de </w:t>
      </w:r>
      <w:proofErr w:type="gramStart"/>
      <w:r>
        <w:rPr>
          <w:rFonts w:ascii="Arial" w:eastAsia="Arial" w:hAnsi="Arial" w:cs="Arial"/>
          <w:color w:val="000000"/>
          <w:sz w:val="16"/>
          <w:szCs w:val="16"/>
        </w:rPr>
        <w:t>1993,  aprobados</w:t>
      </w:r>
      <w:proofErr w:type="gramEnd"/>
      <w:r>
        <w:rPr>
          <w:rFonts w:ascii="Arial" w:eastAsia="Arial" w:hAnsi="Arial" w:cs="Arial"/>
          <w:color w:val="000000"/>
          <w:sz w:val="16"/>
          <w:szCs w:val="16"/>
        </w:rPr>
        <w:t xml:space="preserve"> por la Conferencia Mundial de Derechos Humanos. Allí se establece que todos los Estados se encuentran en el deber de proteger los Derecho</w:t>
      </w:r>
      <w:r>
        <w:rPr>
          <w:rFonts w:ascii="Arial" w:eastAsia="Arial" w:hAnsi="Arial" w:cs="Arial"/>
          <w:color w:val="000000"/>
          <w:sz w:val="16"/>
          <w:szCs w:val="16"/>
        </w:rPr>
        <w:t>s Humanos y las libertades individuales, lo anterior con independencia a los contextos políticos, económicos, culturales o económicos.</w:t>
      </w:r>
    </w:p>
  </w:footnote>
  <w:footnote w:id="6">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La Oficina del Alto Comisionado para los Derechos Humanos define el criterio de inalienabilidad en el sentido de que “</w:t>
      </w:r>
      <w:r>
        <w:rPr>
          <w:rFonts w:ascii="Arial" w:eastAsia="Arial" w:hAnsi="Arial" w:cs="Arial"/>
          <w:i/>
          <w:color w:val="000000"/>
          <w:sz w:val="16"/>
          <w:szCs w:val="16"/>
        </w:rPr>
        <w:t>L</w:t>
      </w:r>
      <w:r>
        <w:rPr>
          <w:rFonts w:ascii="Arial" w:eastAsia="Arial" w:hAnsi="Arial" w:cs="Arial"/>
          <w:i/>
          <w:color w:val="000000"/>
          <w:sz w:val="16"/>
          <w:szCs w:val="16"/>
        </w:rPr>
        <w:t>os derechos humanos son inalienables. No deben suprimirse, salvo en determinadas situaciones y según las debidas garantías procesales</w:t>
      </w:r>
      <w:r>
        <w:rPr>
          <w:rFonts w:ascii="Arial" w:eastAsia="Arial" w:hAnsi="Arial" w:cs="Arial"/>
          <w:color w:val="000000"/>
          <w:sz w:val="16"/>
          <w:szCs w:val="16"/>
        </w:rPr>
        <w:t xml:space="preserve">.” En: 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xml:space="preserve">. Recuperado el 7 de octubre de </w:t>
      </w:r>
      <w:r>
        <w:rPr>
          <w:rFonts w:ascii="Arial" w:eastAsia="Arial" w:hAnsi="Arial" w:cs="Arial"/>
          <w:color w:val="000000"/>
          <w:sz w:val="16"/>
          <w:szCs w:val="16"/>
        </w:rPr>
        <w:t>2014, de Naciones Unidas - Derechos Humanos - Oficina del Alto Comisionado para los Derechos Humanos: http://www.ohchr.org/SP/Issues/Pages/WhatareHumanRights.aspx</w:t>
      </w:r>
    </w:p>
  </w:footnote>
  <w:footnote w:id="7">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lo referente a la interrelación, interdependencia e indivisibilidad, la Oficina del Alto</w:t>
      </w:r>
      <w:r>
        <w:rPr>
          <w:rFonts w:ascii="Arial" w:eastAsia="Arial" w:hAnsi="Arial" w:cs="Arial"/>
          <w:color w:val="000000"/>
          <w:sz w:val="16"/>
          <w:szCs w:val="16"/>
        </w:rPr>
        <w:t xml:space="preserve"> Comisionado para los Derechos Humanos define dichos criterios en el sentido de </w:t>
      </w:r>
      <w:proofErr w:type="gramStart"/>
      <w:r>
        <w:rPr>
          <w:rFonts w:ascii="Arial" w:eastAsia="Arial" w:hAnsi="Arial" w:cs="Arial"/>
          <w:color w:val="000000"/>
          <w:sz w:val="16"/>
          <w:szCs w:val="16"/>
        </w:rPr>
        <w:t xml:space="preserve">que  </w:t>
      </w:r>
      <w:r>
        <w:rPr>
          <w:rFonts w:ascii="Arial" w:eastAsia="Arial" w:hAnsi="Arial" w:cs="Arial"/>
          <w:i/>
          <w:color w:val="000000"/>
          <w:sz w:val="16"/>
          <w:szCs w:val="16"/>
        </w:rPr>
        <w:t>“</w:t>
      </w:r>
      <w:proofErr w:type="gramEnd"/>
      <w:r>
        <w:rPr>
          <w:rFonts w:ascii="Arial" w:eastAsia="Arial" w:hAnsi="Arial" w:cs="Arial"/>
          <w:i/>
          <w:color w:val="000000"/>
          <w:sz w:val="16"/>
          <w:szCs w:val="16"/>
        </w:rPr>
        <w:t>Todos los derechos humanos, sean éstos los derechos civiles y políticos (…); los derechos económicos, sociales y culturales (…); o los derechos colectivos, todos son dere</w:t>
      </w:r>
      <w:r>
        <w:rPr>
          <w:rFonts w:ascii="Arial" w:eastAsia="Arial" w:hAnsi="Arial" w:cs="Arial"/>
          <w:i/>
          <w:color w:val="000000"/>
          <w:sz w:val="16"/>
          <w:szCs w:val="16"/>
        </w:rPr>
        <w:t>chos indivisibles, interrelacionados e interdependientes. El avance de uno facilita el avance de los demás. De la misma manera, la privación de un derecho afecta negativamente a los demás.” </w:t>
      </w:r>
      <w:r>
        <w:rPr>
          <w:rFonts w:ascii="Arial" w:eastAsia="Arial" w:hAnsi="Arial" w:cs="Arial"/>
          <w:color w:val="000000"/>
          <w:sz w:val="16"/>
          <w:szCs w:val="16"/>
        </w:rPr>
        <w:t>Al respecto ver la Declaración y Programa de Acción de Viena aprob</w:t>
      </w:r>
      <w:r>
        <w:rPr>
          <w:rFonts w:ascii="Arial" w:eastAsia="Arial" w:hAnsi="Arial" w:cs="Arial"/>
          <w:color w:val="000000"/>
          <w:sz w:val="16"/>
          <w:szCs w:val="16"/>
        </w:rPr>
        <w:t xml:space="preserve">ado por la Conferencia Mundial de Derechos Humanos celebrada en 1993. A/CONF.127/23. Pár. 5; Ver también: Corte Constitucional, Sentencia C-251 de 1997. Magistrado Ponente: Alejandro Martínez Caballero. Pár. 5 </w:t>
      </w:r>
    </w:p>
  </w:footnote>
  <w:footnote w:id="8">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ASBJØRN EIDE et al. (Eds.), </w:t>
      </w:r>
      <w:proofErr w:type="spellStart"/>
      <w:r>
        <w:rPr>
          <w:rFonts w:ascii="Arial" w:eastAsia="Arial" w:hAnsi="Arial" w:cs="Arial"/>
          <w:i/>
          <w:color w:val="000000"/>
          <w:sz w:val="16"/>
          <w:szCs w:val="16"/>
        </w:rPr>
        <w:t>Economic</w:t>
      </w:r>
      <w:proofErr w:type="spellEnd"/>
      <w:r>
        <w:rPr>
          <w:rFonts w:ascii="Arial" w:eastAsia="Arial" w:hAnsi="Arial" w:cs="Arial"/>
          <w:i/>
          <w:color w:val="000000"/>
          <w:sz w:val="16"/>
          <w:szCs w:val="16"/>
        </w:rPr>
        <w:t xml:space="preserve">, Social and Cultural </w:t>
      </w:r>
      <w:proofErr w:type="spellStart"/>
      <w:r>
        <w:rPr>
          <w:rFonts w:ascii="Arial" w:eastAsia="Arial" w:hAnsi="Arial" w:cs="Arial"/>
          <w:i/>
          <w:color w:val="000000"/>
          <w:sz w:val="16"/>
          <w:szCs w:val="16"/>
        </w:rPr>
        <w:t>Rights</w:t>
      </w:r>
      <w:proofErr w:type="spellEnd"/>
      <w:r>
        <w:rPr>
          <w:rFonts w:ascii="Arial" w:eastAsia="Arial" w:hAnsi="Arial" w:cs="Arial"/>
          <w:color w:val="000000"/>
          <w:sz w:val="16"/>
          <w:szCs w:val="16"/>
        </w:rPr>
        <w:t xml:space="preserve">, 2ª Edición, La Haya, </w:t>
      </w:r>
      <w:proofErr w:type="spellStart"/>
      <w:r>
        <w:rPr>
          <w:rFonts w:ascii="Arial" w:eastAsia="Arial" w:hAnsi="Arial" w:cs="Arial"/>
          <w:color w:val="000000"/>
          <w:sz w:val="16"/>
          <w:szCs w:val="16"/>
        </w:rPr>
        <w:t>Kluwer</w:t>
      </w:r>
      <w:proofErr w:type="spellEnd"/>
      <w:r>
        <w:rPr>
          <w:rFonts w:ascii="Arial" w:eastAsia="Arial" w:hAnsi="Arial" w:cs="Arial"/>
          <w:color w:val="000000"/>
          <w:sz w:val="16"/>
          <w:szCs w:val="16"/>
        </w:rPr>
        <w:t xml:space="preserve"> </w:t>
      </w:r>
      <w:proofErr w:type="spellStart"/>
      <w:r>
        <w:rPr>
          <w:rFonts w:ascii="Arial" w:eastAsia="Arial" w:hAnsi="Arial" w:cs="Arial"/>
          <w:color w:val="000000"/>
          <w:sz w:val="16"/>
          <w:szCs w:val="16"/>
        </w:rPr>
        <w:t>Law</w:t>
      </w:r>
      <w:proofErr w:type="spellEnd"/>
      <w:r>
        <w:rPr>
          <w:rFonts w:ascii="Arial" w:eastAsia="Arial" w:hAnsi="Arial" w:cs="Arial"/>
          <w:color w:val="000000"/>
          <w:sz w:val="16"/>
          <w:szCs w:val="16"/>
        </w:rPr>
        <w:t xml:space="preserve"> International, 2011. Pág. 9</w:t>
      </w:r>
    </w:p>
  </w:footnote>
  <w:footnote w:id="9">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Dentro de los cuales se encuentran el derecho al medio ambiente, al desarrollo, a la paz, a la autodeterminación de los pueblos y al patrimonio común de la humanidad. Los mismos se encuentran orientados, en cierta forma, a la protección de aquellos intere</w:t>
      </w:r>
      <w:r>
        <w:rPr>
          <w:rFonts w:ascii="Arial" w:eastAsia="Arial" w:hAnsi="Arial" w:cs="Arial"/>
          <w:color w:val="000000"/>
          <w:sz w:val="16"/>
          <w:szCs w:val="16"/>
        </w:rPr>
        <w:t xml:space="preserve">ses que resultan fundamentales para la humanidad como un todo. En:  MARÍA EUGENIA RODRÍGUEZ PALOP, </w:t>
      </w:r>
      <w:r>
        <w:rPr>
          <w:rFonts w:ascii="Arial" w:eastAsia="Arial" w:hAnsi="Arial" w:cs="Arial"/>
          <w:i/>
          <w:color w:val="000000"/>
          <w:sz w:val="16"/>
          <w:szCs w:val="16"/>
        </w:rPr>
        <w:t>La nueva generación de Derechos Humanos. Origen y Justificación.</w:t>
      </w:r>
      <w:r>
        <w:rPr>
          <w:rFonts w:ascii="Arial" w:eastAsia="Arial" w:hAnsi="Arial" w:cs="Arial"/>
          <w:color w:val="000000"/>
          <w:sz w:val="16"/>
          <w:szCs w:val="16"/>
        </w:rPr>
        <w:t xml:space="preserve"> Madrid. Instituto de Derechos Humanos “Bartolomé de las Casas” Universidad Carlos III de Mad</w:t>
      </w:r>
      <w:r>
        <w:rPr>
          <w:rFonts w:ascii="Arial" w:eastAsia="Arial" w:hAnsi="Arial" w:cs="Arial"/>
          <w:color w:val="000000"/>
          <w:sz w:val="16"/>
          <w:szCs w:val="16"/>
        </w:rPr>
        <w:t xml:space="preserve">rid. Editorial </w:t>
      </w:r>
      <w:proofErr w:type="spellStart"/>
      <w:r>
        <w:rPr>
          <w:rFonts w:ascii="Arial" w:eastAsia="Arial" w:hAnsi="Arial" w:cs="Arial"/>
          <w:color w:val="000000"/>
          <w:sz w:val="16"/>
          <w:szCs w:val="16"/>
        </w:rPr>
        <w:t>Dykinson</w:t>
      </w:r>
      <w:proofErr w:type="spellEnd"/>
      <w:r>
        <w:rPr>
          <w:rFonts w:ascii="Arial" w:eastAsia="Arial" w:hAnsi="Arial" w:cs="Arial"/>
          <w:color w:val="000000"/>
          <w:sz w:val="16"/>
          <w:szCs w:val="16"/>
        </w:rPr>
        <w:t>, 2010.</w:t>
      </w:r>
    </w:p>
  </w:footnote>
  <w:footnote w:id="10">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Al respecto, la Corte Constitucional ha establecido que: “</w:t>
      </w:r>
      <w:r>
        <w:rPr>
          <w:rFonts w:ascii="Arial" w:eastAsia="Arial" w:hAnsi="Arial" w:cs="Arial"/>
          <w:i/>
          <w:color w:val="000000"/>
          <w:sz w:val="16"/>
          <w:szCs w:val="16"/>
        </w:rPr>
        <w:t>Los derechos humanos forman una unidad, pues son interdependientes, integrales y universales, de suerte que no es admisible que se desconozcan unos derechos so prete</w:t>
      </w:r>
      <w:r>
        <w:rPr>
          <w:rFonts w:ascii="Arial" w:eastAsia="Arial" w:hAnsi="Arial" w:cs="Arial"/>
          <w:i/>
          <w:color w:val="000000"/>
          <w:sz w:val="16"/>
          <w:szCs w:val="16"/>
        </w:rPr>
        <w:t>xto de salvaguardar otros. Esta interdependencia y unidad de los derechos humanos tiene como fundamento la idea de que para proteger verdaderamente la dignidad humana es necesario que la persona no sólo tenga órbitas de acción que se encuentren libres de i</w:t>
      </w:r>
      <w:r>
        <w:rPr>
          <w:rFonts w:ascii="Arial" w:eastAsia="Arial" w:hAnsi="Arial" w:cs="Arial"/>
          <w:i/>
          <w:color w:val="000000"/>
          <w:sz w:val="16"/>
          <w:szCs w:val="16"/>
        </w:rPr>
        <w:t>nterferencia ajena, como lo quería la filosofía liberal, sino que además es menester que el individuo tenga posibilidades de participación en los destinos colectivos de la sociedad de la cual hace parte, conforme a las aspiraciones de la filosofía democrát</w:t>
      </w:r>
      <w:r>
        <w:rPr>
          <w:rFonts w:ascii="Arial" w:eastAsia="Arial" w:hAnsi="Arial" w:cs="Arial"/>
          <w:i/>
          <w:color w:val="000000"/>
          <w:sz w:val="16"/>
          <w:szCs w:val="16"/>
        </w:rPr>
        <w:t>ica, y también que se le aseguren una mínimas condiciones materiales de existencia, según los postulados de las filosofías políticas de orientación social. Los derechos humanos son pues una unidad compleja. Por ello algunos sectores de la doctrina suelen c</w:t>
      </w:r>
      <w:r>
        <w:rPr>
          <w:rFonts w:ascii="Arial" w:eastAsia="Arial" w:hAnsi="Arial" w:cs="Arial"/>
          <w:i/>
          <w:color w:val="000000"/>
          <w:sz w:val="16"/>
          <w:szCs w:val="16"/>
        </w:rPr>
        <w:t xml:space="preserve">lasificar los derechos humanos en derechos de libertad, provenientes de la tradición liberal, derechos de participación, que son desarrollo de la filosofía democrática, y derechos sociales prestacionales, que corresponden a la influencia de las corrientes </w:t>
      </w:r>
      <w:r>
        <w:rPr>
          <w:rFonts w:ascii="Arial" w:eastAsia="Arial" w:hAnsi="Arial" w:cs="Arial"/>
          <w:i/>
          <w:color w:val="000000"/>
          <w:sz w:val="16"/>
          <w:szCs w:val="16"/>
        </w:rPr>
        <w:t>de orientación social y socialista.</w:t>
      </w:r>
      <w:r>
        <w:rPr>
          <w:rFonts w:ascii="Arial" w:eastAsia="Arial" w:hAnsi="Arial" w:cs="Arial"/>
          <w:color w:val="000000"/>
          <w:sz w:val="16"/>
          <w:szCs w:val="16"/>
        </w:rPr>
        <w:t>” Corte Constitucional, Sentencia C-251 de 1997. Magistrado Ponente: Alejandro Martínez Caballero</w:t>
      </w:r>
    </w:p>
  </w:footnote>
  <w:footnote w:id="11">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Al respecto, la Corte Constitucional ha dispuesto que: “</w:t>
      </w:r>
      <w:r>
        <w:rPr>
          <w:rFonts w:ascii="Arial" w:eastAsia="Arial" w:hAnsi="Arial" w:cs="Arial"/>
          <w:i/>
          <w:color w:val="000000"/>
          <w:sz w:val="16"/>
          <w:szCs w:val="16"/>
        </w:rPr>
        <w:t>La Constitución acoge la fórmula del Estado social de derecho, la</w:t>
      </w:r>
      <w:r>
        <w:rPr>
          <w:rFonts w:ascii="Arial" w:eastAsia="Arial" w:hAnsi="Arial" w:cs="Arial"/>
          <w:i/>
          <w:color w:val="000000"/>
          <w:sz w:val="16"/>
          <w:szCs w:val="16"/>
        </w:rPr>
        <w:t xml:space="preserve"> cual implica que las autoridades buscan no sólo garantizar a la persona esferas libres de interferencia ajena, sino que es su deber también asegurarles condiciones materiales mínimas de existencia, por lo cual el Estado debe realizar progresivamente los l</w:t>
      </w:r>
      <w:r>
        <w:rPr>
          <w:rFonts w:ascii="Arial" w:eastAsia="Arial" w:hAnsi="Arial" w:cs="Arial"/>
          <w:i/>
          <w:color w:val="000000"/>
          <w:sz w:val="16"/>
          <w:szCs w:val="16"/>
        </w:rPr>
        <w:t xml:space="preserve">lamados derechos económicos, sociales y culturales. El Estado tiene frente a los particulares no sólo deberes de </w:t>
      </w:r>
      <w:proofErr w:type="gramStart"/>
      <w:r>
        <w:rPr>
          <w:rFonts w:ascii="Arial" w:eastAsia="Arial" w:hAnsi="Arial" w:cs="Arial"/>
          <w:i/>
          <w:color w:val="000000"/>
          <w:sz w:val="16"/>
          <w:szCs w:val="16"/>
        </w:rPr>
        <w:t>abstención</w:t>
      </w:r>
      <w:proofErr w:type="gramEnd"/>
      <w:r>
        <w:rPr>
          <w:rFonts w:ascii="Arial" w:eastAsia="Arial" w:hAnsi="Arial" w:cs="Arial"/>
          <w:i/>
          <w:color w:val="000000"/>
          <w:sz w:val="16"/>
          <w:szCs w:val="16"/>
        </w:rPr>
        <w:t xml:space="preserve"> sino que debe igualmente realizar prestaciones positivas, sobre todo en materia social, a fin de asegurar las condiciones materiales</w:t>
      </w:r>
      <w:r>
        <w:rPr>
          <w:rFonts w:ascii="Arial" w:eastAsia="Arial" w:hAnsi="Arial" w:cs="Arial"/>
          <w:i/>
          <w:color w:val="000000"/>
          <w:sz w:val="16"/>
          <w:szCs w:val="16"/>
        </w:rPr>
        <w:t xml:space="preserve"> mínimas, sin las cuales no es posible vivir una vida digna. Existe entonces una íntima relación entre la consagración del Estado social de derecho, el reconocimiento de la dignidad humana, y la incorporación de los llamados derechos de segunda generación.</w:t>
      </w:r>
      <w:r>
        <w:rPr>
          <w:rFonts w:ascii="Arial" w:eastAsia="Arial" w:hAnsi="Arial" w:cs="Arial"/>
          <w:i/>
          <w:color w:val="000000"/>
          <w:sz w:val="16"/>
          <w:szCs w:val="16"/>
        </w:rPr>
        <w:t xml:space="preserve">” </w:t>
      </w:r>
      <w:r>
        <w:rPr>
          <w:rFonts w:ascii="Arial" w:eastAsia="Arial" w:hAnsi="Arial" w:cs="Arial"/>
          <w:color w:val="000000"/>
          <w:sz w:val="16"/>
          <w:szCs w:val="16"/>
        </w:rPr>
        <w:t>Corte Constitucional, Sentencia C-251 de 1997. Magistrado Ponente: Alejandro Martínez Caballero</w:t>
      </w:r>
    </w:p>
  </w:footnote>
  <w:footnote w:id="12">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WENCHE BARTH EIDE y UWE KRACHT. </w:t>
      </w:r>
      <w:proofErr w:type="spellStart"/>
      <w:r>
        <w:rPr>
          <w:rFonts w:ascii="Arial" w:eastAsia="Arial" w:hAnsi="Arial" w:cs="Arial"/>
          <w:i/>
          <w:color w:val="000000"/>
          <w:sz w:val="16"/>
          <w:szCs w:val="16"/>
        </w:rPr>
        <w:t>Chapter</w:t>
      </w:r>
      <w:proofErr w:type="spellEnd"/>
      <w:r>
        <w:rPr>
          <w:rFonts w:ascii="Arial" w:eastAsia="Arial" w:hAnsi="Arial" w:cs="Arial"/>
          <w:i/>
          <w:color w:val="000000"/>
          <w:sz w:val="16"/>
          <w:szCs w:val="16"/>
        </w:rPr>
        <w:t xml:space="preserve"> 4: </w:t>
      </w:r>
      <w:proofErr w:type="spellStart"/>
      <w:r>
        <w:rPr>
          <w:rFonts w:ascii="Arial" w:eastAsia="Arial" w:hAnsi="Arial" w:cs="Arial"/>
          <w:i/>
          <w:color w:val="000000"/>
          <w:sz w:val="16"/>
          <w:szCs w:val="16"/>
        </w:rPr>
        <w:t>The</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Right</w:t>
      </w:r>
      <w:proofErr w:type="spellEnd"/>
      <w:r>
        <w:rPr>
          <w:rFonts w:ascii="Arial" w:eastAsia="Arial" w:hAnsi="Arial" w:cs="Arial"/>
          <w:i/>
          <w:color w:val="000000"/>
          <w:sz w:val="16"/>
          <w:szCs w:val="16"/>
        </w:rPr>
        <w:t xml:space="preserve"> to </w:t>
      </w:r>
      <w:proofErr w:type="spellStart"/>
      <w:r>
        <w:rPr>
          <w:rFonts w:ascii="Arial" w:eastAsia="Arial" w:hAnsi="Arial" w:cs="Arial"/>
          <w:i/>
          <w:color w:val="000000"/>
          <w:sz w:val="16"/>
          <w:szCs w:val="16"/>
        </w:rPr>
        <w:t>adequate</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food</w:t>
      </w:r>
      <w:proofErr w:type="spellEnd"/>
      <w:r>
        <w:rPr>
          <w:rFonts w:ascii="Arial" w:eastAsia="Arial" w:hAnsi="Arial" w:cs="Arial"/>
          <w:i/>
          <w:color w:val="000000"/>
          <w:sz w:val="16"/>
          <w:szCs w:val="16"/>
        </w:rPr>
        <w:t xml:space="preserve"> in Human </w:t>
      </w:r>
      <w:proofErr w:type="spellStart"/>
      <w:r>
        <w:rPr>
          <w:rFonts w:ascii="Arial" w:eastAsia="Arial" w:hAnsi="Arial" w:cs="Arial"/>
          <w:i/>
          <w:color w:val="000000"/>
          <w:sz w:val="16"/>
          <w:szCs w:val="16"/>
        </w:rPr>
        <w:t>Rights</w:t>
      </w:r>
      <w:proofErr w:type="spellEnd"/>
      <w:r>
        <w:rPr>
          <w:rFonts w:ascii="Arial" w:eastAsia="Arial" w:hAnsi="Arial" w:cs="Arial"/>
          <w:i/>
          <w:color w:val="000000"/>
          <w:sz w:val="16"/>
          <w:szCs w:val="16"/>
        </w:rPr>
        <w:t xml:space="preserve"> Instruments; Legal </w:t>
      </w:r>
      <w:proofErr w:type="spellStart"/>
      <w:r>
        <w:rPr>
          <w:rFonts w:ascii="Arial" w:eastAsia="Arial" w:hAnsi="Arial" w:cs="Arial"/>
          <w:i/>
          <w:color w:val="000000"/>
          <w:sz w:val="16"/>
          <w:szCs w:val="16"/>
        </w:rPr>
        <w:t>Norms</w:t>
      </w:r>
      <w:proofErr w:type="spellEnd"/>
      <w:r>
        <w:rPr>
          <w:rFonts w:ascii="Arial" w:eastAsia="Arial" w:hAnsi="Arial" w:cs="Arial"/>
          <w:i/>
          <w:color w:val="000000"/>
          <w:sz w:val="16"/>
          <w:szCs w:val="16"/>
        </w:rPr>
        <w:t xml:space="preserve"> and </w:t>
      </w:r>
      <w:proofErr w:type="spellStart"/>
      <w:r>
        <w:rPr>
          <w:rFonts w:ascii="Arial" w:eastAsia="Arial" w:hAnsi="Arial" w:cs="Arial"/>
          <w:i/>
          <w:color w:val="000000"/>
          <w:sz w:val="16"/>
          <w:szCs w:val="16"/>
        </w:rPr>
        <w:t>Interpretations</w:t>
      </w:r>
      <w:proofErr w:type="spellEnd"/>
      <w:r>
        <w:rPr>
          <w:rFonts w:ascii="Arial" w:eastAsia="Arial" w:hAnsi="Arial" w:cs="Arial"/>
          <w:color w:val="000000"/>
          <w:sz w:val="16"/>
          <w:szCs w:val="16"/>
        </w:rPr>
        <w:t>.  En: WENCHE BARTH EIDE y</w:t>
      </w:r>
      <w:r>
        <w:rPr>
          <w:rFonts w:ascii="Arial" w:eastAsia="Arial" w:hAnsi="Arial" w:cs="Arial"/>
          <w:color w:val="000000"/>
          <w:sz w:val="16"/>
          <w:szCs w:val="16"/>
        </w:rPr>
        <w:t xml:space="preserve"> UWE KRACHT, </w:t>
      </w:r>
      <w:proofErr w:type="spellStart"/>
      <w:r>
        <w:rPr>
          <w:rFonts w:ascii="Arial" w:eastAsia="Arial" w:hAnsi="Arial" w:cs="Arial"/>
          <w:i/>
          <w:color w:val="000000"/>
          <w:sz w:val="16"/>
          <w:szCs w:val="16"/>
        </w:rPr>
        <w:t>Food</w:t>
      </w:r>
      <w:proofErr w:type="spellEnd"/>
      <w:r>
        <w:rPr>
          <w:rFonts w:ascii="Arial" w:eastAsia="Arial" w:hAnsi="Arial" w:cs="Arial"/>
          <w:i/>
          <w:color w:val="000000"/>
          <w:sz w:val="16"/>
          <w:szCs w:val="16"/>
        </w:rPr>
        <w:t xml:space="preserve"> and Human </w:t>
      </w:r>
      <w:proofErr w:type="spellStart"/>
      <w:r>
        <w:rPr>
          <w:rFonts w:ascii="Arial" w:eastAsia="Arial" w:hAnsi="Arial" w:cs="Arial"/>
          <w:i/>
          <w:color w:val="000000"/>
          <w:sz w:val="16"/>
          <w:szCs w:val="16"/>
        </w:rPr>
        <w:t>Rights</w:t>
      </w:r>
      <w:proofErr w:type="spellEnd"/>
      <w:r>
        <w:rPr>
          <w:rFonts w:ascii="Arial" w:eastAsia="Arial" w:hAnsi="Arial" w:cs="Arial"/>
          <w:i/>
          <w:color w:val="000000"/>
          <w:sz w:val="16"/>
          <w:szCs w:val="16"/>
        </w:rPr>
        <w:t xml:space="preserve"> in </w:t>
      </w:r>
      <w:proofErr w:type="spellStart"/>
      <w:r>
        <w:rPr>
          <w:rFonts w:ascii="Arial" w:eastAsia="Arial" w:hAnsi="Arial" w:cs="Arial"/>
          <w:i/>
          <w:color w:val="000000"/>
          <w:sz w:val="16"/>
          <w:szCs w:val="16"/>
        </w:rPr>
        <w:t>Development</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Volume</w:t>
      </w:r>
      <w:proofErr w:type="spellEnd"/>
      <w:r>
        <w:rPr>
          <w:rFonts w:ascii="Arial" w:eastAsia="Arial" w:hAnsi="Arial" w:cs="Arial"/>
          <w:i/>
          <w:color w:val="000000"/>
          <w:sz w:val="16"/>
          <w:szCs w:val="16"/>
        </w:rPr>
        <w:t xml:space="preserve"> I, Legal and </w:t>
      </w:r>
      <w:proofErr w:type="spellStart"/>
      <w:r>
        <w:rPr>
          <w:rFonts w:ascii="Arial" w:eastAsia="Arial" w:hAnsi="Arial" w:cs="Arial"/>
          <w:i/>
          <w:color w:val="000000"/>
          <w:sz w:val="16"/>
          <w:szCs w:val="16"/>
        </w:rPr>
        <w:t>Institutional</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Dimensions</w:t>
      </w:r>
      <w:proofErr w:type="spellEnd"/>
      <w:r>
        <w:rPr>
          <w:rFonts w:ascii="Arial" w:eastAsia="Arial" w:hAnsi="Arial" w:cs="Arial"/>
          <w:i/>
          <w:color w:val="000000"/>
          <w:sz w:val="16"/>
          <w:szCs w:val="16"/>
        </w:rPr>
        <w:t xml:space="preserve"> and </w:t>
      </w:r>
      <w:proofErr w:type="spellStart"/>
      <w:r>
        <w:rPr>
          <w:rFonts w:ascii="Arial" w:eastAsia="Arial" w:hAnsi="Arial" w:cs="Arial"/>
          <w:i/>
          <w:color w:val="000000"/>
          <w:sz w:val="16"/>
          <w:szCs w:val="16"/>
        </w:rPr>
        <w:t>Selected</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Topics</w:t>
      </w:r>
      <w:proofErr w:type="spellEnd"/>
      <w:r>
        <w:rPr>
          <w:rFonts w:ascii="Arial" w:eastAsia="Arial" w:hAnsi="Arial" w:cs="Arial"/>
          <w:i/>
          <w:color w:val="000000"/>
          <w:sz w:val="16"/>
          <w:szCs w:val="16"/>
        </w:rPr>
        <w:t xml:space="preserve">., </w:t>
      </w:r>
      <w:r>
        <w:rPr>
          <w:rFonts w:ascii="Arial" w:eastAsia="Arial" w:hAnsi="Arial" w:cs="Arial"/>
          <w:color w:val="000000"/>
          <w:sz w:val="16"/>
          <w:szCs w:val="16"/>
        </w:rPr>
        <w:t xml:space="preserve">Editorial </w:t>
      </w:r>
      <w:proofErr w:type="spellStart"/>
      <w:r>
        <w:rPr>
          <w:rFonts w:ascii="Arial" w:eastAsia="Arial" w:hAnsi="Arial" w:cs="Arial"/>
          <w:color w:val="000000"/>
          <w:sz w:val="16"/>
          <w:szCs w:val="16"/>
        </w:rPr>
        <w:t>Intersentia</w:t>
      </w:r>
      <w:proofErr w:type="spellEnd"/>
      <w:r>
        <w:rPr>
          <w:rFonts w:ascii="Arial" w:eastAsia="Arial" w:hAnsi="Arial" w:cs="Arial"/>
          <w:color w:val="000000"/>
          <w:sz w:val="16"/>
          <w:szCs w:val="16"/>
        </w:rPr>
        <w:t>, Amberes/Oxford, 2005. Pág. 100</w:t>
      </w:r>
    </w:p>
  </w:footnote>
  <w:footnote w:id="13">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lo referente a la obligación de respeto, </w:t>
      </w:r>
      <w:r>
        <w:rPr>
          <w:rFonts w:ascii="Arial" w:eastAsia="Arial" w:hAnsi="Arial" w:cs="Arial"/>
          <w:i/>
          <w:color w:val="000000"/>
          <w:sz w:val="16"/>
          <w:szCs w:val="16"/>
        </w:rPr>
        <w:t>“(…) significa que los Estados deben ab</w:t>
      </w:r>
      <w:r>
        <w:rPr>
          <w:rFonts w:ascii="Arial" w:eastAsia="Arial" w:hAnsi="Arial" w:cs="Arial"/>
          <w:i/>
          <w:color w:val="000000"/>
          <w:sz w:val="16"/>
          <w:szCs w:val="16"/>
        </w:rPr>
        <w:t>stenerse de interferir en el disfrute de los derechos humanos, o de limitarlos”</w:t>
      </w:r>
      <w:r>
        <w:rPr>
          <w:rFonts w:ascii="Arial" w:eastAsia="Arial" w:hAnsi="Arial" w:cs="Arial"/>
          <w:color w:val="000000"/>
          <w:sz w:val="16"/>
          <w:szCs w:val="16"/>
        </w:rPr>
        <w:t>. En: La Oficina del Alto Comisionado para los Derechos Humanos define el criterio de inalienabilidad en el sentido de que “</w:t>
      </w:r>
      <w:r>
        <w:rPr>
          <w:rFonts w:ascii="Arial" w:eastAsia="Arial" w:hAnsi="Arial" w:cs="Arial"/>
          <w:i/>
          <w:color w:val="000000"/>
          <w:sz w:val="16"/>
          <w:szCs w:val="16"/>
        </w:rPr>
        <w:t>Los derechos humanos son inalienables. No deben supri</w:t>
      </w:r>
      <w:r>
        <w:rPr>
          <w:rFonts w:ascii="Arial" w:eastAsia="Arial" w:hAnsi="Arial" w:cs="Arial"/>
          <w:i/>
          <w:color w:val="000000"/>
          <w:sz w:val="16"/>
          <w:szCs w:val="16"/>
        </w:rPr>
        <w:t>mirse, salvo en determinadas situaciones y según las debidas garantías procesales</w:t>
      </w:r>
      <w:r>
        <w:rPr>
          <w:rFonts w:ascii="Arial" w:eastAsia="Arial" w:hAnsi="Arial" w:cs="Arial"/>
          <w:color w:val="000000"/>
          <w:sz w:val="16"/>
          <w:szCs w:val="16"/>
        </w:rPr>
        <w:t xml:space="preserve">.” En: 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Recuperado el 7 de octubre de 2014, de Naciones Unidas - Derechos Humanos - Oficin</w:t>
      </w:r>
      <w:r>
        <w:rPr>
          <w:rFonts w:ascii="Arial" w:eastAsia="Arial" w:hAnsi="Arial" w:cs="Arial"/>
          <w:color w:val="000000"/>
          <w:sz w:val="16"/>
          <w:szCs w:val="16"/>
        </w:rPr>
        <w:t>a del Alto Comisionado para los Derechos Humanos: http://www.ohchr.org/SP/Issues/Pages/WhatareHumanRights.aspx. En el mismo sentido, ver: Artículo 1 y 2 del Pacto Internacional de Derechos Civiles y Políticos de 1966; Artículos 1 y 2 del Pacto Internaciona</w:t>
      </w:r>
      <w:r>
        <w:rPr>
          <w:rFonts w:ascii="Arial" w:eastAsia="Arial" w:hAnsi="Arial" w:cs="Arial"/>
          <w:color w:val="000000"/>
          <w:sz w:val="16"/>
          <w:szCs w:val="16"/>
        </w:rPr>
        <w:t>l de Derechos Económicos, Sociales y Culturales de 1966; Artículos 1.1 y 2 de la Convención Americana de Derechos Humanos; y Artículos 1 y 2 del Protocolo Adicional a la Convención Americana de Derechos Humanos en Materia de Derechos Económicos, Sociales y</w:t>
      </w:r>
      <w:r>
        <w:rPr>
          <w:rFonts w:ascii="Arial" w:eastAsia="Arial" w:hAnsi="Arial" w:cs="Arial"/>
          <w:color w:val="000000"/>
          <w:sz w:val="16"/>
          <w:szCs w:val="16"/>
        </w:rPr>
        <w:t xml:space="preserve"> Culturales de 1988.</w:t>
      </w:r>
    </w:p>
  </w:footnote>
  <w:footnote w:id="14">
    <w:p w:rsidR="00483B9D" w:rsidRDefault="009A4D35">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color w:val="000000"/>
          <w:sz w:val="16"/>
          <w:szCs w:val="16"/>
        </w:rPr>
        <w:t xml:space="preserve"> En lo referente a la obligación de protección, ésta exige que </w:t>
      </w:r>
      <w:r>
        <w:rPr>
          <w:rFonts w:ascii="Arial" w:eastAsia="Arial" w:hAnsi="Arial" w:cs="Arial"/>
          <w:i/>
          <w:color w:val="000000"/>
          <w:sz w:val="16"/>
          <w:szCs w:val="16"/>
        </w:rPr>
        <w:t xml:space="preserve">“(…) los Estados impidan los abusos de los derechos humanos contra individuos y grupos”. En: </w:t>
      </w:r>
      <w:r>
        <w:rPr>
          <w:rFonts w:ascii="Arial" w:eastAsia="Arial" w:hAnsi="Arial" w:cs="Arial"/>
          <w:color w:val="000000"/>
          <w:sz w:val="16"/>
          <w:szCs w:val="16"/>
        </w:rPr>
        <w:t xml:space="preserve">Oficina del Alto Comisionado para los Derechos Humanos. (2014). </w:t>
      </w:r>
      <w:r>
        <w:rPr>
          <w:rFonts w:ascii="Arial" w:eastAsia="Arial" w:hAnsi="Arial" w:cs="Arial"/>
          <w:i/>
          <w:color w:val="000000"/>
          <w:sz w:val="16"/>
          <w:szCs w:val="16"/>
        </w:rPr>
        <w:t>Sus Derechos H</w:t>
      </w:r>
      <w:r>
        <w:rPr>
          <w:rFonts w:ascii="Arial" w:eastAsia="Arial" w:hAnsi="Arial" w:cs="Arial"/>
          <w:i/>
          <w:color w:val="000000"/>
          <w:sz w:val="16"/>
          <w:szCs w:val="16"/>
        </w:rPr>
        <w:t>umanos</w:t>
      </w:r>
      <w:r>
        <w:rPr>
          <w:rFonts w:ascii="Arial" w:eastAsia="Arial" w:hAnsi="Arial" w:cs="Arial"/>
          <w:color w:val="000000"/>
          <w:sz w:val="16"/>
          <w:szCs w:val="16"/>
        </w:rPr>
        <w:t>. Recuperado el 7 de octubre de 2014, de Naciones Unidas - Derechos Humanos - Oficina del Alto Comisionado para los Derechos Humanos: http://www.ohchr.org/SP/Issues/Pages/WhatareHumanRights.aspx</w:t>
      </w:r>
      <w:r>
        <w:rPr>
          <w:rFonts w:ascii="Arial" w:eastAsia="Arial" w:hAnsi="Arial" w:cs="Arial"/>
          <w:i/>
          <w:color w:val="000000"/>
          <w:sz w:val="16"/>
          <w:szCs w:val="16"/>
        </w:rPr>
        <w:t xml:space="preserve">. </w:t>
      </w:r>
      <w:r>
        <w:rPr>
          <w:rFonts w:ascii="Arial" w:eastAsia="Arial" w:hAnsi="Arial" w:cs="Arial"/>
          <w:color w:val="000000"/>
          <w:sz w:val="16"/>
          <w:szCs w:val="16"/>
        </w:rPr>
        <w:t>En el mismo sentido, ver: Artículo 1 y 2 del Pacto Int</w:t>
      </w:r>
      <w:r>
        <w:rPr>
          <w:rFonts w:ascii="Arial" w:eastAsia="Arial" w:hAnsi="Arial" w:cs="Arial"/>
          <w:color w:val="000000"/>
          <w:sz w:val="16"/>
          <w:szCs w:val="16"/>
        </w:rPr>
        <w:t>ernacional de Derechos Civiles y Políticos de 1966; Artículos 1 y 2 del Pacto Internacional de Derechos Económicos, Sociales y Culturales de 1966; Artículos 1.1 y 2 de la Convención Americana de Derechos Humanos; y Artículos 1 y 2 del Protocolo Adicional a</w:t>
      </w:r>
      <w:r>
        <w:rPr>
          <w:rFonts w:ascii="Arial" w:eastAsia="Arial" w:hAnsi="Arial" w:cs="Arial"/>
          <w:color w:val="000000"/>
          <w:sz w:val="16"/>
          <w:szCs w:val="16"/>
        </w:rPr>
        <w:t xml:space="preserve"> la Convención Americana de Derechos Humanos en Materia de Derechos Económicos, Sociales y Culturales de 1988.</w:t>
      </w:r>
    </w:p>
  </w:footnote>
  <w:footnote w:id="15">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En lo referente a la obligación de realización, ésta se refiera al deber </w:t>
      </w:r>
      <w:proofErr w:type="gramStart"/>
      <w:r>
        <w:rPr>
          <w:rFonts w:ascii="Arial" w:eastAsia="Arial" w:hAnsi="Arial" w:cs="Arial"/>
          <w:color w:val="000000"/>
          <w:sz w:val="16"/>
          <w:szCs w:val="16"/>
        </w:rPr>
        <w:t>de  “</w:t>
      </w:r>
      <w:proofErr w:type="gramEnd"/>
      <w:r>
        <w:rPr>
          <w:rFonts w:ascii="Arial" w:eastAsia="Arial" w:hAnsi="Arial" w:cs="Arial"/>
          <w:i/>
          <w:color w:val="000000"/>
          <w:sz w:val="16"/>
          <w:szCs w:val="16"/>
        </w:rPr>
        <w:t>adoptar medidas positivas para facilitar el disfrute de los derec</w:t>
      </w:r>
      <w:r>
        <w:rPr>
          <w:rFonts w:ascii="Arial" w:eastAsia="Arial" w:hAnsi="Arial" w:cs="Arial"/>
          <w:i/>
          <w:color w:val="000000"/>
          <w:sz w:val="16"/>
          <w:szCs w:val="16"/>
        </w:rPr>
        <w:t>hos humanos básicos.</w:t>
      </w:r>
      <w:r>
        <w:rPr>
          <w:rFonts w:ascii="Arial" w:eastAsia="Arial" w:hAnsi="Arial" w:cs="Arial"/>
          <w:color w:val="000000"/>
          <w:sz w:val="16"/>
          <w:szCs w:val="16"/>
        </w:rPr>
        <w:t xml:space="preserve">” </w:t>
      </w:r>
      <w:r>
        <w:rPr>
          <w:rFonts w:ascii="Arial" w:eastAsia="Arial" w:hAnsi="Arial" w:cs="Arial"/>
          <w:i/>
          <w:color w:val="000000"/>
          <w:sz w:val="16"/>
          <w:szCs w:val="16"/>
        </w:rPr>
        <w:t xml:space="preserve">En: </w:t>
      </w:r>
      <w:r>
        <w:rPr>
          <w:rFonts w:ascii="Arial" w:eastAsia="Arial" w:hAnsi="Arial" w:cs="Arial"/>
          <w:color w:val="000000"/>
          <w:sz w:val="16"/>
          <w:szCs w:val="16"/>
        </w:rPr>
        <w:t xml:space="preserve">Oficina del Alto Comisionado para los Derechos Humanos. (2014). </w:t>
      </w:r>
      <w:r>
        <w:rPr>
          <w:rFonts w:ascii="Arial" w:eastAsia="Arial" w:hAnsi="Arial" w:cs="Arial"/>
          <w:i/>
          <w:color w:val="000000"/>
          <w:sz w:val="16"/>
          <w:szCs w:val="16"/>
        </w:rPr>
        <w:t>Sus Derechos Humanos</w:t>
      </w:r>
      <w:r>
        <w:rPr>
          <w:rFonts w:ascii="Arial" w:eastAsia="Arial" w:hAnsi="Arial" w:cs="Arial"/>
          <w:color w:val="000000"/>
          <w:sz w:val="16"/>
          <w:szCs w:val="16"/>
        </w:rPr>
        <w:t>. Recuperado el 7 de octubre de 2014, de Naciones Unidas - Derechos Humanos - Oficina del Alto Comisionado para los Derechos Humanos: http://www.o</w:t>
      </w:r>
      <w:r>
        <w:rPr>
          <w:rFonts w:ascii="Arial" w:eastAsia="Arial" w:hAnsi="Arial" w:cs="Arial"/>
          <w:color w:val="000000"/>
          <w:sz w:val="16"/>
          <w:szCs w:val="16"/>
        </w:rPr>
        <w:t>hchr.org/SP/Issues/Pages/WhatareHumanRights.aspx</w:t>
      </w:r>
      <w:r>
        <w:rPr>
          <w:rFonts w:ascii="Arial" w:eastAsia="Arial" w:hAnsi="Arial" w:cs="Arial"/>
          <w:i/>
          <w:color w:val="000000"/>
          <w:sz w:val="16"/>
          <w:szCs w:val="16"/>
        </w:rPr>
        <w:t xml:space="preserve">. </w:t>
      </w:r>
      <w:r>
        <w:rPr>
          <w:rFonts w:ascii="Arial" w:eastAsia="Arial" w:hAnsi="Arial" w:cs="Arial"/>
          <w:color w:val="000000"/>
          <w:sz w:val="16"/>
          <w:szCs w:val="16"/>
        </w:rPr>
        <w:t>En el mismo sentido, ver: Artículo 1 y 2 del Pacto Internacional de Derechos Civiles y Políticos de 1966; Artículos 1 y 2 del Pacto Internacional de Derechos Económicos, Sociales y Culturales de 1966; Artíc</w:t>
      </w:r>
      <w:r>
        <w:rPr>
          <w:rFonts w:ascii="Arial" w:eastAsia="Arial" w:hAnsi="Arial" w:cs="Arial"/>
          <w:color w:val="000000"/>
          <w:sz w:val="16"/>
          <w:szCs w:val="16"/>
        </w:rPr>
        <w:t>ulos 1.1 y 2 de la Convención Americana de Derechos Humanos; y Artículos 1 y 2 del Protocolo Adicional a la Convención Americana de Derechos Humanos en Materia de Derechos Económicos, Sociales y Culturales de 1988.</w:t>
      </w:r>
    </w:p>
  </w:footnote>
  <w:footnote w:id="16">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Al respecto ver: Artículo 2 del Pacto I</w:t>
      </w:r>
      <w:r>
        <w:rPr>
          <w:rFonts w:ascii="Arial" w:eastAsia="Arial" w:hAnsi="Arial" w:cs="Arial"/>
          <w:color w:val="000000"/>
          <w:sz w:val="16"/>
          <w:szCs w:val="16"/>
        </w:rPr>
        <w:t>nternacional de Derechos Civiles y Políticos de 1966; Artículo 2 del Pacto Internacional de Derechos Económicos, Sociales y Culturales; Artículo 1.1 y 2 de la Convención Americana de Derechos Humanos; Artículos 1 y 2 del Protocolo Adicional a la Convención</w:t>
      </w:r>
      <w:r>
        <w:rPr>
          <w:rFonts w:ascii="Arial" w:eastAsia="Arial" w:hAnsi="Arial" w:cs="Arial"/>
          <w:color w:val="000000"/>
          <w:sz w:val="16"/>
          <w:szCs w:val="16"/>
        </w:rPr>
        <w:t xml:space="preserve"> Americana de Derechos Humanos en Materia de Derechos Económicos, Sociales y Culturales de 1988.</w:t>
      </w:r>
    </w:p>
  </w:footnote>
  <w:footnote w:id="17">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 xml:space="preserve">“Toda persona tiene derecho a un nivel de vida adecuado que le asegure, así como a su familia, la salud y el bienestar, </w:t>
      </w:r>
      <w:r>
        <w:rPr>
          <w:rFonts w:ascii="Arial" w:eastAsia="Arial" w:hAnsi="Arial" w:cs="Arial"/>
          <w:b/>
          <w:i/>
          <w:color w:val="000000"/>
          <w:sz w:val="16"/>
          <w:szCs w:val="16"/>
        </w:rPr>
        <w:t>y en especial la alimentación</w:t>
      </w:r>
      <w:r>
        <w:rPr>
          <w:rFonts w:ascii="Arial" w:eastAsia="Arial" w:hAnsi="Arial" w:cs="Arial"/>
          <w:i/>
          <w:color w:val="000000"/>
          <w:sz w:val="16"/>
          <w:szCs w:val="16"/>
        </w:rPr>
        <w:t>, el ves</w:t>
      </w:r>
      <w:r>
        <w:rPr>
          <w:rFonts w:ascii="Arial" w:eastAsia="Arial" w:hAnsi="Arial" w:cs="Arial"/>
          <w:i/>
          <w:color w:val="000000"/>
          <w:sz w:val="16"/>
          <w:szCs w:val="16"/>
        </w:rPr>
        <w:t>tido, la vivienda, la asistencia médica y los servicios sociales necesarios; tiene asimismo derecho a los seguros en caso de desempleo, enfermedad, invalidez, viudez, vejez u otros casos de pérdida de sus medios de subsistencia por circunstancias independi</w:t>
      </w:r>
      <w:r>
        <w:rPr>
          <w:rFonts w:ascii="Arial" w:eastAsia="Arial" w:hAnsi="Arial" w:cs="Arial"/>
          <w:i/>
          <w:color w:val="000000"/>
          <w:sz w:val="16"/>
          <w:szCs w:val="16"/>
        </w:rPr>
        <w:t xml:space="preserve">entes de su voluntad.” </w:t>
      </w:r>
      <w:r>
        <w:rPr>
          <w:rFonts w:ascii="Arial" w:eastAsia="Arial" w:hAnsi="Arial" w:cs="Arial"/>
          <w:color w:val="000000"/>
          <w:sz w:val="16"/>
          <w:szCs w:val="16"/>
        </w:rPr>
        <w:t xml:space="preserve">(Se resalta) </w:t>
      </w:r>
    </w:p>
  </w:footnote>
  <w:footnote w:id="18">
    <w:p w:rsidR="00483B9D" w:rsidRDefault="009A4D35">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 xml:space="preserve">“1. Los Estados Partes en el presente Pacto reconocen el derecho de toda persona a un nivel de vida adecuado para sí y su familia, incluso </w:t>
      </w:r>
      <w:r>
        <w:rPr>
          <w:rFonts w:ascii="Arial" w:eastAsia="Arial" w:hAnsi="Arial" w:cs="Arial"/>
          <w:b/>
          <w:i/>
          <w:color w:val="000000"/>
          <w:sz w:val="16"/>
          <w:szCs w:val="16"/>
        </w:rPr>
        <w:t>alimentación</w:t>
      </w:r>
      <w:r>
        <w:rPr>
          <w:rFonts w:ascii="Arial" w:eastAsia="Arial" w:hAnsi="Arial" w:cs="Arial"/>
          <w:i/>
          <w:color w:val="000000"/>
          <w:sz w:val="16"/>
          <w:szCs w:val="16"/>
        </w:rPr>
        <w:t xml:space="preserve">, vestido y vivienda </w:t>
      </w:r>
      <w:r>
        <w:rPr>
          <w:rFonts w:ascii="Arial" w:eastAsia="Arial" w:hAnsi="Arial" w:cs="Arial"/>
          <w:b/>
          <w:i/>
          <w:color w:val="000000"/>
          <w:sz w:val="16"/>
          <w:szCs w:val="16"/>
        </w:rPr>
        <w:t>adecuados</w:t>
      </w:r>
      <w:r>
        <w:rPr>
          <w:rFonts w:ascii="Arial" w:eastAsia="Arial" w:hAnsi="Arial" w:cs="Arial"/>
          <w:i/>
          <w:color w:val="000000"/>
          <w:sz w:val="16"/>
          <w:szCs w:val="16"/>
        </w:rPr>
        <w:t>, y a una mejora continua de las condiciones de existencia. Los Estados Partes tomarán medidas apropiadas para asegurar la efectividad de este derecho, reconociendo a este efecto la importancia esencial de la cooperación internacional fundada en el libre c</w:t>
      </w:r>
      <w:r>
        <w:rPr>
          <w:rFonts w:ascii="Arial" w:eastAsia="Arial" w:hAnsi="Arial" w:cs="Arial"/>
          <w:i/>
          <w:color w:val="000000"/>
          <w:sz w:val="16"/>
          <w:szCs w:val="16"/>
        </w:rPr>
        <w:t>onsentimiento. (…) 2. Los Estados Partes en el presente Pacto, reconociendo el derecho fundamental de toda persona a estar protegida contra el hambre, adoptarán, individualmente y mediante la cooperación internacional, las medidas, incluidos programas conc</w:t>
      </w:r>
      <w:r>
        <w:rPr>
          <w:rFonts w:ascii="Arial" w:eastAsia="Arial" w:hAnsi="Arial" w:cs="Arial"/>
          <w:i/>
          <w:color w:val="000000"/>
          <w:sz w:val="16"/>
          <w:szCs w:val="16"/>
        </w:rPr>
        <w:t xml:space="preserve">retos, que se necesiten para: (…) a) Mejorar los métodos de producción, conservación y distribución de alimentos mediante la plena utilización de los conocimientos técnicos y científicos, la divulgación de principios sobre nutrición y el perfeccionamiento </w:t>
      </w:r>
      <w:r>
        <w:rPr>
          <w:rFonts w:ascii="Arial" w:eastAsia="Arial" w:hAnsi="Arial" w:cs="Arial"/>
          <w:i/>
          <w:color w:val="000000"/>
          <w:sz w:val="16"/>
          <w:szCs w:val="16"/>
        </w:rPr>
        <w:t xml:space="preserve">o la reforma de los regímenes agrarios, de modo que se logre la explotación y la utilización más eficaces de las riquezas naturales; (…) b) Asegurar una distribución equitativa de los alimentos mundiales en relación con las necesidades, teniendo en cuenta </w:t>
      </w:r>
      <w:r>
        <w:rPr>
          <w:rFonts w:ascii="Arial" w:eastAsia="Arial" w:hAnsi="Arial" w:cs="Arial"/>
          <w:i/>
          <w:color w:val="000000"/>
          <w:sz w:val="16"/>
          <w:szCs w:val="16"/>
        </w:rPr>
        <w:t xml:space="preserve">los problemas que se plantean tanto a los países que importan productos alimenticios como a los que los exportan.” </w:t>
      </w:r>
      <w:r>
        <w:rPr>
          <w:rFonts w:ascii="Arial" w:eastAsia="Arial" w:hAnsi="Arial" w:cs="Arial"/>
          <w:color w:val="000000"/>
          <w:sz w:val="16"/>
          <w:szCs w:val="16"/>
        </w:rPr>
        <w:t>(Se resalta)</w:t>
      </w:r>
    </w:p>
  </w:footnote>
  <w:footnote w:id="19">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Respecto a la Observación General, es preciso resaltar que la misma se constituye como una interpretación experta y autorizad</w:t>
      </w:r>
      <w:r>
        <w:rPr>
          <w:rFonts w:ascii="Arial" w:eastAsia="Arial" w:hAnsi="Arial" w:cs="Arial"/>
          <w:color w:val="000000"/>
          <w:sz w:val="16"/>
          <w:szCs w:val="16"/>
        </w:rPr>
        <w:t>a respecto del contenido de los instrumentos de Derecho Internacional que contienen disposiciones relativas a los Derechos Humanos. La misma fue emitida por el órgano de supervisión del Tratado en cuestión, cuya competencia se irroga gracias a las disposic</w:t>
      </w:r>
      <w:r>
        <w:rPr>
          <w:rFonts w:ascii="Arial" w:eastAsia="Arial" w:hAnsi="Arial" w:cs="Arial"/>
          <w:color w:val="000000"/>
          <w:sz w:val="16"/>
          <w:szCs w:val="16"/>
        </w:rPr>
        <w:t xml:space="preserve">iones contenidas en el mismo. En: WENCHE BARTH EIDE y UWE KRACHT, </w:t>
      </w:r>
      <w:proofErr w:type="spellStart"/>
      <w:r>
        <w:rPr>
          <w:rFonts w:ascii="Arial" w:eastAsia="Arial" w:hAnsi="Arial" w:cs="Arial"/>
          <w:i/>
          <w:color w:val="000000"/>
          <w:sz w:val="16"/>
          <w:szCs w:val="16"/>
        </w:rPr>
        <w:t>Food</w:t>
      </w:r>
      <w:proofErr w:type="spellEnd"/>
      <w:r>
        <w:rPr>
          <w:rFonts w:ascii="Arial" w:eastAsia="Arial" w:hAnsi="Arial" w:cs="Arial"/>
          <w:i/>
          <w:color w:val="000000"/>
          <w:sz w:val="16"/>
          <w:szCs w:val="16"/>
        </w:rPr>
        <w:t xml:space="preserve"> and Human </w:t>
      </w:r>
      <w:proofErr w:type="spellStart"/>
      <w:r>
        <w:rPr>
          <w:rFonts w:ascii="Arial" w:eastAsia="Arial" w:hAnsi="Arial" w:cs="Arial"/>
          <w:i/>
          <w:color w:val="000000"/>
          <w:sz w:val="16"/>
          <w:szCs w:val="16"/>
        </w:rPr>
        <w:t>Rights</w:t>
      </w:r>
      <w:proofErr w:type="spellEnd"/>
      <w:r>
        <w:rPr>
          <w:rFonts w:ascii="Arial" w:eastAsia="Arial" w:hAnsi="Arial" w:cs="Arial"/>
          <w:i/>
          <w:color w:val="000000"/>
          <w:sz w:val="16"/>
          <w:szCs w:val="16"/>
        </w:rPr>
        <w:t xml:space="preserve"> in </w:t>
      </w:r>
      <w:proofErr w:type="spellStart"/>
      <w:r>
        <w:rPr>
          <w:rFonts w:ascii="Arial" w:eastAsia="Arial" w:hAnsi="Arial" w:cs="Arial"/>
          <w:i/>
          <w:color w:val="000000"/>
          <w:sz w:val="16"/>
          <w:szCs w:val="16"/>
        </w:rPr>
        <w:t>Development</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Volume</w:t>
      </w:r>
      <w:proofErr w:type="spellEnd"/>
      <w:r>
        <w:rPr>
          <w:rFonts w:ascii="Arial" w:eastAsia="Arial" w:hAnsi="Arial" w:cs="Arial"/>
          <w:i/>
          <w:color w:val="000000"/>
          <w:sz w:val="16"/>
          <w:szCs w:val="16"/>
        </w:rPr>
        <w:t xml:space="preserve"> I, Legal and </w:t>
      </w:r>
      <w:proofErr w:type="spellStart"/>
      <w:r>
        <w:rPr>
          <w:rFonts w:ascii="Arial" w:eastAsia="Arial" w:hAnsi="Arial" w:cs="Arial"/>
          <w:i/>
          <w:color w:val="000000"/>
          <w:sz w:val="16"/>
          <w:szCs w:val="16"/>
        </w:rPr>
        <w:t>Institutional</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Dimensions</w:t>
      </w:r>
      <w:proofErr w:type="spellEnd"/>
      <w:r>
        <w:rPr>
          <w:rFonts w:ascii="Arial" w:eastAsia="Arial" w:hAnsi="Arial" w:cs="Arial"/>
          <w:i/>
          <w:color w:val="000000"/>
          <w:sz w:val="16"/>
          <w:szCs w:val="16"/>
        </w:rPr>
        <w:t xml:space="preserve"> and </w:t>
      </w:r>
      <w:proofErr w:type="spellStart"/>
      <w:r>
        <w:rPr>
          <w:rFonts w:ascii="Arial" w:eastAsia="Arial" w:hAnsi="Arial" w:cs="Arial"/>
          <w:i/>
          <w:color w:val="000000"/>
          <w:sz w:val="16"/>
          <w:szCs w:val="16"/>
        </w:rPr>
        <w:t>Selected</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Topics</w:t>
      </w:r>
      <w:proofErr w:type="spellEnd"/>
      <w:r>
        <w:rPr>
          <w:rFonts w:ascii="Arial" w:eastAsia="Arial" w:hAnsi="Arial" w:cs="Arial"/>
          <w:i/>
          <w:color w:val="000000"/>
          <w:sz w:val="16"/>
          <w:szCs w:val="16"/>
        </w:rPr>
        <w:t xml:space="preserve">., </w:t>
      </w:r>
      <w:r>
        <w:rPr>
          <w:rFonts w:ascii="Arial" w:eastAsia="Arial" w:hAnsi="Arial" w:cs="Arial"/>
          <w:color w:val="000000"/>
          <w:sz w:val="16"/>
          <w:szCs w:val="16"/>
        </w:rPr>
        <w:t xml:space="preserve">Editorial </w:t>
      </w:r>
      <w:proofErr w:type="spellStart"/>
      <w:r>
        <w:rPr>
          <w:rFonts w:ascii="Arial" w:eastAsia="Arial" w:hAnsi="Arial" w:cs="Arial"/>
          <w:color w:val="000000"/>
          <w:sz w:val="16"/>
          <w:szCs w:val="16"/>
        </w:rPr>
        <w:t>Intersentia</w:t>
      </w:r>
      <w:proofErr w:type="spellEnd"/>
      <w:r>
        <w:rPr>
          <w:rFonts w:ascii="Arial" w:eastAsia="Arial" w:hAnsi="Arial" w:cs="Arial"/>
          <w:color w:val="000000"/>
          <w:sz w:val="16"/>
          <w:szCs w:val="16"/>
        </w:rPr>
        <w:t>, Amberes/Oxford, 2005. Pág. 105. Así mismo, la Corte Constitucio</w:t>
      </w:r>
      <w:r>
        <w:rPr>
          <w:rFonts w:ascii="Arial" w:eastAsia="Arial" w:hAnsi="Arial" w:cs="Arial"/>
          <w:color w:val="000000"/>
          <w:sz w:val="16"/>
          <w:szCs w:val="16"/>
        </w:rPr>
        <w:t>nal en Sentencia C-251 de 1997 reconoce a dichas observaciones, en conjunción con otros informes oficiales provenientes del Relator de esta clase de derechos, la característica de ser “la doctrina internacional más autorizada en materia de Derechos Económi</w:t>
      </w:r>
      <w:r>
        <w:rPr>
          <w:rFonts w:ascii="Arial" w:eastAsia="Arial" w:hAnsi="Arial" w:cs="Arial"/>
          <w:color w:val="000000"/>
          <w:sz w:val="16"/>
          <w:szCs w:val="16"/>
        </w:rPr>
        <w:t>cos, Sociales y Culturales”, como lo es en el presente caso el Derecho a la Alimentación adecuada.</w:t>
      </w:r>
    </w:p>
  </w:footnote>
  <w:footnote w:id="20">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 xml:space="preserve">1. Los Estados Partes reconocen el derecho del niño al disfrute del más alto nivel posible de salud y a servicios para el tratamiento de las enfermedades </w:t>
      </w:r>
      <w:r>
        <w:rPr>
          <w:rFonts w:ascii="Arial" w:eastAsia="Arial" w:hAnsi="Arial" w:cs="Arial"/>
          <w:i/>
          <w:color w:val="000000"/>
          <w:sz w:val="16"/>
          <w:szCs w:val="16"/>
        </w:rPr>
        <w:t>y la rehabilitación de la salud. Los Estados Partes se esforzarán por asegurar que ningún niño sea privado de su derecho al disfrute de esos servicios sanitarios. (…) 2. Los Estados Partes asegurarán la plena aplicación de este derecho y, en particular, ad</w:t>
      </w:r>
      <w:r>
        <w:rPr>
          <w:rFonts w:ascii="Arial" w:eastAsia="Arial" w:hAnsi="Arial" w:cs="Arial"/>
          <w:i/>
          <w:color w:val="000000"/>
          <w:sz w:val="16"/>
          <w:szCs w:val="16"/>
        </w:rPr>
        <w:t>optarán las medidas apropiadas para: a) Reducir la mortalidad infantil y en la niñez;</w:t>
      </w:r>
      <w:r>
        <w:rPr>
          <w:rFonts w:ascii="MS Gothic" w:eastAsia="MS Gothic" w:hAnsi="MS Gothic" w:cs="MS Gothic"/>
          <w:i/>
          <w:color w:val="000000"/>
          <w:sz w:val="16"/>
          <w:szCs w:val="16"/>
        </w:rPr>
        <w:t> </w:t>
      </w:r>
      <w:r>
        <w:rPr>
          <w:rFonts w:ascii="Arial" w:eastAsia="Arial" w:hAnsi="Arial" w:cs="Arial"/>
          <w:i/>
          <w:color w:val="000000"/>
          <w:sz w:val="16"/>
          <w:szCs w:val="16"/>
        </w:rPr>
        <w:t>b) Asegurar la prestación de la asistencia médica y la atención sanitaria que sean necesarias a todos los niños, haciendo hincapié en el desarrollo de la atención primari</w:t>
      </w:r>
      <w:r>
        <w:rPr>
          <w:rFonts w:ascii="Arial" w:eastAsia="Arial" w:hAnsi="Arial" w:cs="Arial"/>
          <w:i/>
          <w:color w:val="000000"/>
          <w:sz w:val="16"/>
          <w:szCs w:val="16"/>
        </w:rPr>
        <w:t>a de la salud;</w:t>
      </w:r>
      <w:r>
        <w:rPr>
          <w:rFonts w:ascii="MS Gothic" w:eastAsia="MS Gothic" w:hAnsi="MS Gothic" w:cs="MS Gothic"/>
          <w:i/>
          <w:color w:val="000000"/>
          <w:sz w:val="16"/>
          <w:szCs w:val="16"/>
        </w:rPr>
        <w:t> </w:t>
      </w:r>
      <w:r>
        <w:rPr>
          <w:rFonts w:ascii="Arial" w:eastAsia="Arial" w:hAnsi="Arial" w:cs="Arial"/>
          <w:i/>
          <w:color w:val="000000"/>
          <w:sz w:val="16"/>
          <w:szCs w:val="16"/>
        </w:rPr>
        <w:t xml:space="preserve">c) Combatir las enfermedades y la mal nutrición en el marco de la atención primaria de la salud mediante, entre otras cosas, la aplicación de la tecnología disponible y el suministro de alimentos nutritivos adecuados y agua potable salubre, </w:t>
      </w:r>
      <w:r>
        <w:rPr>
          <w:rFonts w:ascii="Arial" w:eastAsia="Arial" w:hAnsi="Arial" w:cs="Arial"/>
          <w:i/>
          <w:color w:val="000000"/>
          <w:sz w:val="16"/>
          <w:szCs w:val="16"/>
        </w:rPr>
        <w:t>teniendo en cuenta los peligros y riesgos de contaminación del medio ambiente;</w:t>
      </w:r>
      <w:r>
        <w:rPr>
          <w:rFonts w:ascii="MS Gothic" w:eastAsia="MS Gothic" w:hAnsi="MS Gothic" w:cs="MS Gothic"/>
          <w:i/>
          <w:color w:val="000000"/>
          <w:sz w:val="16"/>
          <w:szCs w:val="16"/>
        </w:rPr>
        <w:t> </w:t>
      </w:r>
      <w:r>
        <w:rPr>
          <w:rFonts w:ascii="Arial" w:eastAsia="Arial" w:hAnsi="Arial" w:cs="Arial"/>
          <w:i/>
          <w:color w:val="000000"/>
          <w:sz w:val="16"/>
          <w:szCs w:val="16"/>
        </w:rPr>
        <w:t>d) Asegurar atención sanitaria prenatal y postnatal apropiada a las madres;</w:t>
      </w:r>
      <w:r>
        <w:rPr>
          <w:rFonts w:ascii="MS Gothic" w:eastAsia="MS Gothic" w:hAnsi="MS Gothic" w:cs="MS Gothic"/>
          <w:i/>
          <w:color w:val="000000"/>
          <w:sz w:val="16"/>
          <w:szCs w:val="16"/>
        </w:rPr>
        <w:t> </w:t>
      </w:r>
      <w:r>
        <w:rPr>
          <w:rFonts w:ascii="Arial" w:eastAsia="Arial" w:hAnsi="Arial" w:cs="Arial"/>
          <w:i/>
          <w:color w:val="000000"/>
          <w:sz w:val="16"/>
          <w:szCs w:val="16"/>
        </w:rPr>
        <w:t>e) Asegurar que todos los sectores de la sociedad, y en particular los padres y los niños, conozcan l</w:t>
      </w:r>
      <w:r>
        <w:rPr>
          <w:rFonts w:ascii="Arial" w:eastAsia="Arial" w:hAnsi="Arial" w:cs="Arial"/>
          <w:i/>
          <w:color w:val="000000"/>
          <w:sz w:val="16"/>
          <w:szCs w:val="16"/>
        </w:rPr>
        <w:t>os principios básicos de la salud y la nutrición de los niños, las ventajas de la lactancia materna, la higiene y el saneamiento ambiental y las medidas de prevención de accidentes, tengan acceso a la educación pertinente y reciban apoyo en la aplicación d</w:t>
      </w:r>
      <w:r>
        <w:rPr>
          <w:rFonts w:ascii="Arial" w:eastAsia="Arial" w:hAnsi="Arial" w:cs="Arial"/>
          <w:i/>
          <w:color w:val="000000"/>
          <w:sz w:val="16"/>
          <w:szCs w:val="16"/>
        </w:rPr>
        <w:t>e esos conocimientos;</w:t>
      </w:r>
      <w:r>
        <w:rPr>
          <w:rFonts w:ascii="MS Gothic" w:eastAsia="MS Gothic" w:hAnsi="MS Gothic" w:cs="MS Gothic"/>
          <w:i/>
          <w:color w:val="000000"/>
          <w:sz w:val="16"/>
          <w:szCs w:val="16"/>
        </w:rPr>
        <w:t> </w:t>
      </w:r>
      <w:r>
        <w:rPr>
          <w:rFonts w:ascii="Arial" w:eastAsia="Arial" w:hAnsi="Arial" w:cs="Arial"/>
          <w:i/>
          <w:color w:val="000000"/>
          <w:sz w:val="16"/>
          <w:szCs w:val="16"/>
        </w:rPr>
        <w:t>f) Desarrollar la atención sanitaria preventiva, la orientación a los padres y la educación y servicios en materia de planificación de la familia.”</w:t>
      </w:r>
    </w:p>
  </w:footnote>
  <w:footnote w:id="21">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r>
        <w:rPr>
          <w:rFonts w:ascii="Arial" w:eastAsia="Arial" w:hAnsi="Arial" w:cs="Arial"/>
          <w:i/>
          <w:color w:val="000000"/>
          <w:sz w:val="16"/>
          <w:szCs w:val="16"/>
        </w:rPr>
        <w:t>“2. Sin perjuicio de lo dispuesto en el párrafo 1 supra, los Estados Partes garantiz</w:t>
      </w:r>
      <w:r>
        <w:rPr>
          <w:rFonts w:ascii="Arial" w:eastAsia="Arial" w:hAnsi="Arial" w:cs="Arial"/>
          <w:i/>
          <w:color w:val="000000"/>
          <w:sz w:val="16"/>
          <w:szCs w:val="16"/>
        </w:rPr>
        <w:t>arán a la mujer servicios apropiados en relación con el embarazo, el parto y el período posterior al parto, proporcionando servicios gratuitos cuando fuere necesario y le asegurarán una nutrición adecuada durante el embarazo y la lactancia.”</w:t>
      </w:r>
    </w:p>
  </w:footnote>
  <w:footnote w:id="22">
    <w:p w:rsidR="00483B9D" w:rsidRDefault="009A4D35">
      <w:pPr>
        <w:pBdr>
          <w:top w:val="nil"/>
          <w:left w:val="nil"/>
          <w:bottom w:val="nil"/>
          <w:right w:val="nil"/>
          <w:between w:val="nil"/>
        </w:pBdr>
        <w:jc w:val="both"/>
        <w:rPr>
          <w:rFonts w:ascii="Arial" w:eastAsia="Arial" w:hAnsi="Arial" w:cs="Arial"/>
          <w:i/>
          <w:color w:val="000000"/>
          <w:sz w:val="16"/>
          <w:szCs w:val="16"/>
        </w:rPr>
      </w:pPr>
      <w:r>
        <w:rPr>
          <w:vertAlign w:val="superscript"/>
        </w:rPr>
        <w:footnoteRef/>
      </w:r>
      <w:r>
        <w:rPr>
          <w:rFonts w:ascii="Arial" w:eastAsia="Arial" w:hAnsi="Arial" w:cs="Arial"/>
          <w:color w:val="000000"/>
          <w:sz w:val="16"/>
          <w:szCs w:val="16"/>
        </w:rPr>
        <w:t xml:space="preserve"> 25. f </w:t>
      </w:r>
      <w:r>
        <w:rPr>
          <w:rFonts w:ascii="Arial" w:eastAsia="Arial" w:hAnsi="Arial" w:cs="Arial"/>
          <w:i/>
          <w:color w:val="000000"/>
          <w:sz w:val="16"/>
          <w:szCs w:val="16"/>
        </w:rPr>
        <w:t>“Imped</w:t>
      </w:r>
      <w:r>
        <w:rPr>
          <w:rFonts w:ascii="Arial" w:eastAsia="Arial" w:hAnsi="Arial" w:cs="Arial"/>
          <w:i/>
          <w:color w:val="000000"/>
          <w:sz w:val="16"/>
          <w:szCs w:val="16"/>
        </w:rPr>
        <w:t xml:space="preserve">irán que se nieguen, de manera discriminatoria, servicios de salud o de atención de la salud o alimentos sólidos o líquidos por motivos de discapacidad.”; </w:t>
      </w:r>
      <w:r>
        <w:rPr>
          <w:rFonts w:ascii="Arial" w:eastAsia="Arial" w:hAnsi="Arial" w:cs="Arial"/>
          <w:color w:val="000000"/>
          <w:sz w:val="16"/>
          <w:szCs w:val="16"/>
        </w:rPr>
        <w:t xml:space="preserve">28.1 </w:t>
      </w:r>
      <w:r>
        <w:rPr>
          <w:rFonts w:ascii="Arial" w:eastAsia="Arial" w:hAnsi="Arial" w:cs="Arial"/>
          <w:i/>
          <w:color w:val="000000"/>
          <w:sz w:val="16"/>
          <w:szCs w:val="16"/>
        </w:rPr>
        <w:t>“Los Estados Partes reconocen el derecho de las personas con discapacidad a un nivel de vida ade</w:t>
      </w:r>
      <w:r>
        <w:rPr>
          <w:rFonts w:ascii="Arial" w:eastAsia="Arial" w:hAnsi="Arial" w:cs="Arial"/>
          <w:i/>
          <w:color w:val="000000"/>
          <w:sz w:val="16"/>
          <w:szCs w:val="16"/>
        </w:rPr>
        <w:t>cuado para ellas y sus familias, lo cual incluye alimentación, vestido y vivienda adecuados, y a la mejora continua de sus condiciones de vida, y adoptarán las medidas pertinentes para salvaguardar y promover el ejercicio de este derecho sin discriminación</w:t>
      </w:r>
      <w:r>
        <w:rPr>
          <w:rFonts w:ascii="Arial" w:eastAsia="Arial" w:hAnsi="Arial" w:cs="Arial"/>
          <w:i/>
          <w:color w:val="000000"/>
          <w:sz w:val="16"/>
          <w:szCs w:val="16"/>
        </w:rPr>
        <w:t xml:space="preserve"> por motivos de discapacidad.”</w:t>
      </w:r>
    </w:p>
  </w:footnote>
  <w:footnote w:id="23">
    <w:p w:rsidR="00483B9D" w:rsidRDefault="009A4D35">
      <w:pPr>
        <w:widowControl w:val="0"/>
        <w:jc w:val="both"/>
        <w:rPr>
          <w:rFonts w:ascii="Arial" w:eastAsia="Arial" w:hAnsi="Arial" w:cs="Arial"/>
          <w:sz w:val="16"/>
          <w:szCs w:val="16"/>
        </w:rPr>
      </w:pPr>
      <w:r>
        <w:rPr>
          <w:vertAlign w:val="superscript"/>
        </w:rPr>
        <w:footnoteRef/>
      </w:r>
      <w:r>
        <w:rPr>
          <w:rFonts w:ascii="Arial" w:eastAsia="Arial" w:hAnsi="Arial" w:cs="Arial"/>
          <w:sz w:val="16"/>
          <w:szCs w:val="16"/>
        </w:rPr>
        <w:t xml:space="preserve"> “</w:t>
      </w:r>
      <w:r>
        <w:rPr>
          <w:rFonts w:ascii="Arial" w:eastAsia="Arial" w:hAnsi="Arial" w:cs="Arial"/>
          <w:i/>
          <w:sz w:val="16"/>
          <w:szCs w:val="16"/>
        </w:rPr>
        <w:t xml:space="preserve">1. Toda persona tiene derecho a una nutrición adecuada que le asegure la posibilidad de gozar del </w:t>
      </w:r>
      <w:r>
        <w:rPr>
          <w:rFonts w:ascii="MS Gothic" w:eastAsia="MS Gothic" w:hAnsi="MS Gothic" w:cs="MS Gothic"/>
          <w:i/>
          <w:sz w:val="16"/>
          <w:szCs w:val="16"/>
        </w:rPr>
        <w:t> </w:t>
      </w:r>
      <w:r>
        <w:rPr>
          <w:rFonts w:ascii="Arial" w:eastAsia="Arial" w:hAnsi="Arial" w:cs="Arial"/>
          <w:i/>
          <w:sz w:val="16"/>
          <w:szCs w:val="16"/>
        </w:rPr>
        <w:t>más alto nivel de desarrollo físico, emocional e intelectual. (…)2. Con el objeto de hacer efectivo este derecho y a erradicar la desnutrición, los Estados partes se</w:t>
      </w:r>
      <w:r>
        <w:rPr>
          <w:rFonts w:ascii="MS Gothic" w:eastAsia="MS Gothic" w:hAnsi="MS Gothic" w:cs="MS Gothic"/>
          <w:i/>
          <w:sz w:val="16"/>
          <w:szCs w:val="16"/>
        </w:rPr>
        <w:t> </w:t>
      </w:r>
      <w:r>
        <w:rPr>
          <w:rFonts w:ascii="Arial" w:eastAsia="Arial" w:hAnsi="Arial" w:cs="Arial"/>
          <w:i/>
          <w:sz w:val="16"/>
          <w:szCs w:val="16"/>
        </w:rPr>
        <w:t xml:space="preserve">comprometen a perfeccionar los métodos de producción, aprovisionamiento y distribución de </w:t>
      </w:r>
      <w:r>
        <w:rPr>
          <w:rFonts w:ascii="MS Gothic" w:eastAsia="MS Gothic" w:hAnsi="MS Gothic" w:cs="MS Gothic"/>
          <w:i/>
          <w:sz w:val="16"/>
          <w:szCs w:val="16"/>
        </w:rPr>
        <w:t> </w:t>
      </w:r>
      <w:r>
        <w:rPr>
          <w:rFonts w:ascii="Arial" w:eastAsia="Arial" w:hAnsi="Arial" w:cs="Arial"/>
          <w:i/>
          <w:sz w:val="16"/>
          <w:szCs w:val="16"/>
        </w:rPr>
        <w:t>alimentos, para lo cual se comprometen a promover una mayor cooperación internacional en apoyo de las políticas nacionales sobre la materia.”</w:t>
      </w:r>
    </w:p>
  </w:footnote>
  <w:footnote w:id="24">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Ver: Comisión Africana de Derechos Humanos y de los Pueblos. Caso </w:t>
      </w:r>
      <w:r>
        <w:rPr>
          <w:rFonts w:ascii="Arial" w:eastAsia="Arial" w:hAnsi="Arial" w:cs="Arial"/>
          <w:i/>
          <w:color w:val="000000"/>
          <w:sz w:val="16"/>
          <w:szCs w:val="16"/>
        </w:rPr>
        <w:t>“</w:t>
      </w:r>
      <w:proofErr w:type="spellStart"/>
      <w:r>
        <w:rPr>
          <w:rFonts w:ascii="Arial" w:eastAsia="Arial" w:hAnsi="Arial" w:cs="Arial"/>
          <w:i/>
          <w:color w:val="000000"/>
          <w:sz w:val="16"/>
          <w:szCs w:val="16"/>
        </w:rPr>
        <w:t>The</w:t>
      </w:r>
      <w:proofErr w:type="spellEnd"/>
      <w:r>
        <w:rPr>
          <w:rFonts w:ascii="Arial" w:eastAsia="Arial" w:hAnsi="Arial" w:cs="Arial"/>
          <w:i/>
          <w:color w:val="000000"/>
          <w:sz w:val="16"/>
          <w:szCs w:val="16"/>
        </w:rPr>
        <w:t xml:space="preserve"> Social and </w:t>
      </w:r>
      <w:proofErr w:type="spellStart"/>
      <w:r>
        <w:rPr>
          <w:rFonts w:ascii="Arial" w:eastAsia="Arial" w:hAnsi="Arial" w:cs="Arial"/>
          <w:i/>
          <w:color w:val="000000"/>
          <w:sz w:val="16"/>
          <w:szCs w:val="16"/>
        </w:rPr>
        <w:t>Economic</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Rights</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Action</w:t>
      </w:r>
      <w:proofErr w:type="spellEnd"/>
      <w:r>
        <w:rPr>
          <w:rFonts w:ascii="Arial" w:eastAsia="Arial" w:hAnsi="Arial" w:cs="Arial"/>
          <w:i/>
          <w:color w:val="000000"/>
          <w:sz w:val="16"/>
          <w:szCs w:val="16"/>
        </w:rPr>
        <w:t xml:space="preserve"> Center</w:t>
      </w:r>
      <w:r>
        <w:rPr>
          <w:rFonts w:ascii="Arial" w:eastAsia="Arial" w:hAnsi="Arial" w:cs="Arial"/>
          <w:i/>
          <w:color w:val="000000"/>
          <w:sz w:val="16"/>
          <w:szCs w:val="16"/>
        </w:rPr>
        <w:t xml:space="preserve"> and </w:t>
      </w:r>
      <w:proofErr w:type="spellStart"/>
      <w:r>
        <w:rPr>
          <w:rFonts w:ascii="Arial" w:eastAsia="Arial" w:hAnsi="Arial" w:cs="Arial"/>
          <w:i/>
          <w:color w:val="000000"/>
          <w:sz w:val="16"/>
          <w:szCs w:val="16"/>
        </w:rPr>
        <w:t>the</w:t>
      </w:r>
      <w:proofErr w:type="spellEnd"/>
      <w:r>
        <w:rPr>
          <w:rFonts w:ascii="Arial" w:eastAsia="Arial" w:hAnsi="Arial" w:cs="Arial"/>
          <w:i/>
          <w:color w:val="000000"/>
          <w:sz w:val="16"/>
          <w:szCs w:val="16"/>
        </w:rPr>
        <w:t xml:space="preserve"> Center </w:t>
      </w:r>
      <w:proofErr w:type="spellStart"/>
      <w:r>
        <w:rPr>
          <w:rFonts w:ascii="Arial" w:eastAsia="Arial" w:hAnsi="Arial" w:cs="Arial"/>
          <w:i/>
          <w:color w:val="000000"/>
          <w:sz w:val="16"/>
          <w:szCs w:val="16"/>
        </w:rPr>
        <w:t>for</w:t>
      </w:r>
      <w:proofErr w:type="spellEnd"/>
      <w:r>
        <w:rPr>
          <w:rFonts w:ascii="Arial" w:eastAsia="Arial" w:hAnsi="Arial" w:cs="Arial"/>
          <w:i/>
          <w:color w:val="000000"/>
          <w:sz w:val="16"/>
          <w:szCs w:val="16"/>
        </w:rPr>
        <w:t xml:space="preserve"> </w:t>
      </w:r>
      <w:proofErr w:type="spellStart"/>
      <w:r>
        <w:rPr>
          <w:rFonts w:ascii="Arial" w:eastAsia="Arial" w:hAnsi="Arial" w:cs="Arial"/>
          <w:i/>
          <w:color w:val="000000"/>
          <w:sz w:val="16"/>
          <w:szCs w:val="16"/>
        </w:rPr>
        <w:t>Economic</w:t>
      </w:r>
      <w:proofErr w:type="spellEnd"/>
      <w:r>
        <w:rPr>
          <w:rFonts w:ascii="Arial" w:eastAsia="Arial" w:hAnsi="Arial" w:cs="Arial"/>
          <w:i/>
          <w:color w:val="000000"/>
          <w:sz w:val="16"/>
          <w:szCs w:val="16"/>
        </w:rPr>
        <w:t xml:space="preserve"> and Social </w:t>
      </w:r>
      <w:proofErr w:type="spellStart"/>
      <w:r>
        <w:rPr>
          <w:rFonts w:ascii="Arial" w:eastAsia="Arial" w:hAnsi="Arial" w:cs="Arial"/>
          <w:i/>
          <w:color w:val="000000"/>
          <w:sz w:val="16"/>
          <w:szCs w:val="16"/>
        </w:rPr>
        <w:t>Rights</w:t>
      </w:r>
      <w:proofErr w:type="spellEnd"/>
      <w:r>
        <w:rPr>
          <w:rFonts w:ascii="Arial" w:eastAsia="Arial" w:hAnsi="Arial" w:cs="Arial"/>
          <w:i/>
          <w:color w:val="000000"/>
          <w:sz w:val="16"/>
          <w:szCs w:val="16"/>
        </w:rPr>
        <w:t xml:space="preserve"> v. Nigeria”</w:t>
      </w:r>
      <w:r>
        <w:rPr>
          <w:rFonts w:ascii="Arial" w:eastAsia="Arial" w:hAnsi="Arial" w:cs="Arial"/>
          <w:color w:val="000000"/>
          <w:sz w:val="16"/>
          <w:szCs w:val="16"/>
        </w:rPr>
        <w:t>, comunicación No. 155/96, párr. 64</w:t>
      </w:r>
    </w:p>
  </w:footnote>
  <w:footnote w:id="25">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Económico y Social de las Naciones Unidas. </w:t>
      </w:r>
      <w:r>
        <w:rPr>
          <w:rFonts w:ascii="Arial" w:eastAsia="Arial" w:hAnsi="Arial" w:cs="Arial"/>
          <w:i/>
          <w:color w:val="000000"/>
          <w:sz w:val="16"/>
          <w:szCs w:val="16"/>
        </w:rPr>
        <w:t>Cuestiones sustantivas que se plantean en la aplicación del pacto de derechos económicos, sociales y cultural</w:t>
      </w:r>
      <w:r>
        <w:rPr>
          <w:rFonts w:ascii="Arial" w:eastAsia="Arial" w:hAnsi="Arial" w:cs="Arial"/>
          <w:i/>
          <w:color w:val="000000"/>
          <w:sz w:val="16"/>
          <w:szCs w:val="16"/>
        </w:rPr>
        <w:t>es.</w:t>
      </w:r>
      <w:r>
        <w:rPr>
          <w:rFonts w:ascii="Arial" w:eastAsia="Arial" w:hAnsi="Arial" w:cs="Arial"/>
          <w:color w:val="000000"/>
          <w:sz w:val="16"/>
          <w:szCs w:val="16"/>
        </w:rPr>
        <w:t xml:space="preserve"> Observación General 12. 20º Periodo de Sesiones. 1999</w:t>
      </w:r>
    </w:p>
  </w:footnote>
  <w:footnote w:id="26">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Oficina del Alto Comisionado de las Naciones Unidas para los Derechos Humanos. </w:t>
      </w:r>
      <w:r>
        <w:rPr>
          <w:rFonts w:ascii="Arial" w:eastAsia="Arial" w:hAnsi="Arial" w:cs="Arial"/>
          <w:i/>
          <w:color w:val="000000"/>
          <w:sz w:val="16"/>
          <w:szCs w:val="16"/>
        </w:rPr>
        <w:t>Folleto Informativo No. 27.</w:t>
      </w:r>
    </w:p>
  </w:footnote>
  <w:footnote w:id="27">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Económico y Social de las Naciones Unidas. </w:t>
      </w:r>
      <w:r>
        <w:rPr>
          <w:rFonts w:ascii="Arial" w:eastAsia="Arial" w:hAnsi="Arial" w:cs="Arial"/>
          <w:i/>
          <w:color w:val="000000"/>
          <w:sz w:val="16"/>
          <w:szCs w:val="16"/>
        </w:rPr>
        <w:t>Cuestiones sustantivas que se plante</w:t>
      </w:r>
      <w:r>
        <w:rPr>
          <w:rFonts w:ascii="Arial" w:eastAsia="Arial" w:hAnsi="Arial" w:cs="Arial"/>
          <w:i/>
          <w:color w:val="000000"/>
          <w:sz w:val="16"/>
          <w:szCs w:val="16"/>
        </w:rPr>
        <w:t>an en la aplicación del pacto de derechos económicos, sociales y culturales.</w:t>
      </w:r>
      <w:r>
        <w:rPr>
          <w:rFonts w:ascii="Arial" w:eastAsia="Arial" w:hAnsi="Arial" w:cs="Arial"/>
          <w:color w:val="000000"/>
          <w:sz w:val="16"/>
          <w:szCs w:val="16"/>
        </w:rPr>
        <w:t xml:space="preserve"> Observación General 12. 20º Periodo de Sesiones. 1999. Pár. 15</w:t>
      </w:r>
    </w:p>
  </w:footnote>
  <w:footnote w:id="28">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Económico y Social de las Naciones Unidas. </w:t>
      </w:r>
      <w:r>
        <w:rPr>
          <w:rFonts w:ascii="Arial" w:eastAsia="Arial" w:hAnsi="Arial" w:cs="Arial"/>
          <w:i/>
          <w:color w:val="000000"/>
          <w:sz w:val="16"/>
          <w:szCs w:val="16"/>
        </w:rPr>
        <w:t>Cuestiones sustantivas que se plantean en la aplicación del pac</w:t>
      </w:r>
      <w:r>
        <w:rPr>
          <w:rFonts w:ascii="Arial" w:eastAsia="Arial" w:hAnsi="Arial" w:cs="Arial"/>
          <w:i/>
          <w:color w:val="000000"/>
          <w:sz w:val="16"/>
          <w:szCs w:val="16"/>
        </w:rPr>
        <w:t>to de derechos económicos, sociales y culturales.</w:t>
      </w:r>
      <w:r>
        <w:rPr>
          <w:rFonts w:ascii="Arial" w:eastAsia="Arial" w:hAnsi="Arial" w:cs="Arial"/>
          <w:color w:val="000000"/>
          <w:sz w:val="16"/>
          <w:szCs w:val="16"/>
        </w:rPr>
        <w:t xml:space="preserve"> Observación General 12. 20º Periodo de Sesiones. 1999. Pár. 21</w:t>
      </w:r>
    </w:p>
  </w:footnote>
  <w:footnote w:id="29">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w:t>
      </w:r>
      <w:proofErr w:type="spellStart"/>
      <w:r>
        <w:rPr>
          <w:rFonts w:ascii="Arial" w:eastAsia="Arial" w:hAnsi="Arial" w:cs="Arial"/>
          <w:color w:val="000000"/>
          <w:sz w:val="16"/>
          <w:szCs w:val="16"/>
        </w:rPr>
        <w:t>Amartya</w:t>
      </w:r>
      <w:proofErr w:type="spellEnd"/>
      <w:r>
        <w:rPr>
          <w:rFonts w:ascii="Arial" w:eastAsia="Arial" w:hAnsi="Arial" w:cs="Arial"/>
          <w:color w:val="000000"/>
          <w:sz w:val="16"/>
          <w:szCs w:val="16"/>
        </w:rPr>
        <w:t xml:space="preserve"> K. </w:t>
      </w:r>
      <w:proofErr w:type="spellStart"/>
      <w:r>
        <w:rPr>
          <w:rFonts w:ascii="Arial" w:eastAsia="Arial" w:hAnsi="Arial" w:cs="Arial"/>
          <w:color w:val="000000"/>
          <w:sz w:val="16"/>
          <w:szCs w:val="16"/>
        </w:rPr>
        <w:t>Sen</w:t>
      </w:r>
      <w:proofErr w:type="spellEnd"/>
      <w:r>
        <w:rPr>
          <w:rFonts w:ascii="Arial" w:eastAsia="Arial" w:hAnsi="Arial" w:cs="Arial"/>
          <w:color w:val="000000"/>
          <w:sz w:val="16"/>
          <w:szCs w:val="16"/>
        </w:rPr>
        <w:t>, El derecho a no tener hambre. Estudios de Filosofía y Derecho No. 3 Universidad Externado de Colombia: 2002.</w:t>
      </w:r>
    </w:p>
  </w:footnote>
  <w:footnote w:id="30">
    <w:p w:rsidR="00483B9D" w:rsidRDefault="009A4D35">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Ibídem.</w:t>
      </w:r>
    </w:p>
  </w:footnote>
  <w:footnote w:id="31">
    <w:p w:rsidR="00483B9D" w:rsidRDefault="009A4D35">
      <w:pPr>
        <w:pBdr>
          <w:top w:val="nil"/>
          <w:left w:val="nil"/>
          <w:bottom w:val="nil"/>
          <w:right w:val="nil"/>
          <w:between w:val="nil"/>
        </w:pBdr>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Ibídem.</w:t>
      </w:r>
    </w:p>
  </w:footnote>
  <w:footnote w:id="32">
    <w:p w:rsidR="00483B9D" w:rsidRDefault="009A4D35">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Información obtenida de: </w:t>
      </w:r>
      <w:proofErr w:type="spellStart"/>
      <w:r>
        <w:rPr>
          <w:color w:val="000000"/>
          <w:sz w:val="16"/>
          <w:szCs w:val="16"/>
        </w:rPr>
        <w:t>Constitute</w:t>
      </w:r>
      <w:proofErr w:type="spellEnd"/>
      <w:r>
        <w:rPr>
          <w:color w:val="000000"/>
          <w:sz w:val="16"/>
          <w:szCs w:val="16"/>
        </w:rPr>
        <w:t xml:space="preserve"> Project. </w:t>
      </w:r>
    </w:p>
  </w:footnote>
  <w:footnote w:id="33">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Consejo Económico y Social de las Naciones Unidas. </w:t>
      </w:r>
      <w:r>
        <w:rPr>
          <w:rFonts w:ascii="Arial" w:eastAsia="Arial" w:hAnsi="Arial" w:cs="Arial"/>
          <w:i/>
          <w:color w:val="000000"/>
          <w:sz w:val="16"/>
          <w:szCs w:val="16"/>
        </w:rPr>
        <w:t>Cuestiones sustantivas que se plantean en la aplicación del pacto de derechos económicos, sociales y culturales.</w:t>
      </w:r>
      <w:r>
        <w:rPr>
          <w:rFonts w:ascii="Arial" w:eastAsia="Arial" w:hAnsi="Arial" w:cs="Arial"/>
          <w:color w:val="000000"/>
          <w:sz w:val="16"/>
          <w:szCs w:val="16"/>
        </w:rPr>
        <w:t xml:space="preserve"> Observación General 12. 20º Perio</w:t>
      </w:r>
      <w:r>
        <w:rPr>
          <w:rFonts w:ascii="Arial" w:eastAsia="Arial" w:hAnsi="Arial" w:cs="Arial"/>
          <w:color w:val="000000"/>
          <w:sz w:val="16"/>
          <w:szCs w:val="16"/>
        </w:rPr>
        <w:t>do de Sesiones. 1999.</w:t>
      </w:r>
    </w:p>
  </w:footnote>
  <w:footnote w:id="34">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FAO, </w:t>
      </w:r>
      <w:r>
        <w:rPr>
          <w:rFonts w:ascii="Arial" w:eastAsia="Arial" w:hAnsi="Arial" w:cs="Arial"/>
          <w:i/>
          <w:color w:val="000000"/>
          <w:sz w:val="16"/>
          <w:szCs w:val="16"/>
        </w:rPr>
        <w:t>El Estado de la Inseguridad Alimentaria en el Mundo</w:t>
      </w:r>
      <w:r>
        <w:rPr>
          <w:rFonts w:ascii="Arial" w:eastAsia="Arial" w:hAnsi="Arial" w:cs="Arial"/>
          <w:color w:val="000000"/>
          <w:sz w:val="16"/>
          <w:szCs w:val="16"/>
        </w:rPr>
        <w:t xml:space="preserve"> – 2001. Roma, 2001 En: Oficina del Alto Comisionado de las Naciones Unidas para los Derechos Humanos - FAO. </w:t>
      </w:r>
      <w:r>
        <w:rPr>
          <w:rFonts w:ascii="Arial" w:eastAsia="Arial" w:hAnsi="Arial" w:cs="Arial"/>
          <w:i/>
          <w:color w:val="000000"/>
          <w:sz w:val="16"/>
          <w:szCs w:val="16"/>
        </w:rPr>
        <w:t xml:space="preserve">Folleto Informativo No. 34. El derecho a la alimentación adecuada. </w:t>
      </w:r>
      <w:r>
        <w:rPr>
          <w:rFonts w:ascii="Arial" w:eastAsia="Arial" w:hAnsi="Arial" w:cs="Arial"/>
          <w:color w:val="000000"/>
          <w:sz w:val="16"/>
          <w:szCs w:val="16"/>
        </w:rPr>
        <w:t>Pág. 5</w:t>
      </w:r>
    </w:p>
  </w:footnote>
  <w:footnote w:id="35">
    <w:p w:rsidR="00483B9D" w:rsidRDefault="009A4D35">
      <w:pPr>
        <w:pBdr>
          <w:top w:val="nil"/>
          <w:left w:val="nil"/>
          <w:bottom w:val="nil"/>
          <w:right w:val="nil"/>
          <w:between w:val="nil"/>
        </w:pBdr>
        <w:jc w:val="both"/>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Oficina del Alto Comisionado de las Naciones Unidas para los Derechos Humanos - FAO. </w:t>
      </w:r>
      <w:r>
        <w:rPr>
          <w:rFonts w:ascii="Arial" w:eastAsia="Arial" w:hAnsi="Arial" w:cs="Arial"/>
          <w:i/>
          <w:color w:val="000000"/>
          <w:sz w:val="16"/>
          <w:szCs w:val="16"/>
        </w:rPr>
        <w:t xml:space="preserve">Folleto Informativo No. 34. El derecho a la alimentación adecuada. </w:t>
      </w:r>
      <w:r>
        <w:rPr>
          <w:rFonts w:ascii="Arial" w:eastAsia="Arial" w:hAnsi="Arial" w:cs="Arial"/>
          <w:color w:val="000000"/>
          <w:sz w:val="16"/>
          <w:szCs w:val="16"/>
        </w:rPr>
        <w:t>Págs. 5 – 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3B9D" w:rsidRDefault="00B054CA">
    <w:pPr>
      <w:pBdr>
        <w:top w:val="nil"/>
        <w:left w:val="nil"/>
        <w:bottom w:val="nil"/>
        <w:right w:val="nil"/>
        <w:between w:val="nil"/>
      </w:pBdr>
      <w:tabs>
        <w:tab w:val="center" w:pos="4419"/>
        <w:tab w:val="right" w:pos="8838"/>
      </w:tabs>
      <w:spacing w:after="0" w:line="240" w:lineRule="auto"/>
      <w:jc w:val="right"/>
      <w:rPr>
        <w:color w:val="000000"/>
      </w:rPr>
    </w:pPr>
    <w:r>
      <w:rPr>
        <w:noProof/>
        <w:lang w:val="es-CO"/>
      </w:rPr>
      <w:drawing>
        <wp:anchor distT="0" distB="0" distL="114300" distR="114300" simplePos="0" relativeHeight="251658240" behindDoc="0" locked="0" layoutInCell="1" allowOverlap="1">
          <wp:simplePos x="0" y="0"/>
          <wp:positionH relativeFrom="margin">
            <wp:align>center</wp:align>
          </wp:positionH>
          <wp:positionV relativeFrom="topMargin">
            <wp:posOffset>241300</wp:posOffset>
          </wp:positionV>
          <wp:extent cx="2227580" cy="657225"/>
          <wp:effectExtent l="0" t="0" r="1270" b="9525"/>
          <wp:wrapTopAndBottom/>
          <wp:docPr id="1" name="Imagen 1" descr="Inicio |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 Camara de Represen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7580"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4D35">
      <w:rPr>
        <w:color w:val="000000"/>
      </w:rPr>
      <w:t xml:space="preserve">                 </w:t>
    </w:r>
    <w:r w:rsidR="009A4D35">
      <w:rPr>
        <w:color w:val="000000"/>
      </w:rPr>
      <w:t xml:space="preserve">                 </w:t>
    </w:r>
  </w:p>
  <w:p w:rsidR="00483B9D" w:rsidRDefault="009A4D35">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95B13"/>
    <w:multiLevelType w:val="multilevel"/>
    <w:tmpl w:val="879CE8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4C631B"/>
    <w:multiLevelType w:val="multilevel"/>
    <w:tmpl w:val="7CCE7C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F15F8A"/>
    <w:multiLevelType w:val="multilevel"/>
    <w:tmpl w:val="1B52809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B9D"/>
    <w:rsid w:val="00177D34"/>
    <w:rsid w:val="00483B9D"/>
    <w:rsid w:val="006A0381"/>
    <w:rsid w:val="00977018"/>
    <w:rsid w:val="009A4D35"/>
    <w:rsid w:val="00B054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8E65"/>
  <w15:docId w15:val="{02F1FB40-E98E-4608-864A-918C6A96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FD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normal1">
    <w:name w:val="Plain Table 1"/>
    <w:basedOn w:val="Tablanormal"/>
    <w:uiPriority w:val="41"/>
    <w:rsid w:val="00AC1FD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272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Encabezado">
    <w:name w:val="header"/>
    <w:basedOn w:val="Normal"/>
    <w:link w:val="EncabezadoCar"/>
    <w:uiPriority w:val="99"/>
    <w:unhideWhenUsed/>
    <w:rsid w:val="00B054C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54CA"/>
  </w:style>
  <w:style w:type="paragraph" w:styleId="Piedepgina">
    <w:name w:val="footer"/>
    <w:basedOn w:val="Normal"/>
    <w:link w:val="PiedepginaCar"/>
    <w:uiPriority w:val="99"/>
    <w:unhideWhenUsed/>
    <w:rsid w:val="00B054C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54CA"/>
  </w:style>
  <w:style w:type="paragraph" w:styleId="Textodeglobo">
    <w:name w:val="Balloon Text"/>
    <w:basedOn w:val="Normal"/>
    <w:link w:val="TextodegloboCar"/>
    <w:uiPriority w:val="99"/>
    <w:semiHidden/>
    <w:unhideWhenUsed/>
    <w:rsid w:val="0097701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7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mv9jMoCV93kWF9mCJX3xfPmpw==">CgMxLjA4AHIhMWZTdVZOX3J3Vm5PODNUZGpxUm0wMV9SRlZwNXV4TkVu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7922</Words>
  <Characters>43574</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 Saade Ortega</dc:creator>
  <cp:lastModifiedBy>Serly Luz Anaya Romero</cp:lastModifiedBy>
  <cp:revision>2</cp:revision>
  <cp:lastPrinted>2024-05-21T17:40:00Z</cp:lastPrinted>
  <dcterms:created xsi:type="dcterms:W3CDTF">2024-05-21T17:40:00Z</dcterms:created>
  <dcterms:modified xsi:type="dcterms:W3CDTF">2024-05-21T17:40:00Z</dcterms:modified>
</cp:coreProperties>
</file>