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3A61" w14:textId="77777777" w:rsidR="0067133F" w:rsidRPr="00C63647" w:rsidRDefault="0067133F">
      <w:pPr>
        <w:rPr>
          <w:rFonts w:ascii="Century Gothic" w:hAnsi="Century Gothic"/>
          <w:lang w:val="es-MX"/>
        </w:rPr>
      </w:pPr>
    </w:p>
    <w:p w14:paraId="2FF7FFD7" w14:textId="0A2866E6" w:rsidR="00B52EA5" w:rsidRPr="00C63647" w:rsidRDefault="001310A4">
      <w:pPr>
        <w:rPr>
          <w:rFonts w:ascii="Century Gothic" w:hAnsi="Century Gothic"/>
          <w:lang w:val="es-MX"/>
        </w:rPr>
      </w:pPr>
      <w:r w:rsidRPr="00C63647">
        <w:rPr>
          <w:rFonts w:ascii="Century Gothic" w:hAnsi="Century Gothic"/>
          <w:lang w:val="es-MX"/>
        </w:rPr>
        <w:t xml:space="preserve">Bogotá D.C., </w:t>
      </w:r>
      <w:r w:rsidR="00FC4F37" w:rsidRPr="00C63647">
        <w:rPr>
          <w:rFonts w:ascii="Century Gothic" w:hAnsi="Century Gothic"/>
          <w:lang w:val="es-MX"/>
        </w:rPr>
        <w:t xml:space="preserve">12 de mayo de 2025. </w:t>
      </w:r>
    </w:p>
    <w:p w14:paraId="581EB6AB" w14:textId="77777777" w:rsidR="00C06EDB" w:rsidRPr="00C63647" w:rsidRDefault="00C06EDB">
      <w:pPr>
        <w:rPr>
          <w:rFonts w:ascii="Century Gothic" w:hAnsi="Century Gothic"/>
          <w:lang w:val="es-MX"/>
        </w:rPr>
      </w:pPr>
    </w:p>
    <w:p w14:paraId="2D52969D" w14:textId="5345FA67" w:rsidR="001310A4" w:rsidRPr="00C63647" w:rsidRDefault="001310A4" w:rsidP="00980CBD">
      <w:pPr>
        <w:spacing w:line="276" w:lineRule="auto"/>
        <w:rPr>
          <w:rFonts w:ascii="Century Gothic" w:hAnsi="Century Gothic"/>
          <w:lang w:val="es-MX"/>
        </w:rPr>
      </w:pPr>
      <w:r w:rsidRPr="00C63647">
        <w:rPr>
          <w:rFonts w:ascii="Century Gothic" w:hAnsi="Century Gothic"/>
          <w:lang w:val="es-MX"/>
        </w:rPr>
        <w:t>H. Representante</w:t>
      </w:r>
      <w:r w:rsidRPr="00C63647">
        <w:rPr>
          <w:rFonts w:ascii="Century Gothic" w:hAnsi="Century Gothic"/>
          <w:lang w:val="es-MX"/>
        </w:rPr>
        <w:br/>
      </w:r>
      <w:r w:rsidRPr="00C63647">
        <w:rPr>
          <w:rFonts w:ascii="Century Gothic" w:hAnsi="Century Gothic"/>
          <w:b/>
          <w:lang w:val="es-MX"/>
        </w:rPr>
        <w:t>ANA PAOLA GARCÍA SOTO</w:t>
      </w:r>
      <w:r w:rsidRPr="00C63647">
        <w:rPr>
          <w:rFonts w:ascii="Century Gothic" w:hAnsi="Century Gothic"/>
          <w:lang w:val="es-MX"/>
        </w:rPr>
        <w:t xml:space="preserve"> </w:t>
      </w:r>
      <w:r w:rsidRPr="00C63647">
        <w:rPr>
          <w:rFonts w:ascii="Century Gothic" w:hAnsi="Century Gothic"/>
          <w:lang w:val="es-MX"/>
        </w:rPr>
        <w:br/>
      </w:r>
      <w:proofErr w:type="gramStart"/>
      <w:r w:rsidRPr="00C63647">
        <w:rPr>
          <w:rFonts w:ascii="Century Gothic" w:hAnsi="Century Gothic"/>
          <w:lang w:val="es-MX"/>
        </w:rPr>
        <w:t>Presidente</w:t>
      </w:r>
      <w:proofErr w:type="gramEnd"/>
      <w:r w:rsidRPr="00C63647">
        <w:rPr>
          <w:rFonts w:ascii="Century Gothic" w:hAnsi="Century Gothic"/>
          <w:lang w:val="es-MX"/>
        </w:rPr>
        <w:t xml:space="preserve"> </w:t>
      </w:r>
      <w:r w:rsidRPr="00C63647">
        <w:rPr>
          <w:rFonts w:ascii="Century Gothic" w:hAnsi="Century Gothic"/>
          <w:lang w:val="es-MX"/>
        </w:rPr>
        <w:br/>
        <w:t xml:space="preserve">Comisión Primera Constitucional Permanente </w:t>
      </w:r>
      <w:r w:rsidRPr="00C63647">
        <w:rPr>
          <w:rFonts w:ascii="Century Gothic" w:hAnsi="Century Gothic"/>
          <w:lang w:val="es-MX"/>
        </w:rPr>
        <w:br/>
        <w:t xml:space="preserve">Cámara de Representantes </w:t>
      </w:r>
      <w:r w:rsidRPr="00C63647">
        <w:rPr>
          <w:rFonts w:ascii="Century Gothic" w:hAnsi="Century Gothic"/>
          <w:lang w:val="es-MX"/>
        </w:rPr>
        <w:br/>
        <w:t>Ciudad</w:t>
      </w:r>
    </w:p>
    <w:p w14:paraId="3885A6D9" w14:textId="77777777" w:rsidR="00980CBD" w:rsidRPr="00C63647" w:rsidRDefault="00980CBD" w:rsidP="00980CBD">
      <w:pPr>
        <w:spacing w:line="276" w:lineRule="auto"/>
        <w:rPr>
          <w:rFonts w:ascii="Century Gothic" w:hAnsi="Century Gothic"/>
          <w:lang w:val="es-MX"/>
        </w:rPr>
      </w:pPr>
    </w:p>
    <w:p w14:paraId="537508FD" w14:textId="1C1E8439" w:rsidR="001310A4" w:rsidRPr="00C63647" w:rsidRDefault="001310A4" w:rsidP="00980CBD">
      <w:pPr>
        <w:spacing w:line="276" w:lineRule="auto"/>
        <w:ind w:left="2268" w:right="191"/>
        <w:jc w:val="both"/>
        <w:rPr>
          <w:rFonts w:ascii="Century Gothic" w:eastAsia="Book Antiqua" w:hAnsi="Century Gothic" w:cs="Book Antiqua"/>
        </w:rPr>
      </w:pPr>
      <w:r w:rsidRPr="00C63647">
        <w:rPr>
          <w:rFonts w:ascii="Century Gothic" w:hAnsi="Century Gothic"/>
          <w:b/>
          <w:lang w:val="es-MX"/>
        </w:rPr>
        <w:t>Asunto</w:t>
      </w:r>
      <w:r w:rsidRPr="00C63647">
        <w:rPr>
          <w:rFonts w:ascii="Century Gothic" w:hAnsi="Century Gothic"/>
          <w:lang w:val="es-MX"/>
        </w:rPr>
        <w:t>:</w:t>
      </w:r>
      <w:r w:rsidR="00DA3547" w:rsidRPr="00C63647">
        <w:rPr>
          <w:rFonts w:ascii="Century Gothic" w:hAnsi="Century Gothic"/>
          <w:lang w:val="es-MX"/>
        </w:rPr>
        <w:t xml:space="preserve"> </w:t>
      </w:r>
      <w:r w:rsidRPr="00C63647">
        <w:rPr>
          <w:rFonts w:ascii="Century Gothic" w:hAnsi="Century Gothic"/>
          <w:lang w:val="es-MX"/>
        </w:rPr>
        <w:t>Ponencia para primer debate</w:t>
      </w:r>
      <w:r w:rsidR="00DA3547" w:rsidRPr="00C63647">
        <w:rPr>
          <w:rFonts w:ascii="Century Gothic" w:hAnsi="Century Gothic"/>
          <w:lang w:val="es-MX"/>
        </w:rPr>
        <w:t xml:space="preserve"> comisión primera Cámara de Representantes</w:t>
      </w:r>
      <w:r w:rsidR="00302031" w:rsidRPr="00C63647">
        <w:rPr>
          <w:rFonts w:ascii="Century Gothic" w:hAnsi="Century Gothic"/>
          <w:lang w:val="es-MX"/>
        </w:rPr>
        <w:t xml:space="preserve"> </w:t>
      </w:r>
      <w:r w:rsidR="00AE1D51" w:rsidRPr="00C63647">
        <w:rPr>
          <w:rFonts w:ascii="Century Gothic" w:hAnsi="Century Gothic"/>
          <w:lang w:val="es-MX"/>
        </w:rPr>
        <w:t>de Ley No. 448 de 2024 Cámara– No. 062 de 2023 Senado</w:t>
      </w:r>
      <w:r w:rsidR="00AE1D51" w:rsidRPr="00C63647">
        <w:rPr>
          <w:rFonts w:ascii="Century Gothic" w:hAnsi="Century Gothic"/>
          <w:lang w:val="es-MX"/>
        </w:rPr>
        <w:t xml:space="preserve">. </w:t>
      </w:r>
    </w:p>
    <w:p w14:paraId="79C08D96" w14:textId="77777777" w:rsidR="009C485B" w:rsidRPr="00C63647" w:rsidRDefault="009C485B" w:rsidP="00980CBD">
      <w:pPr>
        <w:spacing w:line="276" w:lineRule="auto"/>
        <w:jc w:val="both"/>
        <w:rPr>
          <w:rFonts w:ascii="Century Gothic" w:hAnsi="Century Gothic"/>
        </w:rPr>
      </w:pPr>
    </w:p>
    <w:p w14:paraId="1295C39A" w14:textId="5BAD22D7" w:rsidR="00AE1D51" w:rsidRPr="00C63647" w:rsidRDefault="001310A4" w:rsidP="00AE1D51">
      <w:pPr>
        <w:spacing w:line="276" w:lineRule="auto"/>
        <w:jc w:val="both"/>
        <w:rPr>
          <w:rFonts w:ascii="Century Gothic" w:hAnsi="Century Gothic"/>
          <w:lang w:val="es-MX"/>
        </w:rPr>
      </w:pPr>
      <w:r w:rsidRPr="00C63647">
        <w:rPr>
          <w:rFonts w:ascii="Century Gothic" w:hAnsi="Century Gothic"/>
        </w:rPr>
        <w:t>De conformidad con la designación realizada por la mesa directiva de la Honorable Comisión Primera Constitucional Permanente, rindo el presente informe de ponencia positiva para primer debate</w:t>
      </w:r>
      <w:r w:rsidRPr="00C63647">
        <w:rPr>
          <w:rFonts w:ascii="Century Gothic" w:hAnsi="Century Gothic"/>
          <w:b/>
          <w:lang w:val="es-MX"/>
        </w:rPr>
        <w:t xml:space="preserve"> </w:t>
      </w:r>
      <w:r w:rsidRPr="00C63647">
        <w:rPr>
          <w:rFonts w:ascii="Century Gothic" w:hAnsi="Century Gothic"/>
          <w:lang w:val="es-MX"/>
        </w:rPr>
        <w:t xml:space="preserve">del </w:t>
      </w:r>
      <w:r w:rsidR="00AE1D51" w:rsidRPr="00C63647">
        <w:rPr>
          <w:rFonts w:ascii="Century Gothic" w:hAnsi="Century Gothic"/>
          <w:b/>
          <w:bCs/>
          <w:lang w:val="es-MX"/>
        </w:rPr>
        <w:t xml:space="preserve">Proyecto de </w:t>
      </w:r>
      <w:r w:rsidR="00AE1D51" w:rsidRPr="00C63647">
        <w:rPr>
          <w:rFonts w:ascii="Century Gothic" w:hAnsi="Century Gothic"/>
          <w:b/>
          <w:bCs/>
          <w:lang w:val="es-MX"/>
        </w:rPr>
        <w:t>Ley No</w:t>
      </w:r>
      <w:r w:rsidR="00AE1D51" w:rsidRPr="00C63647">
        <w:rPr>
          <w:rFonts w:ascii="Century Gothic" w:hAnsi="Century Gothic"/>
          <w:b/>
          <w:bCs/>
          <w:lang w:val="es-MX"/>
        </w:rPr>
        <w:t xml:space="preserve">. 448 de 2024 Cámara – No. 062 de 2023 </w:t>
      </w:r>
      <w:r w:rsidR="00AE1D51" w:rsidRPr="00C63647">
        <w:rPr>
          <w:rFonts w:ascii="Century Gothic" w:hAnsi="Century Gothic"/>
          <w:b/>
          <w:bCs/>
          <w:lang w:val="es-MX"/>
        </w:rPr>
        <w:t>Senado “</w:t>
      </w:r>
      <w:r w:rsidR="00AE1D51" w:rsidRPr="00C63647">
        <w:rPr>
          <w:rFonts w:ascii="Century Gothic" w:hAnsi="Century Gothic"/>
          <w:b/>
          <w:bCs/>
          <w:lang w:val="es-MX"/>
        </w:rPr>
        <w:t>Por medio del cual se dictan medidas para reconocer, prevenir y sancionar violencia vicaria como una manifestación de violencia de género y se dictan otras disposiciones. "Ley Gabriel Esteban".</w:t>
      </w:r>
    </w:p>
    <w:p w14:paraId="6E35FB42" w14:textId="77777777" w:rsidR="00AE1D51" w:rsidRPr="00C63647" w:rsidRDefault="00AE1D51" w:rsidP="00AE1D51">
      <w:pPr>
        <w:spacing w:line="276" w:lineRule="auto"/>
        <w:jc w:val="both"/>
        <w:rPr>
          <w:rFonts w:ascii="Century Gothic" w:hAnsi="Century Gothic"/>
          <w:lang w:val="es-MX"/>
        </w:rPr>
      </w:pPr>
    </w:p>
    <w:p w14:paraId="0E74B862" w14:textId="597C0F54" w:rsidR="00FC4F37" w:rsidRPr="00C63647" w:rsidRDefault="00FC4F37" w:rsidP="00AE1D51">
      <w:pPr>
        <w:pStyle w:val="Prrafodelista"/>
        <w:numPr>
          <w:ilvl w:val="0"/>
          <w:numId w:val="1"/>
        </w:numPr>
        <w:spacing w:line="276" w:lineRule="auto"/>
        <w:jc w:val="both"/>
        <w:rPr>
          <w:rFonts w:ascii="Century Gothic" w:hAnsi="Century Gothic"/>
          <w:b/>
          <w:lang w:val="es-MX"/>
        </w:rPr>
      </w:pPr>
      <w:r w:rsidRPr="00C63647">
        <w:rPr>
          <w:rFonts w:ascii="Century Gothic" w:hAnsi="Century Gothic"/>
          <w:b/>
          <w:lang w:val="es-MX"/>
        </w:rPr>
        <w:t>OBJETO</w:t>
      </w:r>
      <w:r w:rsidR="00C448E5" w:rsidRPr="00C63647">
        <w:rPr>
          <w:rFonts w:ascii="Century Gothic" w:hAnsi="Century Gothic"/>
          <w:b/>
          <w:lang w:val="es-MX"/>
        </w:rPr>
        <w:t>.</w:t>
      </w:r>
      <w:r w:rsidRPr="00C63647">
        <w:rPr>
          <w:rFonts w:ascii="Century Gothic" w:hAnsi="Century Gothic"/>
          <w:b/>
          <w:lang w:val="es-MX"/>
        </w:rPr>
        <w:t xml:space="preserve"> </w:t>
      </w:r>
    </w:p>
    <w:p w14:paraId="2ED2389B" w14:textId="2AC5C2EC" w:rsidR="00FC4F37" w:rsidRPr="00C63647" w:rsidRDefault="00FC4F37" w:rsidP="00980CBD">
      <w:pPr>
        <w:pStyle w:val="Prrafodelista"/>
        <w:numPr>
          <w:ilvl w:val="0"/>
          <w:numId w:val="1"/>
        </w:numPr>
        <w:spacing w:line="276" w:lineRule="auto"/>
        <w:ind w:right="474"/>
        <w:rPr>
          <w:rFonts w:ascii="Century Gothic" w:hAnsi="Century Gothic"/>
          <w:b/>
          <w:lang w:val="es-MX"/>
        </w:rPr>
      </w:pPr>
      <w:r w:rsidRPr="00C63647">
        <w:rPr>
          <w:rFonts w:ascii="Century Gothic" w:hAnsi="Century Gothic"/>
          <w:b/>
          <w:lang w:val="es-MX"/>
        </w:rPr>
        <w:t>TRÁMITE DEL PROYECTO</w:t>
      </w:r>
      <w:r w:rsidR="00C448E5" w:rsidRPr="00C63647">
        <w:rPr>
          <w:rFonts w:ascii="Century Gothic" w:hAnsi="Century Gothic"/>
          <w:b/>
          <w:lang w:val="es-MX"/>
        </w:rPr>
        <w:t>.</w:t>
      </w:r>
      <w:r w:rsidRPr="00C63647">
        <w:rPr>
          <w:rFonts w:ascii="Century Gothic" w:hAnsi="Century Gothic"/>
          <w:b/>
          <w:lang w:val="es-MX"/>
        </w:rPr>
        <w:t xml:space="preserve"> </w:t>
      </w:r>
    </w:p>
    <w:p w14:paraId="51D26434" w14:textId="7FD3AA3A" w:rsidR="00FC4F37" w:rsidRPr="00C63647" w:rsidRDefault="00FC4F37" w:rsidP="00980CBD">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JUSTIFICACIÓN</w:t>
      </w:r>
      <w:r w:rsidR="00C448E5" w:rsidRPr="00C63647">
        <w:rPr>
          <w:rFonts w:ascii="Century Gothic" w:hAnsi="Century Gothic"/>
          <w:b/>
          <w:bCs/>
          <w:lang w:val="es-MX"/>
        </w:rPr>
        <w:t>.</w:t>
      </w:r>
      <w:r w:rsidRPr="00C63647">
        <w:rPr>
          <w:rFonts w:ascii="Century Gothic" w:hAnsi="Century Gothic"/>
          <w:b/>
          <w:bCs/>
          <w:lang w:val="es-MX"/>
        </w:rPr>
        <w:t xml:space="preserve"> </w:t>
      </w:r>
    </w:p>
    <w:p w14:paraId="0F5B0D30" w14:textId="763672BF" w:rsidR="00FC4F37" w:rsidRPr="00C63647" w:rsidRDefault="00FC4F37" w:rsidP="00980CBD">
      <w:pPr>
        <w:pStyle w:val="Prrafodelista"/>
        <w:numPr>
          <w:ilvl w:val="0"/>
          <w:numId w:val="1"/>
        </w:numPr>
        <w:spacing w:line="276" w:lineRule="auto"/>
        <w:ind w:right="474"/>
        <w:rPr>
          <w:rFonts w:ascii="Century Gothic" w:hAnsi="Century Gothic"/>
          <w:b/>
          <w:lang w:val="es-MX"/>
        </w:rPr>
      </w:pPr>
      <w:r w:rsidRPr="00C63647">
        <w:rPr>
          <w:rFonts w:ascii="Century Gothic" w:hAnsi="Century Gothic"/>
          <w:b/>
          <w:lang w:val="es-MX"/>
        </w:rPr>
        <w:t>PLIEGO DE MODIFICACIONES</w:t>
      </w:r>
      <w:r w:rsidR="00C448E5" w:rsidRPr="00C63647">
        <w:rPr>
          <w:rFonts w:ascii="Century Gothic" w:hAnsi="Century Gothic"/>
          <w:b/>
          <w:lang w:val="es-MX"/>
        </w:rPr>
        <w:t>.</w:t>
      </w:r>
    </w:p>
    <w:p w14:paraId="3315AC4D" w14:textId="21DCF702" w:rsidR="00FC4F37" w:rsidRPr="00C63647" w:rsidRDefault="00FC4F37" w:rsidP="00980CBD">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IMPACTO FISCAL</w:t>
      </w:r>
      <w:r w:rsidR="00C448E5" w:rsidRPr="00C63647">
        <w:rPr>
          <w:rFonts w:ascii="Century Gothic" w:hAnsi="Century Gothic"/>
          <w:b/>
          <w:bCs/>
          <w:lang w:val="es-MX"/>
        </w:rPr>
        <w:t>.</w:t>
      </w:r>
    </w:p>
    <w:p w14:paraId="617FD2D9" w14:textId="34FCD7AD" w:rsidR="00FC4F37" w:rsidRPr="00C63647" w:rsidRDefault="00FC4F37" w:rsidP="00980CBD">
      <w:pPr>
        <w:pStyle w:val="Prrafodelista"/>
        <w:numPr>
          <w:ilvl w:val="0"/>
          <w:numId w:val="1"/>
        </w:numPr>
        <w:spacing w:line="276" w:lineRule="auto"/>
        <w:ind w:right="474"/>
        <w:rPr>
          <w:rFonts w:ascii="Century Gothic" w:hAnsi="Century Gothic"/>
          <w:b/>
          <w:lang w:val="es-MX"/>
        </w:rPr>
      </w:pPr>
      <w:r w:rsidRPr="00C63647">
        <w:rPr>
          <w:rFonts w:ascii="Century Gothic" w:hAnsi="Century Gothic"/>
          <w:b/>
          <w:lang w:val="es-MX"/>
        </w:rPr>
        <w:t>CONFLICTOS DE INTERÉS</w:t>
      </w:r>
    </w:p>
    <w:p w14:paraId="7FC8B69B" w14:textId="62EADA6B" w:rsidR="00FC4F37" w:rsidRPr="00C63647" w:rsidRDefault="00C448E5" w:rsidP="00980CBD">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PROPOSICIÓN.</w:t>
      </w:r>
    </w:p>
    <w:p w14:paraId="5212481A" w14:textId="363A50A9" w:rsidR="00FC4F37" w:rsidRPr="00C63647" w:rsidRDefault="00FC4F37" w:rsidP="00980CBD">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TEXTO PROPUESTO PARA PRIMER DEBATE CÁMARA</w:t>
      </w:r>
      <w:r w:rsidR="00C448E5" w:rsidRPr="00C63647">
        <w:rPr>
          <w:rFonts w:ascii="Century Gothic" w:hAnsi="Century Gothic"/>
          <w:b/>
          <w:bCs/>
          <w:lang w:val="es-MX"/>
        </w:rPr>
        <w:t xml:space="preserve"> DE REPRESENTANTES. </w:t>
      </w:r>
    </w:p>
    <w:p w14:paraId="6342A304" w14:textId="77777777" w:rsidR="00FC4F37" w:rsidRPr="00C63647" w:rsidRDefault="00FC4F37" w:rsidP="001310A4">
      <w:pPr>
        <w:jc w:val="both"/>
        <w:rPr>
          <w:rFonts w:ascii="Century Gothic" w:hAnsi="Century Gothic"/>
        </w:rPr>
      </w:pPr>
    </w:p>
    <w:p w14:paraId="07B43C7E" w14:textId="77777777" w:rsidR="001310A4" w:rsidRPr="00C63647" w:rsidRDefault="001310A4" w:rsidP="001310A4">
      <w:pPr>
        <w:jc w:val="both"/>
        <w:rPr>
          <w:rFonts w:ascii="Century Gothic" w:hAnsi="Century Gothic"/>
        </w:rPr>
      </w:pPr>
      <w:r w:rsidRPr="00C63647">
        <w:rPr>
          <w:rFonts w:ascii="Century Gothic" w:hAnsi="Century Gothic"/>
        </w:rPr>
        <w:t>Cordialmente,</w:t>
      </w:r>
    </w:p>
    <w:p w14:paraId="2E16741E" w14:textId="77777777" w:rsidR="009C485B" w:rsidRPr="00C63647" w:rsidRDefault="009C485B" w:rsidP="001310A4">
      <w:pPr>
        <w:jc w:val="both"/>
        <w:rPr>
          <w:rFonts w:ascii="Century Gothic" w:hAnsi="Century Gothic"/>
        </w:rPr>
      </w:pPr>
    </w:p>
    <w:p w14:paraId="7A007261" w14:textId="77777777" w:rsidR="009D1F4D" w:rsidRPr="00C63647" w:rsidRDefault="009D1F4D" w:rsidP="001310A4">
      <w:pPr>
        <w:jc w:val="both"/>
        <w:rPr>
          <w:rFonts w:ascii="Century Gothic" w:hAnsi="Century Gothic"/>
        </w:rPr>
      </w:pPr>
    </w:p>
    <w:tbl>
      <w:tblPr>
        <w:tblStyle w:val="Tablaconcuadrcul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310A4" w:rsidRPr="00C63647" w14:paraId="0B38745D" w14:textId="77777777" w:rsidTr="002A34A2">
        <w:tc>
          <w:tcPr>
            <w:tcW w:w="4678" w:type="dxa"/>
            <w:vAlign w:val="bottom"/>
          </w:tcPr>
          <w:p w14:paraId="2C35DEA0" w14:textId="6C545D14" w:rsidR="001310A4" w:rsidRPr="00C63647" w:rsidRDefault="001310A4" w:rsidP="00FC4F37">
            <w:pPr>
              <w:spacing w:line="360" w:lineRule="auto"/>
              <w:ind w:left="41" w:right="29"/>
              <w:jc w:val="center"/>
              <w:rPr>
                <w:rFonts w:ascii="Century Gothic" w:hAnsi="Century Gothic"/>
                <w:b/>
                <w:lang w:val="es-MX"/>
              </w:rPr>
            </w:pPr>
            <w:r w:rsidRPr="00C63647">
              <w:rPr>
                <w:rFonts w:ascii="Century Gothic" w:eastAsia="Times New Roman" w:hAnsi="Century Gothic" w:cs="Times New Roman"/>
                <w:b/>
                <w:lang w:eastAsia="es-CO"/>
              </w:rPr>
              <w:t>H.R. </w:t>
            </w:r>
            <w:hyperlink r:id="rId11" w:tgtFrame="_blank" w:history="1">
              <w:r w:rsidRPr="00C63647">
                <w:rPr>
                  <w:rFonts w:ascii="Century Gothic" w:eastAsia="Times New Roman" w:hAnsi="Century Gothic" w:cs="Times New Roman"/>
                  <w:b/>
                  <w:lang w:eastAsia="es-CO"/>
                </w:rPr>
                <w:t>DELCY E. ISAZA BUENAVENTURA</w:t>
              </w:r>
            </w:hyperlink>
            <w:r w:rsidRPr="00C63647">
              <w:rPr>
                <w:rFonts w:ascii="Century Gothic" w:eastAsia="Times New Roman" w:hAnsi="Century Gothic" w:cs="Times New Roman"/>
                <w:b/>
                <w:lang w:eastAsia="es-CO"/>
              </w:rPr>
              <w:br/>
              <w:t>PONENTE COORDINADORA</w:t>
            </w:r>
          </w:p>
        </w:tc>
        <w:tc>
          <w:tcPr>
            <w:tcW w:w="4678" w:type="dxa"/>
            <w:vAlign w:val="bottom"/>
          </w:tcPr>
          <w:p w14:paraId="29AA7432" w14:textId="4A7038E8" w:rsidR="00335588" w:rsidRPr="00C63647" w:rsidRDefault="00335588" w:rsidP="00344631">
            <w:pPr>
              <w:spacing w:line="360" w:lineRule="auto"/>
              <w:ind w:left="42" w:right="40"/>
              <w:jc w:val="center"/>
              <w:rPr>
                <w:rFonts w:ascii="Century Gothic" w:hAnsi="Century Gothic"/>
                <w:b/>
                <w:lang w:val="es-MX"/>
              </w:rPr>
            </w:pPr>
            <w:r w:rsidRPr="00C63647">
              <w:rPr>
                <w:rFonts w:ascii="Century Gothic" w:eastAsia="Times New Roman" w:hAnsi="Century Gothic" w:cs="Times New Roman"/>
                <w:b/>
                <w:lang w:eastAsia="es-CO"/>
              </w:rPr>
              <w:br/>
            </w:r>
            <w:r w:rsidR="001310A4" w:rsidRPr="00C63647">
              <w:rPr>
                <w:rFonts w:ascii="Century Gothic" w:eastAsia="Times New Roman" w:hAnsi="Century Gothic" w:cs="Times New Roman"/>
                <w:b/>
                <w:lang w:eastAsia="es-CO"/>
              </w:rPr>
              <w:t>H.R. </w:t>
            </w:r>
            <w:hyperlink r:id="rId12" w:tgtFrame="_blank" w:history="1">
              <w:r w:rsidR="001310A4" w:rsidRPr="00C63647">
                <w:rPr>
                  <w:rFonts w:ascii="Century Gothic" w:eastAsia="Times New Roman" w:hAnsi="Century Gothic" w:cs="Times New Roman"/>
                  <w:b/>
                  <w:lang w:eastAsia="es-CO"/>
                </w:rPr>
                <w:t>ADRIANA CAROLINA ARBELÁEZ</w:t>
              </w:r>
              <w:r w:rsidR="00DA3547" w:rsidRPr="00C63647">
                <w:rPr>
                  <w:rFonts w:ascii="Century Gothic" w:eastAsia="Times New Roman" w:hAnsi="Century Gothic" w:cs="Times New Roman"/>
                  <w:b/>
                  <w:lang w:eastAsia="es-CO"/>
                </w:rPr>
                <w:t xml:space="preserve"> </w:t>
              </w:r>
              <w:r w:rsidR="001310A4" w:rsidRPr="00C63647">
                <w:rPr>
                  <w:rFonts w:ascii="Century Gothic" w:eastAsia="Times New Roman" w:hAnsi="Century Gothic" w:cs="Times New Roman"/>
                  <w:b/>
                  <w:lang w:eastAsia="es-CO"/>
                </w:rPr>
                <w:t>G</w:t>
              </w:r>
            </w:hyperlink>
            <w:r w:rsidR="001310A4" w:rsidRPr="00C63647">
              <w:rPr>
                <w:rFonts w:ascii="Century Gothic" w:eastAsia="Times New Roman" w:hAnsi="Century Gothic" w:cs="Times New Roman"/>
                <w:b/>
                <w:lang w:eastAsia="es-CO"/>
              </w:rPr>
              <w:br/>
            </w:r>
            <w:r w:rsidR="001310A4" w:rsidRPr="00C63647">
              <w:rPr>
                <w:rFonts w:ascii="Century Gothic" w:hAnsi="Century Gothic"/>
                <w:b/>
                <w:lang w:val="es-MX"/>
              </w:rPr>
              <w:t>PONENTE</w:t>
            </w:r>
          </w:p>
        </w:tc>
      </w:tr>
      <w:tr w:rsidR="001310A4" w:rsidRPr="00C63647" w14:paraId="6CAC9536" w14:textId="77777777" w:rsidTr="002A34A2">
        <w:tc>
          <w:tcPr>
            <w:tcW w:w="4678" w:type="dxa"/>
            <w:vAlign w:val="bottom"/>
          </w:tcPr>
          <w:p w14:paraId="3D388327" w14:textId="77777777" w:rsidR="00335588" w:rsidRPr="00C63647" w:rsidRDefault="00335588" w:rsidP="00FC4F37">
            <w:pPr>
              <w:spacing w:line="360" w:lineRule="auto"/>
              <w:ind w:left="41" w:right="29"/>
              <w:jc w:val="center"/>
              <w:rPr>
                <w:rFonts w:ascii="Century Gothic" w:eastAsia="Times New Roman" w:hAnsi="Century Gothic" w:cs="Times New Roman"/>
                <w:b/>
                <w:lang w:eastAsia="es-CO"/>
              </w:rPr>
            </w:pPr>
          </w:p>
          <w:p w14:paraId="726B75CF" w14:textId="263F7ABD" w:rsidR="001310A4" w:rsidRPr="00C63647" w:rsidRDefault="001310A4" w:rsidP="00FC4F37">
            <w:pPr>
              <w:spacing w:line="360" w:lineRule="auto"/>
              <w:ind w:left="41" w:right="29"/>
              <w:jc w:val="center"/>
              <w:rPr>
                <w:rFonts w:ascii="Century Gothic" w:hAnsi="Century Gothic"/>
                <w:b/>
                <w:lang w:val="es-MX"/>
              </w:rPr>
            </w:pPr>
            <w:r w:rsidRPr="00C63647">
              <w:rPr>
                <w:rFonts w:ascii="Century Gothic" w:eastAsia="Times New Roman" w:hAnsi="Century Gothic" w:cs="Times New Roman"/>
                <w:b/>
                <w:lang w:eastAsia="es-CO"/>
              </w:rPr>
              <w:br/>
            </w:r>
            <w:r w:rsidRPr="00C63647">
              <w:rPr>
                <w:rFonts w:ascii="Century Gothic" w:eastAsia="Times New Roman" w:hAnsi="Century Gothic" w:cs="Times New Roman"/>
                <w:b/>
                <w:lang w:eastAsia="es-CO"/>
              </w:rPr>
              <w:br/>
              <w:t>H.R. </w:t>
            </w:r>
            <w:hyperlink r:id="rId13" w:tgtFrame="_blank" w:history="1">
              <w:r w:rsidRPr="00C63647">
                <w:rPr>
                  <w:rFonts w:ascii="Century Gothic" w:eastAsia="Times New Roman" w:hAnsi="Century Gothic" w:cs="Times New Roman"/>
                  <w:b/>
                  <w:lang w:eastAsia="es-CO"/>
                </w:rPr>
                <w:t>KARYME ADRANA COTES MARTÍNEZ</w:t>
              </w:r>
            </w:hyperlink>
            <w:r w:rsidRPr="00C63647">
              <w:rPr>
                <w:rFonts w:ascii="Century Gothic" w:eastAsia="Times New Roman" w:hAnsi="Century Gothic" w:cs="Times New Roman"/>
                <w:b/>
                <w:lang w:eastAsia="es-CO"/>
              </w:rPr>
              <w:br/>
              <w:t>PONENTE</w:t>
            </w:r>
          </w:p>
        </w:tc>
        <w:tc>
          <w:tcPr>
            <w:tcW w:w="4678" w:type="dxa"/>
            <w:vAlign w:val="bottom"/>
          </w:tcPr>
          <w:p w14:paraId="5EC1EB0F" w14:textId="77777777" w:rsidR="00DA3547" w:rsidRPr="00C63647" w:rsidRDefault="00DA3547" w:rsidP="00FC4F37">
            <w:pPr>
              <w:spacing w:line="360" w:lineRule="auto"/>
              <w:ind w:left="42" w:right="40"/>
              <w:jc w:val="center"/>
              <w:rPr>
                <w:rFonts w:ascii="Century Gothic" w:eastAsia="Times New Roman" w:hAnsi="Century Gothic" w:cs="Times New Roman"/>
                <w:b/>
                <w:lang w:eastAsia="es-CO"/>
              </w:rPr>
            </w:pPr>
          </w:p>
          <w:p w14:paraId="1F937AF1" w14:textId="77E36208" w:rsidR="001310A4" w:rsidRPr="00C63647" w:rsidRDefault="00335588" w:rsidP="00FC4F37">
            <w:pPr>
              <w:spacing w:line="360" w:lineRule="auto"/>
              <w:ind w:left="42" w:right="40"/>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t>H</w:t>
            </w:r>
            <w:r w:rsidR="001310A4" w:rsidRPr="00C63647">
              <w:rPr>
                <w:rFonts w:ascii="Century Gothic" w:eastAsia="Times New Roman" w:hAnsi="Century Gothic" w:cs="Times New Roman"/>
                <w:b/>
                <w:lang w:eastAsia="es-CO"/>
              </w:rPr>
              <w:t>.R. </w:t>
            </w:r>
            <w:hyperlink r:id="rId14" w:tgtFrame="_blank" w:history="1">
              <w:r w:rsidR="001310A4" w:rsidRPr="00C63647">
                <w:rPr>
                  <w:rFonts w:ascii="Century Gothic" w:eastAsia="Times New Roman" w:hAnsi="Century Gothic" w:cs="Times New Roman"/>
                  <w:b/>
                  <w:lang w:eastAsia="es-CO"/>
                </w:rPr>
                <w:t>ANA PAOLA GARCÍA SOTO</w:t>
              </w:r>
            </w:hyperlink>
          </w:p>
          <w:p w14:paraId="77E02306" w14:textId="77777777" w:rsidR="001310A4" w:rsidRPr="00C63647" w:rsidRDefault="001310A4" w:rsidP="00FC4F37">
            <w:pPr>
              <w:spacing w:line="360" w:lineRule="auto"/>
              <w:ind w:left="42" w:right="40"/>
              <w:jc w:val="center"/>
              <w:rPr>
                <w:rFonts w:ascii="Century Gothic" w:hAnsi="Century Gothic"/>
                <w:b/>
                <w:lang w:val="es-MX"/>
              </w:rPr>
            </w:pPr>
            <w:r w:rsidRPr="00C63647">
              <w:rPr>
                <w:rFonts w:ascii="Century Gothic" w:hAnsi="Century Gothic"/>
                <w:b/>
                <w:lang w:val="es-MX"/>
              </w:rPr>
              <w:t>PONENTE</w:t>
            </w:r>
          </w:p>
        </w:tc>
      </w:tr>
      <w:tr w:rsidR="001310A4" w:rsidRPr="00C63647" w14:paraId="5462E29C" w14:textId="77777777" w:rsidTr="002A34A2">
        <w:tc>
          <w:tcPr>
            <w:tcW w:w="4678" w:type="dxa"/>
            <w:vAlign w:val="bottom"/>
          </w:tcPr>
          <w:p w14:paraId="58120F52" w14:textId="77777777" w:rsidR="00335588" w:rsidRPr="00C63647" w:rsidRDefault="001310A4" w:rsidP="00FC4F37">
            <w:pPr>
              <w:spacing w:line="360" w:lineRule="auto"/>
              <w:ind w:left="41" w:right="29"/>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br/>
            </w:r>
          </w:p>
          <w:p w14:paraId="0AF26ADE" w14:textId="2425E906" w:rsidR="002A34A2" w:rsidRPr="00C63647" w:rsidRDefault="002A34A2" w:rsidP="00FC4F37">
            <w:pPr>
              <w:spacing w:line="360" w:lineRule="auto"/>
              <w:ind w:left="41" w:right="29"/>
              <w:jc w:val="center"/>
              <w:rPr>
                <w:rFonts w:ascii="Century Gothic" w:eastAsia="Times New Roman" w:hAnsi="Century Gothic" w:cs="Times New Roman"/>
                <w:b/>
                <w:lang w:eastAsia="es-CO"/>
              </w:rPr>
            </w:pPr>
          </w:p>
          <w:p w14:paraId="7545A29F" w14:textId="77777777" w:rsidR="002A34A2" w:rsidRPr="00C63647" w:rsidRDefault="002A34A2" w:rsidP="00FC4F37">
            <w:pPr>
              <w:spacing w:line="360" w:lineRule="auto"/>
              <w:ind w:left="41" w:right="29"/>
              <w:jc w:val="center"/>
              <w:rPr>
                <w:rFonts w:ascii="Century Gothic" w:eastAsia="Times New Roman" w:hAnsi="Century Gothic" w:cs="Times New Roman"/>
                <w:b/>
                <w:lang w:eastAsia="es-CO"/>
              </w:rPr>
            </w:pPr>
          </w:p>
          <w:p w14:paraId="6DD9EDDC" w14:textId="77777777" w:rsidR="00AE1D51" w:rsidRPr="00C63647" w:rsidRDefault="00AE1D51" w:rsidP="00FC4F37">
            <w:pPr>
              <w:spacing w:line="360" w:lineRule="auto"/>
              <w:ind w:left="41" w:right="29"/>
              <w:jc w:val="center"/>
              <w:rPr>
                <w:rFonts w:ascii="Century Gothic" w:eastAsia="Times New Roman" w:hAnsi="Century Gothic" w:cs="Times New Roman"/>
                <w:b/>
                <w:lang w:eastAsia="es-CO"/>
              </w:rPr>
            </w:pPr>
          </w:p>
          <w:p w14:paraId="451045B7" w14:textId="77777777" w:rsidR="00AE1D51" w:rsidRPr="00C63647" w:rsidRDefault="00AE1D51" w:rsidP="00FC4F37">
            <w:pPr>
              <w:spacing w:line="360" w:lineRule="auto"/>
              <w:ind w:left="41" w:right="29"/>
              <w:jc w:val="center"/>
              <w:rPr>
                <w:rFonts w:ascii="Century Gothic" w:eastAsia="Times New Roman" w:hAnsi="Century Gothic" w:cs="Times New Roman"/>
                <w:b/>
                <w:lang w:eastAsia="es-CO"/>
              </w:rPr>
            </w:pPr>
          </w:p>
          <w:p w14:paraId="7BB6228D" w14:textId="10FA8178" w:rsidR="001310A4" w:rsidRPr="00C63647" w:rsidRDefault="001310A4" w:rsidP="00FC4F37">
            <w:pPr>
              <w:spacing w:line="360" w:lineRule="auto"/>
              <w:ind w:left="41" w:right="29"/>
              <w:jc w:val="center"/>
              <w:rPr>
                <w:rFonts w:ascii="Century Gothic" w:hAnsi="Century Gothic"/>
                <w:b/>
                <w:lang w:val="es-MX"/>
              </w:rPr>
            </w:pPr>
            <w:r w:rsidRPr="00C63647">
              <w:rPr>
                <w:rFonts w:ascii="Century Gothic" w:eastAsia="Times New Roman" w:hAnsi="Century Gothic" w:cs="Times New Roman"/>
                <w:b/>
                <w:lang w:eastAsia="es-CO"/>
              </w:rPr>
              <w:t>H.R. </w:t>
            </w:r>
            <w:hyperlink r:id="rId15" w:tgtFrame="_blank" w:history="1">
              <w:r w:rsidRPr="00C63647">
                <w:rPr>
                  <w:rFonts w:ascii="Century Gothic" w:eastAsia="Times New Roman" w:hAnsi="Century Gothic" w:cs="Times New Roman"/>
                  <w:b/>
                  <w:lang w:eastAsia="es-CO"/>
                </w:rPr>
                <w:t>MARELEN CASTILLO TORRES</w:t>
              </w:r>
            </w:hyperlink>
            <w:r w:rsidRPr="00C63647">
              <w:rPr>
                <w:rFonts w:ascii="Century Gothic" w:eastAsia="Times New Roman" w:hAnsi="Century Gothic" w:cs="Times New Roman"/>
                <w:b/>
                <w:lang w:eastAsia="es-CO"/>
              </w:rPr>
              <w:br/>
              <w:t>PONENTE</w:t>
            </w:r>
          </w:p>
        </w:tc>
        <w:tc>
          <w:tcPr>
            <w:tcW w:w="4678" w:type="dxa"/>
            <w:vAlign w:val="bottom"/>
          </w:tcPr>
          <w:p w14:paraId="791EB4BF" w14:textId="77777777" w:rsidR="002A34A2" w:rsidRPr="00C63647" w:rsidRDefault="002A34A2" w:rsidP="00980CBD">
            <w:pPr>
              <w:spacing w:line="360" w:lineRule="auto"/>
              <w:ind w:right="40"/>
              <w:jc w:val="center"/>
              <w:rPr>
                <w:rFonts w:ascii="Century Gothic" w:eastAsia="Times New Roman" w:hAnsi="Century Gothic" w:cs="Times New Roman"/>
                <w:b/>
                <w:lang w:eastAsia="es-CO"/>
              </w:rPr>
            </w:pPr>
          </w:p>
          <w:p w14:paraId="32F3369C" w14:textId="77777777" w:rsidR="002A34A2" w:rsidRPr="00C63647" w:rsidRDefault="002A34A2" w:rsidP="00980CBD">
            <w:pPr>
              <w:spacing w:line="360" w:lineRule="auto"/>
              <w:ind w:right="40"/>
              <w:jc w:val="center"/>
              <w:rPr>
                <w:rFonts w:ascii="Century Gothic" w:eastAsia="Times New Roman" w:hAnsi="Century Gothic" w:cs="Times New Roman"/>
                <w:b/>
                <w:lang w:eastAsia="es-CO"/>
              </w:rPr>
            </w:pPr>
          </w:p>
          <w:p w14:paraId="2F26A8E1" w14:textId="77777777" w:rsidR="002A34A2" w:rsidRPr="00C63647" w:rsidRDefault="002A34A2" w:rsidP="00980CBD">
            <w:pPr>
              <w:spacing w:line="360" w:lineRule="auto"/>
              <w:ind w:right="40"/>
              <w:jc w:val="center"/>
              <w:rPr>
                <w:rFonts w:ascii="Century Gothic" w:eastAsia="Times New Roman" w:hAnsi="Century Gothic" w:cs="Times New Roman"/>
                <w:b/>
                <w:lang w:eastAsia="es-CO"/>
              </w:rPr>
            </w:pPr>
          </w:p>
          <w:p w14:paraId="46959158" w14:textId="77777777" w:rsidR="00AE1D51" w:rsidRPr="00C63647" w:rsidRDefault="00AE1D51" w:rsidP="00980CBD">
            <w:pPr>
              <w:spacing w:line="360" w:lineRule="auto"/>
              <w:ind w:right="40"/>
              <w:jc w:val="center"/>
              <w:rPr>
                <w:rFonts w:ascii="Century Gothic" w:eastAsia="Times New Roman" w:hAnsi="Century Gothic" w:cs="Times New Roman"/>
                <w:b/>
                <w:lang w:eastAsia="es-CO"/>
              </w:rPr>
            </w:pPr>
          </w:p>
          <w:p w14:paraId="562583DF" w14:textId="77777777" w:rsidR="00AE1D51" w:rsidRPr="00C63647" w:rsidRDefault="00AE1D51" w:rsidP="00980CBD">
            <w:pPr>
              <w:spacing w:line="360" w:lineRule="auto"/>
              <w:ind w:right="40"/>
              <w:jc w:val="center"/>
              <w:rPr>
                <w:rFonts w:ascii="Century Gothic" w:eastAsia="Times New Roman" w:hAnsi="Century Gothic" w:cs="Times New Roman"/>
                <w:b/>
                <w:lang w:eastAsia="es-CO"/>
              </w:rPr>
            </w:pPr>
          </w:p>
          <w:p w14:paraId="2C93426B" w14:textId="77777777" w:rsidR="00AE1D51" w:rsidRPr="00C63647" w:rsidRDefault="00AE1D51" w:rsidP="00980CBD">
            <w:pPr>
              <w:spacing w:line="360" w:lineRule="auto"/>
              <w:ind w:right="40"/>
              <w:jc w:val="center"/>
              <w:rPr>
                <w:rFonts w:ascii="Century Gothic" w:eastAsia="Times New Roman" w:hAnsi="Century Gothic" w:cs="Times New Roman"/>
                <w:b/>
                <w:lang w:eastAsia="es-CO"/>
              </w:rPr>
            </w:pPr>
          </w:p>
          <w:p w14:paraId="15586C11" w14:textId="72F5AE1D" w:rsidR="001310A4" w:rsidRPr="00C63647" w:rsidRDefault="001310A4" w:rsidP="00980CBD">
            <w:pPr>
              <w:spacing w:line="360" w:lineRule="auto"/>
              <w:ind w:right="40"/>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t>H.R. </w:t>
            </w:r>
            <w:hyperlink r:id="rId16" w:tgtFrame="_blank" w:history="1">
              <w:r w:rsidRPr="00C63647">
                <w:rPr>
                  <w:rFonts w:ascii="Century Gothic" w:eastAsia="Times New Roman" w:hAnsi="Century Gothic" w:cs="Times New Roman"/>
                  <w:b/>
                  <w:lang w:eastAsia="es-CO"/>
                </w:rPr>
                <w:t>DI</w:t>
              </w:r>
              <w:r w:rsidR="00980CBD" w:rsidRPr="00C63647">
                <w:rPr>
                  <w:rFonts w:ascii="Century Gothic" w:eastAsia="Times New Roman" w:hAnsi="Century Gothic" w:cs="Times New Roman"/>
                  <w:b/>
                  <w:lang w:eastAsia="es-CO"/>
                </w:rPr>
                <w:t>O</w:t>
              </w:r>
              <w:r w:rsidRPr="00C63647">
                <w:rPr>
                  <w:rFonts w:ascii="Century Gothic" w:eastAsia="Times New Roman" w:hAnsi="Century Gothic" w:cs="Times New Roman"/>
                  <w:b/>
                  <w:lang w:eastAsia="es-CO"/>
                </w:rPr>
                <w:t>GENES QUINTERO AMAYA</w:t>
              </w:r>
            </w:hyperlink>
          </w:p>
          <w:p w14:paraId="7C3690EE" w14:textId="77777777" w:rsidR="001310A4" w:rsidRPr="00C63647" w:rsidRDefault="001310A4" w:rsidP="00FC4F37">
            <w:pPr>
              <w:spacing w:line="360" w:lineRule="auto"/>
              <w:ind w:left="42" w:right="40"/>
              <w:jc w:val="center"/>
              <w:rPr>
                <w:rFonts w:ascii="Century Gothic" w:hAnsi="Century Gothic"/>
                <w:b/>
                <w:lang w:val="es-MX"/>
              </w:rPr>
            </w:pPr>
            <w:r w:rsidRPr="00C63647">
              <w:rPr>
                <w:rFonts w:ascii="Century Gothic" w:hAnsi="Century Gothic"/>
                <w:b/>
                <w:lang w:val="es-MX"/>
              </w:rPr>
              <w:t>PONENTE</w:t>
            </w:r>
          </w:p>
        </w:tc>
      </w:tr>
      <w:tr w:rsidR="001310A4" w:rsidRPr="00C63647" w14:paraId="583379F0" w14:textId="77777777" w:rsidTr="002A34A2">
        <w:tc>
          <w:tcPr>
            <w:tcW w:w="4678" w:type="dxa"/>
            <w:vAlign w:val="bottom"/>
          </w:tcPr>
          <w:p w14:paraId="1D207109" w14:textId="13862287" w:rsidR="00DA3547" w:rsidRPr="00C63647" w:rsidRDefault="001310A4" w:rsidP="00FC4F37">
            <w:pPr>
              <w:spacing w:line="360" w:lineRule="auto"/>
              <w:ind w:left="41" w:right="29"/>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lastRenderedPageBreak/>
              <w:br/>
            </w:r>
          </w:p>
          <w:p w14:paraId="3B2BD731" w14:textId="58421B5C" w:rsidR="001310A4" w:rsidRPr="00C63647" w:rsidRDefault="00335588" w:rsidP="00FC4F37">
            <w:pPr>
              <w:spacing w:line="360" w:lineRule="auto"/>
              <w:ind w:left="41" w:right="29"/>
              <w:jc w:val="center"/>
              <w:rPr>
                <w:rFonts w:ascii="Century Gothic" w:hAnsi="Century Gothic"/>
                <w:b/>
                <w:lang w:val="es-MX"/>
              </w:rPr>
            </w:pPr>
            <w:r w:rsidRPr="00C63647">
              <w:rPr>
                <w:rFonts w:ascii="Century Gothic" w:eastAsia="Times New Roman" w:hAnsi="Century Gothic" w:cs="Times New Roman"/>
                <w:b/>
                <w:lang w:eastAsia="es-CO"/>
              </w:rPr>
              <w:br/>
            </w:r>
            <w:r w:rsidR="001310A4" w:rsidRPr="00C63647">
              <w:rPr>
                <w:rFonts w:ascii="Century Gothic" w:eastAsia="Times New Roman" w:hAnsi="Century Gothic" w:cs="Times New Roman"/>
                <w:b/>
                <w:lang w:eastAsia="es-CO"/>
              </w:rPr>
              <w:t>H.R. </w:t>
            </w:r>
            <w:hyperlink r:id="rId17" w:tgtFrame="_blank" w:history="1">
              <w:r w:rsidR="001310A4" w:rsidRPr="00C63647">
                <w:rPr>
                  <w:rFonts w:ascii="Century Gothic" w:eastAsia="Times New Roman" w:hAnsi="Century Gothic" w:cs="Times New Roman"/>
                  <w:b/>
                  <w:lang w:eastAsia="es-CO"/>
                </w:rPr>
                <w:t>HERACLITO LANDINEZ SUÁREZ</w:t>
              </w:r>
            </w:hyperlink>
            <w:r w:rsidR="001310A4" w:rsidRPr="00C63647">
              <w:rPr>
                <w:rFonts w:ascii="Century Gothic" w:eastAsia="Times New Roman" w:hAnsi="Century Gothic" w:cs="Times New Roman"/>
                <w:b/>
                <w:lang w:eastAsia="es-CO"/>
              </w:rPr>
              <w:br/>
              <w:t>PONENTE</w:t>
            </w:r>
          </w:p>
        </w:tc>
        <w:tc>
          <w:tcPr>
            <w:tcW w:w="4678" w:type="dxa"/>
            <w:vAlign w:val="bottom"/>
          </w:tcPr>
          <w:p w14:paraId="1BEB33C4" w14:textId="0B7F4612" w:rsidR="001310A4" w:rsidRPr="00C63647" w:rsidRDefault="001310A4" w:rsidP="00FC4F37">
            <w:pPr>
              <w:spacing w:line="360" w:lineRule="auto"/>
              <w:ind w:left="42" w:right="40"/>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t>H.R. </w:t>
            </w:r>
            <w:hyperlink r:id="rId18" w:tgtFrame="_blank" w:history="1">
              <w:r w:rsidRPr="00C63647">
                <w:rPr>
                  <w:rFonts w:ascii="Century Gothic" w:eastAsia="Times New Roman" w:hAnsi="Century Gothic" w:cs="Times New Roman"/>
                  <w:b/>
                  <w:lang w:eastAsia="es-CO"/>
                </w:rPr>
                <w:t>JOSÉ JAI</w:t>
              </w:r>
              <w:r w:rsidR="00FC4F37" w:rsidRPr="00C63647">
                <w:rPr>
                  <w:rFonts w:ascii="Century Gothic" w:eastAsia="Times New Roman" w:hAnsi="Century Gothic" w:cs="Times New Roman"/>
                  <w:b/>
                  <w:lang w:eastAsia="es-CO"/>
                </w:rPr>
                <w:t>M</w:t>
              </w:r>
              <w:r w:rsidRPr="00C63647">
                <w:rPr>
                  <w:rFonts w:ascii="Century Gothic" w:eastAsia="Times New Roman" w:hAnsi="Century Gothic" w:cs="Times New Roman"/>
                  <w:b/>
                  <w:lang w:eastAsia="es-CO"/>
                </w:rPr>
                <w:t>E USCÁTEGUI PASTRANA</w:t>
              </w:r>
            </w:hyperlink>
          </w:p>
          <w:p w14:paraId="292DAC30" w14:textId="77777777" w:rsidR="001310A4" w:rsidRPr="00C63647" w:rsidRDefault="001310A4" w:rsidP="00FC4F37">
            <w:pPr>
              <w:spacing w:line="360" w:lineRule="auto"/>
              <w:ind w:left="42" w:right="40"/>
              <w:jc w:val="center"/>
              <w:rPr>
                <w:rFonts w:ascii="Century Gothic" w:hAnsi="Century Gothic"/>
                <w:b/>
                <w:lang w:val="es-MX"/>
              </w:rPr>
            </w:pPr>
            <w:r w:rsidRPr="00C63647">
              <w:rPr>
                <w:rFonts w:ascii="Century Gothic" w:hAnsi="Century Gothic"/>
                <w:b/>
                <w:lang w:val="es-MX"/>
              </w:rPr>
              <w:t>PONENTE</w:t>
            </w:r>
          </w:p>
        </w:tc>
      </w:tr>
      <w:tr w:rsidR="001310A4" w:rsidRPr="00C63647" w14:paraId="7E8FD063" w14:textId="77777777" w:rsidTr="002A34A2">
        <w:tc>
          <w:tcPr>
            <w:tcW w:w="4678" w:type="dxa"/>
            <w:vAlign w:val="bottom"/>
          </w:tcPr>
          <w:p w14:paraId="452C8E15" w14:textId="1AF33B92" w:rsidR="001310A4" w:rsidRPr="00C63647" w:rsidRDefault="001310A4" w:rsidP="00FC4F37">
            <w:pPr>
              <w:spacing w:line="360" w:lineRule="auto"/>
              <w:ind w:left="41" w:right="29"/>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t>H.R. </w:t>
            </w:r>
            <w:hyperlink r:id="rId19" w:tgtFrame="_blank" w:history="1">
              <w:r w:rsidRPr="00C63647">
                <w:rPr>
                  <w:rFonts w:ascii="Century Gothic" w:eastAsia="Times New Roman" w:hAnsi="Century Gothic" w:cs="Times New Roman"/>
                  <w:b/>
                  <w:lang w:eastAsia="es-CO"/>
                </w:rPr>
                <w:t>CATHERINE JUVINAO CLAVIJO</w:t>
              </w:r>
            </w:hyperlink>
            <w:r w:rsidRPr="00C63647">
              <w:rPr>
                <w:rFonts w:ascii="Century Gothic" w:eastAsia="Times New Roman" w:hAnsi="Century Gothic" w:cs="Times New Roman"/>
                <w:b/>
                <w:lang w:eastAsia="es-CO"/>
              </w:rPr>
              <w:br/>
              <w:t>PONENTE</w:t>
            </w:r>
          </w:p>
        </w:tc>
        <w:tc>
          <w:tcPr>
            <w:tcW w:w="4678" w:type="dxa"/>
            <w:vAlign w:val="bottom"/>
          </w:tcPr>
          <w:p w14:paraId="4D120A2C" w14:textId="77777777" w:rsidR="0033553A" w:rsidRPr="00C63647" w:rsidRDefault="0033553A" w:rsidP="00980CBD">
            <w:pPr>
              <w:spacing w:after="160" w:line="360" w:lineRule="auto"/>
              <w:ind w:right="40"/>
              <w:jc w:val="center"/>
              <w:rPr>
                <w:rFonts w:ascii="Century Gothic" w:eastAsia="Times New Roman" w:hAnsi="Century Gothic" w:cs="Times New Roman"/>
                <w:b/>
                <w:lang w:eastAsia="es-CO"/>
              </w:rPr>
            </w:pPr>
          </w:p>
          <w:p w14:paraId="1FB38A23" w14:textId="77777777" w:rsidR="0033553A" w:rsidRPr="00C63647" w:rsidRDefault="00980CBD" w:rsidP="00980CBD">
            <w:pPr>
              <w:spacing w:after="160" w:line="360" w:lineRule="auto"/>
              <w:ind w:right="40"/>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br/>
            </w:r>
          </w:p>
          <w:p w14:paraId="765D90FA" w14:textId="481D1B77" w:rsidR="001310A4" w:rsidRPr="00C63647" w:rsidRDefault="001310A4" w:rsidP="00980CBD">
            <w:pPr>
              <w:spacing w:after="160" w:line="360" w:lineRule="auto"/>
              <w:ind w:right="40"/>
              <w:jc w:val="center"/>
              <w:rPr>
                <w:rFonts w:ascii="Century Gothic" w:eastAsia="Times New Roman" w:hAnsi="Century Gothic" w:cs="Times New Roman"/>
                <w:b/>
                <w:lang w:eastAsia="es-CO"/>
              </w:rPr>
            </w:pPr>
            <w:r w:rsidRPr="00C63647">
              <w:rPr>
                <w:rFonts w:ascii="Century Gothic" w:eastAsia="Times New Roman" w:hAnsi="Century Gothic" w:cs="Times New Roman"/>
                <w:b/>
                <w:lang w:eastAsia="es-CO"/>
              </w:rPr>
              <w:t>H.R LUIS ALBERTO ALBÁN URBANO</w:t>
            </w:r>
            <w:r w:rsidRPr="00C63647">
              <w:rPr>
                <w:rFonts w:ascii="Century Gothic" w:eastAsia="Times New Roman" w:hAnsi="Century Gothic" w:cs="Times New Roman"/>
                <w:b/>
                <w:lang w:eastAsia="es-CO"/>
              </w:rPr>
              <w:br/>
              <w:t>PONENTE</w:t>
            </w:r>
          </w:p>
        </w:tc>
      </w:tr>
    </w:tbl>
    <w:p w14:paraId="6E3A52AF" w14:textId="77777777" w:rsidR="001310A4" w:rsidRPr="00C63647" w:rsidRDefault="001310A4" w:rsidP="001310A4">
      <w:pPr>
        <w:ind w:right="474"/>
        <w:rPr>
          <w:rFonts w:ascii="Century Gothic" w:hAnsi="Century Gothic"/>
          <w:lang w:val="es-MX"/>
        </w:rPr>
      </w:pPr>
    </w:p>
    <w:p w14:paraId="4611522C" w14:textId="77777777" w:rsidR="002A34A2" w:rsidRPr="00C63647" w:rsidRDefault="002A34A2" w:rsidP="001310A4">
      <w:pPr>
        <w:ind w:right="474"/>
        <w:rPr>
          <w:rFonts w:ascii="Century Gothic" w:hAnsi="Century Gothic"/>
          <w:lang w:val="es-MX"/>
        </w:rPr>
      </w:pPr>
    </w:p>
    <w:p w14:paraId="4E1A8B5A" w14:textId="77777777" w:rsidR="002A34A2" w:rsidRPr="00C63647" w:rsidRDefault="002A34A2" w:rsidP="001310A4">
      <w:pPr>
        <w:ind w:right="474"/>
        <w:rPr>
          <w:rFonts w:ascii="Century Gothic" w:hAnsi="Century Gothic"/>
          <w:lang w:val="es-MX"/>
        </w:rPr>
      </w:pPr>
    </w:p>
    <w:p w14:paraId="7CCD1BDC" w14:textId="77777777" w:rsidR="002A34A2" w:rsidRPr="00C63647" w:rsidRDefault="002A34A2" w:rsidP="001310A4">
      <w:pPr>
        <w:ind w:right="474"/>
        <w:rPr>
          <w:rFonts w:ascii="Century Gothic" w:hAnsi="Century Gothic"/>
          <w:lang w:val="es-MX"/>
        </w:rPr>
      </w:pPr>
    </w:p>
    <w:p w14:paraId="2374243A" w14:textId="77777777" w:rsidR="008F4010" w:rsidRPr="00C63647" w:rsidRDefault="008F4010" w:rsidP="001310A4">
      <w:pPr>
        <w:ind w:right="474"/>
        <w:rPr>
          <w:rFonts w:ascii="Century Gothic" w:hAnsi="Century Gothic"/>
          <w:lang w:val="es-MX"/>
        </w:rPr>
      </w:pPr>
    </w:p>
    <w:p w14:paraId="5D8ADCFD" w14:textId="77777777" w:rsidR="002A34A2" w:rsidRPr="00C63647" w:rsidRDefault="002A34A2" w:rsidP="001310A4">
      <w:pPr>
        <w:ind w:right="474"/>
        <w:rPr>
          <w:rFonts w:ascii="Century Gothic" w:hAnsi="Century Gothic"/>
          <w:lang w:val="es-MX"/>
        </w:rPr>
      </w:pPr>
    </w:p>
    <w:p w14:paraId="241E1AF6" w14:textId="77777777" w:rsidR="002A34A2" w:rsidRPr="00C63647" w:rsidRDefault="002A34A2" w:rsidP="001310A4">
      <w:pPr>
        <w:ind w:right="474"/>
        <w:rPr>
          <w:rFonts w:ascii="Century Gothic" w:hAnsi="Century Gothic"/>
          <w:lang w:val="es-MX"/>
        </w:rPr>
      </w:pPr>
    </w:p>
    <w:p w14:paraId="01715DB8" w14:textId="77777777" w:rsidR="008F4010" w:rsidRPr="00C63647" w:rsidRDefault="008F4010" w:rsidP="001310A4">
      <w:pPr>
        <w:ind w:right="474"/>
        <w:rPr>
          <w:rFonts w:ascii="Century Gothic" w:hAnsi="Century Gothic"/>
          <w:lang w:val="es-MX"/>
        </w:rPr>
      </w:pPr>
    </w:p>
    <w:p w14:paraId="288D5CB1" w14:textId="77777777" w:rsidR="008F4010" w:rsidRPr="00C63647" w:rsidRDefault="008F4010" w:rsidP="001310A4">
      <w:pPr>
        <w:ind w:right="474"/>
        <w:rPr>
          <w:rFonts w:ascii="Century Gothic" w:hAnsi="Century Gothic"/>
          <w:lang w:val="es-MX"/>
        </w:rPr>
      </w:pPr>
    </w:p>
    <w:p w14:paraId="2364CDFC" w14:textId="77777777" w:rsidR="008F4010" w:rsidRPr="00C63647" w:rsidRDefault="008F4010" w:rsidP="001310A4">
      <w:pPr>
        <w:ind w:right="474"/>
        <w:rPr>
          <w:rFonts w:ascii="Century Gothic" w:hAnsi="Century Gothic"/>
          <w:lang w:val="es-MX"/>
        </w:rPr>
      </w:pPr>
    </w:p>
    <w:p w14:paraId="239EDB70" w14:textId="77777777" w:rsidR="008F4010" w:rsidRPr="00C63647" w:rsidRDefault="008F4010" w:rsidP="001310A4">
      <w:pPr>
        <w:ind w:right="474"/>
        <w:rPr>
          <w:rFonts w:ascii="Century Gothic" w:hAnsi="Century Gothic"/>
          <w:lang w:val="es-MX"/>
        </w:rPr>
      </w:pPr>
    </w:p>
    <w:p w14:paraId="7D826EEC" w14:textId="77777777" w:rsidR="008F4010" w:rsidRPr="00C63647" w:rsidRDefault="008F4010" w:rsidP="001310A4">
      <w:pPr>
        <w:ind w:right="474"/>
        <w:rPr>
          <w:rFonts w:ascii="Century Gothic" w:hAnsi="Century Gothic"/>
          <w:lang w:val="es-MX"/>
        </w:rPr>
      </w:pPr>
    </w:p>
    <w:p w14:paraId="0FEA4A10" w14:textId="77777777" w:rsidR="008F4010" w:rsidRPr="00C63647" w:rsidRDefault="008F4010" w:rsidP="001310A4">
      <w:pPr>
        <w:ind w:right="474"/>
        <w:rPr>
          <w:rFonts w:ascii="Century Gothic" w:hAnsi="Century Gothic"/>
          <w:lang w:val="es-MX"/>
        </w:rPr>
      </w:pPr>
    </w:p>
    <w:p w14:paraId="5A1F8038" w14:textId="77777777" w:rsidR="008F4010" w:rsidRPr="00C63647" w:rsidRDefault="008F4010" w:rsidP="001310A4">
      <w:pPr>
        <w:ind w:right="474"/>
        <w:rPr>
          <w:rFonts w:ascii="Century Gothic" w:hAnsi="Century Gothic"/>
          <w:lang w:val="es-MX"/>
        </w:rPr>
      </w:pPr>
    </w:p>
    <w:p w14:paraId="1E4BF676" w14:textId="77777777" w:rsidR="008F4010" w:rsidRPr="00C63647" w:rsidRDefault="008F4010" w:rsidP="001310A4">
      <w:pPr>
        <w:ind w:right="474"/>
        <w:rPr>
          <w:rFonts w:ascii="Century Gothic" w:hAnsi="Century Gothic"/>
          <w:lang w:val="es-MX"/>
        </w:rPr>
      </w:pPr>
    </w:p>
    <w:p w14:paraId="64726DC7" w14:textId="77777777" w:rsidR="008F4010" w:rsidRPr="00C63647" w:rsidRDefault="008F4010" w:rsidP="001310A4">
      <w:pPr>
        <w:ind w:right="474"/>
        <w:rPr>
          <w:rFonts w:ascii="Century Gothic" w:hAnsi="Century Gothic"/>
          <w:lang w:val="es-MX"/>
        </w:rPr>
      </w:pPr>
    </w:p>
    <w:p w14:paraId="7FA95EA0" w14:textId="77777777" w:rsidR="008F4010" w:rsidRPr="00C63647" w:rsidRDefault="008F4010" w:rsidP="001310A4">
      <w:pPr>
        <w:ind w:right="474"/>
        <w:rPr>
          <w:rFonts w:ascii="Century Gothic" w:hAnsi="Century Gothic"/>
          <w:lang w:val="es-MX"/>
        </w:rPr>
      </w:pPr>
    </w:p>
    <w:p w14:paraId="5BFF73F4" w14:textId="77777777" w:rsidR="008F4010" w:rsidRPr="00C63647" w:rsidRDefault="008F4010" w:rsidP="001310A4">
      <w:pPr>
        <w:ind w:right="474"/>
        <w:rPr>
          <w:rFonts w:ascii="Century Gothic" w:hAnsi="Century Gothic"/>
          <w:lang w:val="es-MX"/>
        </w:rPr>
      </w:pPr>
    </w:p>
    <w:p w14:paraId="76AAFAC9" w14:textId="77777777" w:rsidR="008F4010" w:rsidRPr="00C63647" w:rsidRDefault="008F4010" w:rsidP="001310A4">
      <w:pPr>
        <w:ind w:right="474"/>
        <w:rPr>
          <w:rFonts w:ascii="Century Gothic" w:hAnsi="Century Gothic"/>
          <w:lang w:val="es-MX"/>
        </w:rPr>
      </w:pPr>
    </w:p>
    <w:p w14:paraId="4D18AA3B" w14:textId="77777777" w:rsidR="008F4010" w:rsidRPr="00C63647" w:rsidRDefault="008F4010" w:rsidP="001310A4">
      <w:pPr>
        <w:ind w:right="474"/>
        <w:rPr>
          <w:rFonts w:ascii="Century Gothic" w:hAnsi="Century Gothic"/>
          <w:lang w:val="es-MX"/>
        </w:rPr>
      </w:pPr>
    </w:p>
    <w:p w14:paraId="3D0D0263" w14:textId="77777777" w:rsidR="008F4010" w:rsidRPr="00C63647" w:rsidRDefault="008F4010" w:rsidP="001310A4">
      <w:pPr>
        <w:ind w:right="474"/>
        <w:rPr>
          <w:rFonts w:ascii="Century Gothic" w:hAnsi="Century Gothic"/>
          <w:lang w:val="es-MX"/>
        </w:rPr>
      </w:pPr>
    </w:p>
    <w:p w14:paraId="22E51228" w14:textId="77777777" w:rsidR="001310A4" w:rsidRPr="00C63647" w:rsidRDefault="00E7231F" w:rsidP="00803335">
      <w:pPr>
        <w:pStyle w:val="Prrafodelista"/>
        <w:numPr>
          <w:ilvl w:val="0"/>
          <w:numId w:val="2"/>
        </w:numPr>
        <w:ind w:left="709" w:right="474"/>
        <w:rPr>
          <w:rFonts w:ascii="Century Gothic" w:hAnsi="Century Gothic"/>
          <w:b/>
          <w:lang w:val="es-MX"/>
        </w:rPr>
      </w:pPr>
      <w:r w:rsidRPr="00C63647">
        <w:rPr>
          <w:rFonts w:ascii="Century Gothic" w:hAnsi="Century Gothic"/>
          <w:b/>
          <w:lang w:val="es-MX"/>
        </w:rPr>
        <w:lastRenderedPageBreak/>
        <w:t>OBJETO</w:t>
      </w:r>
    </w:p>
    <w:p w14:paraId="48F64E11" w14:textId="77777777" w:rsidR="00E7231F" w:rsidRPr="00C63647" w:rsidRDefault="00C06EDB" w:rsidP="00803335">
      <w:pPr>
        <w:ind w:left="284"/>
        <w:jc w:val="both"/>
        <w:rPr>
          <w:rFonts w:ascii="Century Gothic" w:eastAsia="Book Antiqua" w:hAnsi="Century Gothic" w:cs="Book Antiqua"/>
        </w:rPr>
      </w:pPr>
      <w:r w:rsidRPr="00C63647">
        <w:rPr>
          <w:rFonts w:ascii="Century Gothic" w:eastAsia="Book Antiqua" w:hAnsi="Century Gothic" w:cs="Book Antiqua"/>
        </w:rPr>
        <w:t>El presente proyecto de ley</w:t>
      </w:r>
      <w:r w:rsidR="00E7231F" w:rsidRPr="00C63647">
        <w:rPr>
          <w:rFonts w:ascii="Century Gothic" w:eastAsia="Book Antiqua" w:hAnsi="Century Gothic" w:cs="Book Antiqua"/>
        </w:rPr>
        <w:t xml:space="preserve"> tiene por objeto garantizar una vida libre de violencia mediante el reconocimiento, prevención y sanción de la violencia vicaria como una manifestación de violencia contra la mujer y la integridad familiar.</w:t>
      </w:r>
    </w:p>
    <w:p w14:paraId="093ED419" w14:textId="77777777" w:rsidR="00E7231F" w:rsidRPr="00C63647" w:rsidRDefault="00E7231F" w:rsidP="00E7231F">
      <w:pPr>
        <w:pStyle w:val="Prrafodelista"/>
        <w:numPr>
          <w:ilvl w:val="0"/>
          <w:numId w:val="2"/>
        </w:numPr>
        <w:jc w:val="both"/>
        <w:rPr>
          <w:rFonts w:ascii="Century Gothic" w:hAnsi="Century Gothic"/>
          <w:b/>
          <w:lang w:val="es-MX"/>
        </w:rPr>
      </w:pPr>
      <w:r w:rsidRPr="00C63647">
        <w:rPr>
          <w:rFonts w:ascii="Century Gothic" w:hAnsi="Century Gothic"/>
          <w:b/>
          <w:lang w:val="es-MX"/>
        </w:rPr>
        <w:t>TRÁMITE DEL PROYECTO</w:t>
      </w:r>
    </w:p>
    <w:p w14:paraId="4A5B7881" w14:textId="5EEB4F3F" w:rsidR="00E7231F" w:rsidRPr="00C63647" w:rsidRDefault="00E7231F" w:rsidP="00E7231F">
      <w:pPr>
        <w:ind w:left="360"/>
        <w:jc w:val="both"/>
        <w:rPr>
          <w:rFonts w:ascii="Century Gothic" w:hAnsi="Century Gothic"/>
        </w:rPr>
      </w:pPr>
      <w:r w:rsidRPr="00C63647">
        <w:rPr>
          <w:rFonts w:ascii="Century Gothic" w:hAnsi="Century Gothic"/>
          <w:lang w:val="es-MX"/>
        </w:rPr>
        <w:t xml:space="preserve">El </w:t>
      </w:r>
      <w:r w:rsidRPr="00C63647">
        <w:rPr>
          <w:rFonts w:ascii="Century Gothic" w:hAnsi="Century Gothic"/>
        </w:rPr>
        <w:t xml:space="preserve">Proyecto de </w:t>
      </w:r>
      <w:r w:rsidR="00803335" w:rsidRPr="00C63647">
        <w:rPr>
          <w:rFonts w:ascii="Century Gothic" w:hAnsi="Century Gothic"/>
          <w:b/>
          <w:bCs/>
          <w:lang w:val="es-MX"/>
        </w:rPr>
        <w:t>Proyecto de Ley No. 448 de 2024 Cámara – No. 062 de 2023 Senado “Por medio del cual se dictan medidas para reconocer, prevenir y sancionar violencia vicaria como una manifestación de violencia de género y se dictan otras disposiciones. "Ley Gabriel Esteban".</w:t>
      </w:r>
      <w:r w:rsidRPr="00C63647">
        <w:rPr>
          <w:rFonts w:ascii="Century Gothic" w:hAnsi="Century Gothic"/>
          <w:i/>
        </w:rPr>
        <w:t xml:space="preserve">, </w:t>
      </w:r>
      <w:r w:rsidR="004575B1" w:rsidRPr="00C63647">
        <w:rPr>
          <w:rFonts w:ascii="Century Gothic" w:hAnsi="Century Gothic"/>
        </w:rPr>
        <w:t>fue radicado</w:t>
      </w:r>
      <w:r w:rsidRPr="00C63647">
        <w:rPr>
          <w:rFonts w:ascii="Century Gothic" w:hAnsi="Century Gothic"/>
        </w:rPr>
        <w:t xml:space="preserve"> el 2 de agosto de 2023 ante la Secretaría de Senado, por los Honorables Senadores </w:t>
      </w:r>
      <w:hyperlink r:id="rId20" w:history="1">
        <w:r w:rsidRPr="00C63647">
          <w:rPr>
            <w:rStyle w:val="Hipervnculo"/>
            <w:rFonts w:ascii="Century Gothic" w:hAnsi="Century Gothic"/>
            <w:color w:val="auto"/>
            <w:u w:val="none"/>
          </w:rPr>
          <w:t xml:space="preserve">Nadya Georgette </w:t>
        </w:r>
        <w:proofErr w:type="spellStart"/>
        <w:r w:rsidRPr="00C63647">
          <w:rPr>
            <w:rStyle w:val="Hipervnculo"/>
            <w:rFonts w:ascii="Century Gothic" w:hAnsi="Century Gothic"/>
            <w:color w:val="auto"/>
            <w:u w:val="none"/>
          </w:rPr>
          <w:t>Blel</w:t>
        </w:r>
        <w:proofErr w:type="spellEnd"/>
        <w:r w:rsidRPr="00C63647">
          <w:rPr>
            <w:rStyle w:val="Hipervnculo"/>
            <w:rFonts w:ascii="Century Gothic" w:hAnsi="Century Gothic"/>
            <w:color w:val="auto"/>
            <w:u w:val="none"/>
          </w:rPr>
          <w:t xml:space="preserve"> </w:t>
        </w:r>
        <w:proofErr w:type="spellStart"/>
        <w:r w:rsidRPr="00C63647">
          <w:rPr>
            <w:rStyle w:val="Hipervnculo"/>
            <w:rFonts w:ascii="Century Gothic" w:hAnsi="Century Gothic"/>
            <w:color w:val="auto"/>
            <w:u w:val="none"/>
          </w:rPr>
          <w:t>Scaf</w:t>
        </w:r>
        <w:proofErr w:type="spellEnd"/>
      </w:hyperlink>
      <w:r w:rsidRPr="00C63647">
        <w:rPr>
          <w:rFonts w:ascii="Century Gothic" w:hAnsi="Century Gothic"/>
        </w:rPr>
        <w:t xml:space="preserve"> , </w:t>
      </w:r>
      <w:hyperlink r:id="rId21" w:history="1">
        <w:r w:rsidRPr="00C63647">
          <w:rPr>
            <w:rStyle w:val="Hipervnculo"/>
            <w:rFonts w:ascii="Century Gothic" w:hAnsi="Century Gothic"/>
            <w:color w:val="auto"/>
            <w:u w:val="none"/>
          </w:rPr>
          <w:t>Germán Alcides Blanco Álvarez</w:t>
        </w:r>
      </w:hyperlink>
      <w:r w:rsidRPr="00C63647">
        <w:rPr>
          <w:rFonts w:ascii="Century Gothic" w:hAnsi="Century Gothic"/>
        </w:rPr>
        <w:t xml:space="preserve"> , </w:t>
      </w:r>
      <w:hyperlink r:id="rId22" w:history="1">
        <w:r w:rsidRPr="00C63647">
          <w:rPr>
            <w:rStyle w:val="Hipervnculo"/>
            <w:rFonts w:ascii="Century Gothic" w:hAnsi="Century Gothic"/>
            <w:color w:val="auto"/>
            <w:u w:val="none"/>
          </w:rPr>
          <w:t>Liliana Esther Bitar Castilla</w:t>
        </w:r>
      </w:hyperlink>
      <w:r w:rsidRPr="00C63647">
        <w:rPr>
          <w:rFonts w:ascii="Century Gothic" w:hAnsi="Century Gothic"/>
        </w:rPr>
        <w:t xml:space="preserve"> , </w:t>
      </w:r>
      <w:hyperlink r:id="rId23" w:history="1">
        <w:r w:rsidRPr="00C63647">
          <w:rPr>
            <w:rStyle w:val="Hipervnculo"/>
            <w:rFonts w:ascii="Century Gothic" w:hAnsi="Century Gothic"/>
            <w:color w:val="auto"/>
            <w:u w:val="none"/>
          </w:rPr>
          <w:t xml:space="preserve">Soledad Tamayo </w:t>
        </w:r>
        <w:proofErr w:type="spellStart"/>
        <w:r w:rsidRPr="00C63647">
          <w:rPr>
            <w:rStyle w:val="Hipervnculo"/>
            <w:rFonts w:ascii="Century Gothic" w:hAnsi="Century Gothic"/>
            <w:color w:val="auto"/>
            <w:u w:val="none"/>
          </w:rPr>
          <w:t>Tamayo</w:t>
        </w:r>
        <w:proofErr w:type="spellEnd"/>
      </w:hyperlink>
      <w:r w:rsidRPr="00C63647">
        <w:rPr>
          <w:rFonts w:ascii="Century Gothic" w:hAnsi="Century Gothic"/>
        </w:rPr>
        <w:t xml:space="preserve"> , </w:t>
      </w:r>
      <w:hyperlink r:id="rId24" w:history="1">
        <w:r w:rsidRPr="00C63647">
          <w:rPr>
            <w:rStyle w:val="Hipervnculo"/>
            <w:rFonts w:ascii="Century Gothic" w:hAnsi="Century Gothic"/>
            <w:color w:val="auto"/>
            <w:u w:val="none"/>
          </w:rPr>
          <w:t xml:space="preserve">Nicolás Albeiro Echeverri </w:t>
        </w:r>
        <w:proofErr w:type="spellStart"/>
        <w:r w:rsidRPr="00C63647">
          <w:rPr>
            <w:rStyle w:val="Hipervnculo"/>
            <w:rFonts w:ascii="Century Gothic" w:hAnsi="Century Gothic"/>
            <w:color w:val="auto"/>
            <w:u w:val="none"/>
          </w:rPr>
          <w:t>Alvarán</w:t>
        </w:r>
        <w:proofErr w:type="spellEnd"/>
      </w:hyperlink>
      <w:r w:rsidRPr="00C63647">
        <w:rPr>
          <w:rFonts w:ascii="Century Gothic" w:hAnsi="Century Gothic"/>
        </w:rPr>
        <w:t xml:space="preserve"> , </w:t>
      </w:r>
      <w:hyperlink r:id="rId25" w:history="1">
        <w:r w:rsidRPr="00C63647">
          <w:rPr>
            <w:rStyle w:val="Hipervnculo"/>
            <w:rFonts w:ascii="Century Gothic" w:hAnsi="Century Gothic"/>
            <w:color w:val="auto"/>
            <w:u w:val="none"/>
          </w:rPr>
          <w:t xml:space="preserve">Miguel </w:t>
        </w:r>
        <w:proofErr w:type="spellStart"/>
        <w:r w:rsidRPr="00C63647">
          <w:rPr>
            <w:rStyle w:val="Hipervnculo"/>
            <w:rFonts w:ascii="Century Gothic" w:hAnsi="Century Gothic"/>
            <w:color w:val="auto"/>
            <w:u w:val="none"/>
          </w:rPr>
          <w:t>Angel</w:t>
        </w:r>
        <w:proofErr w:type="spellEnd"/>
        <w:r w:rsidRPr="00C63647">
          <w:rPr>
            <w:rStyle w:val="Hipervnculo"/>
            <w:rFonts w:ascii="Century Gothic" w:hAnsi="Century Gothic"/>
            <w:color w:val="auto"/>
            <w:u w:val="none"/>
          </w:rPr>
          <w:t xml:space="preserve"> Barreto Castillo</w:t>
        </w:r>
      </w:hyperlink>
      <w:r w:rsidRPr="00C63647">
        <w:rPr>
          <w:rFonts w:ascii="Century Gothic" w:hAnsi="Century Gothic"/>
        </w:rPr>
        <w:t xml:space="preserve"> , </w:t>
      </w:r>
      <w:hyperlink r:id="rId26" w:history="1">
        <w:r w:rsidRPr="00C63647">
          <w:rPr>
            <w:rStyle w:val="Hipervnculo"/>
            <w:rFonts w:ascii="Century Gothic" w:hAnsi="Century Gothic"/>
            <w:color w:val="auto"/>
            <w:u w:val="none"/>
          </w:rPr>
          <w:t>Claudia María Pérez Giraldo</w:t>
        </w:r>
      </w:hyperlink>
      <w:r w:rsidRPr="00C63647">
        <w:rPr>
          <w:rFonts w:ascii="Century Gothic" w:hAnsi="Century Gothic"/>
        </w:rPr>
        <w:t xml:space="preserve"> , </w:t>
      </w:r>
      <w:hyperlink r:id="rId27" w:history="1">
        <w:r w:rsidRPr="00C63647">
          <w:rPr>
            <w:rStyle w:val="Hipervnculo"/>
            <w:rFonts w:ascii="Century Gothic" w:hAnsi="Century Gothic"/>
            <w:color w:val="auto"/>
            <w:u w:val="none"/>
          </w:rPr>
          <w:t>Sor Berenice Bedoya Pérez</w:t>
        </w:r>
      </w:hyperlink>
      <w:r w:rsidRPr="00C63647">
        <w:rPr>
          <w:rFonts w:ascii="Century Gothic" w:hAnsi="Century Gothic"/>
        </w:rPr>
        <w:t> , .</w:t>
      </w:r>
      <w:hyperlink r:id="rId28" w:history="1">
        <w:r w:rsidRPr="00C63647">
          <w:rPr>
            <w:rStyle w:val="Hipervnculo"/>
            <w:rFonts w:ascii="Century Gothic" w:hAnsi="Century Gothic"/>
            <w:color w:val="auto"/>
            <w:u w:val="none"/>
          </w:rPr>
          <w:t>Karina Espinosa Oliver</w:t>
        </w:r>
      </w:hyperlink>
      <w:r w:rsidRPr="00C63647">
        <w:rPr>
          <w:rFonts w:ascii="Century Gothic" w:hAnsi="Century Gothic"/>
        </w:rPr>
        <w:t xml:space="preserve"> , </w:t>
      </w:r>
      <w:hyperlink r:id="rId29" w:history="1">
        <w:r w:rsidRPr="00C63647">
          <w:rPr>
            <w:rStyle w:val="Hipervnculo"/>
            <w:rFonts w:ascii="Century Gothic" w:hAnsi="Century Gothic"/>
            <w:color w:val="auto"/>
            <w:u w:val="none"/>
          </w:rPr>
          <w:t>Ana Maria Castañeda Gómez</w:t>
        </w:r>
      </w:hyperlink>
      <w:r w:rsidRPr="00C63647">
        <w:rPr>
          <w:rFonts w:ascii="Century Gothic" w:hAnsi="Century Gothic"/>
        </w:rPr>
        <w:t xml:space="preserve"> , </w:t>
      </w:r>
      <w:hyperlink r:id="rId30" w:history="1">
        <w:r w:rsidRPr="00C63647">
          <w:rPr>
            <w:rStyle w:val="Hipervnculo"/>
            <w:rFonts w:ascii="Century Gothic" w:hAnsi="Century Gothic"/>
            <w:color w:val="auto"/>
            <w:u w:val="none"/>
          </w:rPr>
          <w:t xml:space="preserve">Angélica </w:t>
        </w:r>
        <w:r w:rsidR="00CA3588" w:rsidRPr="00C63647">
          <w:rPr>
            <w:rStyle w:val="Hipervnculo"/>
            <w:rFonts w:ascii="Century Gothic" w:hAnsi="Century Gothic"/>
            <w:color w:val="auto"/>
            <w:u w:val="none"/>
          </w:rPr>
          <w:t>L</w:t>
        </w:r>
        <w:r w:rsidRPr="00C63647">
          <w:rPr>
            <w:rStyle w:val="Hipervnculo"/>
            <w:rFonts w:ascii="Century Gothic" w:hAnsi="Century Gothic"/>
            <w:color w:val="auto"/>
            <w:u w:val="none"/>
          </w:rPr>
          <w:t>isbeth lozano correa</w:t>
        </w:r>
      </w:hyperlink>
      <w:r w:rsidRPr="00C63647">
        <w:rPr>
          <w:rFonts w:ascii="Century Gothic" w:hAnsi="Century Gothic"/>
        </w:rPr>
        <w:t xml:space="preserve"> , </w:t>
      </w:r>
      <w:hyperlink r:id="rId31" w:history="1">
        <w:r w:rsidRPr="00C63647">
          <w:rPr>
            <w:rStyle w:val="Hipervnculo"/>
            <w:rFonts w:ascii="Century Gothic" w:hAnsi="Century Gothic"/>
            <w:color w:val="auto"/>
            <w:u w:val="none"/>
          </w:rPr>
          <w:t>Efraín José Cepeda Sarabia</w:t>
        </w:r>
      </w:hyperlink>
      <w:r w:rsidRPr="00C63647">
        <w:rPr>
          <w:rFonts w:ascii="Century Gothic" w:hAnsi="Century Gothic"/>
        </w:rPr>
        <w:t xml:space="preserve"> , </w:t>
      </w:r>
      <w:hyperlink r:id="rId32" w:history="1">
        <w:r w:rsidRPr="00C63647">
          <w:rPr>
            <w:rStyle w:val="Hipervnculo"/>
            <w:rFonts w:ascii="Century Gothic" w:hAnsi="Century Gothic"/>
            <w:color w:val="auto"/>
            <w:u w:val="none"/>
          </w:rPr>
          <w:t xml:space="preserve">Carlos Mario </w:t>
        </w:r>
        <w:proofErr w:type="spellStart"/>
        <w:r w:rsidRPr="00C63647">
          <w:rPr>
            <w:rStyle w:val="Hipervnculo"/>
            <w:rFonts w:ascii="Century Gothic" w:hAnsi="Century Gothic"/>
            <w:color w:val="auto"/>
            <w:u w:val="none"/>
          </w:rPr>
          <w:t>Farelo</w:t>
        </w:r>
        <w:proofErr w:type="spellEnd"/>
        <w:r w:rsidRPr="00C63647">
          <w:rPr>
            <w:rStyle w:val="Hipervnculo"/>
            <w:rFonts w:ascii="Century Gothic" w:hAnsi="Century Gothic"/>
            <w:color w:val="auto"/>
            <w:u w:val="none"/>
          </w:rPr>
          <w:t xml:space="preserve"> Daza</w:t>
        </w:r>
      </w:hyperlink>
      <w:r w:rsidRPr="00C63647">
        <w:rPr>
          <w:rFonts w:ascii="Century Gothic" w:hAnsi="Century Gothic"/>
        </w:rPr>
        <w:t xml:space="preserve"> , </w:t>
      </w:r>
      <w:hyperlink r:id="rId33" w:history="1">
        <w:r w:rsidRPr="00C63647">
          <w:rPr>
            <w:rStyle w:val="Hipervnculo"/>
            <w:rFonts w:ascii="Century Gothic" w:hAnsi="Century Gothic"/>
            <w:color w:val="auto"/>
            <w:u w:val="none"/>
          </w:rPr>
          <w:t>Didier Lobo Chinchilla</w:t>
        </w:r>
      </w:hyperlink>
      <w:r w:rsidRPr="00C63647">
        <w:rPr>
          <w:rFonts w:ascii="Century Gothic" w:hAnsi="Century Gothic"/>
        </w:rPr>
        <w:t xml:space="preserve"> , </w:t>
      </w:r>
      <w:hyperlink r:id="rId34" w:history="1">
        <w:r w:rsidRPr="00C63647">
          <w:rPr>
            <w:rStyle w:val="Hipervnculo"/>
            <w:rFonts w:ascii="Century Gothic" w:hAnsi="Century Gothic"/>
            <w:color w:val="auto"/>
            <w:u w:val="none"/>
          </w:rPr>
          <w:t>Honorio Miguel Henríquez Pinedo</w:t>
        </w:r>
      </w:hyperlink>
      <w:r w:rsidRPr="00C63647">
        <w:rPr>
          <w:rFonts w:ascii="Century Gothic" w:hAnsi="Century Gothic"/>
        </w:rPr>
        <w:t xml:space="preserve"> , </w:t>
      </w:r>
      <w:hyperlink r:id="rId35" w:history="1">
        <w:r w:rsidRPr="00C63647">
          <w:rPr>
            <w:rStyle w:val="Hipervnculo"/>
            <w:rFonts w:ascii="Century Gothic" w:hAnsi="Century Gothic"/>
            <w:color w:val="auto"/>
            <w:u w:val="none"/>
          </w:rPr>
          <w:t>José Alfredo Marín Lozano</w:t>
        </w:r>
      </w:hyperlink>
      <w:r w:rsidRPr="00C63647">
        <w:rPr>
          <w:rFonts w:ascii="Century Gothic" w:hAnsi="Century Gothic"/>
        </w:rPr>
        <w:t xml:space="preserve"> , Beatriz Lorena Ríos Cuellar y las Honorables Representantes </w:t>
      </w:r>
      <w:hyperlink r:id="rId36" w:history="1">
        <w:r w:rsidRPr="00C63647">
          <w:rPr>
            <w:rStyle w:val="Hipervnculo"/>
            <w:rFonts w:ascii="Century Gothic" w:hAnsi="Century Gothic"/>
            <w:color w:val="auto"/>
            <w:u w:val="none"/>
          </w:rPr>
          <w:t>Ruth Amelia Caycedo Rosero</w:t>
        </w:r>
      </w:hyperlink>
      <w:r w:rsidRPr="00C63647">
        <w:rPr>
          <w:rFonts w:ascii="Century Gothic" w:hAnsi="Century Gothic"/>
        </w:rPr>
        <w:t xml:space="preserve"> y </w:t>
      </w:r>
      <w:hyperlink r:id="rId37" w:history="1">
        <w:r w:rsidRPr="00C63647">
          <w:rPr>
            <w:rStyle w:val="Hipervnculo"/>
            <w:rFonts w:ascii="Century Gothic" w:hAnsi="Century Gothic"/>
            <w:color w:val="auto"/>
            <w:u w:val="none"/>
          </w:rPr>
          <w:t>Delcy Esperanza Isaza Buenaventura</w:t>
        </w:r>
      </w:hyperlink>
      <w:r w:rsidRPr="00C63647">
        <w:rPr>
          <w:rFonts w:ascii="Century Gothic" w:hAnsi="Century Gothic"/>
        </w:rPr>
        <w:t>.</w:t>
      </w:r>
    </w:p>
    <w:p w14:paraId="322ADA42" w14:textId="77777777" w:rsidR="00E7231F" w:rsidRPr="00C63647" w:rsidRDefault="00CA3588" w:rsidP="004575B1">
      <w:pPr>
        <w:ind w:left="360"/>
        <w:jc w:val="both"/>
        <w:rPr>
          <w:rFonts w:ascii="Century Gothic" w:hAnsi="Century Gothic"/>
        </w:rPr>
      </w:pPr>
      <w:r w:rsidRPr="00C63647">
        <w:rPr>
          <w:rFonts w:ascii="Century Gothic" w:hAnsi="Century Gothic"/>
        </w:rPr>
        <w:br/>
        <w:t>El 23 de noviembre de 2023, como consta en el Acta No. 23, Gaceta 1740,</w:t>
      </w:r>
      <w:r w:rsidR="004575B1" w:rsidRPr="00C63647">
        <w:rPr>
          <w:rFonts w:ascii="Century Gothic" w:hAnsi="Century Gothic"/>
        </w:rPr>
        <w:t xml:space="preserve"> fue aprobado </w:t>
      </w:r>
      <w:r w:rsidRPr="00C63647">
        <w:rPr>
          <w:rFonts w:ascii="Century Gothic" w:hAnsi="Century Gothic"/>
        </w:rPr>
        <w:t xml:space="preserve">por unanimidad en el seno de la </w:t>
      </w:r>
      <w:r w:rsidR="004575B1" w:rsidRPr="00C63647">
        <w:rPr>
          <w:rFonts w:ascii="Century Gothic" w:hAnsi="Century Gothic"/>
        </w:rPr>
        <w:t>Comisión</w:t>
      </w:r>
      <w:r w:rsidRPr="00C63647">
        <w:rPr>
          <w:rFonts w:ascii="Century Gothic" w:hAnsi="Century Gothic"/>
        </w:rPr>
        <w:t xml:space="preserve"> 1 de Senado. El 21 de mayo de 2024 fue aprobado</w:t>
      </w:r>
      <w:r w:rsidR="004575B1" w:rsidRPr="00C63647">
        <w:rPr>
          <w:rFonts w:ascii="Century Gothic" w:hAnsi="Century Gothic"/>
        </w:rPr>
        <w:t xml:space="preserve"> con modificaciones en Plenaria Senado. </w:t>
      </w:r>
    </w:p>
    <w:p w14:paraId="06AC8928" w14:textId="4D8509A4" w:rsidR="0047197B" w:rsidRPr="00C63647" w:rsidRDefault="0047197B" w:rsidP="004575B1">
      <w:pPr>
        <w:ind w:left="360"/>
        <w:jc w:val="both"/>
        <w:rPr>
          <w:rFonts w:ascii="Century Gothic" w:hAnsi="Century Gothic"/>
        </w:rPr>
      </w:pPr>
      <w:r w:rsidRPr="00C63647">
        <w:rPr>
          <w:rFonts w:ascii="Century Gothic" w:hAnsi="Century Gothic"/>
        </w:rPr>
        <w:t xml:space="preserve">El 19 de junio de </w:t>
      </w:r>
      <w:proofErr w:type="gramStart"/>
      <w:r w:rsidRPr="00C63647">
        <w:rPr>
          <w:rFonts w:ascii="Century Gothic" w:hAnsi="Century Gothic"/>
        </w:rPr>
        <w:t>2024,</w:t>
      </w:r>
      <w:r w:rsidR="004575B1" w:rsidRPr="00C63647">
        <w:rPr>
          <w:rFonts w:ascii="Century Gothic" w:hAnsi="Century Gothic"/>
        </w:rPr>
        <w:t xml:space="preserve">  la</w:t>
      </w:r>
      <w:proofErr w:type="gramEnd"/>
      <w:r w:rsidR="004575B1" w:rsidRPr="00C63647">
        <w:rPr>
          <w:rFonts w:ascii="Century Gothic" w:hAnsi="Century Gothic"/>
        </w:rPr>
        <w:t xml:space="preserve"> Mesa directiva de la Comisión Primera </w:t>
      </w:r>
      <w:r w:rsidRPr="00C63647">
        <w:rPr>
          <w:rFonts w:ascii="Century Gothic" w:hAnsi="Century Gothic"/>
        </w:rPr>
        <w:t xml:space="preserve">mediante oficio No. C.P.C.P. 3.1 – 1214 – 2024 </w:t>
      </w:r>
      <w:r w:rsidR="004575B1" w:rsidRPr="00C63647">
        <w:rPr>
          <w:rFonts w:ascii="Century Gothic" w:hAnsi="Century Gothic"/>
        </w:rPr>
        <w:t>designó como ponentes a los H.R. </w:t>
      </w:r>
      <w:hyperlink r:id="rId38" w:tgtFrame="_blank" w:history="1">
        <w:r w:rsidR="004575B1" w:rsidRPr="00C63647">
          <w:rPr>
            <w:rStyle w:val="Hipervnculo"/>
            <w:rFonts w:ascii="Century Gothic" w:hAnsi="Century Gothic"/>
            <w:color w:val="auto"/>
            <w:u w:val="none"/>
          </w:rPr>
          <w:t>Delcy Esperanza Isaza Buenaventura</w:t>
        </w:r>
      </w:hyperlink>
      <w:r w:rsidR="004575B1" w:rsidRPr="00C63647">
        <w:rPr>
          <w:rFonts w:ascii="Century Gothic" w:hAnsi="Century Gothic"/>
        </w:rPr>
        <w:t>, H.R. </w:t>
      </w:r>
      <w:hyperlink r:id="rId39" w:tgtFrame="_blank" w:history="1">
        <w:r w:rsidR="004575B1" w:rsidRPr="00C63647">
          <w:rPr>
            <w:rStyle w:val="Hipervnculo"/>
            <w:rFonts w:ascii="Century Gothic" w:hAnsi="Century Gothic"/>
            <w:color w:val="auto"/>
            <w:u w:val="none"/>
          </w:rPr>
          <w:t>Adriana Carolina Arbeláez Giraldo</w:t>
        </w:r>
      </w:hyperlink>
      <w:r w:rsidR="004575B1" w:rsidRPr="00C63647">
        <w:rPr>
          <w:rFonts w:ascii="Century Gothic" w:hAnsi="Century Gothic"/>
        </w:rPr>
        <w:t>, H.R. </w:t>
      </w:r>
      <w:hyperlink r:id="rId40" w:tgtFrame="_blank" w:history="1">
        <w:r w:rsidR="004575B1" w:rsidRPr="00C63647">
          <w:rPr>
            <w:rStyle w:val="Hipervnculo"/>
            <w:rFonts w:ascii="Century Gothic" w:hAnsi="Century Gothic"/>
            <w:color w:val="auto"/>
            <w:u w:val="none"/>
          </w:rPr>
          <w:t xml:space="preserve">Karyme </w:t>
        </w:r>
        <w:proofErr w:type="spellStart"/>
        <w:r w:rsidR="004575B1" w:rsidRPr="00C63647">
          <w:rPr>
            <w:rStyle w:val="Hipervnculo"/>
            <w:rFonts w:ascii="Century Gothic" w:hAnsi="Century Gothic"/>
            <w:color w:val="auto"/>
            <w:u w:val="none"/>
          </w:rPr>
          <w:t>Adrana</w:t>
        </w:r>
        <w:proofErr w:type="spellEnd"/>
        <w:r w:rsidR="004575B1" w:rsidRPr="00C63647">
          <w:rPr>
            <w:rStyle w:val="Hipervnculo"/>
            <w:rFonts w:ascii="Century Gothic" w:hAnsi="Century Gothic"/>
            <w:color w:val="auto"/>
            <w:u w:val="none"/>
          </w:rPr>
          <w:t xml:space="preserve"> Cotes Martínez</w:t>
        </w:r>
      </w:hyperlink>
      <w:r w:rsidR="004575B1" w:rsidRPr="00C63647">
        <w:rPr>
          <w:rFonts w:ascii="Century Gothic" w:hAnsi="Century Gothic"/>
        </w:rPr>
        <w:t>, H.R. </w:t>
      </w:r>
      <w:hyperlink r:id="rId41" w:tgtFrame="_blank" w:history="1">
        <w:r w:rsidR="004575B1" w:rsidRPr="00C63647">
          <w:rPr>
            <w:rStyle w:val="Hipervnculo"/>
            <w:rFonts w:ascii="Century Gothic" w:hAnsi="Century Gothic"/>
            <w:color w:val="auto"/>
            <w:u w:val="none"/>
          </w:rPr>
          <w:t>Ana Paola García Soto</w:t>
        </w:r>
      </w:hyperlink>
      <w:r w:rsidR="004575B1" w:rsidRPr="00C63647">
        <w:rPr>
          <w:rFonts w:ascii="Century Gothic" w:hAnsi="Century Gothic"/>
        </w:rPr>
        <w:t>, H.R. </w:t>
      </w:r>
      <w:proofErr w:type="spellStart"/>
      <w:r w:rsidRPr="00C63647">
        <w:rPr>
          <w:rFonts w:ascii="Century Gothic" w:hAnsi="Century Gothic"/>
        </w:rPr>
        <w:fldChar w:fldCharType="begin"/>
      </w:r>
      <w:r w:rsidRPr="00C63647">
        <w:rPr>
          <w:rFonts w:ascii="Century Gothic" w:hAnsi="Century Gothic"/>
        </w:rPr>
        <w:instrText>HYPERLINK "https://www.camara.gov.co/representantes/marelen-castillo-torres" \t "_blank"</w:instrText>
      </w:r>
      <w:r w:rsidRPr="00C63647">
        <w:rPr>
          <w:rFonts w:ascii="Century Gothic" w:hAnsi="Century Gothic"/>
        </w:rPr>
      </w:r>
      <w:r w:rsidRPr="00C63647">
        <w:rPr>
          <w:rFonts w:ascii="Century Gothic" w:hAnsi="Century Gothic"/>
        </w:rPr>
        <w:fldChar w:fldCharType="separate"/>
      </w:r>
      <w:r w:rsidR="004575B1" w:rsidRPr="00C63647">
        <w:rPr>
          <w:rStyle w:val="Hipervnculo"/>
          <w:rFonts w:ascii="Century Gothic" w:hAnsi="Century Gothic"/>
          <w:color w:val="auto"/>
          <w:u w:val="none"/>
        </w:rPr>
        <w:t>Marelen</w:t>
      </w:r>
      <w:proofErr w:type="spellEnd"/>
      <w:r w:rsidR="004575B1" w:rsidRPr="00C63647">
        <w:rPr>
          <w:rStyle w:val="Hipervnculo"/>
          <w:rFonts w:ascii="Century Gothic" w:hAnsi="Century Gothic"/>
          <w:color w:val="auto"/>
          <w:u w:val="none"/>
        </w:rPr>
        <w:t xml:space="preserve"> Castillo Torres</w:t>
      </w:r>
      <w:r w:rsidRPr="00C63647">
        <w:rPr>
          <w:rStyle w:val="Hipervnculo"/>
          <w:rFonts w:ascii="Century Gothic" w:hAnsi="Century Gothic"/>
          <w:color w:val="auto"/>
          <w:u w:val="none"/>
        </w:rPr>
        <w:fldChar w:fldCharType="end"/>
      </w:r>
      <w:r w:rsidR="004575B1" w:rsidRPr="00C63647">
        <w:rPr>
          <w:rFonts w:ascii="Century Gothic" w:hAnsi="Century Gothic"/>
        </w:rPr>
        <w:t>, H.R. </w:t>
      </w:r>
      <w:hyperlink r:id="rId42" w:tgtFrame="_blank" w:history="1">
        <w:r w:rsidR="004575B1" w:rsidRPr="00C63647">
          <w:rPr>
            <w:rStyle w:val="Hipervnculo"/>
            <w:rFonts w:ascii="Century Gothic" w:hAnsi="Century Gothic"/>
            <w:color w:val="auto"/>
            <w:u w:val="none"/>
          </w:rPr>
          <w:t>Diógenes Quintero Amaya</w:t>
        </w:r>
      </w:hyperlink>
      <w:r w:rsidR="004575B1" w:rsidRPr="00C63647">
        <w:rPr>
          <w:rFonts w:ascii="Century Gothic" w:hAnsi="Century Gothic"/>
        </w:rPr>
        <w:t>, H.R. </w:t>
      </w:r>
      <w:proofErr w:type="spellStart"/>
      <w:r w:rsidRPr="00C63647">
        <w:rPr>
          <w:rFonts w:ascii="Century Gothic" w:hAnsi="Century Gothic"/>
        </w:rPr>
        <w:fldChar w:fldCharType="begin"/>
      </w:r>
      <w:r w:rsidRPr="00C63647">
        <w:rPr>
          <w:rFonts w:ascii="Century Gothic" w:hAnsi="Century Gothic"/>
        </w:rPr>
        <w:instrText>HYPERLINK "https://www.camara.gov.co/representantes/heraclito-landinez-suarez" \t "_blank"</w:instrText>
      </w:r>
      <w:r w:rsidRPr="00C63647">
        <w:rPr>
          <w:rFonts w:ascii="Century Gothic" w:hAnsi="Century Gothic"/>
        </w:rPr>
      </w:r>
      <w:r w:rsidRPr="00C63647">
        <w:rPr>
          <w:rFonts w:ascii="Century Gothic" w:hAnsi="Century Gothic"/>
        </w:rPr>
        <w:fldChar w:fldCharType="separate"/>
      </w:r>
      <w:r w:rsidR="004575B1" w:rsidRPr="00C63647">
        <w:rPr>
          <w:rStyle w:val="Hipervnculo"/>
          <w:rFonts w:ascii="Century Gothic" w:hAnsi="Century Gothic"/>
          <w:color w:val="auto"/>
          <w:u w:val="none"/>
        </w:rPr>
        <w:t>Heraclito</w:t>
      </w:r>
      <w:proofErr w:type="spellEnd"/>
      <w:r w:rsidR="004575B1" w:rsidRPr="00C63647">
        <w:rPr>
          <w:rStyle w:val="Hipervnculo"/>
          <w:rFonts w:ascii="Century Gothic" w:hAnsi="Century Gothic"/>
          <w:color w:val="auto"/>
          <w:u w:val="none"/>
        </w:rPr>
        <w:t xml:space="preserve"> Landinez Suárez</w:t>
      </w:r>
      <w:r w:rsidRPr="00C63647">
        <w:rPr>
          <w:rStyle w:val="Hipervnculo"/>
          <w:rFonts w:ascii="Century Gothic" w:hAnsi="Century Gothic"/>
          <w:color w:val="auto"/>
          <w:u w:val="none"/>
        </w:rPr>
        <w:fldChar w:fldCharType="end"/>
      </w:r>
      <w:r w:rsidR="004575B1" w:rsidRPr="00C63647">
        <w:rPr>
          <w:rFonts w:ascii="Century Gothic" w:hAnsi="Century Gothic"/>
        </w:rPr>
        <w:t>, H.R. </w:t>
      </w:r>
      <w:hyperlink r:id="rId43" w:tgtFrame="_blank" w:history="1">
        <w:r w:rsidR="004575B1" w:rsidRPr="00C63647">
          <w:rPr>
            <w:rStyle w:val="Hipervnculo"/>
            <w:rFonts w:ascii="Century Gothic" w:hAnsi="Century Gothic"/>
            <w:color w:val="auto"/>
            <w:u w:val="none"/>
          </w:rPr>
          <w:t xml:space="preserve">José Jaime </w:t>
        </w:r>
        <w:proofErr w:type="spellStart"/>
        <w:r w:rsidR="004575B1" w:rsidRPr="00C63647">
          <w:rPr>
            <w:rStyle w:val="Hipervnculo"/>
            <w:rFonts w:ascii="Century Gothic" w:hAnsi="Century Gothic"/>
            <w:color w:val="auto"/>
            <w:u w:val="none"/>
          </w:rPr>
          <w:t>Uscátegui</w:t>
        </w:r>
        <w:proofErr w:type="spellEnd"/>
        <w:r w:rsidR="004575B1" w:rsidRPr="00C63647">
          <w:rPr>
            <w:rStyle w:val="Hipervnculo"/>
            <w:rFonts w:ascii="Century Gothic" w:hAnsi="Century Gothic"/>
            <w:color w:val="auto"/>
            <w:u w:val="none"/>
          </w:rPr>
          <w:t xml:space="preserve"> Pastrana</w:t>
        </w:r>
      </w:hyperlink>
      <w:r w:rsidR="004575B1" w:rsidRPr="00C63647">
        <w:rPr>
          <w:rFonts w:ascii="Century Gothic" w:hAnsi="Century Gothic"/>
        </w:rPr>
        <w:t>, H.R. </w:t>
      </w:r>
      <w:hyperlink r:id="rId44" w:tgtFrame="_blank" w:history="1">
        <w:r w:rsidR="004575B1" w:rsidRPr="00C63647">
          <w:rPr>
            <w:rStyle w:val="Hipervnculo"/>
            <w:rFonts w:ascii="Century Gothic" w:hAnsi="Century Gothic"/>
            <w:color w:val="auto"/>
            <w:u w:val="none"/>
          </w:rPr>
          <w:t xml:space="preserve">Catherine </w:t>
        </w:r>
        <w:proofErr w:type="spellStart"/>
        <w:r w:rsidR="004575B1" w:rsidRPr="00C63647">
          <w:rPr>
            <w:rStyle w:val="Hipervnculo"/>
            <w:rFonts w:ascii="Century Gothic" w:hAnsi="Century Gothic"/>
            <w:color w:val="auto"/>
            <w:u w:val="none"/>
          </w:rPr>
          <w:t>Juvinao</w:t>
        </w:r>
        <w:proofErr w:type="spellEnd"/>
        <w:r w:rsidR="004575B1" w:rsidRPr="00C63647">
          <w:rPr>
            <w:rStyle w:val="Hipervnculo"/>
            <w:rFonts w:ascii="Century Gothic" w:hAnsi="Century Gothic"/>
            <w:color w:val="auto"/>
            <w:u w:val="none"/>
          </w:rPr>
          <w:t xml:space="preserve"> Clavijo</w:t>
        </w:r>
      </w:hyperlink>
      <w:r w:rsidR="004575B1" w:rsidRPr="00C63647">
        <w:rPr>
          <w:rFonts w:ascii="Century Gothic" w:hAnsi="Century Gothic"/>
        </w:rPr>
        <w:t>, H.R. </w:t>
      </w:r>
      <w:hyperlink r:id="rId45" w:tgtFrame="_blank" w:history="1">
        <w:r w:rsidR="004575B1" w:rsidRPr="00C63647">
          <w:rPr>
            <w:rStyle w:val="Hipervnculo"/>
            <w:rFonts w:ascii="Century Gothic" w:hAnsi="Century Gothic"/>
            <w:color w:val="auto"/>
            <w:u w:val="none"/>
          </w:rPr>
          <w:t>Luis Alberto Albán Urbano</w:t>
        </w:r>
      </w:hyperlink>
      <w:r w:rsidR="004575B1" w:rsidRPr="00C63647">
        <w:rPr>
          <w:rFonts w:ascii="Century Gothic" w:hAnsi="Century Gothic"/>
        </w:rPr>
        <w:t xml:space="preserve">. </w:t>
      </w:r>
    </w:p>
    <w:p w14:paraId="3103F74F" w14:textId="59DCCCE0" w:rsidR="004575B1" w:rsidRPr="00C63647" w:rsidRDefault="00C06EDB" w:rsidP="004575B1">
      <w:pPr>
        <w:ind w:left="360"/>
        <w:jc w:val="both"/>
        <w:rPr>
          <w:rFonts w:ascii="Century Gothic" w:hAnsi="Century Gothic"/>
        </w:rPr>
      </w:pPr>
      <w:r w:rsidRPr="00C63647">
        <w:rPr>
          <w:rFonts w:ascii="Century Gothic" w:hAnsi="Century Gothic"/>
        </w:rPr>
        <w:t xml:space="preserve">Solicitándose el 6 de agosto ampliación del plazo para presentación de ponencia con el objetivo de realizar mesas de trabajo con ponentes y sociedad. </w:t>
      </w:r>
    </w:p>
    <w:p w14:paraId="003369AB" w14:textId="24167B48" w:rsidR="00E7231F" w:rsidRPr="00C63647" w:rsidRDefault="004575B1" w:rsidP="00E7231F">
      <w:pPr>
        <w:ind w:left="360"/>
        <w:jc w:val="both"/>
        <w:rPr>
          <w:rFonts w:ascii="Century Gothic" w:hAnsi="Century Gothic"/>
          <w:lang w:val="es-MX"/>
        </w:rPr>
      </w:pPr>
      <w:r w:rsidRPr="00C63647">
        <w:rPr>
          <w:rFonts w:ascii="Century Gothic" w:hAnsi="Century Gothic"/>
          <w:lang w:val="es-MX"/>
        </w:rPr>
        <w:t xml:space="preserve">EL 4 de septiembre de 2024, se realizó mesa de trabajo para revisar los diferentes comentarios que la sociedad, academia e instituciones aportaron al proyecto de ley y los cuales fueron </w:t>
      </w:r>
      <w:r w:rsidR="00C06EDB" w:rsidRPr="00C63647">
        <w:rPr>
          <w:rFonts w:ascii="Century Gothic" w:hAnsi="Century Gothic"/>
          <w:lang w:val="es-MX"/>
        </w:rPr>
        <w:t xml:space="preserve">tenido en cuenta para el presente documento. </w:t>
      </w:r>
    </w:p>
    <w:p w14:paraId="2BFE1713" w14:textId="23A97B98" w:rsidR="00DB0ECE" w:rsidRPr="00C63647" w:rsidRDefault="0047197B" w:rsidP="00E7231F">
      <w:pPr>
        <w:ind w:left="360"/>
        <w:jc w:val="both"/>
        <w:rPr>
          <w:rFonts w:ascii="Century Gothic" w:hAnsi="Century Gothic"/>
          <w:lang w:val="es-MX"/>
        </w:rPr>
      </w:pPr>
      <w:r w:rsidRPr="00C63647">
        <w:rPr>
          <w:rFonts w:ascii="Century Gothic" w:hAnsi="Century Gothic"/>
          <w:lang w:val="es-MX"/>
        </w:rPr>
        <w:t xml:space="preserve">El 28 de noviembre de 2024, se solicitó nueva prórroga a fin de poder estudiar y consolidar las diferentes posturas que permiten la elaboración de esta ponencia. </w:t>
      </w:r>
    </w:p>
    <w:p w14:paraId="7F643823" w14:textId="77777777" w:rsidR="00344631" w:rsidRPr="00C63647" w:rsidRDefault="00344631" w:rsidP="00E7231F">
      <w:pPr>
        <w:ind w:left="360"/>
        <w:jc w:val="both"/>
        <w:rPr>
          <w:rFonts w:ascii="Century Gothic" w:hAnsi="Century Gothic"/>
          <w:lang w:val="es-MX"/>
        </w:rPr>
      </w:pPr>
    </w:p>
    <w:p w14:paraId="0C17E27A" w14:textId="0CFE24A0" w:rsidR="00DB0ECE" w:rsidRPr="00C63647" w:rsidRDefault="00DB0ECE" w:rsidP="00DB0ECE">
      <w:pPr>
        <w:pStyle w:val="Prrafodelista"/>
        <w:numPr>
          <w:ilvl w:val="0"/>
          <w:numId w:val="2"/>
        </w:numPr>
        <w:jc w:val="both"/>
        <w:rPr>
          <w:rFonts w:ascii="Century Gothic" w:hAnsi="Century Gothic"/>
          <w:b/>
          <w:bCs/>
          <w:lang w:val="es-MX"/>
        </w:rPr>
      </w:pPr>
      <w:r w:rsidRPr="00C63647">
        <w:rPr>
          <w:rFonts w:ascii="Century Gothic" w:hAnsi="Century Gothic"/>
          <w:b/>
          <w:bCs/>
          <w:lang w:val="es-MX"/>
        </w:rPr>
        <w:t>JUSTIFICACI</w:t>
      </w:r>
      <w:r w:rsidR="008A7046" w:rsidRPr="00C63647">
        <w:rPr>
          <w:rFonts w:ascii="Century Gothic" w:hAnsi="Century Gothic"/>
          <w:b/>
          <w:bCs/>
          <w:lang w:val="es-MX"/>
        </w:rPr>
        <w:t>ÓN</w:t>
      </w:r>
    </w:p>
    <w:p w14:paraId="34B4DEA4" w14:textId="0A62211E" w:rsidR="00F51A86" w:rsidRPr="00C63647" w:rsidRDefault="001644D4" w:rsidP="006A4824">
      <w:pPr>
        <w:pBdr>
          <w:top w:val="nil"/>
          <w:left w:val="nil"/>
          <w:bottom w:val="nil"/>
          <w:right w:val="nil"/>
          <w:between w:val="nil"/>
        </w:pBdr>
        <w:spacing w:after="0"/>
        <w:jc w:val="both"/>
        <w:rPr>
          <w:rFonts w:ascii="Century Gothic" w:hAnsi="Century Gothic"/>
          <w:color w:val="000000"/>
        </w:rPr>
      </w:pPr>
      <w:r w:rsidRPr="00C63647">
        <w:rPr>
          <w:rFonts w:ascii="Century Gothic" w:hAnsi="Century Gothic"/>
          <w:color w:val="000000"/>
        </w:rPr>
        <w:t>La violencia contra las mujeres es una de las violaciones más generalizadas de los derechos humanos en el mundo</w:t>
      </w:r>
      <w:r w:rsidRPr="00C63647">
        <w:rPr>
          <w:rFonts w:ascii="Century Gothic" w:hAnsi="Century Gothic"/>
          <w:vertAlign w:val="superscript"/>
        </w:rPr>
        <w:footnoteReference w:id="1"/>
      </w:r>
      <w:r w:rsidRPr="00C63647">
        <w:rPr>
          <w:rFonts w:ascii="Century Gothic" w:hAnsi="Century Gothic"/>
          <w:color w:val="000000"/>
        </w:rPr>
        <w:t xml:space="preserve">, siendo uno de los principales retos a enfrentar por las agendas gubernamentales con enfoque de género en el siglo XXI. </w:t>
      </w:r>
    </w:p>
    <w:p w14:paraId="36ADC1DB" w14:textId="77777777" w:rsidR="006A4824" w:rsidRPr="00C63647" w:rsidRDefault="006A4824" w:rsidP="006A4824">
      <w:pPr>
        <w:pBdr>
          <w:top w:val="nil"/>
          <w:left w:val="nil"/>
          <w:bottom w:val="nil"/>
          <w:right w:val="nil"/>
          <w:between w:val="nil"/>
        </w:pBdr>
        <w:spacing w:after="0"/>
        <w:jc w:val="both"/>
        <w:rPr>
          <w:rFonts w:ascii="Century Gothic" w:hAnsi="Century Gothic"/>
          <w:color w:val="000000"/>
        </w:rPr>
      </w:pPr>
    </w:p>
    <w:p w14:paraId="0D81B2F3" w14:textId="5D09163C" w:rsidR="00F51A86" w:rsidRPr="00C63647" w:rsidRDefault="00F51A86" w:rsidP="00D10EA4">
      <w:pPr>
        <w:pBdr>
          <w:top w:val="nil"/>
          <w:left w:val="nil"/>
          <w:bottom w:val="nil"/>
          <w:right w:val="nil"/>
          <w:between w:val="nil"/>
        </w:pBdr>
        <w:spacing w:after="0"/>
        <w:jc w:val="both"/>
        <w:rPr>
          <w:rFonts w:ascii="Century Gothic" w:hAnsi="Century Gothic"/>
          <w:color w:val="000000"/>
        </w:rPr>
      </w:pPr>
      <w:r w:rsidRPr="00C63647">
        <w:rPr>
          <w:rFonts w:ascii="Century Gothic" w:hAnsi="Century Gothic"/>
          <w:color w:val="000000"/>
        </w:rPr>
        <w:t xml:space="preserve">Abordarlo implica tomar conciencia de la importancia de atender las conductas violentas que se desarrollan en el marco de las relaciones de pareja y al interior de la familia pues son estos los escenarios de mayor ocurrencia. </w:t>
      </w:r>
    </w:p>
    <w:p w14:paraId="595FC627" w14:textId="77777777" w:rsidR="008305C1" w:rsidRPr="00C63647" w:rsidRDefault="008305C1" w:rsidP="00D10EA4">
      <w:pPr>
        <w:pBdr>
          <w:top w:val="nil"/>
          <w:left w:val="nil"/>
          <w:bottom w:val="nil"/>
          <w:right w:val="nil"/>
          <w:between w:val="nil"/>
        </w:pBdr>
        <w:spacing w:after="0"/>
        <w:ind w:left="360"/>
        <w:jc w:val="both"/>
        <w:rPr>
          <w:rFonts w:ascii="Century Gothic" w:hAnsi="Century Gothic"/>
          <w:color w:val="000000"/>
        </w:rPr>
      </w:pPr>
    </w:p>
    <w:p w14:paraId="1813A7F0" w14:textId="77777777" w:rsidR="00432FA0" w:rsidRPr="00C63647" w:rsidRDefault="000A6852" w:rsidP="00D10EA4">
      <w:pPr>
        <w:jc w:val="both"/>
        <w:rPr>
          <w:rFonts w:ascii="Century Gothic" w:hAnsi="Century Gothic"/>
        </w:rPr>
      </w:pPr>
      <w:r w:rsidRPr="00C63647">
        <w:rPr>
          <w:rFonts w:ascii="Century Gothic" w:hAnsi="Century Gothic"/>
        </w:rPr>
        <w:t xml:space="preserve">Los esfuerzos realizados por los Estados modernos en rechazar y sancionar este tipo de conductas han permitido descubrir e incluir como objeto de regulación nuevas </w:t>
      </w:r>
      <w:r w:rsidRPr="00C63647">
        <w:rPr>
          <w:rFonts w:ascii="Century Gothic" w:hAnsi="Century Gothic"/>
        </w:rPr>
        <w:lastRenderedPageBreak/>
        <w:t xml:space="preserve">formas de violencia contra la mujer en el contexto familiar basadas en estereotipos de género, como aquellas que inician en la etapa de ruptura y/o luego de la separación/divorcio. </w:t>
      </w:r>
    </w:p>
    <w:p w14:paraId="7A487656" w14:textId="60EA3308" w:rsidR="00D10EA4" w:rsidRPr="00C63647" w:rsidRDefault="00D10EA4" w:rsidP="00D10EA4">
      <w:pPr>
        <w:jc w:val="both"/>
        <w:rPr>
          <w:rFonts w:ascii="Century Gothic" w:hAnsi="Century Gothic"/>
        </w:rPr>
      </w:pPr>
      <w:r w:rsidRPr="00C63647">
        <w:rPr>
          <w:rFonts w:ascii="Century Gothic" w:hAnsi="Century Gothic"/>
        </w:rPr>
        <w:t xml:space="preserve">A partir de la promulgación de la Ley 1257 2008, Colombia ha venido avanzando en la sensibilización de la violencia de género y especialmente aquella dirigida a la mujer. Los hechos lamentables que han ocurridos en los últimos </w:t>
      </w:r>
      <w:r w:rsidR="00755D6E" w:rsidRPr="00C63647">
        <w:rPr>
          <w:rFonts w:ascii="Century Gothic" w:hAnsi="Century Gothic"/>
        </w:rPr>
        <w:t>años</w:t>
      </w:r>
      <w:r w:rsidRPr="00C63647">
        <w:rPr>
          <w:rFonts w:ascii="Century Gothic" w:hAnsi="Century Gothic"/>
        </w:rPr>
        <w:t xml:space="preserve"> gestaron importantes debates al interior del Congreso de la República de Colombia para tomar acciones que resultaron en la promulgación de leyes tendientes a las medidas de prevención, sensibilización, atención, sanción y seguimiento respecto de las violencias ejercidas contra las mujeres.</w:t>
      </w:r>
    </w:p>
    <w:p w14:paraId="5E11B7A4" w14:textId="5DFCFC4B" w:rsidR="000A6852" w:rsidRPr="00C63647" w:rsidRDefault="00D10EA4" w:rsidP="00D10EA4">
      <w:pPr>
        <w:jc w:val="both"/>
        <w:rPr>
          <w:rFonts w:ascii="Century Gothic" w:hAnsi="Century Gothic"/>
        </w:rPr>
      </w:pPr>
      <w:r w:rsidRPr="00C63647">
        <w:rPr>
          <w:rFonts w:ascii="Century Gothic" w:hAnsi="Century Gothic"/>
        </w:rPr>
        <w:t xml:space="preserve">Sin </w:t>
      </w:r>
      <w:r w:rsidR="00755D6E" w:rsidRPr="00C63647">
        <w:rPr>
          <w:rFonts w:ascii="Century Gothic" w:hAnsi="Century Gothic"/>
        </w:rPr>
        <w:t>embargo,</w:t>
      </w:r>
      <w:r w:rsidRPr="00C63647">
        <w:rPr>
          <w:rFonts w:ascii="Century Gothic" w:hAnsi="Century Gothic"/>
        </w:rPr>
        <w:t xml:space="preserve"> el fenómeno de la violencia de género evoluciona conforme la sociedad lo hace. En el mundo se ha identificado u</w:t>
      </w:r>
      <w:r w:rsidR="002508C1" w:rsidRPr="00C63647">
        <w:rPr>
          <w:rFonts w:ascii="Century Gothic" w:hAnsi="Century Gothic"/>
        </w:rPr>
        <w:t>na de las violencias</w:t>
      </w:r>
      <w:r w:rsidR="00082115" w:rsidRPr="00C63647">
        <w:rPr>
          <w:rFonts w:ascii="Century Gothic" w:hAnsi="Century Gothic"/>
        </w:rPr>
        <w:t xml:space="preserve"> más </w:t>
      </w:r>
      <w:r w:rsidR="002508C1" w:rsidRPr="00C63647">
        <w:rPr>
          <w:rFonts w:ascii="Century Gothic" w:hAnsi="Century Gothic"/>
        </w:rPr>
        <w:t xml:space="preserve">crueles </w:t>
      </w:r>
      <w:r w:rsidRPr="00C63647">
        <w:rPr>
          <w:rFonts w:ascii="Century Gothic" w:hAnsi="Century Gothic"/>
        </w:rPr>
        <w:t>denominada</w:t>
      </w:r>
      <w:r w:rsidR="00BE0B2D" w:rsidRPr="00C63647">
        <w:rPr>
          <w:rFonts w:ascii="Century Gothic" w:hAnsi="Century Gothic"/>
        </w:rPr>
        <w:t xml:space="preserve"> </w:t>
      </w:r>
      <w:r w:rsidR="00BE0B2D" w:rsidRPr="00C63647">
        <w:rPr>
          <w:rFonts w:ascii="Century Gothic" w:hAnsi="Century Gothic"/>
          <w:i/>
          <w:iCs/>
        </w:rPr>
        <w:t>Violencia Vicaria</w:t>
      </w:r>
      <w:r w:rsidR="00BE0B2D" w:rsidRPr="00C63647">
        <w:rPr>
          <w:rFonts w:ascii="Century Gothic" w:hAnsi="Century Gothic"/>
        </w:rPr>
        <w:t xml:space="preserve">, la cual tiene como objetivo </w:t>
      </w:r>
      <w:r w:rsidR="000A6852" w:rsidRPr="00C63647">
        <w:rPr>
          <w:rFonts w:ascii="Century Gothic" w:hAnsi="Century Gothic"/>
        </w:rPr>
        <w:t>ataca</w:t>
      </w:r>
      <w:r w:rsidR="00BE0B2D" w:rsidRPr="00C63647">
        <w:rPr>
          <w:rFonts w:ascii="Century Gothic" w:hAnsi="Century Gothic"/>
        </w:rPr>
        <w:t xml:space="preserve">r </w:t>
      </w:r>
      <w:r w:rsidR="000A6852" w:rsidRPr="00C63647">
        <w:rPr>
          <w:rFonts w:ascii="Century Gothic" w:hAnsi="Century Gothic"/>
        </w:rPr>
        <w:t xml:space="preserve">a la mujer en su rol de madre e </w:t>
      </w:r>
      <w:r w:rsidRPr="00C63647">
        <w:rPr>
          <w:rFonts w:ascii="Century Gothic" w:hAnsi="Century Gothic"/>
        </w:rPr>
        <w:t>instrumentalizar</w:t>
      </w:r>
      <w:r w:rsidR="000A6852" w:rsidRPr="00C63647">
        <w:rPr>
          <w:rFonts w:ascii="Century Gothic" w:hAnsi="Century Gothic"/>
        </w:rPr>
        <w:t xml:space="preserve"> a los hijos e hijas como objetos para continuar </w:t>
      </w:r>
      <w:r w:rsidR="004976F0" w:rsidRPr="00C63647">
        <w:rPr>
          <w:rFonts w:ascii="Century Gothic" w:hAnsi="Century Gothic"/>
        </w:rPr>
        <w:t xml:space="preserve">infringiéndole </w:t>
      </w:r>
      <w:r w:rsidR="000A6852" w:rsidRPr="00C63647">
        <w:rPr>
          <w:rFonts w:ascii="Century Gothic" w:hAnsi="Century Gothic"/>
        </w:rPr>
        <w:t>daño. (Sonia E. Vaccaro 2021)</w:t>
      </w:r>
      <w:r w:rsidR="000A6852" w:rsidRPr="00C63647">
        <w:rPr>
          <w:rFonts w:ascii="Century Gothic" w:hAnsi="Century Gothic"/>
          <w:vertAlign w:val="superscript"/>
        </w:rPr>
        <w:footnoteReference w:id="2"/>
      </w:r>
      <w:r w:rsidR="00755D6E" w:rsidRPr="00C63647">
        <w:rPr>
          <w:rFonts w:ascii="Century Gothic" w:hAnsi="Century Gothic"/>
        </w:rPr>
        <w:t xml:space="preserve">, especialmente tras procesos de separación ruptura o disputas por </w:t>
      </w:r>
      <w:r w:rsidR="001D7947" w:rsidRPr="00C63647">
        <w:rPr>
          <w:rFonts w:ascii="Century Gothic" w:hAnsi="Century Gothic"/>
        </w:rPr>
        <w:t>custodias</w:t>
      </w:r>
      <w:r w:rsidR="00755D6E" w:rsidRPr="00C63647">
        <w:rPr>
          <w:rFonts w:ascii="Century Gothic" w:hAnsi="Century Gothic"/>
        </w:rPr>
        <w:t xml:space="preserve"> de hijos en común. </w:t>
      </w:r>
    </w:p>
    <w:p w14:paraId="5A9A8662" w14:textId="1CA16903" w:rsidR="00755D6E" w:rsidRPr="00C63647" w:rsidRDefault="00755D6E" w:rsidP="00D10EA4">
      <w:pPr>
        <w:jc w:val="both"/>
        <w:rPr>
          <w:rFonts w:ascii="Century Gothic" w:hAnsi="Century Gothic"/>
        </w:rPr>
      </w:pPr>
      <w:r w:rsidRPr="00C63647">
        <w:rPr>
          <w:rFonts w:ascii="Century Gothic" w:hAnsi="Century Gothic"/>
        </w:rPr>
        <w:t xml:space="preserve">Este fenómeno ha sido estudiado por varios psicoanalistas, así como universidades quienes ha identificado que este tipo de violencia tiene una “finalidad de control, castigo o sometimiento, y se desarrolla generalmente dentro de las relaciones de poder y dominación emocional. El agresor no busca dañar directamente a la víctima, sino que utiliza el vinculo más sagrado y vulnerables (usualmente hijos/as) para infligir un dolor devastador, persistente y a veces irreversible”, como lo ha señado Sonia Vaccaro, experta en el tema. </w:t>
      </w:r>
    </w:p>
    <w:p w14:paraId="72D55653" w14:textId="7676BA52" w:rsidR="00755D6E" w:rsidRPr="00C63647" w:rsidRDefault="00755D6E" w:rsidP="00D10EA4">
      <w:pPr>
        <w:jc w:val="both"/>
        <w:rPr>
          <w:rFonts w:ascii="Century Gothic" w:hAnsi="Century Gothic"/>
        </w:rPr>
      </w:pPr>
      <w:r w:rsidRPr="00C63647">
        <w:rPr>
          <w:rFonts w:ascii="Century Gothic" w:hAnsi="Century Gothic"/>
        </w:rPr>
        <w:t xml:space="preserve">Teniendo en cuenta la gravedad de este tipo de violencia, </w:t>
      </w:r>
      <w:r w:rsidR="001D7947" w:rsidRPr="00C63647">
        <w:rPr>
          <w:rFonts w:ascii="Century Gothic" w:hAnsi="Century Gothic"/>
        </w:rPr>
        <w:t xml:space="preserve">la Violencia Vicaria está siendo cada vez más reconocida en diversas legislaciones a nivel mundial, especialmente en América Latina y España. </w:t>
      </w:r>
    </w:p>
    <w:p w14:paraId="6878C527"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España</w:t>
      </w:r>
      <w:r w:rsidRPr="00C63647">
        <w:rPr>
          <w:rFonts w:ascii="Century Gothic" w:hAnsi="Century Gothic"/>
        </w:rPr>
        <w:t xml:space="preserve"> reconoció la violencia vicaria desde el 2015, </w:t>
      </w:r>
    </w:p>
    <w:p w14:paraId="66DFE359"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 xml:space="preserve">México </w:t>
      </w:r>
      <w:r w:rsidRPr="00C63647">
        <w:rPr>
          <w:rFonts w:ascii="Century Gothic" w:hAnsi="Century Gothic"/>
        </w:rPr>
        <w:t xml:space="preserve">incorporó la tipificación la tipificación de este tipo de violencia en 2023, </w:t>
      </w:r>
    </w:p>
    <w:p w14:paraId="467E38FB"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Chile</w:t>
      </w:r>
      <w:r w:rsidRPr="00C63647">
        <w:rPr>
          <w:rFonts w:ascii="Century Gothic" w:hAnsi="Century Gothic"/>
        </w:rPr>
        <w:t xml:space="preserve"> mediante sus leyes No. 19.968 y 20.066 ajustaron su sistema jurídico para prevenir este tipo de violencia. </w:t>
      </w:r>
    </w:p>
    <w:p w14:paraId="655578F2" w14:textId="3621B735" w:rsidR="008F70AF"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 xml:space="preserve">Argentina </w:t>
      </w:r>
      <w:r w:rsidRPr="00C63647">
        <w:rPr>
          <w:rFonts w:ascii="Century Gothic" w:hAnsi="Century Gothic"/>
        </w:rPr>
        <w:t xml:space="preserve">por su parte actualizo su Ley 26.485 de Protección Integral para Prevenir, Sancionar y Erradicar la Violencia contra la Mujeres, e incorporó la violencia vicaria como modalidad de violencia tanto domestica como institucional. </w:t>
      </w:r>
    </w:p>
    <w:p w14:paraId="1EFBCD1C" w14:textId="77777777" w:rsidR="00237060" w:rsidRPr="00C63647" w:rsidRDefault="00237060" w:rsidP="00237060">
      <w:pPr>
        <w:pStyle w:val="Prrafodelista"/>
        <w:numPr>
          <w:ilvl w:val="0"/>
          <w:numId w:val="11"/>
        </w:numPr>
        <w:jc w:val="both"/>
        <w:rPr>
          <w:rFonts w:ascii="Century Gothic" w:hAnsi="Century Gothic"/>
          <w:lang w:val="es-ES"/>
        </w:rPr>
      </w:pPr>
      <w:r w:rsidRPr="00C63647">
        <w:rPr>
          <w:rFonts w:ascii="Century Gothic" w:hAnsi="Century Gothic"/>
          <w:b/>
          <w:lang w:val="es-ES"/>
        </w:rPr>
        <w:t>Australia</w:t>
      </w:r>
      <w:r w:rsidRPr="00C63647">
        <w:rPr>
          <w:rFonts w:ascii="Century Gothic" w:hAnsi="Century Gothic"/>
          <w:lang w:val="es-ES"/>
        </w:rPr>
        <w:t xml:space="preserve">: La Ley de Prevención de la Violencia Familiar (2018) también incluye la violencia vicaria como una forma de violencia familiar y establece medidas de protección específicas para </w:t>
      </w:r>
      <w:proofErr w:type="gramStart"/>
      <w:r w:rsidRPr="00C63647">
        <w:rPr>
          <w:rFonts w:ascii="Century Gothic" w:hAnsi="Century Gothic"/>
          <w:lang w:val="es-ES"/>
        </w:rPr>
        <w:t>los niños y niñas</w:t>
      </w:r>
      <w:proofErr w:type="gramEnd"/>
      <w:r w:rsidRPr="00C63647">
        <w:rPr>
          <w:rFonts w:ascii="Century Gothic" w:hAnsi="Century Gothic"/>
          <w:lang w:val="es-ES"/>
        </w:rPr>
        <w:t xml:space="preserve"> afectados. La ley también permite la emisión de órdenes de protección específicas para </w:t>
      </w:r>
      <w:proofErr w:type="gramStart"/>
      <w:r w:rsidRPr="00C63647">
        <w:rPr>
          <w:rFonts w:ascii="Century Gothic" w:hAnsi="Century Gothic"/>
          <w:lang w:val="es-ES"/>
        </w:rPr>
        <w:t>los niños y niñas</w:t>
      </w:r>
      <w:proofErr w:type="gramEnd"/>
      <w:r w:rsidRPr="00C63647">
        <w:rPr>
          <w:rFonts w:ascii="Century Gothic" w:hAnsi="Century Gothic"/>
          <w:lang w:val="es-ES"/>
        </w:rPr>
        <w:t xml:space="preserve"> y establece la obligación de los servicios públicos a denunciar cualquier sospecha de violencia familiar. </w:t>
      </w:r>
    </w:p>
    <w:p w14:paraId="22305E10" w14:textId="5F14C452" w:rsidR="001D7947" w:rsidRPr="00C63647" w:rsidRDefault="001D7947" w:rsidP="008F70AF">
      <w:pPr>
        <w:jc w:val="both"/>
        <w:rPr>
          <w:rFonts w:ascii="Century Gothic" w:eastAsia="Constantia" w:hAnsi="Century Gothic" w:cs="Constantia"/>
        </w:rPr>
      </w:pPr>
      <w:r w:rsidRPr="00C63647">
        <w:rPr>
          <w:rFonts w:ascii="Century Gothic" w:hAnsi="Century Gothic"/>
        </w:rPr>
        <w:t>En Colombia actualmente el sistema carece de una legislación que reconozca</w:t>
      </w:r>
      <w:r w:rsidR="008F70AF" w:rsidRPr="00C63647">
        <w:rPr>
          <w:rFonts w:ascii="Century Gothic" w:hAnsi="Century Gothic"/>
        </w:rPr>
        <w:t xml:space="preserve"> </w:t>
      </w:r>
      <w:r w:rsidRPr="00C63647">
        <w:rPr>
          <w:rFonts w:ascii="Century Gothic" w:hAnsi="Century Gothic"/>
        </w:rPr>
        <w:t xml:space="preserve">este tipo de violencia de género, sancione esta conducta, la prevenga y proteja a quienes la sufren, lo que generan un vacío jurídico en el sistema y una desprotección efectiva, impidiendo que el Estado responda frente a casos de violencia vicaria y tome medidas para su prevención. </w:t>
      </w:r>
      <w:r w:rsidR="008F70AF" w:rsidRPr="00C63647">
        <w:rPr>
          <w:rFonts w:ascii="Century Gothic" w:hAnsi="Century Gothic"/>
        </w:rPr>
        <w:t xml:space="preserve"> Es por esta razón que atendiendo las observaciones del Comité de Política Criminal se ha modificado el articulado propuesto para que en el ordenamiento jurídico colombiano la Violencia Vicaria no se reconozca como </w:t>
      </w:r>
      <w:r w:rsidR="008F70AF" w:rsidRPr="00C63647">
        <w:rPr>
          <w:rFonts w:ascii="Century Gothic" w:eastAsia="Constantia" w:hAnsi="Century Gothic" w:cs="Constantia"/>
        </w:rPr>
        <w:t xml:space="preserve">delito autónomo sino como un  agravante  de los Delitos Contra la Vida y la Integridad Personal, evitando la duplicidad de conductas punibles en el sistema colombiano pero reconociendo la necesidad de sancionar la instrumentalización y la violencia indirecta que conlleva la Violencia Vicaria y que </w:t>
      </w:r>
      <w:r w:rsidR="008F70AF" w:rsidRPr="00C63647">
        <w:rPr>
          <w:rFonts w:ascii="Century Gothic" w:eastAsia="Constantia" w:hAnsi="Century Gothic" w:cs="Constantia"/>
        </w:rPr>
        <w:lastRenderedPageBreak/>
        <w:t xml:space="preserve">está afectando a los niños, niñas, adolescentes, adultos mayores y a mujeres en nuestro país dejando en la impunidad este tipo de delitos. </w:t>
      </w:r>
    </w:p>
    <w:p w14:paraId="2D1A19CF" w14:textId="3CFB6FB2" w:rsidR="008F70AF" w:rsidRPr="00C63647" w:rsidRDefault="00237060" w:rsidP="00D10EA4">
      <w:pPr>
        <w:jc w:val="both"/>
        <w:rPr>
          <w:rFonts w:ascii="Century Gothic" w:hAnsi="Century Gothic"/>
          <w:b/>
          <w:bCs/>
        </w:rPr>
      </w:pPr>
      <w:r w:rsidRPr="00C63647">
        <w:rPr>
          <w:rFonts w:ascii="Century Gothic" w:hAnsi="Century Gothic"/>
          <w:b/>
          <w:bCs/>
        </w:rPr>
        <w:t xml:space="preserve">Evidencia </w:t>
      </w:r>
      <w:r w:rsidR="00FC4F37" w:rsidRPr="00C63647">
        <w:rPr>
          <w:rFonts w:ascii="Century Gothic" w:hAnsi="Century Gothic"/>
          <w:b/>
          <w:bCs/>
        </w:rPr>
        <w:t>Empírica</w:t>
      </w:r>
    </w:p>
    <w:p w14:paraId="31043B84" w14:textId="7805FE2F" w:rsidR="00602010" w:rsidRPr="00C63647" w:rsidRDefault="00602010" w:rsidP="00D10EA4">
      <w:pPr>
        <w:jc w:val="both"/>
        <w:rPr>
          <w:rFonts w:ascii="Century Gothic" w:hAnsi="Century Gothic"/>
        </w:rPr>
      </w:pPr>
      <w:r w:rsidRPr="00C63647">
        <w:rPr>
          <w:rFonts w:ascii="Century Gothic" w:hAnsi="Century Gothic"/>
        </w:rPr>
        <w:t xml:space="preserve">Según el boletín estadístico de Medicina Legal para </w:t>
      </w:r>
      <w:r w:rsidR="00FC3548" w:rsidRPr="00C63647">
        <w:rPr>
          <w:rFonts w:ascii="Century Gothic" w:hAnsi="Century Gothic"/>
        </w:rPr>
        <w:t>m</w:t>
      </w:r>
      <w:r w:rsidRPr="00C63647">
        <w:rPr>
          <w:rFonts w:ascii="Century Gothic" w:hAnsi="Century Gothic"/>
        </w:rPr>
        <w:t>arzo de 2025</w:t>
      </w:r>
      <w:r w:rsidR="008F70AF" w:rsidRPr="00C63647">
        <w:rPr>
          <w:rFonts w:ascii="Century Gothic" w:hAnsi="Century Gothic"/>
        </w:rPr>
        <w:t xml:space="preserve">, las cifras </w:t>
      </w:r>
      <w:r w:rsidRPr="00C63647">
        <w:rPr>
          <w:rFonts w:ascii="Century Gothic" w:hAnsi="Century Gothic"/>
        </w:rPr>
        <w:t xml:space="preserve">muestran </w:t>
      </w:r>
      <w:r w:rsidR="008F70AF" w:rsidRPr="00C63647">
        <w:rPr>
          <w:rFonts w:ascii="Century Gothic" w:hAnsi="Century Gothic"/>
        </w:rPr>
        <w:t xml:space="preserve">una tendencia a la alza en un 7.72% de  los </w:t>
      </w:r>
      <w:r w:rsidRPr="00C63647">
        <w:rPr>
          <w:rFonts w:ascii="Century Gothic" w:hAnsi="Century Gothic"/>
        </w:rPr>
        <w:t xml:space="preserve">homicidios </w:t>
      </w:r>
      <w:r w:rsidR="008F70AF" w:rsidRPr="00C63647">
        <w:rPr>
          <w:rFonts w:ascii="Century Gothic" w:hAnsi="Century Gothic"/>
        </w:rPr>
        <w:t>que se han cometido</w:t>
      </w:r>
      <w:r w:rsidRPr="00C63647">
        <w:rPr>
          <w:rFonts w:ascii="Century Gothic" w:hAnsi="Century Gothic"/>
        </w:rPr>
        <w:t xml:space="preserve"> en Colombia</w:t>
      </w:r>
      <w:r w:rsidR="008F70AF" w:rsidRPr="00C63647">
        <w:rPr>
          <w:rFonts w:ascii="Century Gothic" w:hAnsi="Century Gothic"/>
        </w:rPr>
        <w:t xml:space="preserve">;  </w:t>
      </w:r>
      <w:r w:rsidRPr="00C63647">
        <w:rPr>
          <w:rFonts w:ascii="Century Gothic" w:hAnsi="Century Gothic"/>
        </w:rPr>
        <w:t>de los cuales es de gran preocupación aquellos cometidos contra la primera infancia ( de 0 a 5 años</w:t>
      </w:r>
      <w:r w:rsidR="008F70AF" w:rsidRPr="00C63647">
        <w:rPr>
          <w:rFonts w:ascii="Century Gothic" w:hAnsi="Century Gothic"/>
        </w:rPr>
        <w:t xml:space="preserve">) con un  total de </w:t>
      </w:r>
      <w:r w:rsidRPr="00C63647">
        <w:rPr>
          <w:rFonts w:ascii="Century Gothic" w:hAnsi="Century Gothic"/>
        </w:rPr>
        <w:t>11 fallecidos</w:t>
      </w:r>
      <w:r w:rsidR="008F70AF" w:rsidRPr="00C63647">
        <w:rPr>
          <w:rFonts w:ascii="Century Gothic" w:hAnsi="Century Gothic"/>
        </w:rPr>
        <w:t>;</w:t>
      </w:r>
      <w:r w:rsidRPr="00C63647">
        <w:rPr>
          <w:rFonts w:ascii="Century Gothic" w:hAnsi="Century Gothic"/>
        </w:rPr>
        <w:t xml:space="preserve"> contra la infancia (menores de 6 a 11 años</w:t>
      </w:r>
      <w:r w:rsidR="008F70AF" w:rsidRPr="00C63647">
        <w:rPr>
          <w:rFonts w:ascii="Century Gothic" w:hAnsi="Century Gothic"/>
        </w:rPr>
        <w:t xml:space="preserve">, con un total de </w:t>
      </w:r>
      <w:r w:rsidRPr="00C63647">
        <w:rPr>
          <w:rFonts w:ascii="Century Gothic" w:hAnsi="Century Gothic"/>
        </w:rPr>
        <w:t>4 fallecidos</w:t>
      </w:r>
      <w:r w:rsidR="008F70AF" w:rsidRPr="00C63647">
        <w:rPr>
          <w:rFonts w:ascii="Century Gothic" w:hAnsi="Century Gothic"/>
        </w:rPr>
        <w:t xml:space="preserve">;  </w:t>
      </w:r>
      <w:r w:rsidRPr="00C63647">
        <w:rPr>
          <w:rFonts w:ascii="Century Gothic" w:hAnsi="Century Gothic"/>
        </w:rPr>
        <w:t xml:space="preserve"> </w:t>
      </w:r>
      <w:r w:rsidR="008F70AF" w:rsidRPr="00C63647">
        <w:rPr>
          <w:rFonts w:ascii="Century Gothic" w:hAnsi="Century Gothic"/>
        </w:rPr>
        <w:t>contra los a</w:t>
      </w:r>
      <w:r w:rsidRPr="00C63647">
        <w:rPr>
          <w:rFonts w:ascii="Century Gothic" w:hAnsi="Century Gothic"/>
        </w:rPr>
        <w:t>dolescentes de 12 a 17 años</w:t>
      </w:r>
      <w:r w:rsidR="008F70AF" w:rsidRPr="00C63647">
        <w:rPr>
          <w:rFonts w:ascii="Century Gothic" w:hAnsi="Century Gothic"/>
        </w:rPr>
        <w:t xml:space="preserve">, con un total de 133 fallecidos;  contra la </w:t>
      </w:r>
      <w:r w:rsidRPr="00C63647">
        <w:rPr>
          <w:rFonts w:ascii="Century Gothic" w:hAnsi="Century Gothic"/>
        </w:rPr>
        <w:t xml:space="preserve">juventud </w:t>
      </w:r>
      <w:r w:rsidR="008F70AF" w:rsidRPr="00C63647">
        <w:rPr>
          <w:rFonts w:ascii="Century Gothic" w:hAnsi="Century Gothic"/>
        </w:rPr>
        <w:t>(</w:t>
      </w:r>
      <w:r w:rsidRPr="00C63647">
        <w:rPr>
          <w:rFonts w:ascii="Century Gothic" w:hAnsi="Century Gothic"/>
        </w:rPr>
        <w:t>de 18 a 28 años</w:t>
      </w:r>
      <w:r w:rsidR="008F70AF" w:rsidRPr="00C63647">
        <w:rPr>
          <w:rFonts w:ascii="Century Gothic" w:hAnsi="Century Gothic"/>
        </w:rPr>
        <w:t xml:space="preserve">) </w:t>
      </w:r>
      <w:r w:rsidRPr="00C63647">
        <w:rPr>
          <w:rFonts w:ascii="Century Gothic" w:hAnsi="Century Gothic"/>
        </w:rPr>
        <w:t xml:space="preserve"> </w:t>
      </w:r>
      <w:r w:rsidR="008F70AF" w:rsidRPr="00C63647">
        <w:rPr>
          <w:rFonts w:ascii="Century Gothic" w:hAnsi="Century Gothic"/>
        </w:rPr>
        <w:t xml:space="preserve">con un total de </w:t>
      </w:r>
      <w:r w:rsidRPr="00C63647">
        <w:rPr>
          <w:rFonts w:ascii="Century Gothic" w:hAnsi="Century Gothic"/>
        </w:rPr>
        <w:t>1.340 fallecido</w:t>
      </w:r>
      <w:r w:rsidR="008F70AF" w:rsidRPr="00C63647">
        <w:rPr>
          <w:rFonts w:ascii="Century Gothic" w:hAnsi="Century Gothic"/>
        </w:rPr>
        <w:t>;  lo que evidencia</w:t>
      </w:r>
      <w:r w:rsidRPr="00C63647">
        <w:rPr>
          <w:rFonts w:ascii="Century Gothic" w:hAnsi="Century Gothic"/>
        </w:rPr>
        <w:t xml:space="preserve"> 1.480 fallecidos </w:t>
      </w:r>
      <w:r w:rsidR="008F70AF" w:rsidRPr="00C63647">
        <w:rPr>
          <w:rFonts w:ascii="Century Gothic" w:hAnsi="Century Gothic"/>
        </w:rPr>
        <w:t xml:space="preserve">entre </w:t>
      </w:r>
      <w:r w:rsidRPr="00C63647">
        <w:rPr>
          <w:rFonts w:ascii="Century Gothic" w:hAnsi="Century Gothic"/>
        </w:rPr>
        <w:t xml:space="preserve"> niños, niñas, </w:t>
      </w:r>
      <w:r w:rsidR="00D10EA4" w:rsidRPr="00C63647">
        <w:rPr>
          <w:rFonts w:ascii="Century Gothic" w:hAnsi="Century Gothic"/>
        </w:rPr>
        <w:t>adolescentes</w:t>
      </w:r>
      <w:r w:rsidRPr="00C63647">
        <w:rPr>
          <w:rFonts w:ascii="Century Gothic" w:hAnsi="Century Gothic"/>
        </w:rPr>
        <w:t xml:space="preserve"> y jóvenes que perdieron su vida. </w:t>
      </w:r>
    </w:p>
    <w:p w14:paraId="3BC40B5F" w14:textId="77777777" w:rsidR="00602010" w:rsidRPr="00C63647" w:rsidRDefault="00602010" w:rsidP="00D10EA4">
      <w:pPr>
        <w:jc w:val="both"/>
        <w:rPr>
          <w:rFonts w:ascii="Century Gothic" w:hAnsi="Century Gothic"/>
        </w:rPr>
      </w:pPr>
    </w:p>
    <w:p w14:paraId="541373F7" w14:textId="0BE9D402" w:rsidR="00602010" w:rsidRPr="00C63647" w:rsidRDefault="00602010" w:rsidP="00602010">
      <w:pPr>
        <w:rPr>
          <w:rFonts w:ascii="Century Gothic" w:hAnsi="Century Gothic"/>
        </w:rPr>
      </w:pPr>
      <w:r w:rsidRPr="00C63647">
        <w:rPr>
          <w:rFonts w:ascii="Century Gothic" w:hAnsi="Century Gothic"/>
          <w:noProof/>
        </w:rPr>
        <w:drawing>
          <wp:inline distT="0" distB="0" distL="0" distR="0" wp14:anchorId="2476FBD0" wp14:editId="71ACFA4E">
            <wp:extent cx="5667375" cy="4836510"/>
            <wp:effectExtent l="0" t="0" r="0" b="2540"/>
            <wp:docPr id="1196126494"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6494" name="Imagen 1" descr="Gráfico&#10;&#10;Descripción generada automáticamente"/>
                    <pic:cNvPicPr/>
                  </pic:nvPicPr>
                  <pic:blipFill>
                    <a:blip r:embed="rId46"/>
                    <a:stretch>
                      <a:fillRect/>
                    </a:stretch>
                  </pic:blipFill>
                  <pic:spPr>
                    <a:xfrm>
                      <a:off x="0" y="0"/>
                      <a:ext cx="5693135" cy="4858494"/>
                    </a:xfrm>
                    <a:prstGeom prst="rect">
                      <a:avLst/>
                    </a:prstGeom>
                  </pic:spPr>
                </pic:pic>
              </a:graphicData>
            </a:graphic>
          </wp:inline>
        </w:drawing>
      </w:r>
    </w:p>
    <w:p w14:paraId="1CBACF1C" w14:textId="11C41093"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6A65E5F2" w14:textId="4021BCBC" w:rsidR="00602010" w:rsidRPr="00C63647" w:rsidRDefault="00602010" w:rsidP="00602010">
      <w:pPr>
        <w:rPr>
          <w:rFonts w:ascii="Century Gothic" w:hAnsi="Century Gothic"/>
        </w:rPr>
      </w:pPr>
      <w:r w:rsidRPr="00C63647">
        <w:rPr>
          <w:rFonts w:ascii="Century Gothic" w:hAnsi="Century Gothic"/>
          <w:noProof/>
        </w:rPr>
        <w:lastRenderedPageBreak/>
        <w:drawing>
          <wp:inline distT="0" distB="0" distL="0" distR="0" wp14:anchorId="695259C7" wp14:editId="50046297">
            <wp:extent cx="5612130" cy="3714750"/>
            <wp:effectExtent l="0" t="0" r="7620" b="0"/>
            <wp:docPr id="175133261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32611" name="Imagen 1" descr="Tabla&#10;&#10;Descripción generada automáticamente"/>
                    <pic:cNvPicPr/>
                  </pic:nvPicPr>
                  <pic:blipFill>
                    <a:blip r:embed="rId47"/>
                    <a:stretch>
                      <a:fillRect/>
                    </a:stretch>
                  </pic:blipFill>
                  <pic:spPr>
                    <a:xfrm>
                      <a:off x="0" y="0"/>
                      <a:ext cx="5612130" cy="3714750"/>
                    </a:xfrm>
                    <a:prstGeom prst="rect">
                      <a:avLst/>
                    </a:prstGeom>
                  </pic:spPr>
                </pic:pic>
              </a:graphicData>
            </a:graphic>
          </wp:inline>
        </w:drawing>
      </w:r>
    </w:p>
    <w:p w14:paraId="77E0AB47" w14:textId="77777777"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67805B57" w14:textId="597DA46C" w:rsidR="00602010" w:rsidRPr="00C63647" w:rsidRDefault="00602010" w:rsidP="00602010">
      <w:pPr>
        <w:rPr>
          <w:rFonts w:ascii="Century Gothic" w:hAnsi="Century Gothic"/>
        </w:rPr>
      </w:pPr>
      <w:r w:rsidRPr="00C63647">
        <w:rPr>
          <w:rFonts w:ascii="Century Gothic" w:hAnsi="Century Gothic"/>
          <w:noProof/>
        </w:rPr>
        <w:drawing>
          <wp:inline distT="0" distB="0" distL="0" distR="0" wp14:anchorId="4419B281" wp14:editId="21175640">
            <wp:extent cx="5230128" cy="3543300"/>
            <wp:effectExtent l="0" t="0" r="8890" b="0"/>
            <wp:docPr id="1960422461"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2461" name="Imagen 1" descr="Gráfico, Gráfico circular&#10;&#10;Descripción generada automáticamente"/>
                    <pic:cNvPicPr/>
                  </pic:nvPicPr>
                  <pic:blipFill>
                    <a:blip r:embed="rId48"/>
                    <a:stretch>
                      <a:fillRect/>
                    </a:stretch>
                  </pic:blipFill>
                  <pic:spPr>
                    <a:xfrm>
                      <a:off x="0" y="0"/>
                      <a:ext cx="5246893" cy="3554658"/>
                    </a:xfrm>
                    <a:prstGeom prst="rect">
                      <a:avLst/>
                    </a:prstGeom>
                  </pic:spPr>
                </pic:pic>
              </a:graphicData>
            </a:graphic>
          </wp:inline>
        </w:drawing>
      </w:r>
    </w:p>
    <w:p w14:paraId="04EC2BEC" w14:textId="048EC2F6"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159B6130" w14:textId="77777777" w:rsidR="00602010" w:rsidRPr="00C63647" w:rsidRDefault="00602010" w:rsidP="00602010">
      <w:pPr>
        <w:rPr>
          <w:rFonts w:ascii="Century Gothic" w:hAnsi="Century Gothic"/>
        </w:rPr>
      </w:pPr>
    </w:p>
    <w:p w14:paraId="4550C27D" w14:textId="484FD9AC" w:rsidR="00180C68" w:rsidRPr="00C63647" w:rsidRDefault="00180C68" w:rsidP="00D10EA4">
      <w:pPr>
        <w:jc w:val="both"/>
        <w:rPr>
          <w:rFonts w:ascii="Century Gothic" w:hAnsi="Century Gothic"/>
        </w:rPr>
      </w:pPr>
      <w:r w:rsidRPr="00C63647">
        <w:rPr>
          <w:rFonts w:ascii="Century Gothic" w:hAnsi="Century Gothic"/>
        </w:rPr>
        <w:t xml:space="preserve">De los casos de violencia </w:t>
      </w:r>
      <w:r w:rsidR="00D10EA4" w:rsidRPr="00C63647">
        <w:rPr>
          <w:rFonts w:ascii="Century Gothic" w:hAnsi="Century Gothic"/>
        </w:rPr>
        <w:t>intrafamiliar</w:t>
      </w:r>
      <w:r w:rsidRPr="00C63647">
        <w:rPr>
          <w:rFonts w:ascii="Century Gothic" w:hAnsi="Century Gothic"/>
        </w:rPr>
        <w:t>, Medicina Legal ha reportado un total de 1</w:t>
      </w:r>
      <w:r w:rsidR="0029372F" w:rsidRPr="00C63647">
        <w:rPr>
          <w:rFonts w:ascii="Century Gothic" w:hAnsi="Century Gothic"/>
        </w:rPr>
        <w:t>3</w:t>
      </w:r>
      <w:r w:rsidRPr="00C63647">
        <w:rPr>
          <w:rFonts w:ascii="Century Gothic" w:hAnsi="Century Gothic"/>
        </w:rPr>
        <w:t xml:space="preserve">744 </w:t>
      </w:r>
      <w:r w:rsidR="00D10EA4" w:rsidRPr="00C63647">
        <w:rPr>
          <w:rFonts w:ascii="Century Gothic" w:hAnsi="Century Gothic"/>
        </w:rPr>
        <w:t>casos</w:t>
      </w:r>
      <w:r w:rsidRPr="00C63647">
        <w:rPr>
          <w:rFonts w:ascii="Century Gothic" w:hAnsi="Century Gothic"/>
        </w:rPr>
        <w:t xml:space="preserve"> contra los niños, niñas y </w:t>
      </w:r>
      <w:r w:rsidR="00D10EA4" w:rsidRPr="00C63647">
        <w:rPr>
          <w:rFonts w:ascii="Century Gothic" w:hAnsi="Century Gothic"/>
        </w:rPr>
        <w:t>adolescentes</w:t>
      </w:r>
      <w:r w:rsidR="0029372F" w:rsidRPr="00C63647">
        <w:rPr>
          <w:rFonts w:ascii="Century Gothic" w:hAnsi="Century Gothic"/>
        </w:rPr>
        <w:t>;</w:t>
      </w:r>
      <w:r w:rsidR="00D10EA4" w:rsidRPr="00C63647">
        <w:rPr>
          <w:rFonts w:ascii="Century Gothic" w:hAnsi="Century Gothic"/>
        </w:rPr>
        <w:t xml:space="preserve"> 644</w:t>
      </w:r>
      <w:r w:rsidRPr="00C63647">
        <w:rPr>
          <w:rFonts w:ascii="Century Gothic" w:hAnsi="Century Gothic"/>
        </w:rPr>
        <w:t xml:space="preserve"> casos contra los adultos </w:t>
      </w:r>
      <w:r w:rsidR="00044B1C" w:rsidRPr="00C63647">
        <w:rPr>
          <w:rFonts w:ascii="Century Gothic" w:hAnsi="Century Gothic"/>
        </w:rPr>
        <w:t>mayores; y</w:t>
      </w:r>
      <w:r w:rsidRPr="00C63647">
        <w:rPr>
          <w:rFonts w:ascii="Century Gothic" w:hAnsi="Century Gothic"/>
        </w:rPr>
        <w:t xml:space="preserve"> 8.936 casos de violencia de pareja, de los cuales 7.665 corresponden a casos en donde la mujer ha sido la víctima. </w:t>
      </w:r>
    </w:p>
    <w:p w14:paraId="6C73C3F5" w14:textId="77777777" w:rsidR="00180C68" w:rsidRPr="00C63647" w:rsidRDefault="00180C68" w:rsidP="00602010">
      <w:pPr>
        <w:rPr>
          <w:rFonts w:ascii="Century Gothic" w:hAnsi="Century Gothic"/>
        </w:rPr>
      </w:pPr>
    </w:p>
    <w:p w14:paraId="783D838E" w14:textId="5D1F2DF1" w:rsidR="00180C68" w:rsidRPr="00C63647" w:rsidRDefault="00FC3548" w:rsidP="00602010">
      <w:pPr>
        <w:rPr>
          <w:rFonts w:ascii="Century Gothic" w:hAnsi="Century Gothic"/>
        </w:rPr>
      </w:pPr>
      <w:r w:rsidRPr="00C63647">
        <w:rPr>
          <w:rFonts w:ascii="Century Gothic" w:hAnsi="Century Gothic"/>
        </w:rPr>
        <w:lastRenderedPageBreak/>
        <w:t xml:space="preserve">     </w:t>
      </w:r>
      <w:r w:rsidR="00180C68" w:rsidRPr="00C63647">
        <w:rPr>
          <w:rFonts w:ascii="Century Gothic" w:hAnsi="Century Gothic"/>
          <w:noProof/>
        </w:rPr>
        <w:drawing>
          <wp:inline distT="0" distB="0" distL="0" distR="0" wp14:anchorId="40812692" wp14:editId="14EB07FD">
            <wp:extent cx="5285105" cy="4000500"/>
            <wp:effectExtent l="0" t="0" r="0" b="0"/>
            <wp:docPr id="1875613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13908" name=""/>
                    <pic:cNvPicPr/>
                  </pic:nvPicPr>
                  <pic:blipFill>
                    <a:blip r:embed="rId49"/>
                    <a:stretch>
                      <a:fillRect/>
                    </a:stretch>
                  </pic:blipFill>
                  <pic:spPr>
                    <a:xfrm>
                      <a:off x="0" y="0"/>
                      <a:ext cx="5302812" cy="4013903"/>
                    </a:xfrm>
                    <a:prstGeom prst="rect">
                      <a:avLst/>
                    </a:prstGeom>
                  </pic:spPr>
                </pic:pic>
              </a:graphicData>
            </a:graphic>
          </wp:inline>
        </w:drawing>
      </w:r>
    </w:p>
    <w:p w14:paraId="6B823686" w14:textId="77777777" w:rsidR="00EF786A" w:rsidRPr="00C63647" w:rsidRDefault="00EF786A" w:rsidP="00EF786A">
      <w:pPr>
        <w:jc w:val="both"/>
        <w:rPr>
          <w:rFonts w:ascii="Century Gothic" w:hAnsi="Century Gothic"/>
          <w:lang w:val="es-MX"/>
        </w:rPr>
      </w:pPr>
    </w:p>
    <w:p w14:paraId="671E6A3B" w14:textId="2990E564" w:rsidR="00C25D18" w:rsidRPr="00C63647" w:rsidRDefault="00C25D18" w:rsidP="00C25D18">
      <w:pPr>
        <w:jc w:val="both"/>
        <w:rPr>
          <w:rFonts w:ascii="Century Gothic" w:hAnsi="Century Gothic"/>
        </w:rPr>
      </w:pPr>
      <w:r w:rsidRPr="00C63647">
        <w:rPr>
          <w:rFonts w:ascii="Century Gothic" w:hAnsi="Century Gothic"/>
        </w:rPr>
        <w:t xml:space="preserve">La Violencia Intrafamiliar es preocupante en nuestro país, siendo la segunda causa de lesiones no fatales en Colombia con una tasa de 33.19%.  El hogar que es el centro de refugio de las familias y en donde debería la persona tener mayor seguridad, a marzo de 2025 se presentaron en este entorno 13.823 casos de Violencia Intrafamiliar, de los cuales 10.480 se han presentado contra las mujeres. </w:t>
      </w:r>
    </w:p>
    <w:p w14:paraId="14DE3C31" w14:textId="4FE162A6" w:rsidR="00C25D18" w:rsidRPr="00C63647" w:rsidRDefault="00C25D18" w:rsidP="00C25D18">
      <w:pPr>
        <w:jc w:val="both"/>
        <w:rPr>
          <w:rFonts w:ascii="Century Gothic" w:hAnsi="Century Gothic"/>
        </w:rPr>
      </w:pPr>
      <w:r w:rsidRPr="00C63647">
        <w:rPr>
          <w:rFonts w:ascii="Century Gothic" w:hAnsi="Century Gothic"/>
        </w:rPr>
        <w:t xml:space="preserve">Dentro de estos boletines, que son cifras recolectadas por Medicina Legal, existen los subregistros. Bien sea porque muchas de las victimas deciden no acudir ante las autoridades competentes, porque al llegar no existe una tipología que permita realizar un adecuado análisis y por ende una categorización de </w:t>
      </w:r>
      <w:r w:rsidR="00040678" w:rsidRPr="00C63647">
        <w:rPr>
          <w:rFonts w:ascii="Century Gothic" w:hAnsi="Century Gothic"/>
        </w:rPr>
        <w:t>ciertos tipos</w:t>
      </w:r>
      <w:r w:rsidRPr="00C63647">
        <w:rPr>
          <w:rFonts w:ascii="Century Gothic" w:hAnsi="Century Gothic"/>
        </w:rPr>
        <w:t xml:space="preserve"> de violencia como lo es la vicaría, en la cual confluyen diversos tipos de violencia como lo es la económica, la psicológica, la </w:t>
      </w:r>
      <w:r w:rsidR="00040678" w:rsidRPr="00C63647">
        <w:rPr>
          <w:rFonts w:ascii="Century Gothic" w:hAnsi="Century Gothic"/>
        </w:rPr>
        <w:t>física, entre</w:t>
      </w:r>
      <w:r w:rsidRPr="00C63647">
        <w:rPr>
          <w:rFonts w:ascii="Century Gothic" w:hAnsi="Century Gothic"/>
        </w:rPr>
        <w:t xml:space="preserve"> otras. </w:t>
      </w:r>
    </w:p>
    <w:p w14:paraId="2CB7E6B7" w14:textId="08AED9A2" w:rsidR="00C25D18" w:rsidRPr="00C63647" w:rsidRDefault="00C25D18" w:rsidP="00C25D18">
      <w:pPr>
        <w:jc w:val="both"/>
        <w:rPr>
          <w:rFonts w:ascii="Century Gothic" w:hAnsi="Century Gothic"/>
        </w:rPr>
      </w:pPr>
      <w:r w:rsidRPr="00C63647">
        <w:rPr>
          <w:rFonts w:ascii="Century Gothic" w:hAnsi="Century Gothic"/>
        </w:rPr>
        <w:t xml:space="preserve">En Colombia hemos sido testigos de la Violencia Vicaria que las familias colombianas están sufriendo y de </w:t>
      </w:r>
      <w:r w:rsidR="00040678" w:rsidRPr="00C63647">
        <w:rPr>
          <w:rFonts w:ascii="Century Gothic" w:hAnsi="Century Gothic"/>
        </w:rPr>
        <w:t>las impotencias</w:t>
      </w:r>
      <w:r w:rsidRPr="00C63647">
        <w:rPr>
          <w:rFonts w:ascii="Century Gothic" w:hAnsi="Century Gothic"/>
        </w:rPr>
        <w:t xml:space="preserve"> que muchas mujeres y familiares sienten al no poder acudir ante las autoridades pertinentes por existir un </w:t>
      </w:r>
      <w:r w:rsidR="00040678" w:rsidRPr="00C63647">
        <w:rPr>
          <w:rFonts w:ascii="Century Gothic" w:hAnsi="Century Gothic"/>
        </w:rPr>
        <w:t>vacío</w:t>
      </w:r>
      <w:r w:rsidRPr="00C63647">
        <w:rPr>
          <w:rFonts w:ascii="Century Gothic" w:hAnsi="Century Gothic"/>
        </w:rPr>
        <w:t xml:space="preserve"> jurídico que les permita solicitar una atención adecuada y unas medidas ajustadas a sus casos. </w:t>
      </w:r>
    </w:p>
    <w:p w14:paraId="4FDD7CA5" w14:textId="5D5F4307" w:rsidR="00040678" w:rsidRPr="00C63647" w:rsidRDefault="00040678" w:rsidP="00C25D18">
      <w:pPr>
        <w:jc w:val="both"/>
        <w:rPr>
          <w:rFonts w:ascii="Century Gothic" w:hAnsi="Century Gothic"/>
        </w:rPr>
      </w:pPr>
      <w:r w:rsidRPr="00C63647">
        <w:rPr>
          <w:rFonts w:ascii="Century Gothic" w:hAnsi="Century Gothic"/>
          <w:color w:val="000000"/>
          <w:shd w:val="clear" w:color="auto" w:fill="FFFFFF"/>
        </w:rPr>
        <w:t xml:space="preserve">En Colombia la Fundación Colombiana contra la Violencia Vicaria ha reportado </w:t>
      </w:r>
      <w:r w:rsidRPr="00C63647">
        <w:rPr>
          <w:rFonts w:ascii="Century Gothic" w:hAnsi="Century Gothic"/>
          <w:b/>
          <w:bCs/>
          <w:color w:val="000000"/>
          <w:shd w:val="clear" w:color="auto" w:fill="FFFFFF"/>
        </w:rPr>
        <w:t xml:space="preserve">cerca de cuatro mil mujeres </w:t>
      </w:r>
      <w:r w:rsidR="00FC3548" w:rsidRPr="00C63647">
        <w:rPr>
          <w:rFonts w:ascii="Century Gothic" w:hAnsi="Century Gothic"/>
          <w:b/>
          <w:bCs/>
          <w:color w:val="000000"/>
          <w:shd w:val="clear" w:color="auto" w:fill="FFFFFF"/>
        </w:rPr>
        <w:t xml:space="preserve">con casos de violencia vicaria, </w:t>
      </w:r>
      <w:r w:rsidRPr="00C63647">
        <w:rPr>
          <w:rFonts w:ascii="Century Gothic" w:hAnsi="Century Gothic"/>
          <w:b/>
          <w:bCs/>
          <w:color w:val="000000"/>
          <w:shd w:val="clear" w:color="auto" w:fill="FFFFFF"/>
        </w:rPr>
        <w:t xml:space="preserve">sin </w:t>
      </w:r>
      <w:proofErr w:type="gramStart"/>
      <w:r w:rsidRPr="00C63647">
        <w:rPr>
          <w:rFonts w:ascii="Century Gothic" w:hAnsi="Century Gothic"/>
          <w:b/>
          <w:bCs/>
          <w:color w:val="000000"/>
          <w:shd w:val="clear" w:color="auto" w:fill="FFFFFF"/>
        </w:rPr>
        <w:t>embargo</w:t>
      </w:r>
      <w:proofErr w:type="gramEnd"/>
      <w:r w:rsidRPr="00C63647">
        <w:rPr>
          <w:rFonts w:ascii="Century Gothic" w:hAnsi="Century Gothic"/>
          <w:b/>
          <w:bCs/>
          <w:color w:val="000000"/>
          <w:shd w:val="clear" w:color="auto" w:fill="FFFFFF"/>
        </w:rPr>
        <w:t xml:space="preserve"> existe subregistro</w:t>
      </w:r>
      <w:r w:rsidRPr="00C63647">
        <w:rPr>
          <w:rFonts w:ascii="Century Gothic" w:hAnsi="Century Gothic"/>
          <w:color w:val="000000"/>
          <w:shd w:val="clear" w:color="auto" w:fill="FFFFFF"/>
        </w:rPr>
        <w:t>, especialmente en zonas rurales. Y al no ser reconocido legalmente el término, los casos cuentan como violencia intrafamiliar. </w:t>
      </w:r>
      <w:r w:rsidRPr="00C63647">
        <w:rPr>
          <w:rStyle w:val="Refdenotaalpie"/>
          <w:rFonts w:ascii="Century Gothic" w:hAnsi="Century Gothic"/>
          <w:color w:val="000000"/>
          <w:shd w:val="clear" w:color="auto" w:fill="FFFFFF"/>
        </w:rPr>
        <w:footnoteReference w:id="3"/>
      </w:r>
    </w:p>
    <w:p w14:paraId="261AB5D3" w14:textId="4CC943A8" w:rsidR="00C25D18" w:rsidRPr="00C63647" w:rsidRDefault="00C25D18" w:rsidP="00C25D18">
      <w:pPr>
        <w:jc w:val="both"/>
        <w:rPr>
          <w:rFonts w:ascii="Century Gothic" w:hAnsi="Century Gothic"/>
        </w:rPr>
      </w:pPr>
      <w:r w:rsidRPr="00C63647">
        <w:rPr>
          <w:rFonts w:ascii="Century Gothic" w:hAnsi="Century Gothic"/>
        </w:rPr>
        <w:t xml:space="preserve">A manera de ejemplo es importante es importante visibilizar algunos de estos casos que hacen necesario que el presente proyecto de ley sea </w:t>
      </w:r>
      <w:r w:rsidR="00040678" w:rsidRPr="00C63647">
        <w:rPr>
          <w:rFonts w:ascii="Century Gothic" w:hAnsi="Century Gothic"/>
        </w:rPr>
        <w:t>aprobado</w:t>
      </w:r>
      <w:r w:rsidRPr="00C63647">
        <w:rPr>
          <w:rFonts w:ascii="Century Gothic" w:hAnsi="Century Gothic"/>
        </w:rPr>
        <w:t xml:space="preserve"> en el congreso con el fin de proteger las victimas de violencia vicaria</w:t>
      </w:r>
      <w:r w:rsidR="00040678" w:rsidRPr="00C63647">
        <w:rPr>
          <w:rFonts w:ascii="Century Gothic" w:hAnsi="Century Gothic"/>
        </w:rPr>
        <w:t>, teniendo en cuenta que el Consejo de Política Criminal considera que se requiere evidencia empírica que soporte la necesidad de reconocer y regular la violencia vicaria</w:t>
      </w:r>
    </w:p>
    <w:p w14:paraId="69BE3418" w14:textId="77777777" w:rsidR="00C25D18" w:rsidRPr="00C63647" w:rsidRDefault="00C25D18" w:rsidP="00C25D18">
      <w:pPr>
        <w:jc w:val="both"/>
        <w:rPr>
          <w:rFonts w:ascii="Century Gothic" w:hAnsi="Century Gothic"/>
        </w:rPr>
      </w:pPr>
    </w:p>
    <w:p w14:paraId="40E171C2" w14:textId="7FE53AA5" w:rsidR="00C25D18" w:rsidRPr="00C63647" w:rsidRDefault="00C25D18" w:rsidP="00C25D18">
      <w:pPr>
        <w:pStyle w:val="Prrafodelista"/>
        <w:numPr>
          <w:ilvl w:val="0"/>
          <w:numId w:val="8"/>
        </w:numPr>
        <w:jc w:val="both"/>
        <w:rPr>
          <w:rFonts w:ascii="Century Gothic" w:hAnsi="Century Gothic"/>
        </w:rPr>
      </w:pPr>
      <w:r w:rsidRPr="00C63647">
        <w:rPr>
          <w:rFonts w:ascii="Century Gothic" w:hAnsi="Century Gothic"/>
          <w:b/>
          <w:bCs/>
        </w:rPr>
        <w:lastRenderedPageBreak/>
        <w:t>Caso Gabriel Esteban</w:t>
      </w:r>
      <w:r w:rsidRPr="00C63647">
        <w:rPr>
          <w:rFonts w:ascii="Century Gothic" w:hAnsi="Century Gothic"/>
        </w:rPr>
        <w:t xml:space="preserve">:  El 4 de octubre de 2022 el país conoció el terrible homicidio del menor Gabriel Esteban, un menor de 5 años, a quien su padre </w:t>
      </w:r>
      <w:r w:rsidR="002870CE" w:rsidRPr="00C63647">
        <w:rPr>
          <w:rFonts w:ascii="Century Gothic" w:hAnsi="Century Gothic"/>
        </w:rPr>
        <w:t xml:space="preserve">le arrebató la vida como venganza de la mamá del menor, su expareja sentimental. </w:t>
      </w:r>
      <w:r w:rsidR="002870CE" w:rsidRPr="00C63647">
        <w:rPr>
          <w:rStyle w:val="Refdenotaalpie"/>
          <w:rFonts w:ascii="Century Gothic" w:hAnsi="Century Gothic"/>
        </w:rPr>
        <w:footnoteReference w:id="4"/>
      </w:r>
    </w:p>
    <w:p w14:paraId="3DB88F95" w14:textId="46890D26" w:rsidR="002C397A" w:rsidRPr="00C63647" w:rsidRDefault="002C397A" w:rsidP="00C25D18">
      <w:pPr>
        <w:pStyle w:val="Prrafodelista"/>
        <w:numPr>
          <w:ilvl w:val="0"/>
          <w:numId w:val="8"/>
        </w:numPr>
        <w:jc w:val="both"/>
        <w:rPr>
          <w:rFonts w:ascii="Century Gothic" w:hAnsi="Century Gothic"/>
        </w:rPr>
      </w:pPr>
      <w:r w:rsidRPr="00C63647">
        <w:rPr>
          <w:rFonts w:ascii="Century Gothic" w:hAnsi="Century Gothic"/>
          <w:b/>
          <w:bCs/>
        </w:rPr>
        <w:t>EL Retiro Antioquia</w:t>
      </w:r>
      <w:r w:rsidRPr="00C63647">
        <w:rPr>
          <w:rFonts w:ascii="Century Gothic" w:hAnsi="Century Gothic"/>
        </w:rPr>
        <w:t xml:space="preserve">:  En diciembre de 2023, en un municipio de Antioquia el señor Víctor Hugo Bedoya, padre de una menor de edad de 7 años, decidió acabar con la vida de su hija y la propia.  Según las investigaciones el señor había </w:t>
      </w:r>
      <w:r w:rsidR="009218F4" w:rsidRPr="00C63647">
        <w:rPr>
          <w:rFonts w:ascii="Century Gothic" w:hAnsi="Century Gothic"/>
        </w:rPr>
        <w:t xml:space="preserve">dejado unas cartas en donde explicaba que los motivos se encontraban asociados a la mala relación que tenia con la madre de la niña la cual había terminado meses anteriores. </w:t>
      </w:r>
      <w:r w:rsidRPr="00C63647">
        <w:rPr>
          <w:rFonts w:ascii="Century Gothic" w:hAnsi="Century Gothic"/>
        </w:rPr>
        <w:t xml:space="preserve"> </w:t>
      </w:r>
    </w:p>
    <w:p w14:paraId="46EB2306" w14:textId="77777777" w:rsidR="0029372F" w:rsidRPr="00C63647" w:rsidRDefault="0029372F" w:rsidP="0029372F">
      <w:pPr>
        <w:pStyle w:val="Prrafodelista"/>
        <w:jc w:val="both"/>
        <w:rPr>
          <w:rFonts w:ascii="Century Gothic" w:hAnsi="Century Gothic"/>
        </w:rPr>
      </w:pPr>
    </w:p>
    <w:p w14:paraId="2FC8AC63" w14:textId="7732EB4A" w:rsidR="002870CE" w:rsidRPr="00C63647" w:rsidRDefault="002870CE" w:rsidP="00C25D18">
      <w:pPr>
        <w:pStyle w:val="Prrafodelista"/>
        <w:numPr>
          <w:ilvl w:val="0"/>
          <w:numId w:val="8"/>
        </w:numPr>
        <w:jc w:val="both"/>
        <w:rPr>
          <w:rFonts w:ascii="Century Gothic" w:hAnsi="Century Gothic"/>
        </w:rPr>
      </w:pPr>
      <w:r w:rsidRPr="00C63647">
        <w:rPr>
          <w:rFonts w:ascii="Century Gothic" w:hAnsi="Century Gothic"/>
          <w:b/>
          <w:bCs/>
        </w:rPr>
        <w:t>Barrios de las Ferias en Bogotá D.C</w:t>
      </w:r>
      <w:r w:rsidRPr="00C63647">
        <w:rPr>
          <w:rFonts w:ascii="Century Gothic" w:hAnsi="Century Gothic"/>
        </w:rPr>
        <w:t xml:space="preserve">.:  El </w:t>
      </w:r>
      <w:r w:rsidR="002C397A" w:rsidRPr="00C63647">
        <w:rPr>
          <w:rFonts w:ascii="Century Gothic" w:hAnsi="Century Gothic"/>
        </w:rPr>
        <w:t>28 de</w:t>
      </w:r>
      <w:r w:rsidRPr="00C63647">
        <w:rPr>
          <w:rFonts w:ascii="Century Gothic" w:hAnsi="Century Gothic"/>
        </w:rPr>
        <w:t xml:space="preserve"> octubre de 2024, el país conoció también el caso de Darwin Felipe Beltrán</w:t>
      </w:r>
      <w:r w:rsidR="002C397A" w:rsidRPr="00C63647">
        <w:rPr>
          <w:rStyle w:val="Refdenotaalpie"/>
          <w:rFonts w:ascii="Century Gothic" w:hAnsi="Century Gothic"/>
        </w:rPr>
        <w:footnoteReference w:id="5"/>
      </w:r>
      <w:r w:rsidRPr="00C63647">
        <w:rPr>
          <w:rFonts w:ascii="Century Gothic" w:hAnsi="Century Gothic"/>
        </w:rPr>
        <w:t xml:space="preserve"> un hombre de 31 de años para la fecha, con antecedentes de violencia intrafamiliar quien asesino a sus hijos de 4 y 7 años</w:t>
      </w:r>
      <w:r w:rsidR="002C397A" w:rsidRPr="00C63647">
        <w:rPr>
          <w:rFonts w:ascii="Century Gothic" w:hAnsi="Century Gothic"/>
        </w:rPr>
        <w:t xml:space="preserve">, según la investigación, por un ataque de celos al descubrir que su pareja estaba con otra </w:t>
      </w:r>
      <w:r w:rsidR="009218F4" w:rsidRPr="00C63647">
        <w:rPr>
          <w:rFonts w:ascii="Century Gothic" w:hAnsi="Century Gothic"/>
        </w:rPr>
        <w:t>persona.</w:t>
      </w:r>
      <w:r w:rsidRPr="00C63647">
        <w:rPr>
          <w:rStyle w:val="Refdenotaalpie"/>
          <w:rFonts w:ascii="Century Gothic" w:hAnsi="Century Gothic"/>
        </w:rPr>
        <w:footnoteReference w:id="6"/>
      </w:r>
      <w:r w:rsidRPr="00C63647">
        <w:rPr>
          <w:rFonts w:ascii="Century Gothic" w:hAnsi="Century Gothic"/>
        </w:rPr>
        <w:t xml:space="preserve"> </w:t>
      </w:r>
      <w:r w:rsidR="00040678" w:rsidRPr="00C63647">
        <w:rPr>
          <w:rFonts w:ascii="Century Gothic" w:hAnsi="Century Gothic"/>
        </w:rPr>
        <w:tab/>
      </w:r>
      <w:r w:rsidR="00040678" w:rsidRPr="00C63647">
        <w:rPr>
          <w:rFonts w:ascii="Century Gothic" w:hAnsi="Century Gothic"/>
        </w:rPr>
        <w:br/>
      </w:r>
    </w:p>
    <w:p w14:paraId="2E9A613B" w14:textId="78E07DD6" w:rsidR="00040678" w:rsidRPr="00C63647" w:rsidRDefault="00040678" w:rsidP="00040678">
      <w:pPr>
        <w:pStyle w:val="Prrafodelista"/>
        <w:numPr>
          <w:ilvl w:val="0"/>
          <w:numId w:val="8"/>
        </w:numPr>
        <w:jc w:val="both"/>
        <w:rPr>
          <w:rFonts w:ascii="Century Gothic" w:hAnsi="Century Gothic"/>
        </w:rPr>
      </w:pPr>
      <w:r w:rsidRPr="00C63647">
        <w:rPr>
          <w:rFonts w:ascii="Century Gothic" w:hAnsi="Century Gothic"/>
          <w:b/>
          <w:bCs/>
        </w:rPr>
        <w:t>Caso Ximena Ordóñez</w:t>
      </w:r>
      <w:r w:rsidRPr="00C63647">
        <w:rPr>
          <w:rFonts w:ascii="Century Gothic" w:hAnsi="Century Gothic"/>
        </w:rPr>
        <w:t>:</w:t>
      </w:r>
      <w:r w:rsidR="0029372F" w:rsidRPr="00C63647">
        <w:rPr>
          <w:rFonts w:ascii="Century Gothic" w:hAnsi="Century Gothic"/>
        </w:rPr>
        <w:t xml:space="preserve"> Su pareja la alejo a pesar de la custodia compartida por mas de 2 años de sus hijos, evitando que ella pudiera tener cualquier contacto con ellos. </w:t>
      </w:r>
      <w:r w:rsidRPr="00C63647">
        <w:rPr>
          <w:rFonts w:ascii="Century Gothic" w:hAnsi="Century Gothic"/>
        </w:rPr>
        <w:tab/>
      </w:r>
      <w:r w:rsidRPr="00C63647">
        <w:rPr>
          <w:rFonts w:ascii="Century Gothic" w:hAnsi="Century Gothic"/>
        </w:rPr>
        <w:br/>
      </w:r>
    </w:p>
    <w:p w14:paraId="794B9AC6" w14:textId="1745FE28" w:rsidR="00040678" w:rsidRPr="00C63647" w:rsidRDefault="00040678" w:rsidP="00040678">
      <w:pPr>
        <w:pStyle w:val="Prrafodelista"/>
        <w:numPr>
          <w:ilvl w:val="0"/>
          <w:numId w:val="8"/>
        </w:numPr>
        <w:jc w:val="both"/>
        <w:rPr>
          <w:rFonts w:ascii="Century Gothic" w:hAnsi="Century Gothic"/>
        </w:rPr>
      </w:pPr>
      <w:r w:rsidRPr="00C63647">
        <w:rPr>
          <w:rFonts w:ascii="Century Gothic" w:hAnsi="Century Gothic"/>
          <w:b/>
          <w:bCs/>
        </w:rPr>
        <w:t>Erika Aponte</w:t>
      </w:r>
      <w:r w:rsidRPr="00C63647">
        <w:rPr>
          <w:rFonts w:ascii="Century Gothic" w:hAnsi="Century Gothic"/>
        </w:rPr>
        <w:t xml:space="preserve">: En el 2023, fue asesinada por su </w:t>
      </w:r>
      <w:r w:rsidR="0029372F" w:rsidRPr="00C63647">
        <w:rPr>
          <w:rFonts w:ascii="Century Gothic" w:hAnsi="Century Gothic"/>
        </w:rPr>
        <w:t>expareja</w:t>
      </w:r>
      <w:r w:rsidRPr="00C63647">
        <w:rPr>
          <w:rFonts w:ascii="Century Gothic" w:hAnsi="Century Gothic"/>
        </w:rPr>
        <w:t xml:space="preserve"> quien </w:t>
      </w:r>
      <w:r w:rsidR="0029372F" w:rsidRPr="00C63647">
        <w:rPr>
          <w:rFonts w:ascii="Century Gothic" w:hAnsi="Century Gothic"/>
        </w:rPr>
        <w:t>tenía</w:t>
      </w:r>
      <w:r w:rsidRPr="00C63647">
        <w:rPr>
          <w:rFonts w:ascii="Century Gothic" w:hAnsi="Century Gothic"/>
        </w:rPr>
        <w:t xml:space="preserve"> retenidos a su hijo y se encontraba luchando por su custodia, contaba con medidas de protección y había denunciado violencia intrafamiliar. </w:t>
      </w:r>
      <w:r w:rsidR="0029372F" w:rsidRPr="00C63647">
        <w:rPr>
          <w:rFonts w:ascii="Century Gothic" w:hAnsi="Century Gothic"/>
        </w:rPr>
        <w:br/>
      </w:r>
    </w:p>
    <w:p w14:paraId="5FED565F" w14:textId="6C301CBA" w:rsidR="0029372F" w:rsidRPr="00C63647" w:rsidRDefault="00DD20AA" w:rsidP="00782BEF">
      <w:pPr>
        <w:ind w:right="49"/>
        <w:jc w:val="both"/>
        <w:rPr>
          <w:rFonts w:ascii="Century Gothic" w:hAnsi="Century Gothic"/>
        </w:rPr>
      </w:pPr>
      <w:r w:rsidRPr="00C63647">
        <w:rPr>
          <w:rFonts w:ascii="Century Gothic" w:hAnsi="Century Gothic"/>
        </w:rPr>
        <w:t>E</w:t>
      </w:r>
      <w:r w:rsidR="00FC3548" w:rsidRPr="00C63647">
        <w:rPr>
          <w:rFonts w:ascii="Century Gothic" w:hAnsi="Century Gothic"/>
        </w:rPr>
        <w:t>ste fenómeno</w:t>
      </w:r>
      <w:r w:rsidRPr="00C63647">
        <w:rPr>
          <w:rFonts w:ascii="Century Gothic" w:hAnsi="Century Gothic"/>
        </w:rPr>
        <w:t xml:space="preserve"> ha sido estudiado ampliamente, confirmando que </w:t>
      </w:r>
      <w:r w:rsidR="00FC3548" w:rsidRPr="00C63647">
        <w:rPr>
          <w:rFonts w:ascii="Century Gothic" w:hAnsi="Century Gothic"/>
        </w:rPr>
        <w:t xml:space="preserve">la Violencia Vicaria es </w:t>
      </w:r>
      <w:r w:rsidRPr="00C63647">
        <w:rPr>
          <w:rFonts w:ascii="Century Gothic" w:hAnsi="Century Gothic"/>
        </w:rPr>
        <w:t xml:space="preserve">en </w:t>
      </w:r>
      <w:r w:rsidR="00FC3548" w:rsidRPr="00C63647">
        <w:rPr>
          <w:rFonts w:ascii="Century Gothic" w:hAnsi="Century Gothic"/>
        </w:rPr>
        <w:t xml:space="preserve">muchas ocasiones es la antesala del feminicidio. Este tipo de violencia busca ejercer una violencia psicológica en la mujer instrumentalizando o cosificando en muchas ocasiones a sus hijos, familiares o incluso animales de compañía con un vínculo especial para la pareja que se desea dañar. Usualmente son los niños que mediante la instrumentalización sufren también a la par que la victima principal, y muchas veces como se ha evidenció en los casos relatados anteriormente, desafortunadamente termina en la muerte del menor. “No reconocer legalmente la violencia vicaria como VBG lleva a la revictimización en los procesos judiciales y pone en riesgo a los menores de edad.” </w:t>
      </w:r>
      <w:r w:rsidR="00FC3548" w:rsidRPr="00C63647">
        <w:rPr>
          <w:rStyle w:val="Refdenotaalpie"/>
          <w:rFonts w:ascii="Century Gothic" w:hAnsi="Century Gothic"/>
        </w:rPr>
        <w:footnoteReference w:id="7"/>
      </w:r>
    </w:p>
    <w:p w14:paraId="76E5607B" w14:textId="72DE5F1C" w:rsidR="00FC3548" w:rsidRPr="00C63647" w:rsidRDefault="00FC3548" w:rsidP="00782BEF">
      <w:pPr>
        <w:ind w:right="49"/>
        <w:jc w:val="both"/>
        <w:rPr>
          <w:rFonts w:ascii="Century Gothic" w:hAnsi="Century Gothic"/>
        </w:rPr>
      </w:pPr>
      <w:r w:rsidRPr="00C63647">
        <w:rPr>
          <w:rFonts w:ascii="Century Gothic" w:hAnsi="Century Gothic"/>
        </w:rPr>
        <w:t xml:space="preserve">Si bien existen normal que puedan sancionar conductas especificas como lesiones personales, violencia intrafamiliar, </w:t>
      </w:r>
      <w:r w:rsidR="003336E6" w:rsidRPr="00C63647">
        <w:rPr>
          <w:rFonts w:ascii="Century Gothic" w:hAnsi="Century Gothic"/>
        </w:rPr>
        <w:t xml:space="preserve">homicidio o feminicidio es importante es importante que el ordenamiento jurídico colombiano reconozca la Violencia Vicaria como un agravante de estos delitos teniendo en cuenta que la motivación del victimario es especifica y al reconocerla es determinante para que las autoridades llamadas a conocer de este tipo de delitos puedan actuar y otorgar </w:t>
      </w:r>
      <w:r w:rsidR="003336E6" w:rsidRPr="00C63647">
        <w:rPr>
          <w:rFonts w:ascii="Century Gothic" w:hAnsi="Century Gothic"/>
        </w:rPr>
        <w:lastRenderedPageBreak/>
        <w:t xml:space="preserve">las medidas de protección adecuadas tanto a la victima principal como a los menores de edad o familiares que están siendo instrumentalizados por el victimario. </w:t>
      </w:r>
    </w:p>
    <w:p w14:paraId="3B98F496" w14:textId="77777777" w:rsidR="003336E6" w:rsidRPr="00C63647" w:rsidRDefault="003336E6" w:rsidP="00FC3548">
      <w:pPr>
        <w:ind w:left="360"/>
        <w:jc w:val="both"/>
        <w:rPr>
          <w:rFonts w:ascii="Century Gothic" w:hAnsi="Century Gothic"/>
        </w:rPr>
      </w:pPr>
    </w:p>
    <w:p w14:paraId="7A6BB1FC" w14:textId="21808741" w:rsidR="003336E6" w:rsidRPr="00C63647" w:rsidRDefault="003336E6" w:rsidP="00980CBD">
      <w:pPr>
        <w:jc w:val="both"/>
        <w:rPr>
          <w:rFonts w:ascii="Century Gothic" w:hAnsi="Century Gothic"/>
          <w:b/>
          <w:bCs/>
        </w:rPr>
      </w:pPr>
      <w:r w:rsidRPr="00C63647">
        <w:rPr>
          <w:rFonts w:ascii="Century Gothic" w:hAnsi="Century Gothic"/>
          <w:b/>
          <w:bCs/>
        </w:rPr>
        <w:t xml:space="preserve">Sentencias Coste Constitucional que reconocen la Violencia Vicaria: </w:t>
      </w:r>
    </w:p>
    <w:p w14:paraId="6F9606DA" w14:textId="656C6018" w:rsidR="00FC3548" w:rsidRPr="00C63647" w:rsidRDefault="003336E6" w:rsidP="00980CBD">
      <w:pPr>
        <w:jc w:val="both"/>
        <w:rPr>
          <w:rFonts w:ascii="Century Gothic" w:hAnsi="Century Gothic"/>
        </w:rPr>
      </w:pPr>
      <w:r w:rsidRPr="00C63647">
        <w:rPr>
          <w:rFonts w:ascii="Century Gothic" w:hAnsi="Century Gothic"/>
        </w:rPr>
        <w:t xml:space="preserve">La violencia vicaria no es reconocida aún dentro del ordenamiento jurídico colombiano, sin </w:t>
      </w:r>
      <w:r w:rsidR="00237060" w:rsidRPr="00C63647">
        <w:rPr>
          <w:rFonts w:ascii="Century Gothic" w:hAnsi="Century Gothic"/>
        </w:rPr>
        <w:t>embargo,</w:t>
      </w:r>
      <w:r w:rsidRPr="00C63647">
        <w:rPr>
          <w:rFonts w:ascii="Century Gothic" w:hAnsi="Century Gothic"/>
        </w:rPr>
        <w:t xml:space="preserve"> el sistema judicial no es ajeno a este tipo de delito puesto que como se ha evidenciado existen sentencias de la Corte </w:t>
      </w:r>
      <w:r w:rsidR="00237060" w:rsidRPr="00C63647">
        <w:rPr>
          <w:rFonts w:ascii="Century Gothic" w:hAnsi="Century Gothic"/>
        </w:rPr>
        <w:t>Constitucional</w:t>
      </w:r>
      <w:r w:rsidRPr="00C63647">
        <w:rPr>
          <w:rFonts w:ascii="Century Gothic" w:hAnsi="Century Gothic"/>
        </w:rPr>
        <w:t xml:space="preserve"> que se han pronunciado sobre este tipo de delitos: </w:t>
      </w:r>
    </w:p>
    <w:p w14:paraId="23B00FA5" w14:textId="77777777" w:rsidR="003336E6" w:rsidRPr="00C63647" w:rsidRDefault="003336E6" w:rsidP="00FC3548">
      <w:pPr>
        <w:ind w:left="360"/>
        <w:jc w:val="both"/>
        <w:rPr>
          <w:rFonts w:ascii="Century Gothic" w:hAnsi="Century Gothic"/>
        </w:rPr>
      </w:pPr>
    </w:p>
    <w:p w14:paraId="392C8FEA" w14:textId="77777777" w:rsidR="003336E6" w:rsidRPr="00C63647" w:rsidRDefault="003336E6" w:rsidP="003336E6">
      <w:pPr>
        <w:numPr>
          <w:ilvl w:val="0"/>
          <w:numId w:val="9"/>
        </w:numPr>
        <w:spacing w:after="0" w:line="276" w:lineRule="auto"/>
        <w:ind w:left="426" w:hanging="283"/>
        <w:jc w:val="both"/>
        <w:rPr>
          <w:rFonts w:ascii="Century Gothic" w:hAnsi="Century Gothic"/>
        </w:rPr>
      </w:pPr>
      <w:r w:rsidRPr="00C63647">
        <w:rPr>
          <w:rFonts w:ascii="Century Gothic" w:hAnsi="Century Gothic"/>
          <w:b/>
          <w:color w:val="2D2D2D"/>
          <w:highlight w:val="white"/>
        </w:rPr>
        <w:t>Sente</w:t>
      </w:r>
      <w:r w:rsidRPr="00C63647">
        <w:rPr>
          <w:rFonts w:ascii="Century Gothic" w:hAnsi="Century Gothic"/>
          <w:b/>
        </w:rPr>
        <w:t>ncia T- 172 DE 2023:</w:t>
      </w:r>
      <w:r w:rsidRPr="00C63647">
        <w:rPr>
          <w:rFonts w:ascii="Century Gothic" w:hAnsi="Century Gothic"/>
        </w:rPr>
        <w:t xml:space="preserve"> En esta sentencia la Sala Cuarta de Revisión de la Corte Constitucional estableció una definición y alcance de diferentes formas de violencia de género, entre ellas la violencia psicológica, económica y vicaria y la violencia institucional. Por violencia vicaria la Corte entendió </w:t>
      </w:r>
      <w:r w:rsidRPr="00C63647">
        <w:rPr>
          <w:rFonts w:ascii="Century Gothic" w:hAnsi="Century Gothic"/>
          <w:i/>
        </w:rPr>
        <w:t xml:space="preserve">“cualquier acción u omisión que genere daño físico, psicológico, emocional, sexual, patrimonial o de cualquier índole a familiares, dependientes o personas afectivamente significativas para la mujer con el objetivo de causarle daño. Se trata de una violencia indirecta que tiene como fin afligir a una persona instrumentalizando a un tercero, especialmente a un niño. Es otra forma de violencia que se ha convertido en la antesala de un feminicidio.”. </w:t>
      </w:r>
    </w:p>
    <w:p w14:paraId="7D99E4A9" w14:textId="77777777" w:rsidR="003336E6" w:rsidRPr="00C63647" w:rsidRDefault="003336E6" w:rsidP="003336E6">
      <w:pPr>
        <w:spacing w:line="276" w:lineRule="auto"/>
        <w:ind w:left="426"/>
        <w:jc w:val="both"/>
        <w:rPr>
          <w:rFonts w:ascii="Century Gothic" w:hAnsi="Century Gothic"/>
        </w:rPr>
      </w:pPr>
    </w:p>
    <w:p w14:paraId="13E633BD" w14:textId="77777777" w:rsidR="003336E6" w:rsidRPr="00C63647" w:rsidRDefault="003336E6" w:rsidP="003336E6">
      <w:pPr>
        <w:numPr>
          <w:ilvl w:val="0"/>
          <w:numId w:val="9"/>
        </w:numPr>
        <w:spacing w:after="0" w:line="276" w:lineRule="auto"/>
        <w:ind w:left="426" w:hanging="283"/>
        <w:jc w:val="both"/>
        <w:rPr>
          <w:rFonts w:ascii="Century Gothic" w:hAnsi="Century Gothic"/>
        </w:rPr>
      </w:pPr>
      <w:r w:rsidRPr="00C63647">
        <w:rPr>
          <w:rFonts w:ascii="Century Gothic" w:hAnsi="Century Gothic"/>
          <w:b/>
        </w:rPr>
        <w:t>Sentencia T-245A de 22022</w:t>
      </w:r>
      <w:r w:rsidRPr="00C63647">
        <w:rPr>
          <w:rFonts w:ascii="Century Gothic" w:hAnsi="Century Gothic"/>
        </w:rPr>
        <w:t xml:space="preserve">: La Sala Cuarta de Revisión de la Corte Constitucional en el año 2022, en ejercicio de sus competencias constitucionales y legales, decide sobre la solicitud de tutela presentada por un padre, en representación de su hijo menor de edad, en contra de la madre del niño, para que le fueran protegidos sus derechos fundamentales a la intimidad, al buen nombre, al libre desarrollo de la personalidad y a la prevalencia de los derechos. El solicitante estimó que dichas garantías han sido vulneradas porque la accionada publica fotografías y videos con su hijo en sus redes sociales, las cuales, al estar asociadas a su cuenta de </w:t>
      </w:r>
      <w:proofErr w:type="spellStart"/>
      <w:r w:rsidRPr="00C63647">
        <w:rPr>
          <w:rFonts w:ascii="Century Gothic" w:hAnsi="Century Gothic"/>
        </w:rPr>
        <w:t>OnlyFans</w:t>
      </w:r>
      <w:proofErr w:type="spellEnd"/>
      <w:r w:rsidRPr="00C63647">
        <w:rPr>
          <w:rFonts w:ascii="Century Gothic" w:hAnsi="Century Gothic"/>
        </w:rPr>
        <w:t>, pueden exponerlo a los riesgos que implica el entorno digital. Destacó el actor que el niño le ha manifestado que no le gusta aparecer en los contenidos que la progenitora sube a las redes sociales.</w:t>
      </w:r>
    </w:p>
    <w:p w14:paraId="015B9562" w14:textId="77777777" w:rsidR="003336E6" w:rsidRPr="00C63647" w:rsidRDefault="003336E6" w:rsidP="003336E6">
      <w:pPr>
        <w:pStyle w:val="Prrafodelista"/>
        <w:spacing w:line="276" w:lineRule="auto"/>
        <w:ind w:left="426"/>
        <w:rPr>
          <w:rFonts w:ascii="Century Gothic" w:hAnsi="Century Gothic"/>
        </w:rPr>
      </w:pPr>
    </w:p>
    <w:p w14:paraId="317E7B29" w14:textId="77777777" w:rsidR="003336E6" w:rsidRPr="00C63647" w:rsidRDefault="003336E6" w:rsidP="003336E6">
      <w:pPr>
        <w:spacing w:line="276" w:lineRule="auto"/>
        <w:ind w:left="426"/>
        <w:jc w:val="both"/>
        <w:rPr>
          <w:rFonts w:ascii="Century Gothic" w:hAnsi="Century Gothic"/>
        </w:rPr>
      </w:pPr>
      <w:r w:rsidRPr="00C63647">
        <w:rPr>
          <w:rFonts w:ascii="Century Gothic" w:hAnsi="Century Gothic"/>
        </w:rPr>
        <w:t>Durante el trámite, la Corte recibió un concepto del equipo técnico interdisciplinario de la Defensoría de Familia, que valoró al niño y concluyó que no se le vulneraban sus derechos por parte de la madre, que los padres tienen dificultades para resolver sus problemas sin involucrar al niño y que hay una falta de límites en relación con la información que se le suministra. Con este concepto, la sala hizo uso de sus facultades y valoró dos problemas jurídicos: El primero, buscó establecer si existió la vulneración de los derechos que fueron señalados en la solicitud de tutela y el segundo, consistió en verificar si se le vulneran otros derechos al niño a partir de los hechos evidenciados.</w:t>
      </w:r>
    </w:p>
    <w:p w14:paraId="5C47B454" w14:textId="77777777" w:rsidR="003336E6" w:rsidRPr="00C63647" w:rsidRDefault="003336E6" w:rsidP="003336E6">
      <w:pPr>
        <w:spacing w:line="276" w:lineRule="auto"/>
        <w:ind w:left="426"/>
        <w:jc w:val="both"/>
        <w:rPr>
          <w:rFonts w:ascii="Century Gothic" w:hAnsi="Century Gothic"/>
        </w:rPr>
      </w:pPr>
    </w:p>
    <w:p w14:paraId="6A9163F8" w14:textId="2F5A184A" w:rsidR="003336E6" w:rsidRPr="00C63647" w:rsidRDefault="003336E6" w:rsidP="0033553A">
      <w:pPr>
        <w:tabs>
          <w:tab w:val="left" w:pos="8080"/>
        </w:tabs>
        <w:spacing w:line="276" w:lineRule="auto"/>
        <w:ind w:left="709" w:right="333"/>
        <w:jc w:val="both"/>
        <w:rPr>
          <w:rFonts w:ascii="Century Gothic" w:hAnsi="Century Gothic"/>
          <w:i/>
          <w:color w:val="2D2D2D"/>
        </w:rPr>
      </w:pPr>
      <w:r w:rsidRPr="00C63647">
        <w:rPr>
          <w:rFonts w:ascii="Century Gothic" w:hAnsi="Century Gothic"/>
          <w:i/>
        </w:rPr>
        <w:t xml:space="preserve">“La Sala consideró que la manipulación de los hijos por uno de los padres divorciados o separados no solo constituye violencia psicológica, sino que también puede, en determinados escenarios, convertirlos en instrumentos para ejercer violencia vicaria. Además, esta situación constituye una injerencia arbitraria en el nuevo núcleo familiar monoparental que surge, </w:t>
      </w:r>
      <w:r w:rsidRPr="00C63647">
        <w:rPr>
          <w:rFonts w:ascii="Century Gothic" w:hAnsi="Century Gothic"/>
          <w:i/>
        </w:rPr>
        <w:lastRenderedPageBreak/>
        <w:t xml:space="preserve">y una vulneración de los derechos de </w:t>
      </w:r>
      <w:proofErr w:type="gramStart"/>
      <w:r w:rsidRPr="00C63647">
        <w:rPr>
          <w:rFonts w:ascii="Century Gothic" w:hAnsi="Century Gothic"/>
          <w:i/>
        </w:rPr>
        <w:t>los niños y niñas</w:t>
      </w:r>
      <w:proofErr w:type="gramEnd"/>
      <w:r w:rsidRPr="00C63647">
        <w:rPr>
          <w:rFonts w:ascii="Century Gothic" w:hAnsi="Century Gothic"/>
          <w:i/>
        </w:rPr>
        <w:t xml:space="preserve"> a la intimidad familiar y a vivir en un ambiente sano.</w:t>
      </w:r>
    </w:p>
    <w:p w14:paraId="66B52065" w14:textId="77777777"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 En el caso concreto, consideró que frente al primer problema jurídico no se vulneraron los derechos fundamentales del niño, porque en el expediente no obra ninguna prueba que permita evidenciar que la accionada haya ejercido en forma desproporcionada su derecho a la libertad de expresión o que haya adelantado acciones que desconozcan la libre opinión del niño en relación con su proyecto de vida o de alguna manera frustren la construcción de su identidad personal. Por el contrario, encontró que sus conductas se limitan a expresar en espacios virtuales de carácter semipúblico manifestaciones de amor y cariño propios de una madre hacia su hijo. Sin embargo, la Sala le solicitó a la accionada que en el evento de que el menor de edad exprese libremente su negativa a que su imagen sea expuesta en las redes sociales de esta, proceda a darle prevalencia a la voluntad de su hijo sobre la propia.</w:t>
      </w:r>
    </w:p>
    <w:p w14:paraId="5C07D6DB" w14:textId="77777777"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 xml:space="preserve">(...)Frente al segundo problema jurídico, en primer lugar, consideró que con la publicación de las fotografías y los videos en los que aparece la madre con su hijo, no se vulneró el derecho a la imagen del niño, pues no se advierte un obrar ilícito o arbitrario de la accionada. Además, señaló </w:t>
      </w:r>
      <w:proofErr w:type="gramStart"/>
      <w:r w:rsidRPr="00C63647">
        <w:rPr>
          <w:rFonts w:ascii="Century Gothic" w:hAnsi="Century Gothic"/>
          <w:i/>
        </w:rPr>
        <w:t>que</w:t>
      </w:r>
      <w:proofErr w:type="gramEnd"/>
      <w:r w:rsidRPr="00C63647">
        <w:rPr>
          <w:rFonts w:ascii="Century Gothic" w:hAnsi="Century Gothic"/>
          <w:i/>
        </w:rPr>
        <w:t xml:space="preserve"> aunque, en principio, no se constata una sobreexposición de la imagen del niño en las redes sociales de la madre, sí se observa que dichos espacios virtuales son visitados por una gran cantidad de personas. Por lo tanto, consideró necesario ordenarle que antes de realizar una publicación que involucre a su hijo, valore los riesgos y las amenazas que se generan con la exposición de su imagen en las redes sociales que utiliza.</w:t>
      </w:r>
    </w:p>
    <w:p w14:paraId="33CA7FA7" w14:textId="77777777" w:rsidR="003336E6" w:rsidRPr="00C63647" w:rsidRDefault="003336E6" w:rsidP="0033553A">
      <w:pPr>
        <w:tabs>
          <w:tab w:val="left" w:pos="8080"/>
        </w:tabs>
        <w:spacing w:line="276" w:lineRule="auto"/>
        <w:ind w:left="709" w:right="333"/>
        <w:jc w:val="both"/>
        <w:rPr>
          <w:rFonts w:ascii="Century Gothic" w:hAnsi="Century Gothic"/>
          <w:i/>
        </w:rPr>
      </w:pPr>
    </w:p>
    <w:p w14:paraId="11B1AE6C" w14:textId="687D16C3"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 xml:space="preserve">En segundo lugar, concluyó que se vulneraron los derechos al ambiente familiar sano y a la dignidad humana del niño por la forma conflictiva en que los progenitores han asumido la ruptura, involucrando en sus desacuerdos a su hijo. Además, que se vulneraron sus derechos a no padecer injerencias arbitrarias en la familia, a la intimidad familiar y a no padecer violencia psicológica, porque el padre le suministró al niño una información que contiene datos sensibles y personales de la accionada. Situación </w:t>
      </w:r>
      <w:proofErr w:type="spellStart"/>
      <w:r w:rsidRPr="00C63647">
        <w:rPr>
          <w:rFonts w:ascii="Century Gothic" w:hAnsi="Century Gothic"/>
          <w:i/>
        </w:rPr>
        <w:t>esta</w:t>
      </w:r>
      <w:proofErr w:type="spellEnd"/>
      <w:r w:rsidRPr="00C63647">
        <w:rPr>
          <w:rFonts w:ascii="Century Gothic" w:hAnsi="Century Gothic"/>
          <w:i/>
        </w:rPr>
        <w:t xml:space="preserve"> que, dentro del contexto conflictivo de la pareja, constituye una manipulación del niño con la intención de alterar el concepto que tiene de su progenitora y ejercer violencia vicaria en contra de esta.”</w:t>
      </w:r>
    </w:p>
    <w:p w14:paraId="7B4FEFF9" w14:textId="77777777" w:rsidR="00C63647" w:rsidRPr="00C63647" w:rsidRDefault="00C63647" w:rsidP="0033553A">
      <w:pPr>
        <w:spacing w:line="276" w:lineRule="auto"/>
        <w:ind w:right="49"/>
        <w:jc w:val="both"/>
        <w:rPr>
          <w:rFonts w:ascii="Century Gothic" w:hAnsi="Century Gothic"/>
        </w:rPr>
      </w:pPr>
    </w:p>
    <w:p w14:paraId="1D00310F" w14:textId="4E505815" w:rsidR="003336E6" w:rsidRPr="00C63647" w:rsidRDefault="003336E6" w:rsidP="0033553A">
      <w:pPr>
        <w:spacing w:line="276" w:lineRule="auto"/>
        <w:ind w:right="49"/>
        <w:jc w:val="both"/>
        <w:rPr>
          <w:rFonts w:ascii="Century Gothic" w:hAnsi="Century Gothic"/>
        </w:rPr>
      </w:pPr>
      <w:r w:rsidRPr="00C63647">
        <w:rPr>
          <w:rFonts w:ascii="Century Gothic" w:hAnsi="Century Gothic"/>
        </w:rPr>
        <w:t>Es importante la armonización de los precedentes judiciales con la normatividad colombiana, a cargo del Congreso de Colombia, quien ha suscrito varios tratados internacionales, como lo es la Convención de Belém do Pará"</w:t>
      </w:r>
      <w:r w:rsidRPr="00C63647">
        <w:rPr>
          <w:rStyle w:val="Refdenotaalpie"/>
          <w:rFonts w:ascii="Century Gothic" w:hAnsi="Century Gothic"/>
        </w:rPr>
        <w:footnoteReference w:id="8"/>
      </w:r>
      <w:r w:rsidRPr="00C63647">
        <w:rPr>
          <w:rFonts w:ascii="Century Gothic" w:hAnsi="Century Gothic"/>
        </w:rPr>
        <w:t xml:space="preserve"> en donde se compromete a llevar </w:t>
      </w:r>
      <w:r w:rsidR="00237060" w:rsidRPr="00C63647">
        <w:rPr>
          <w:rFonts w:ascii="Century Gothic" w:hAnsi="Century Gothic"/>
        </w:rPr>
        <w:t>a cabo</w:t>
      </w:r>
      <w:r w:rsidRPr="00C63647">
        <w:rPr>
          <w:rFonts w:ascii="Century Gothic" w:hAnsi="Century Gothic"/>
        </w:rPr>
        <w:t xml:space="preserve"> todo los esfuerzos jurídicos, legales, administrativos, económicos y necesarios para Prevenir, Sancionar y Erradicar la Violencia contra la Mujer.</w:t>
      </w:r>
    </w:p>
    <w:p w14:paraId="6552A76B" w14:textId="77777777" w:rsidR="002474A5" w:rsidRDefault="002474A5" w:rsidP="0033553A">
      <w:pPr>
        <w:spacing w:line="276" w:lineRule="auto"/>
        <w:ind w:right="49"/>
        <w:jc w:val="both"/>
        <w:rPr>
          <w:rFonts w:ascii="Century Gothic" w:hAnsi="Century Gothic"/>
        </w:rPr>
      </w:pPr>
    </w:p>
    <w:p w14:paraId="5148CA8A" w14:textId="77777777" w:rsidR="00530D53" w:rsidRDefault="00530D53" w:rsidP="0033553A">
      <w:pPr>
        <w:spacing w:line="276" w:lineRule="auto"/>
        <w:ind w:right="49"/>
        <w:jc w:val="both"/>
        <w:rPr>
          <w:rFonts w:ascii="Century Gothic" w:hAnsi="Century Gothic"/>
        </w:rPr>
      </w:pPr>
    </w:p>
    <w:p w14:paraId="37EBED86" w14:textId="77777777" w:rsidR="00530D53" w:rsidRPr="00C63647" w:rsidRDefault="00530D53" w:rsidP="0033553A">
      <w:pPr>
        <w:spacing w:line="276" w:lineRule="auto"/>
        <w:ind w:right="49"/>
        <w:jc w:val="both"/>
        <w:rPr>
          <w:rFonts w:ascii="Century Gothic" w:hAnsi="Century Gothic"/>
        </w:rPr>
      </w:pPr>
    </w:p>
    <w:p w14:paraId="342F2300" w14:textId="210AB854" w:rsidR="00237060" w:rsidRPr="00C63647" w:rsidRDefault="00237060" w:rsidP="00237060">
      <w:pPr>
        <w:shd w:val="clear" w:color="auto" w:fill="FFFFFF"/>
        <w:spacing w:before="240" w:after="0" w:line="276" w:lineRule="auto"/>
        <w:jc w:val="both"/>
        <w:rPr>
          <w:rFonts w:ascii="Century Gothic" w:hAnsi="Century Gothic"/>
          <w:b/>
        </w:rPr>
      </w:pPr>
      <w:r w:rsidRPr="00C63647">
        <w:rPr>
          <w:rFonts w:ascii="Century Gothic" w:hAnsi="Century Gothic"/>
          <w:b/>
          <w:u w:val="single"/>
        </w:rPr>
        <w:lastRenderedPageBreak/>
        <w:t>Marco jurídico internacional</w:t>
      </w:r>
    </w:p>
    <w:p w14:paraId="0F5E8514" w14:textId="77777777" w:rsidR="00237060" w:rsidRPr="00306F0D" w:rsidRDefault="00237060" w:rsidP="00237060">
      <w:pPr>
        <w:widowControl w:val="0"/>
        <w:shd w:val="clear" w:color="auto" w:fill="FFFFFF"/>
        <w:spacing w:before="240" w:line="276" w:lineRule="auto"/>
        <w:ind w:left="426"/>
        <w:jc w:val="both"/>
        <w:rPr>
          <w:rFonts w:ascii="Century Gothic" w:hAnsi="Century Gothic"/>
        </w:rPr>
      </w:pPr>
      <w:r w:rsidRPr="00306F0D">
        <w:rPr>
          <w:rFonts w:ascii="Century Gothic" w:hAnsi="Century Gothic"/>
        </w:rPr>
        <w:t>Colombia ha firmado y ratificado diferentes instrumentos en el plano internacional y regional que reconocen la violencia contra la mujer como una violación a los derechos humanos y a sus libertades fundamentales. De igual forma, los niños, niñas y adolescentes han sido protegidos de manera activa y especial a nivel internacional. Entre los Convenios y Tratados internacional se destacan los siguientes:</w:t>
      </w:r>
    </w:p>
    <w:p w14:paraId="38240E15" w14:textId="77777777" w:rsidR="00237060" w:rsidRPr="00306F0D" w:rsidRDefault="00237060" w:rsidP="00237060">
      <w:pPr>
        <w:widowControl w:val="0"/>
        <w:numPr>
          <w:ilvl w:val="0"/>
          <w:numId w:val="13"/>
        </w:numPr>
        <w:shd w:val="clear" w:color="auto" w:fill="FFFFFF"/>
        <w:spacing w:before="240" w:after="0" w:line="276" w:lineRule="auto"/>
        <w:ind w:left="426"/>
        <w:jc w:val="both"/>
        <w:rPr>
          <w:rFonts w:ascii="Century Gothic" w:hAnsi="Century Gothic"/>
        </w:rPr>
      </w:pPr>
      <w:r w:rsidRPr="00306F0D">
        <w:rPr>
          <w:rFonts w:ascii="Century Gothic" w:hAnsi="Century Gothic"/>
          <w:b/>
          <w:bCs/>
        </w:rPr>
        <w:t xml:space="preserve">La </w:t>
      </w:r>
      <w:r w:rsidRPr="00306F0D">
        <w:rPr>
          <w:rFonts w:ascii="Century Gothic" w:hAnsi="Century Gothic"/>
          <w:b/>
          <w:bCs/>
          <w:i/>
        </w:rPr>
        <w:t>Convención sobre la Eliminación de todas las formas de Discriminación contra la Mujer, en adelante CEDAW por sus siglas en inglés</w:t>
      </w:r>
      <w:r w:rsidRPr="00306F0D">
        <w:rPr>
          <w:rFonts w:ascii="Century Gothic" w:hAnsi="Century Gothic"/>
        </w:rPr>
        <w:t xml:space="preserve">, adoptada por la Asamblea General de la ONU el 18 de diciembre de 1979 y el Protocolo Facultativo de la Convención sobe Eliminación de Todas las Formas de Discriminación contra la Mujer, Nueva York, 6 de octubre de 1999. (en el cual Colombia reconoce la competencia del Comité para la Eliminación de la Discriminación contra la Mujer) </w:t>
      </w:r>
    </w:p>
    <w:p w14:paraId="5A3D0FD9" w14:textId="77777777" w:rsidR="00237060" w:rsidRPr="00306F0D" w:rsidRDefault="00237060" w:rsidP="00237060">
      <w:pPr>
        <w:widowControl w:val="0"/>
        <w:shd w:val="clear" w:color="auto" w:fill="FFFFFF"/>
        <w:spacing w:before="240" w:line="276" w:lineRule="auto"/>
        <w:ind w:left="426"/>
        <w:jc w:val="both"/>
        <w:rPr>
          <w:rFonts w:ascii="Century Gothic" w:hAnsi="Century Gothic"/>
        </w:rPr>
      </w:pPr>
      <w:r w:rsidRPr="00306F0D">
        <w:rPr>
          <w:rFonts w:ascii="Century Gothic" w:hAnsi="Century Gothic"/>
        </w:rPr>
        <w:t xml:space="preserve">Estos dos instrumentos reconocen que la violencia de género </w:t>
      </w:r>
      <w:r w:rsidRPr="00306F0D">
        <w:rPr>
          <w:rFonts w:ascii="Century Gothic" w:hAnsi="Century Gothic"/>
          <w:i/>
        </w:rPr>
        <w:t>“es una forma de discriminación que inhibe gravemente la capacidad de la mujer de gozar de derechos y libertades en pie de igualdad con el hombre”</w:t>
      </w:r>
      <w:r w:rsidRPr="00306F0D">
        <w:rPr>
          <w:rFonts w:ascii="Century Gothic" w:hAnsi="Century Gothic"/>
        </w:rPr>
        <w:t xml:space="preserve"> y contemplan una serie de medidas que los Estados Parte deben adoptar con el fin de condenar y eliminar la discriminación contra la mujer en esferas tan variadas como la educación, la vida política, la nacionalidad, el empleo, entre otras. así mismo, condenan la discriminación contra la mujer en todas sus formas y convienen seguir, por todos los medios apropiados y sin dilaciones, una política encaminada a eliminarla, incluyendo medidas legislativas, educativas y políticas transitorias de diferenciación positiva.</w:t>
      </w:r>
    </w:p>
    <w:p w14:paraId="7395D7F6" w14:textId="77777777" w:rsidR="00237060" w:rsidRPr="00306F0D" w:rsidRDefault="00237060" w:rsidP="00237060">
      <w:pPr>
        <w:widowControl w:val="0"/>
        <w:numPr>
          <w:ilvl w:val="0"/>
          <w:numId w:val="13"/>
        </w:numPr>
        <w:shd w:val="clear" w:color="auto" w:fill="FFFFFF"/>
        <w:spacing w:before="240" w:after="0" w:line="276" w:lineRule="auto"/>
        <w:ind w:left="426"/>
        <w:jc w:val="both"/>
        <w:rPr>
          <w:rFonts w:ascii="Century Gothic" w:hAnsi="Century Gothic"/>
        </w:rPr>
      </w:pPr>
      <w:r w:rsidRPr="00306F0D">
        <w:rPr>
          <w:rFonts w:ascii="Century Gothic" w:hAnsi="Century Gothic"/>
          <w:b/>
          <w:bCs/>
        </w:rPr>
        <w:t xml:space="preserve">La </w:t>
      </w:r>
      <w:r w:rsidRPr="00306F0D">
        <w:rPr>
          <w:rFonts w:ascii="Century Gothic" w:hAnsi="Century Gothic"/>
          <w:b/>
          <w:bCs/>
          <w:i/>
        </w:rPr>
        <w:t xml:space="preserve">Declaración sobre la Eliminación de la Violencia contra la Mujer </w:t>
      </w:r>
      <w:r w:rsidRPr="00306F0D">
        <w:rPr>
          <w:rFonts w:ascii="Century Gothic" w:hAnsi="Century Gothic"/>
          <w:b/>
          <w:bCs/>
        </w:rPr>
        <w:t>(1993), complemento de la CEDAW</w:t>
      </w:r>
      <w:r w:rsidRPr="00306F0D">
        <w:rPr>
          <w:rFonts w:ascii="Century Gothic" w:hAnsi="Century Gothic"/>
        </w:rPr>
        <w:t xml:space="preserve"> fue el primer instrumento a nivel internacional que abordó de forma explícita la violencia contra la mujer y reconociendo que no es un asunto del ámbito privado. Además, define la violencia contra la mujer como </w:t>
      </w:r>
      <w:r w:rsidRPr="00306F0D">
        <w:rPr>
          <w:rFonts w:ascii="Century Gothic" w:hAnsi="Century Gothic"/>
          <w:i/>
        </w:rPr>
        <w:t>“todo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r w:rsidRPr="00306F0D">
        <w:rPr>
          <w:rFonts w:ascii="Century Gothic" w:hAnsi="Century Gothic"/>
        </w:rPr>
        <w:t>.</w:t>
      </w:r>
      <w:r w:rsidRPr="00306F0D">
        <w:rPr>
          <w:rFonts w:ascii="Century Gothic" w:hAnsi="Century Gothic"/>
        </w:rPr>
        <w:tab/>
      </w:r>
      <w:r w:rsidRPr="00306F0D">
        <w:rPr>
          <w:rFonts w:ascii="Century Gothic" w:hAnsi="Century Gothic"/>
        </w:rPr>
        <w:br/>
      </w:r>
    </w:p>
    <w:p w14:paraId="568AFA4B" w14:textId="77777777" w:rsidR="00237060" w:rsidRPr="00306F0D" w:rsidRDefault="00237060" w:rsidP="00237060">
      <w:pPr>
        <w:widowControl w:val="0"/>
        <w:numPr>
          <w:ilvl w:val="0"/>
          <w:numId w:val="13"/>
        </w:numPr>
        <w:spacing w:after="0" w:line="276" w:lineRule="auto"/>
        <w:ind w:left="426"/>
        <w:jc w:val="both"/>
        <w:rPr>
          <w:rFonts w:ascii="Century Gothic" w:hAnsi="Century Gothic"/>
        </w:rPr>
      </w:pPr>
      <w:r w:rsidRPr="00306F0D">
        <w:rPr>
          <w:rFonts w:ascii="Century Gothic" w:hAnsi="Century Gothic"/>
        </w:rPr>
        <w:t>A nivel regional se destacan</w:t>
      </w:r>
      <w:r w:rsidRPr="00306F0D">
        <w:rPr>
          <w:rFonts w:ascii="Century Gothic" w:hAnsi="Century Gothic"/>
          <w:b/>
          <w:bCs/>
        </w:rPr>
        <w:t xml:space="preserve">:  la </w:t>
      </w:r>
      <w:r w:rsidRPr="00306F0D">
        <w:rPr>
          <w:rFonts w:ascii="Century Gothic" w:hAnsi="Century Gothic"/>
          <w:b/>
          <w:bCs/>
          <w:i/>
        </w:rPr>
        <w:t>Convención Americana sobre Derechos Humanos</w:t>
      </w:r>
      <w:r w:rsidRPr="00306F0D">
        <w:rPr>
          <w:rFonts w:ascii="Century Gothic" w:hAnsi="Century Gothic"/>
          <w:b/>
          <w:bCs/>
        </w:rPr>
        <w:t xml:space="preserve">, adoptada el 22 de noviembre de 1969, y la </w:t>
      </w:r>
      <w:r w:rsidRPr="00306F0D">
        <w:rPr>
          <w:rFonts w:ascii="Century Gothic" w:hAnsi="Century Gothic"/>
          <w:b/>
          <w:bCs/>
          <w:i/>
        </w:rPr>
        <w:t>Convención Interamericana para Prevenir, Sancionar y Erradicar la Violencia Contra la Mujer, “Convención de Belém do Pará”</w:t>
      </w:r>
      <w:r w:rsidRPr="00306F0D">
        <w:rPr>
          <w:rFonts w:ascii="Century Gothic" w:hAnsi="Century Gothic"/>
          <w:b/>
          <w:bCs/>
        </w:rPr>
        <w:t>,</w:t>
      </w:r>
      <w:r w:rsidRPr="00306F0D">
        <w:rPr>
          <w:rFonts w:ascii="Century Gothic" w:hAnsi="Century Gothic"/>
        </w:rPr>
        <w:t xml:space="preserve"> adoptada el 9 de junio de 1994. Este último Convenio tiene por objeto específico erradicar toda forma de agresión física, sexual y psicológica contra la mujer, es decir, no solo aquella que ocurre en la esfera pública sino incluso en la privada y doméstica. Bajo el anterior entendido, este tratado define la violencia contra las mujeres, establece su derecho a vivir una vida libre de violencia y destaca a esa violencia como una violación de los derechos y las libertades fundamentales.</w:t>
      </w:r>
    </w:p>
    <w:p w14:paraId="2CB0E7E3" w14:textId="77777777" w:rsidR="00237060" w:rsidRPr="00306F0D" w:rsidRDefault="00237060" w:rsidP="00237060">
      <w:pPr>
        <w:pStyle w:val="Prrafodelista"/>
        <w:spacing w:line="276" w:lineRule="auto"/>
        <w:ind w:left="426"/>
        <w:rPr>
          <w:rFonts w:ascii="Century Gothic" w:hAnsi="Century Gothic"/>
        </w:rPr>
      </w:pPr>
    </w:p>
    <w:p w14:paraId="19BCC4BC" w14:textId="1635C630" w:rsidR="00237060" w:rsidRPr="00306F0D" w:rsidRDefault="00237060" w:rsidP="00237060">
      <w:pPr>
        <w:widowControl w:val="0"/>
        <w:spacing w:line="276" w:lineRule="auto"/>
        <w:ind w:left="426"/>
        <w:jc w:val="both"/>
        <w:rPr>
          <w:rFonts w:ascii="Century Gothic" w:hAnsi="Century Gothic"/>
        </w:rPr>
      </w:pPr>
      <w:r w:rsidRPr="00306F0D">
        <w:rPr>
          <w:rFonts w:ascii="Century Gothic" w:hAnsi="Century Gothic"/>
        </w:rPr>
        <w:t xml:space="preserve">Es importante resaltar que en el artículo 7º del Convenio se consagran los compromisos que adquieren los Estados al vincularse. Entre los que se destacan: </w:t>
      </w:r>
      <w:r w:rsidRPr="00306F0D">
        <w:rPr>
          <w:rFonts w:ascii="Century Gothic" w:hAnsi="Century Gothic"/>
          <w:i/>
        </w:rPr>
        <w:t>(i) incluir en su legislación interna normas penales, civiles y administrativas, así como las de otra naturaleza que sean necesarias para prevenir, sancionar y erradicar la violencia contra la mujer; (</w:t>
      </w:r>
      <w:proofErr w:type="spellStart"/>
      <w:r w:rsidRPr="00306F0D">
        <w:rPr>
          <w:rFonts w:ascii="Century Gothic" w:hAnsi="Century Gothic"/>
          <w:i/>
        </w:rPr>
        <w:t>ii</w:t>
      </w:r>
      <w:proofErr w:type="spellEnd"/>
      <w:r w:rsidRPr="00306F0D">
        <w:rPr>
          <w:rFonts w:ascii="Century Gothic" w:hAnsi="Century Gothic"/>
          <w:i/>
        </w:rPr>
        <w:t xml:space="preserve">) adoptar medidas jurídicas para </w:t>
      </w:r>
      <w:r w:rsidRPr="00306F0D">
        <w:rPr>
          <w:rFonts w:ascii="Century Gothic" w:hAnsi="Century Gothic"/>
          <w:i/>
        </w:rPr>
        <w:lastRenderedPageBreak/>
        <w:t>conminar al agresor a abstenerse de hostigar, intimidar, amenazar, dañar o poner en peligro la vida de la mujer; (</w:t>
      </w:r>
      <w:proofErr w:type="spellStart"/>
      <w:r w:rsidRPr="00306F0D">
        <w:rPr>
          <w:rFonts w:ascii="Century Gothic" w:hAnsi="Century Gothic"/>
          <w:i/>
        </w:rPr>
        <w:t>iii</w:t>
      </w:r>
      <w:proofErr w:type="spellEnd"/>
      <w:r w:rsidRPr="00306F0D">
        <w:rPr>
          <w:rFonts w:ascii="Century Gothic" w:hAnsi="Century Gothic"/>
          <w:i/>
        </w:rPr>
        <w:t>) modificar o abolir leyes y reglamentos vigentes, prácticas jurídicas o consuetudinarias que respalden la persistencia o la tolerancia a la violencia contra la mujer; (</w:t>
      </w:r>
      <w:proofErr w:type="spellStart"/>
      <w:r w:rsidRPr="00306F0D">
        <w:rPr>
          <w:rFonts w:ascii="Century Gothic" w:hAnsi="Century Gothic"/>
          <w:i/>
        </w:rPr>
        <w:t>iv</w:t>
      </w:r>
      <w:proofErr w:type="spellEnd"/>
      <w:r w:rsidRPr="00306F0D">
        <w:rPr>
          <w:rFonts w:ascii="Century Gothic" w:hAnsi="Century Gothic"/>
          <w:i/>
        </w:rPr>
        <w:t>) establecer procedimientos legales justos y eficaces para la mujer que haya sido sometida a violencia, que incluyan, entre otras medidas de protección, un juicio oportuno y el acceso efectivo a tales procedimientos y (v) establecer mecanismos judiciales y administrativos que garanticen el acceso efectivo a medidas de reparación del daño u otros medios de compensación.</w:t>
      </w:r>
    </w:p>
    <w:p w14:paraId="5C17F5C9" w14:textId="77777777" w:rsidR="00237060" w:rsidRPr="00306F0D" w:rsidRDefault="00237060" w:rsidP="00237060">
      <w:pPr>
        <w:widowControl w:val="0"/>
        <w:numPr>
          <w:ilvl w:val="0"/>
          <w:numId w:val="13"/>
        </w:numPr>
        <w:spacing w:after="0" w:line="276" w:lineRule="auto"/>
        <w:ind w:left="426"/>
        <w:jc w:val="both"/>
        <w:rPr>
          <w:rFonts w:ascii="Century Gothic" w:hAnsi="Century Gothic"/>
        </w:rPr>
      </w:pPr>
      <w:r w:rsidRPr="00306F0D">
        <w:rPr>
          <w:rFonts w:ascii="Century Gothic" w:hAnsi="Century Gothic"/>
          <w:b/>
          <w:bCs/>
        </w:rPr>
        <w:t>La Convención sobre los Derechos de los Niños y de las Niñas, adoptada por la Asamblea General de las Naciones Unidas el 20 de noviembre de 1989 y aprobada por el Congreso de la República mediante Ley 12 de 1991.</w:t>
      </w:r>
      <w:r w:rsidRPr="00306F0D">
        <w:rPr>
          <w:rFonts w:ascii="Century Gothic" w:hAnsi="Century Gothic"/>
        </w:rPr>
        <w:t xml:space="preserve"> Este tratado internacional reconoce los derechos de </w:t>
      </w:r>
      <w:proofErr w:type="gramStart"/>
      <w:r w:rsidRPr="00306F0D">
        <w:rPr>
          <w:rFonts w:ascii="Century Gothic" w:hAnsi="Century Gothic"/>
        </w:rPr>
        <w:t>los niños y niñas</w:t>
      </w:r>
      <w:proofErr w:type="gramEnd"/>
      <w:r w:rsidRPr="00306F0D">
        <w:rPr>
          <w:rFonts w:ascii="Century Gothic" w:hAnsi="Century Gothic"/>
        </w:rPr>
        <w:t xml:space="preserve">, y entiende como tales a quienes tengan menos de 18 años de edad. Entre los compromisos que adquieren los Estados para su protección, está la garantía del desarrollo pleno de su personalidad, acceso a la educación, a crecer en un ambiente sano, entre otros. Lo anterior, dado que son las condiciones necesarias para el desarrollo pleno, libre y autónomo de los niños. </w:t>
      </w:r>
    </w:p>
    <w:p w14:paraId="1E3CFDC2" w14:textId="77777777" w:rsidR="00237060" w:rsidRPr="00306F0D" w:rsidRDefault="00237060" w:rsidP="00237060">
      <w:pPr>
        <w:widowControl w:val="0"/>
        <w:spacing w:line="276" w:lineRule="auto"/>
        <w:ind w:left="426"/>
        <w:jc w:val="both"/>
        <w:rPr>
          <w:rFonts w:ascii="Century Gothic" w:hAnsi="Century Gothic"/>
        </w:rPr>
      </w:pPr>
    </w:p>
    <w:p w14:paraId="24DFB7DF" w14:textId="77777777" w:rsidR="00237060" w:rsidRPr="00306F0D" w:rsidRDefault="00237060" w:rsidP="00237060">
      <w:pPr>
        <w:widowControl w:val="0"/>
        <w:spacing w:line="276" w:lineRule="auto"/>
        <w:ind w:left="426"/>
        <w:jc w:val="both"/>
        <w:rPr>
          <w:rFonts w:ascii="Century Gothic" w:hAnsi="Century Gothic"/>
        </w:rPr>
      </w:pPr>
      <w:r w:rsidRPr="00306F0D">
        <w:rPr>
          <w:rFonts w:ascii="Century Gothic" w:hAnsi="Century Gothic"/>
        </w:rPr>
        <w:t>Otros de los tratados internacionales destacados en el ámbito de protección a las mujeres y niños, niñas y adolescentes son:</w:t>
      </w:r>
    </w:p>
    <w:p w14:paraId="7C664770"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 xml:space="preserve">Declaración Americana de Derechos y Deberes del Hombre, proclamada en Bogotá en abril de 1948. </w:t>
      </w:r>
      <w:r w:rsidRPr="00306F0D">
        <w:rPr>
          <w:rFonts w:ascii="Century Gothic" w:hAnsi="Century Gothic"/>
        </w:rPr>
        <w:tab/>
      </w:r>
      <w:r w:rsidRPr="00306F0D">
        <w:rPr>
          <w:rFonts w:ascii="Century Gothic" w:hAnsi="Century Gothic"/>
        </w:rPr>
        <w:br/>
      </w:r>
    </w:p>
    <w:p w14:paraId="7ACF8E7E"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 xml:space="preserve">Declaración Universal de los Derechos Humanos, de fecha 10 de diciembre de 1984, proclamada por la Asamblea General de las Naciones Unidas. </w:t>
      </w:r>
      <w:r w:rsidRPr="00306F0D">
        <w:rPr>
          <w:rFonts w:ascii="Century Gothic" w:hAnsi="Century Gothic"/>
        </w:rPr>
        <w:tab/>
      </w:r>
      <w:r w:rsidRPr="00306F0D">
        <w:rPr>
          <w:rFonts w:ascii="Century Gothic" w:hAnsi="Century Gothic"/>
        </w:rPr>
        <w:br/>
      </w:r>
    </w:p>
    <w:p w14:paraId="079A6CE4"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Pacto Internacional de Derechos Civiles y Políticos (PIDCP- 1976).</w:t>
      </w:r>
      <w:r w:rsidRPr="00306F0D">
        <w:rPr>
          <w:rFonts w:ascii="Century Gothic" w:hAnsi="Century Gothic"/>
        </w:rPr>
        <w:tab/>
      </w:r>
      <w:r w:rsidRPr="00306F0D">
        <w:rPr>
          <w:rFonts w:ascii="Century Gothic" w:hAnsi="Century Gothic"/>
        </w:rPr>
        <w:br/>
      </w:r>
    </w:p>
    <w:p w14:paraId="4A5016B5"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Pacto Internacional de Derechos Económicos, Sociales y Culturales (PIDESC- 1966).</w:t>
      </w:r>
      <w:r w:rsidRPr="00306F0D">
        <w:rPr>
          <w:rFonts w:ascii="Century Gothic" w:hAnsi="Century Gothic"/>
        </w:rPr>
        <w:tab/>
      </w:r>
      <w:r w:rsidRPr="00306F0D">
        <w:rPr>
          <w:rFonts w:ascii="Century Gothic" w:hAnsi="Century Gothic"/>
        </w:rPr>
        <w:br/>
      </w:r>
    </w:p>
    <w:p w14:paraId="7D83FA36" w14:textId="267CDF7B" w:rsidR="00237060" w:rsidRPr="00306F0D" w:rsidRDefault="00237060" w:rsidP="00237060">
      <w:pPr>
        <w:numPr>
          <w:ilvl w:val="0"/>
          <w:numId w:val="13"/>
        </w:numPr>
        <w:spacing w:after="0" w:line="276" w:lineRule="auto"/>
        <w:ind w:left="426"/>
        <w:jc w:val="both"/>
        <w:rPr>
          <w:rFonts w:ascii="Century Gothic" w:hAnsi="Century Gothic"/>
          <w:color w:val="202124"/>
          <w:highlight w:val="white"/>
        </w:rPr>
      </w:pPr>
      <w:r w:rsidRPr="00306F0D">
        <w:rPr>
          <w:rFonts w:ascii="Century Gothic" w:hAnsi="Century Gothic"/>
          <w:color w:val="202124"/>
          <w:highlight w:val="white"/>
        </w:rPr>
        <w:t>Convención Americana sobre Derechos Humanos: Pacto de San José de Costa Rica (1969).</w:t>
      </w:r>
      <w:r w:rsidR="0024138F" w:rsidRPr="00306F0D">
        <w:rPr>
          <w:rFonts w:ascii="Century Gothic" w:hAnsi="Century Gothic"/>
          <w:color w:val="202124"/>
          <w:highlight w:val="white"/>
        </w:rPr>
        <w:tab/>
      </w:r>
      <w:r w:rsidRPr="00306F0D">
        <w:rPr>
          <w:rFonts w:ascii="Century Gothic" w:hAnsi="Century Gothic"/>
          <w:color w:val="202124"/>
          <w:highlight w:val="white"/>
        </w:rPr>
        <w:br/>
      </w:r>
    </w:p>
    <w:p w14:paraId="4B22EF5D" w14:textId="77777777" w:rsidR="00237060" w:rsidRPr="00306F0D" w:rsidRDefault="00237060" w:rsidP="00237060">
      <w:pPr>
        <w:numPr>
          <w:ilvl w:val="0"/>
          <w:numId w:val="13"/>
        </w:numPr>
        <w:spacing w:after="0" w:line="276" w:lineRule="auto"/>
        <w:ind w:left="426"/>
        <w:jc w:val="both"/>
        <w:rPr>
          <w:rFonts w:ascii="Century Gothic" w:hAnsi="Century Gothic"/>
          <w:color w:val="202124"/>
          <w:highlight w:val="white"/>
        </w:rPr>
      </w:pPr>
      <w:r w:rsidRPr="00306F0D">
        <w:rPr>
          <w:rFonts w:ascii="Century Gothic" w:hAnsi="Century Gothic"/>
          <w:color w:val="202124"/>
          <w:highlight w:val="white"/>
        </w:rPr>
        <w:t xml:space="preserve">Colombia también se encuentra impulsando la Agenda 2030 de la Organización de Naciones Unidas, en especial el objetivo 5 de los ODS: </w:t>
      </w:r>
      <w:r w:rsidRPr="00306F0D">
        <w:rPr>
          <w:rFonts w:ascii="Century Gothic" w:hAnsi="Century Gothic"/>
          <w:i/>
          <w:highlight w:val="white"/>
        </w:rPr>
        <w:t xml:space="preserve">Lograr la igualdad entre los géneros y empoderar a todas las mujeres y las niñas </w:t>
      </w:r>
      <w:r w:rsidRPr="00306F0D">
        <w:rPr>
          <w:rFonts w:ascii="Century Gothic" w:hAnsi="Century Gothic"/>
          <w:highlight w:val="white"/>
        </w:rPr>
        <w:t xml:space="preserve">y entre las metas que se han definido se encuentra: </w:t>
      </w:r>
      <w:r w:rsidRPr="00306F0D">
        <w:rPr>
          <w:rFonts w:ascii="Century Gothic" w:hAnsi="Century Gothic"/>
          <w:i/>
          <w:highlight w:val="white"/>
        </w:rPr>
        <w:t>Eliminar todas las formas de violencia contra todas las mujeres y las niñas en los ámbitos público y privado, incluidas la trata y la explotación sexual y otros tipos de explotación.</w:t>
      </w:r>
    </w:p>
    <w:p w14:paraId="698DF981" w14:textId="77777777" w:rsidR="009C3E4B" w:rsidRPr="00306F0D" w:rsidRDefault="009C3E4B" w:rsidP="00DA3547">
      <w:pPr>
        <w:jc w:val="both"/>
        <w:rPr>
          <w:rFonts w:ascii="Century Gothic" w:hAnsi="Century Gothic"/>
        </w:rPr>
      </w:pPr>
    </w:p>
    <w:p w14:paraId="3A6E078B" w14:textId="1035586D" w:rsidR="00040678" w:rsidRPr="00306F0D" w:rsidRDefault="00DA3547" w:rsidP="00DA3547">
      <w:pPr>
        <w:jc w:val="both"/>
        <w:rPr>
          <w:rFonts w:ascii="Century Gothic" w:hAnsi="Century Gothic"/>
          <w:lang w:val="es-MX"/>
        </w:rPr>
      </w:pPr>
      <w:r w:rsidRPr="00306F0D">
        <w:rPr>
          <w:rFonts w:ascii="Century Gothic" w:hAnsi="Century Gothic"/>
        </w:rPr>
        <w:t xml:space="preserve">Teniendo en cuenta el marco internacional, las sentencias de la Corte Constitucional, la Constitución Política de Colombia y las normas en favor de erradicar la violencia de género en Colombia, así como el sentimiento generalizado de impunidad que existe en Colombia, es importante que el congreso de un importante paso al reconocimiento en el sistema legal colombiano de la Violencia Vicaria. Si bien es cierto que existe una política </w:t>
      </w:r>
      <w:r w:rsidRPr="00306F0D">
        <w:rPr>
          <w:rFonts w:ascii="Century Gothic" w:hAnsi="Century Gothic"/>
          <w:lang w:val="es-MX"/>
        </w:rPr>
        <w:t xml:space="preserve">Criminal 2021-2025, esta se encuentra ajustada a la misma porque regula una conducta extremadamente grave y poco frecuente, reservando la intervención penal para los casos más aberrantes de violencia de género. Además, el enfoque integral del proyecto incluye prevención, </w:t>
      </w:r>
      <w:r w:rsidRPr="00306F0D">
        <w:rPr>
          <w:rFonts w:ascii="Century Gothic" w:hAnsi="Century Gothic"/>
          <w:lang w:val="es-MX"/>
        </w:rPr>
        <w:lastRenderedPageBreak/>
        <w:t xml:space="preserve">protección y seguimiento, no solo sanción, lo que no genera mayor hacinamiento carcelario. </w:t>
      </w:r>
    </w:p>
    <w:p w14:paraId="783F3EF2" w14:textId="7B9A60AB" w:rsidR="0083699A" w:rsidRPr="00306F0D" w:rsidRDefault="0081407F" w:rsidP="00DA3547">
      <w:pPr>
        <w:jc w:val="both"/>
        <w:rPr>
          <w:rFonts w:ascii="Century Gothic" w:hAnsi="Century Gothic"/>
          <w:b/>
          <w:bCs/>
          <w:lang w:val="es-MX"/>
        </w:rPr>
      </w:pPr>
      <w:r w:rsidRPr="00306F0D">
        <w:rPr>
          <w:rFonts w:ascii="Century Gothic" w:hAnsi="Century Gothic"/>
          <w:b/>
          <w:bCs/>
          <w:lang w:val="es-MX"/>
        </w:rPr>
        <w:t xml:space="preserve">IMPACTO JURÍDICO Y SOCIAL </w:t>
      </w:r>
    </w:p>
    <w:p w14:paraId="60BAD634" w14:textId="3D8C361D" w:rsidR="00DA3547" w:rsidRPr="00306F0D" w:rsidRDefault="00DA3547" w:rsidP="00DA3547">
      <w:pPr>
        <w:jc w:val="both"/>
        <w:rPr>
          <w:rFonts w:ascii="Century Gothic" w:hAnsi="Century Gothic"/>
          <w:lang w:val="es-MX"/>
        </w:rPr>
      </w:pPr>
      <w:r w:rsidRPr="00306F0D">
        <w:rPr>
          <w:rFonts w:ascii="Century Gothic" w:hAnsi="Century Gothic"/>
          <w:lang w:val="es-MX"/>
        </w:rPr>
        <w:t xml:space="preserve">Mediante la inclusión de la violencia vicaria se generará un impacto positivo tanto social como jurídico: </w:t>
      </w:r>
    </w:p>
    <w:p w14:paraId="17065E17" w14:textId="34B24836"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Permite el fortalecimiento del sistema judicial para actuar de manera preventiva, al contar con una herramienta penal específica.</w:t>
      </w:r>
    </w:p>
    <w:p w14:paraId="6A544D1A" w14:textId="1E5C4390"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Fortalece las rutas de atención y permite la armonización con la Ley 1257 de 2008.</w:t>
      </w:r>
    </w:p>
    <w:p w14:paraId="3F1ED9DA" w14:textId="63D4B1BF"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 xml:space="preserve">Trasforma el paradigma judicial de entender la violencia solo como acto directo, y permite identificar patrones indirectos, psicológicos y de poder que se convierten en violencia de género. </w:t>
      </w:r>
    </w:p>
    <w:p w14:paraId="0F64BFCE" w14:textId="7B1D1A0A" w:rsidR="0024138F" w:rsidRPr="00306F0D" w:rsidRDefault="0024138F" w:rsidP="00DA3547">
      <w:pPr>
        <w:pStyle w:val="Prrafodelista"/>
        <w:numPr>
          <w:ilvl w:val="0"/>
          <w:numId w:val="14"/>
        </w:numPr>
        <w:jc w:val="both"/>
        <w:rPr>
          <w:rFonts w:ascii="Century Gothic" w:hAnsi="Century Gothic"/>
        </w:rPr>
      </w:pPr>
      <w:r w:rsidRPr="00306F0D">
        <w:rPr>
          <w:rFonts w:ascii="Century Gothic" w:hAnsi="Century Gothic"/>
        </w:rPr>
        <w:t xml:space="preserve">La violencia Vicaria es difícil de identificar y de denunciar, su reconocimiento hace que este tipo de violencia se visibilice, se comprenda para generar acciones legales y de políticas publica para disminuir los índices de violencia. </w:t>
      </w:r>
    </w:p>
    <w:p w14:paraId="7C7C7987" w14:textId="6BBE9D00"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Amplia el alcance de protección integral tanto de las mujeres como de los niños, niñas, adolescentes y personas que sean instrumentalizadas para por el victimario.</w:t>
      </w:r>
    </w:p>
    <w:p w14:paraId="69E5A173" w14:textId="664F1095"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Permite reconocer los daños físicos y psicológicos generados en las victimas</w:t>
      </w:r>
    </w:p>
    <w:p w14:paraId="53F7F457" w14:textId="5728EE24"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las comisarías de familias y a los jueces dándoles herramientas que les permitan emitir órdenes de protección especificas para detener o prevenir el daño que genera la violencia vicaria. </w:t>
      </w:r>
    </w:p>
    <w:p w14:paraId="1199C784" w14:textId="68C3F25B"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los programas de capacitación de los funcionarios a cargo las rutas de atención </w:t>
      </w:r>
    </w:p>
    <w:p w14:paraId="01D8AD71" w14:textId="34C90BCA"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los programas de apoyo psicosocial y social especializados para niños, niñas, adolescentes y víctimas de violencia vicaria. </w:t>
      </w:r>
    </w:p>
    <w:p w14:paraId="757A550E" w14:textId="5EE8EC86"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Al definir la violencia vicaria y reconocerla, los procesos de restablecimiento de derechos pueden ser más efectivos. </w:t>
      </w:r>
    </w:p>
    <w:p w14:paraId="7188CE8D" w14:textId="67CC0F62" w:rsidR="00DA3547" w:rsidRDefault="00DA3547" w:rsidP="00DA3547">
      <w:pPr>
        <w:jc w:val="both"/>
        <w:rPr>
          <w:rFonts w:ascii="Century Gothic" w:hAnsi="Century Gothic"/>
        </w:rPr>
      </w:pPr>
      <w:r w:rsidRPr="00306F0D">
        <w:rPr>
          <w:rFonts w:ascii="Century Gothic" w:hAnsi="Century Gothic"/>
        </w:rPr>
        <w:t>El presente proyecto llena un vacío dentro de nuestro ordenamiento jurídico colombiano y responde a una deuda histórica con las mujeres víctimas de una violencia cruel, estructural y profundamente devastadora</w:t>
      </w:r>
      <w:r w:rsidR="00403FF3">
        <w:rPr>
          <w:rFonts w:ascii="Century Gothic" w:hAnsi="Century Gothic"/>
        </w:rPr>
        <w:t xml:space="preserve">, así como la protección de nuestra niñez y otras víctimas de la violencia vicaria. </w:t>
      </w:r>
    </w:p>
    <w:p w14:paraId="668D955E" w14:textId="77777777" w:rsidR="00403FF3" w:rsidRDefault="00403FF3" w:rsidP="00DA3547">
      <w:pPr>
        <w:jc w:val="both"/>
        <w:rPr>
          <w:rFonts w:ascii="Century Gothic" w:hAnsi="Century Gothic"/>
        </w:rPr>
      </w:pPr>
    </w:p>
    <w:p w14:paraId="30718898" w14:textId="77777777" w:rsidR="00403FF3" w:rsidRPr="00306F0D" w:rsidRDefault="00403FF3" w:rsidP="00DA3547">
      <w:pPr>
        <w:jc w:val="both"/>
        <w:rPr>
          <w:rFonts w:ascii="Century Gothic" w:hAnsi="Century Gothic"/>
        </w:rPr>
      </w:pPr>
    </w:p>
    <w:p w14:paraId="25036D10" w14:textId="77777777" w:rsidR="00DA3547" w:rsidRDefault="00DA3547" w:rsidP="00DA3547">
      <w:pPr>
        <w:jc w:val="both"/>
        <w:rPr>
          <w:rFonts w:ascii="Century Gothic" w:hAnsi="Century Gothic"/>
        </w:rPr>
      </w:pPr>
    </w:p>
    <w:p w14:paraId="0FAC8194" w14:textId="77777777" w:rsidR="00403FF3" w:rsidRDefault="00403FF3" w:rsidP="00DA3547">
      <w:pPr>
        <w:jc w:val="both"/>
        <w:rPr>
          <w:rFonts w:ascii="Century Gothic" w:hAnsi="Century Gothic"/>
        </w:rPr>
      </w:pPr>
    </w:p>
    <w:p w14:paraId="0D4EDCC4" w14:textId="77777777" w:rsidR="00403FF3" w:rsidRDefault="00403FF3" w:rsidP="00DA3547">
      <w:pPr>
        <w:jc w:val="both"/>
        <w:rPr>
          <w:rFonts w:ascii="Century Gothic" w:hAnsi="Century Gothic"/>
        </w:rPr>
      </w:pPr>
    </w:p>
    <w:p w14:paraId="0A2F8B55" w14:textId="77777777" w:rsidR="00403FF3" w:rsidRDefault="00403FF3" w:rsidP="00DA3547">
      <w:pPr>
        <w:jc w:val="both"/>
        <w:rPr>
          <w:rFonts w:ascii="Century Gothic" w:hAnsi="Century Gothic"/>
        </w:rPr>
      </w:pPr>
    </w:p>
    <w:p w14:paraId="06A3967A" w14:textId="77777777" w:rsidR="00403FF3" w:rsidRDefault="00403FF3" w:rsidP="00DA3547">
      <w:pPr>
        <w:jc w:val="both"/>
        <w:rPr>
          <w:rFonts w:ascii="Century Gothic" w:hAnsi="Century Gothic"/>
        </w:rPr>
      </w:pPr>
    </w:p>
    <w:p w14:paraId="41035D9D" w14:textId="77777777" w:rsidR="00530D53" w:rsidRDefault="00530D53" w:rsidP="00DA3547">
      <w:pPr>
        <w:jc w:val="both"/>
        <w:rPr>
          <w:rFonts w:ascii="Century Gothic" w:hAnsi="Century Gothic"/>
        </w:rPr>
      </w:pPr>
    </w:p>
    <w:p w14:paraId="76364942" w14:textId="77777777" w:rsidR="00403FF3" w:rsidRDefault="00403FF3" w:rsidP="00DA3547">
      <w:pPr>
        <w:jc w:val="both"/>
        <w:rPr>
          <w:rFonts w:ascii="Century Gothic" w:hAnsi="Century Gothic"/>
        </w:rPr>
      </w:pPr>
    </w:p>
    <w:p w14:paraId="345094FE" w14:textId="77777777" w:rsidR="00403FF3" w:rsidRDefault="00403FF3" w:rsidP="00DA3547">
      <w:pPr>
        <w:jc w:val="both"/>
        <w:rPr>
          <w:rFonts w:ascii="Century Gothic" w:hAnsi="Century Gothic"/>
        </w:rPr>
      </w:pPr>
    </w:p>
    <w:p w14:paraId="06AC4D88" w14:textId="77777777" w:rsidR="00403FF3" w:rsidRDefault="00403FF3" w:rsidP="00DA3547">
      <w:pPr>
        <w:jc w:val="both"/>
        <w:rPr>
          <w:rFonts w:ascii="Century Gothic" w:hAnsi="Century Gothic"/>
        </w:rPr>
      </w:pPr>
    </w:p>
    <w:p w14:paraId="449A0548" w14:textId="77777777" w:rsidR="00403FF3" w:rsidRDefault="00403FF3" w:rsidP="00DA3547">
      <w:pPr>
        <w:jc w:val="both"/>
        <w:rPr>
          <w:rFonts w:ascii="Century Gothic" w:hAnsi="Century Gothic"/>
        </w:rPr>
      </w:pPr>
    </w:p>
    <w:p w14:paraId="431B867D" w14:textId="77777777" w:rsidR="00403FF3" w:rsidRDefault="00403FF3" w:rsidP="00DA3547">
      <w:pPr>
        <w:jc w:val="both"/>
        <w:rPr>
          <w:rFonts w:ascii="Century Gothic" w:hAnsi="Century Gothic"/>
        </w:rPr>
      </w:pPr>
    </w:p>
    <w:p w14:paraId="231AD5B5" w14:textId="77777777" w:rsidR="00403FF3" w:rsidRPr="00306F0D" w:rsidRDefault="00403FF3" w:rsidP="00DA3547">
      <w:pPr>
        <w:jc w:val="both"/>
        <w:rPr>
          <w:rFonts w:ascii="Century Gothic" w:hAnsi="Century Gothic"/>
        </w:rPr>
      </w:pPr>
    </w:p>
    <w:p w14:paraId="4B7C5E9D" w14:textId="77777777" w:rsidR="001310A4" w:rsidRPr="00306F0D" w:rsidRDefault="00C06EDB" w:rsidP="00E7231F">
      <w:pPr>
        <w:ind w:left="360"/>
        <w:jc w:val="both"/>
        <w:rPr>
          <w:rFonts w:ascii="Century Gothic" w:hAnsi="Century Gothic"/>
          <w:b/>
          <w:lang w:val="es-MX"/>
        </w:rPr>
      </w:pPr>
      <w:r w:rsidRPr="00306F0D">
        <w:rPr>
          <w:rFonts w:ascii="Century Gothic" w:hAnsi="Century Gothic"/>
          <w:b/>
          <w:lang w:val="es-MX"/>
        </w:rPr>
        <w:lastRenderedPageBreak/>
        <w:t>4</w:t>
      </w:r>
      <w:r w:rsidR="001310A4" w:rsidRPr="00306F0D">
        <w:rPr>
          <w:rFonts w:ascii="Century Gothic" w:hAnsi="Century Gothic"/>
          <w:b/>
          <w:lang w:val="es-MX"/>
        </w:rPr>
        <w:t xml:space="preserve">. PLIEGO DE MODIFICACIONES: </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3003"/>
        <w:gridCol w:w="2889"/>
      </w:tblGrid>
      <w:tr w:rsidR="001310A4" w:rsidRPr="00530D53" w14:paraId="43200BDE" w14:textId="77777777" w:rsidTr="0044016F">
        <w:tc>
          <w:tcPr>
            <w:tcW w:w="8838" w:type="dxa"/>
            <w:gridSpan w:val="3"/>
          </w:tcPr>
          <w:p w14:paraId="148EBE1D" w14:textId="29E51994" w:rsidR="001310A4" w:rsidRPr="00530D53" w:rsidRDefault="001310A4" w:rsidP="00044B1C">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 xml:space="preserve">PLIEGO DE MODIFICACIONES </w:t>
            </w:r>
          </w:p>
        </w:tc>
      </w:tr>
      <w:tr w:rsidR="001310A4" w:rsidRPr="00530D53" w14:paraId="3F1D3BE4" w14:textId="77777777" w:rsidTr="006A6B72">
        <w:tc>
          <w:tcPr>
            <w:tcW w:w="2946" w:type="dxa"/>
          </w:tcPr>
          <w:p w14:paraId="3F74195E" w14:textId="77777777" w:rsidR="001310A4" w:rsidRPr="00530D53" w:rsidRDefault="001310A4" w:rsidP="0044016F">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TEXTO APROBADO PLENARIA SENADO</w:t>
            </w:r>
          </w:p>
        </w:tc>
        <w:tc>
          <w:tcPr>
            <w:tcW w:w="3003" w:type="dxa"/>
          </w:tcPr>
          <w:p w14:paraId="63FDFD31" w14:textId="77777777" w:rsidR="001310A4" w:rsidRPr="00530D53" w:rsidRDefault="001310A4" w:rsidP="0044016F">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TEXTO PROPUESTO PRIMER DEBATE CÁMARA</w:t>
            </w:r>
          </w:p>
        </w:tc>
        <w:tc>
          <w:tcPr>
            <w:tcW w:w="2889" w:type="dxa"/>
          </w:tcPr>
          <w:p w14:paraId="21E73D09" w14:textId="77777777" w:rsidR="001310A4" w:rsidRPr="00530D53" w:rsidRDefault="001310A4" w:rsidP="0044016F">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 xml:space="preserve">OBSERVACIONES </w:t>
            </w:r>
          </w:p>
        </w:tc>
      </w:tr>
      <w:tr w:rsidR="001310A4" w:rsidRPr="00530D53" w14:paraId="06B204E5" w14:textId="77777777" w:rsidTr="006A6B72">
        <w:trPr>
          <w:trHeight w:val="1711"/>
        </w:trPr>
        <w:tc>
          <w:tcPr>
            <w:tcW w:w="2946" w:type="dxa"/>
          </w:tcPr>
          <w:p w14:paraId="5F8F6774" w14:textId="77777777" w:rsidR="001310A4" w:rsidRPr="00530D53" w:rsidRDefault="001310A4" w:rsidP="0044016F">
            <w:pPr>
              <w:jc w:val="both"/>
              <w:rPr>
                <w:rFonts w:ascii="Century Gothic" w:eastAsia="Book Antiqua" w:hAnsi="Century Gothic" w:cs="Book Antiqua"/>
                <w:b/>
                <w:sz w:val="20"/>
                <w:szCs w:val="20"/>
              </w:rPr>
            </w:pPr>
            <w:r w:rsidRPr="00530D53">
              <w:rPr>
                <w:rFonts w:ascii="Century Gothic" w:eastAsia="Book Antiqua" w:hAnsi="Century Gothic" w:cs="Book Antiqua"/>
                <w:b/>
                <w:sz w:val="20"/>
                <w:szCs w:val="20"/>
              </w:rPr>
              <w:t>Proyecto de Ley No. 062 de 2023 Senado “</w:t>
            </w:r>
            <w:r w:rsidRPr="00530D53">
              <w:rPr>
                <w:rFonts w:ascii="Century Gothic" w:eastAsia="Book Antiqua" w:hAnsi="Century Gothic" w:cs="Book Antiqua"/>
                <w:sz w:val="20"/>
                <w:szCs w:val="20"/>
              </w:rPr>
              <w:t>Ley Gabriel Esteban” “Por medio de la cual se dictan medidas para reconocer, prevenir y sancionar violencia vicaria como una manifestación de violencia de género y se dictan otras disposiciones”</w:t>
            </w:r>
          </w:p>
        </w:tc>
        <w:tc>
          <w:tcPr>
            <w:tcW w:w="3003" w:type="dxa"/>
          </w:tcPr>
          <w:p w14:paraId="34130B78" w14:textId="0CFF924D" w:rsidR="0056024E" w:rsidRPr="00530D53" w:rsidRDefault="001310A4" w:rsidP="0056024E">
            <w:pPr>
              <w:jc w:val="both"/>
              <w:rPr>
                <w:rFonts w:ascii="Century Gothic" w:eastAsia="Book Antiqua" w:hAnsi="Century Gothic" w:cs="Book Antiqua"/>
                <w:bCs/>
                <w:sz w:val="20"/>
                <w:szCs w:val="20"/>
                <w:lang w:val="es-MX"/>
              </w:rPr>
            </w:pPr>
            <w:r w:rsidRPr="00530D53">
              <w:rPr>
                <w:rFonts w:ascii="Century Gothic" w:eastAsia="Book Antiqua" w:hAnsi="Century Gothic" w:cs="Book Antiqua"/>
                <w:bCs/>
                <w:sz w:val="20"/>
                <w:szCs w:val="20"/>
              </w:rPr>
              <w:t>Proyecto de Ley 448 de 2024 Cámara</w:t>
            </w:r>
            <w:r w:rsidR="0056024E" w:rsidRPr="00530D53">
              <w:rPr>
                <w:rFonts w:ascii="Century Gothic" w:eastAsia="Book Antiqua" w:hAnsi="Century Gothic" w:cs="Book Antiqua"/>
                <w:bCs/>
                <w:sz w:val="20"/>
                <w:szCs w:val="20"/>
              </w:rPr>
              <w:t>-</w:t>
            </w:r>
            <w:r w:rsidRPr="00530D53">
              <w:rPr>
                <w:rFonts w:ascii="Century Gothic" w:eastAsia="Book Antiqua" w:hAnsi="Century Gothic" w:cs="Book Antiqua"/>
                <w:bCs/>
                <w:sz w:val="20"/>
                <w:szCs w:val="20"/>
              </w:rPr>
              <w:t xml:space="preserve"> </w:t>
            </w:r>
            <w:r w:rsidR="0056024E" w:rsidRPr="00530D53">
              <w:rPr>
                <w:rFonts w:ascii="Century Gothic" w:eastAsia="Book Antiqua" w:hAnsi="Century Gothic" w:cs="Book Antiqua"/>
                <w:bCs/>
                <w:sz w:val="20"/>
                <w:szCs w:val="20"/>
              </w:rPr>
              <w:t xml:space="preserve">No. 062 de 2023 Senado </w:t>
            </w:r>
            <w:r w:rsidR="0056024E" w:rsidRPr="00530D53">
              <w:rPr>
                <w:rFonts w:ascii="Century Gothic" w:eastAsia="Book Antiqua" w:hAnsi="Century Gothic" w:cs="Book Antiqua"/>
                <w:bCs/>
                <w:sz w:val="20"/>
                <w:szCs w:val="20"/>
                <w:lang w:val="es-MX"/>
              </w:rPr>
              <w:t xml:space="preserve">Por medio del cual se dictan medidas para reconocer, prevenir y sancionar </w:t>
            </w:r>
            <w:r w:rsidR="0056024E" w:rsidRPr="00530D53">
              <w:rPr>
                <w:rFonts w:ascii="Century Gothic" w:eastAsia="Book Antiqua" w:hAnsi="Century Gothic" w:cs="Book Antiqua"/>
                <w:b/>
                <w:sz w:val="20"/>
                <w:szCs w:val="20"/>
                <w:u w:val="single"/>
                <w:lang w:val="es-MX"/>
              </w:rPr>
              <w:t>la</w:t>
            </w:r>
            <w:r w:rsidR="0056024E" w:rsidRPr="00530D53">
              <w:rPr>
                <w:rFonts w:ascii="Century Gothic" w:eastAsia="Book Antiqua" w:hAnsi="Century Gothic" w:cs="Book Antiqua"/>
                <w:bCs/>
                <w:sz w:val="20"/>
                <w:szCs w:val="20"/>
                <w:lang w:val="es-MX"/>
              </w:rPr>
              <w:t xml:space="preserve"> </w:t>
            </w:r>
            <w:r w:rsidR="0056024E" w:rsidRPr="00530D53">
              <w:rPr>
                <w:rFonts w:ascii="Century Gothic" w:eastAsia="Book Antiqua" w:hAnsi="Century Gothic" w:cs="Book Antiqua"/>
                <w:bCs/>
                <w:sz w:val="20"/>
                <w:szCs w:val="20"/>
                <w:lang w:val="es-MX"/>
              </w:rPr>
              <w:t>violencia vicaria como una manifestación de violencia de género y se dictan otras disposiciones. "Ley Gabriel Esteban"</w:t>
            </w:r>
          </w:p>
          <w:p w14:paraId="1B80ADE0" w14:textId="59ABC020" w:rsidR="001310A4" w:rsidRPr="00530D53" w:rsidRDefault="001310A4" w:rsidP="0044016F">
            <w:pPr>
              <w:jc w:val="both"/>
              <w:rPr>
                <w:rFonts w:ascii="Century Gothic" w:eastAsia="Book Antiqua" w:hAnsi="Century Gothic" w:cs="Book Antiqua"/>
                <w:bCs/>
                <w:sz w:val="20"/>
                <w:szCs w:val="20"/>
              </w:rPr>
            </w:pPr>
          </w:p>
        </w:tc>
        <w:tc>
          <w:tcPr>
            <w:tcW w:w="2889" w:type="dxa"/>
          </w:tcPr>
          <w:p w14:paraId="329B30F5" w14:textId="4CFC9EC3" w:rsidR="001310A4" w:rsidRPr="00530D53" w:rsidRDefault="0056024E" w:rsidP="0044016F">
            <w:pPr>
              <w:jc w:val="center"/>
              <w:rPr>
                <w:rFonts w:ascii="Century Gothic" w:eastAsia="Book Antiqua" w:hAnsi="Century Gothic" w:cs="Book Antiqua"/>
                <w:bCs/>
                <w:sz w:val="20"/>
                <w:szCs w:val="20"/>
              </w:rPr>
            </w:pPr>
            <w:r w:rsidRPr="00530D53">
              <w:rPr>
                <w:rFonts w:ascii="Century Gothic" w:eastAsia="Book Antiqua" w:hAnsi="Century Gothic" w:cs="Book Antiqua"/>
                <w:bCs/>
                <w:sz w:val="20"/>
                <w:szCs w:val="20"/>
              </w:rPr>
              <w:t xml:space="preserve">Se </w:t>
            </w:r>
            <w:r w:rsidR="005847C5" w:rsidRPr="00530D53">
              <w:rPr>
                <w:rFonts w:ascii="Century Gothic" w:eastAsia="Book Antiqua" w:hAnsi="Century Gothic" w:cs="Book Antiqua"/>
                <w:bCs/>
                <w:sz w:val="20"/>
                <w:szCs w:val="20"/>
              </w:rPr>
              <w:t>modifica</w:t>
            </w:r>
            <w:r w:rsidRPr="00530D53">
              <w:rPr>
                <w:rFonts w:ascii="Century Gothic" w:eastAsia="Book Antiqua" w:hAnsi="Century Gothic" w:cs="Book Antiqua"/>
                <w:bCs/>
                <w:sz w:val="20"/>
                <w:szCs w:val="20"/>
              </w:rPr>
              <w:t xml:space="preserve"> para mejoría de redacción </w:t>
            </w:r>
          </w:p>
        </w:tc>
      </w:tr>
      <w:tr w:rsidR="001310A4" w:rsidRPr="00530D53" w14:paraId="1E390491" w14:textId="77777777" w:rsidTr="0044016F">
        <w:trPr>
          <w:trHeight w:val="220"/>
        </w:trPr>
        <w:tc>
          <w:tcPr>
            <w:tcW w:w="8838" w:type="dxa"/>
            <w:gridSpan w:val="3"/>
          </w:tcPr>
          <w:p w14:paraId="76726927" w14:textId="77777777" w:rsidR="001310A4" w:rsidRPr="00530D53" w:rsidRDefault="001310A4" w:rsidP="0044016F">
            <w:pPr>
              <w:jc w:val="center"/>
              <w:rPr>
                <w:rFonts w:ascii="Century Gothic" w:eastAsia="Book Antiqua" w:hAnsi="Century Gothic" w:cs="Book Antiqua"/>
                <w:b/>
                <w:sz w:val="20"/>
                <w:szCs w:val="20"/>
              </w:rPr>
            </w:pPr>
            <w:bookmarkStart w:id="0" w:name="_Hlk180576155"/>
            <w:r w:rsidRPr="00530D53">
              <w:rPr>
                <w:rFonts w:ascii="Century Gothic" w:eastAsia="Book Antiqua" w:hAnsi="Century Gothic" w:cs="Book Antiqua"/>
                <w:b/>
                <w:sz w:val="20"/>
                <w:szCs w:val="20"/>
              </w:rPr>
              <w:t>DISPOSICIONES GENERALES</w:t>
            </w:r>
            <w:bookmarkEnd w:id="0"/>
          </w:p>
        </w:tc>
      </w:tr>
      <w:tr w:rsidR="001310A4" w:rsidRPr="00530D53" w14:paraId="78DD8893" w14:textId="77777777" w:rsidTr="006A6B72">
        <w:tc>
          <w:tcPr>
            <w:tcW w:w="2946" w:type="dxa"/>
          </w:tcPr>
          <w:p w14:paraId="0C70EAD9"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b/>
                <w:sz w:val="20"/>
                <w:szCs w:val="20"/>
              </w:rPr>
              <w:t>Artículo 1°. objeto.</w:t>
            </w:r>
            <w:r w:rsidRPr="00530D53">
              <w:rPr>
                <w:rFonts w:ascii="Century Gothic" w:eastAsia="Book Antiqua" w:hAnsi="Century Gothic" w:cs="Book Antiqua"/>
                <w:sz w:val="20"/>
                <w:szCs w:val="20"/>
              </w:rPr>
              <w:t xml:space="preserve"> la presente ley tiene por objeto garantizar una vida libre de violencia</w:t>
            </w:r>
          </w:p>
          <w:p w14:paraId="676DE3CF" w14:textId="67A31100" w:rsidR="001310A4" w:rsidRPr="00530D53" w:rsidRDefault="001310A4" w:rsidP="00727FF8">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mediante el reconocimiento, prevención y sanción de la violencia vicaria como una</w:t>
            </w:r>
            <w:r w:rsidR="00727FF8" w:rsidRPr="00530D53">
              <w:rPr>
                <w:rFonts w:ascii="Century Gothic" w:eastAsia="Book Antiqua" w:hAnsi="Century Gothic" w:cs="Book Antiqua"/>
                <w:sz w:val="20"/>
                <w:szCs w:val="20"/>
              </w:rPr>
              <w:t xml:space="preserve"> </w:t>
            </w:r>
            <w:r w:rsidRPr="00530D53">
              <w:rPr>
                <w:rFonts w:ascii="Century Gothic" w:eastAsia="Book Antiqua" w:hAnsi="Century Gothic" w:cs="Book Antiqua"/>
                <w:sz w:val="20"/>
                <w:szCs w:val="20"/>
              </w:rPr>
              <w:t>manifestación de violencia familiar.</w:t>
            </w:r>
          </w:p>
        </w:tc>
        <w:tc>
          <w:tcPr>
            <w:tcW w:w="3003" w:type="dxa"/>
          </w:tcPr>
          <w:p w14:paraId="7DC975E1" w14:textId="77777777" w:rsidR="001310A4" w:rsidRPr="00530D53" w:rsidRDefault="001310A4" w:rsidP="0044016F">
            <w:pPr>
              <w:jc w:val="both"/>
              <w:rPr>
                <w:rFonts w:ascii="Century Gothic" w:eastAsia="Book Antiqua" w:hAnsi="Century Gothic" w:cs="Book Antiqua"/>
                <w:sz w:val="20"/>
                <w:szCs w:val="20"/>
              </w:rPr>
            </w:pPr>
            <w:bookmarkStart w:id="1" w:name="_Hlk180576167"/>
            <w:r w:rsidRPr="00530D53">
              <w:rPr>
                <w:rFonts w:ascii="Century Gothic" w:eastAsia="Book Antiqua" w:hAnsi="Century Gothic" w:cs="Book Antiqua"/>
                <w:b/>
                <w:sz w:val="20"/>
                <w:szCs w:val="20"/>
              </w:rPr>
              <w:t>Artículo 1°.</w:t>
            </w:r>
            <w:r w:rsidRPr="00530D53">
              <w:rPr>
                <w:rFonts w:ascii="Century Gothic" w:eastAsia="Book Antiqua" w:hAnsi="Century Gothic" w:cs="Book Antiqua"/>
                <w:sz w:val="20"/>
                <w:szCs w:val="20"/>
              </w:rPr>
              <w:t xml:space="preserve"> Objeto. La presente ley tiene por objeto garantizar una vida libre de violencia</w:t>
            </w:r>
          </w:p>
          <w:p w14:paraId="33CA4855" w14:textId="34017E71" w:rsidR="001310A4" w:rsidRPr="00530D53" w:rsidRDefault="001310A4" w:rsidP="00727FF8">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mediante el reconocimiento, prevención y sanción de la violencia vicaria como una</w:t>
            </w:r>
            <w:r w:rsidR="00727FF8" w:rsidRPr="00530D53">
              <w:rPr>
                <w:rFonts w:ascii="Century Gothic" w:eastAsia="Book Antiqua" w:hAnsi="Century Gothic" w:cs="Book Antiqua"/>
                <w:sz w:val="20"/>
                <w:szCs w:val="20"/>
              </w:rPr>
              <w:t xml:space="preserve"> </w:t>
            </w:r>
            <w:r w:rsidRPr="00530D53">
              <w:rPr>
                <w:rFonts w:ascii="Century Gothic" w:eastAsia="Book Antiqua" w:hAnsi="Century Gothic" w:cs="Book Antiqua"/>
                <w:sz w:val="20"/>
                <w:szCs w:val="20"/>
              </w:rPr>
              <w:t xml:space="preserve">manifestación de violencia </w:t>
            </w:r>
            <w:r w:rsidRPr="00530D53">
              <w:rPr>
                <w:rFonts w:ascii="Century Gothic" w:eastAsia="Book Antiqua" w:hAnsi="Century Gothic" w:cs="Book Antiqua"/>
                <w:b/>
                <w:sz w:val="20"/>
                <w:szCs w:val="20"/>
                <w:u w:val="single"/>
              </w:rPr>
              <w:t>contra la mujer</w:t>
            </w:r>
            <w:r w:rsidRPr="00530D53">
              <w:rPr>
                <w:rFonts w:ascii="Century Gothic" w:eastAsia="Book Antiqua" w:hAnsi="Century Gothic" w:cs="Book Antiqua"/>
                <w:sz w:val="20"/>
                <w:szCs w:val="20"/>
              </w:rPr>
              <w:t xml:space="preserve"> </w:t>
            </w:r>
            <w:r w:rsidRPr="00530D53">
              <w:rPr>
                <w:rFonts w:ascii="Century Gothic" w:eastAsia="Book Antiqua" w:hAnsi="Century Gothic" w:cs="Book Antiqua"/>
                <w:b/>
                <w:sz w:val="20"/>
                <w:szCs w:val="20"/>
                <w:u w:val="single"/>
              </w:rPr>
              <w:t>y la integridad</w:t>
            </w:r>
            <w:r w:rsidRPr="00530D53">
              <w:rPr>
                <w:rFonts w:ascii="Century Gothic" w:eastAsia="Book Antiqua" w:hAnsi="Century Gothic" w:cs="Book Antiqua"/>
                <w:sz w:val="20"/>
                <w:szCs w:val="20"/>
              </w:rPr>
              <w:t xml:space="preserve"> familiar.</w:t>
            </w:r>
            <w:r w:rsidRPr="00530D53">
              <w:rPr>
                <w:rFonts w:ascii="Century Gothic" w:eastAsia="Book Antiqua" w:hAnsi="Century Gothic" w:cs="Book Antiqua"/>
                <w:sz w:val="20"/>
                <w:szCs w:val="20"/>
                <w:u w:val="single"/>
              </w:rPr>
              <w:t xml:space="preserve"> </w:t>
            </w:r>
            <w:bookmarkEnd w:id="1"/>
          </w:p>
        </w:tc>
        <w:tc>
          <w:tcPr>
            <w:tcW w:w="2889" w:type="dxa"/>
          </w:tcPr>
          <w:p w14:paraId="7245BFD7"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Se armoniza el objeto con la integralidad de la iniciativa, reforzando el enfoque de género y la especial protección de la mujer, la niñez y el vínculo familiar. </w:t>
            </w:r>
          </w:p>
        </w:tc>
      </w:tr>
      <w:tr w:rsidR="001310A4" w:rsidRPr="00530D53" w14:paraId="689D4B09" w14:textId="77777777" w:rsidTr="006A6B72">
        <w:tc>
          <w:tcPr>
            <w:tcW w:w="2946" w:type="dxa"/>
          </w:tcPr>
          <w:p w14:paraId="65CD57C7" w14:textId="77777777" w:rsidR="001310A4" w:rsidRPr="00530D53" w:rsidRDefault="001310A4" w:rsidP="0044016F">
            <w:pPr>
              <w:jc w:val="both"/>
              <w:rPr>
                <w:rFonts w:ascii="Century Gothic" w:eastAsia="Book Antiqua" w:hAnsi="Century Gothic" w:cs="Book Antiqua"/>
                <w:b/>
                <w:sz w:val="20"/>
                <w:szCs w:val="20"/>
              </w:rPr>
            </w:pPr>
            <w:r w:rsidRPr="00530D53">
              <w:rPr>
                <w:rFonts w:ascii="Century Gothic" w:eastAsia="Constantia" w:hAnsi="Century Gothic" w:cs="Constantia"/>
                <w:b/>
                <w:sz w:val="20"/>
                <w:szCs w:val="20"/>
              </w:rPr>
              <w:t>Artículo 10°.</w:t>
            </w:r>
            <w:r w:rsidRPr="00530D53">
              <w:rPr>
                <w:rFonts w:ascii="Century Gothic" w:eastAsia="Constantia" w:hAnsi="Century Gothic" w:cs="Constantia"/>
                <w:sz w:val="20"/>
                <w:szCs w:val="20"/>
              </w:rPr>
              <w:t xml:space="preserve"> Enfoques. La presente ley está regida de manera transversal por los enfoques de género, derechos humanos, interseccional y diferencial y de curso de vida, </w:t>
            </w:r>
            <w:proofErr w:type="gramStart"/>
            <w:r w:rsidRPr="00530D53">
              <w:rPr>
                <w:rFonts w:ascii="Century Gothic" w:eastAsia="Constantia" w:hAnsi="Century Gothic" w:cs="Constantia"/>
                <w:sz w:val="20"/>
                <w:szCs w:val="20"/>
              </w:rPr>
              <w:t>de acuerdo al</w:t>
            </w:r>
            <w:proofErr w:type="gramEnd"/>
            <w:r w:rsidRPr="00530D53">
              <w:rPr>
                <w:rFonts w:ascii="Century Gothic" w:eastAsia="Constantia" w:hAnsi="Century Gothic" w:cs="Constantia"/>
                <w:sz w:val="20"/>
                <w:szCs w:val="20"/>
              </w:rPr>
              <w:t xml:space="preserve"> marco jurídico vigente.</w:t>
            </w:r>
          </w:p>
        </w:tc>
        <w:tc>
          <w:tcPr>
            <w:tcW w:w="3003" w:type="dxa"/>
          </w:tcPr>
          <w:p w14:paraId="11AD482F" w14:textId="12798E81" w:rsidR="001310A4" w:rsidRPr="00530D53" w:rsidRDefault="001310A4" w:rsidP="0044016F">
            <w:pPr>
              <w:jc w:val="both"/>
              <w:rPr>
                <w:rFonts w:ascii="Century Gothic" w:eastAsia="Constantia" w:hAnsi="Century Gothic" w:cs="Constantia"/>
                <w:sz w:val="20"/>
                <w:szCs w:val="20"/>
              </w:rPr>
            </w:pPr>
            <w:bookmarkStart w:id="2" w:name="_Hlk180576194"/>
            <w:r w:rsidRPr="00530D53">
              <w:rPr>
                <w:rFonts w:ascii="Century Gothic" w:eastAsia="Constantia" w:hAnsi="Century Gothic" w:cs="Constantia"/>
                <w:b/>
                <w:sz w:val="20"/>
                <w:szCs w:val="20"/>
              </w:rPr>
              <w:t>Artículo 2°.</w:t>
            </w:r>
            <w:r w:rsidRPr="00530D53">
              <w:rPr>
                <w:rFonts w:ascii="Century Gothic" w:eastAsia="Constantia" w:hAnsi="Century Gothic" w:cs="Constantia"/>
                <w:b/>
                <w:bCs/>
                <w:sz w:val="20"/>
                <w:szCs w:val="20"/>
              </w:rPr>
              <w:t xml:space="preserve"> </w:t>
            </w:r>
            <w:r w:rsidRPr="00530D53">
              <w:rPr>
                <w:rFonts w:ascii="Century Gothic" w:eastAsia="Constantia" w:hAnsi="Century Gothic" w:cs="Constantia"/>
                <w:sz w:val="20"/>
                <w:szCs w:val="20"/>
              </w:rPr>
              <w:t xml:space="preserve">Enfoques. La presente ley está regida de manera transversal por los enfoques de género, derechos humanos, interseccional y diferencial y de curso de vida, </w:t>
            </w:r>
            <w:r w:rsidR="00313C23" w:rsidRPr="00530D53">
              <w:rPr>
                <w:rFonts w:ascii="Century Gothic" w:eastAsia="Constantia" w:hAnsi="Century Gothic" w:cs="Constantia"/>
                <w:sz w:val="20"/>
                <w:szCs w:val="20"/>
              </w:rPr>
              <w:t xml:space="preserve">de acuerdo </w:t>
            </w:r>
            <w:r w:rsidR="00313C23" w:rsidRPr="00530D53">
              <w:rPr>
                <w:rFonts w:ascii="Century Gothic" w:eastAsia="Constantia" w:hAnsi="Century Gothic" w:cs="Constantia"/>
                <w:b/>
                <w:bCs/>
                <w:sz w:val="20"/>
                <w:szCs w:val="20"/>
                <w:u w:val="single"/>
              </w:rPr>
              <w:t>con el</w:t>
            </w:r>
            <w:r w:rsidRPr="00530D53">
              <w:rPr>
                <w:rFonts w:ascii="Century Gothic" w:eastAsia="Constantia" w:hAnsi="Century Gothic" w:cs="Constantia"/>
                <w:sz w:val="20"/>
                <w:szCs w:val="20"/>
              </w:rPr>
              <w:t xml:space="preserve"> marco jurídico vigente. </w:t>
            </w:r>
            <w:bookmarkEnd w:id="2"/>
          </w:p>
        </w:tc>
        <w:tc>
          <w:tcPr>
            <w:tcW w:w="2889" w:type="dxa"/>
          </w:tcPr>
          <w:p w14:paraId="3FB6F337"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sz w:val="20"/>
                <w:szCs w:val="20"/>
              </w:rPr>
              <w:t xml:space="preserve">Por técnica legislativa se ajusta la numeración del artículo nuevo aprobado en Senado. </w:t>
            </w:r>
          </w:p>
        </w:tc>
      </w:tr>
      <w:tr w:rsidR="001310A4" w:rsidRPr="00530D53" w14:paraId="7759FC99" w14:textId="77777777" w:rsidTr="006A6B72">
        <w:tc>
          <w:tcPr>
            <w:tcW w:w="2946" w:type="dxa"/>
          </w:tcPr>
          <w:p w14:paraId="7554921A"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b/>
                <w:sz w:val="20"/>
                <w:szCs w:val="20"/>
              </w:rPr>
              <w:t>Artículo 2°.</w:t>
            </w:r>
            <w:r w:rsidRPr="00530D53">
              <w:rPr>
                <w:rFonts w:ascii="Century Gothic" w:eastAsia="Book Antiqua" w:hAnsi="Century Gothic" w:cs="Book Antiqua"/>
                <w:sz w:val="20"/>
                <w:szCs w:val="20"/>
              </w:rPr>
              <w:t xml:space="preserve"> Violencia Vicaria. Se entiende por violencia vicaria toda acción u omisión que cause la muerte, daño o sufrimiento a los hijos y/o personas del grupo familiar o afectivo de la persona con la que tenga o haya tenido vínculo de matrimonio, unión marital de hecho o relación de pareja y que tengan por objeto o por resultado menoscabar sus relaciones familiares o afectivas, su integridad física, psicológica, económica o patrimonial. </w:t>
            </w:r>
          </w:p>
        </w:tc>
        <w:tc>
          <w:tcPr>
            <w:tcW w:w="3003" w:type="dxa"/>
          </w:tcPr>
          <w:p w14:paraId="4875D69F" w14:textId="77777777" w:rsidR="001310A4" w:rsidRPr="00530D53" w:rsidRDefault="001310A4" w:rsidP="0044016F">
            <w:pPr>
              <w:jc w:val="both"/>
              <w:rPr>
                <w:rFonts w:ascii="Century Gothic" w:eastAsia="Book Antiqua" w:hAnsi="Century Gothic" w:cs="Book Antiqua"/>
                <w:b/>
                <w:sz w:val="20"/>
                <w:szCs w:val="20"/>
                <w:u w:val="single"/>
              </w:rPr>
            </w:pPr>
            <w:bookmarkStart w:id="3" w:name="_Hlk180576229"/>
            <w:r w:rsidRPr="00530D53">
              <w:rPr>
                <w:rFonts w:ascii="Century Gothic" w:eastAsia="Book Antiqua" w:hAnsi="Century Gothic" w:cs="Book Antiqua"/>
                <w:b/>
                <w:sz w:val="20"/>
                <w:szCs w:val="20"/>
              </w:rPr>
              <w:t xml:space="preserve">Artículo 3 °. Violencia Vicaria. </w:t>
            </w:r>
            <w:r w:rsidRPr="00530D53">
              <w:rPr>
                <w:rFonts w:ascii="Century Gothic" w:eastAsia="Book Antiqua" w:hAnsi="Century Gothic" w:cs="Book Antiqua"/>
                <w:b/>
                <w:sz w:val="20"/>
                <w:szCs w:val="20"/>
                <w:u w:val="single"/>
              </w:rPr>
              <w:t xml:space="preserve">Se entiende por violencia vicaria como una violencia indirecta que tiene como fin afligir a una persona, menoscabar sus relaciones familiares o afectivas, instrumentalizando a un tercero como hijos, familiares, dependientes, personas o animales afectivamente significativos. </w:t>
            </w:r>
            <w:bookmarkEnd w:id="3"/>
          </w:p>
        </w:tc>
        <w:tc>
          <w:tcPr>
            <w:tcW w:w="2889" w:type="dxa"/>
          </w:tcPr>
          <w:p w14:paraId="6BB7703E"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Se ajusta la definición de violencia vicaria de acuerdo con los pronunciamientos de la Corte Constitucional T-172-</w:t>
            </w:r>
            <w:r w:rsidR="00C06EDB" w:rsidRPr="00530D53">
              <w:rPr>
                <w:rFonts w:ascii="Century Gothic" w:eastAsia="Book Antiqua" w:hAnsi="Century Gothic" w:cs="Book Antiqua"/>
                <w:sz w:val="20"/>
                <w:szCs w:val="20"/>
              </w:rPr>
              <w:t>23, Sentencia</w:t>
            </w:r>
            <w:r w:rsidRPr="00530D53">
              <w:rPr>
                <w:rFonts w:ascii="Century Gothic" w:eastAsia="Book Antiqua" w:hAnsi="Century Gothic" w:cs="Book Antiqua"/>
                <w:sz w:val="20"/>
                <w:szCs w:val="20"/>
              </w:rPr>
              <w:t xml:space="preserve"> T-526/23. </w:t>
            </w:r>
          </w:p>
        </w:tc>
      </w:tr>
      <w:tr w:rsidR="001310A4" w:rsidRPr="00530D53" w14:paraId="713C1240" w14:textId="77777777" w:rsidTr="0044016F">
        <w:tc>
          <w:tcPr>
            <w:tcW w:w="8838" w:type="dxa"/>
            <w:gridSpan w:val="3"/>
          </w:tcPr>
          <w:p w14:paraId="523C6002" w14:textId="77777777" w:rsidR="001310A4" w:rsidRPr="00530D53" w:rsidRDefault="001310A4" w:rsidP="0044016F">
            <w:pPr>
              <w:jc w:val="center"/>
              <w:rPr>
                <w:rFonts w:ascii="Century Gothic" w:eastAsia="Book Antiqua" w:hAnsi="Century Gothic" w:cs="Book Antiqua"/>
                <w:sz w:val="20"/>
                <w:szCs w:val="20"/>
              </w:rPr>
            </w:pPr>
            <w:bookmarkStart w:id="4" w:name="_Hlk180576244"/>
            <w:r w:rsidRPr="00530D53">
              <w:rPr>
                <w:rFonts w:ascii="Century Gothic" w:eastAsia="Book Antiqua" w:hAnsi="Century Gothic" w:cs="Book Antiqua"/>
                <w:b/>
                <w:sz w:val="20"/>
                <w:szCs w:val="20"/>
              </w:rPr>
              <w:lastRenderedPageBreak/>
              <w:t>TITULO I</w:t>
            </w:r>
            <w:bookmarkEnd w:id="4"/>
          </w:p>
        </w:tc>
      </w:tr>
      <w:tr w:rsidR="001310A4" w:rsidRPr="00530D53" w14:paraId="79186B60" w14:textId="77777777" w:rsidTr="006A6B72">
        <w:tc>
          <w:tcPr>
            <w:tcW w:w="2946" w:type="dxa"/>
          </w:tcPr>
          <w:p w14:paraId="2895262D"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b/>
                <w:sz w:val="20"/>
                <w:szCs w:val="20"/>
              </w:rPr>
              <w:t>Artículo 3°.</w:t>
            </w:r>
            <w:r w:rsidRPr="00530D53">
              <w:rPr>
                <w:rFonts w:ascii="Century Gothic" w:eastAsia="Book Antiqua" w:hAnsi="Century Gothic" w:cs="Book Antiqua"/>
                <w:sz w:val="20"/>
                <w:szCs w:val="20"/>
              </w:rPr>
              <w:t xml:space="preserve"> Modifíquese el artículo 2° de la Ley 1257 de 2008 el cual quedará así: </w:t>
            </w:r>
          </w:p>
          <w:p w14:paraId="7CE648D0"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Artículo 2°. Definición de violencia contra la mujer.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w:t>
            </w:r>
          </w:p>
          <w:p w14:paraId="522A1392" w14:textId="77777777" w:rsidR="001310A4" w:rsidRPr="00530D53" w:rsidRDefault="001310A4" w:rsidP="0044016F">
            <w:pPr>
              <w:jc w:val="both"/>
              <w:rPr>
                <w:rFonts w:ascii="Century Gothic" w:eastAsia="Book Antiqua" w:hAnsi="Century Gothic" w:cs="Book Antiqua"/>
                <w:sz w:val="20"/>
                <w:szCs w:val="20"/>
                <w:u w:val="single"/>
              </w:rPr>
            </w:pPr>
          </w:p>
          <w:p w14:paraId="333DAACC"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u w:val="single"/>
              </w:rPr>
              <w:t>Así mismo, quedan comprendidas aquellas conductas que, por acción u omisión, se ejerzan sobre los/as hijos y/o personas del grupo familiar o afectivo de la mujer y que tengan por objeto o por resultado afectar su integridad psicológica, física, económica o patrimonial.</w:t>
            </w:r>
            <w:r w:rsidRPr="00530D53">
              <w:rPr>
                <w:rFonts w:ascii="Century Gothic" w:eastAsia="Book Antiqua" w:hAnsi="Century Gothic" w:cs="Book Antiqua"/>
                <w:sz w:val="20"/>
                <w:szCs w:val="20"/>
              </w:rPr>
              <w:t xml:space="preserve"> </w:t>
            </w:r>
          </w:p>
          <w:p w14:paraId="5FCE1705" w14:textId="77777777" w:rsidR="001310A4" w:rsidRPr="00530D53" w:rsidRDefault="001310A4" w:rsidP="0044016F">
            <w:pPr>
              <w:jc w:val="both"/>
              <w:rPr>
                <w:rFonts w:ascii="Century Gothic" w:eastAsia="Book Antiqua" w:hAnsi="Century Gothic" w:cs="Book Antiqua"/>
                <w:sz w:val="20"/>
                <w:szCs w:val="20"/>
              </w:rPr>
            </w:pPr>
          </w:p>
          <w:p w14:paraId="7DC5751F"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1B2B1B4E" w14:textId="77777777" w:rsidR="001310A4" w:rsidRPr="00530D53" w:rsidRDefault="001310A4" w:rsidP="0044016F">
            <w:pPr>
              <w:rPr>
                <w:rFonts w:ascii="Century Gothic" w:eastAsia="Book Antiqua" w:hAnsi="Century Gothic" w:cs="Book Antiqua"/>
                <w:sz w:val="20"/>
                <w:szCs w:val="20"/>
              </w:rPr>
            </w:pPr>
          </w:p>
        </w:tc>
        <w:tc>
          <w:tcPr>
            <w:tcW w:w="3003" w:type="dxa"/>
          </w:tcPr>
          <w:p w14:paraId="5FC3368E" w14:textId="77777777" w:rsidR="001310A4" w:rsidRPr="00530D53" w:rsidRDefault="001310A4" w:rsidP="0044016F">
            <w:pPr>
              <w:jc w:val="both"/>
              <w:rPr>
                <w:rFonts w:ascii="Century Gothic" w:eastAsia="Book Antiqua" w:hAnsi="Century Gothic" w:cs="Book Antiqua"/>
                <w:sz w:val="20"/>
                <w:szCs w:val="20"/>
              </w:rPr>
            </w:pPr>
            <w:bookmarkStart w:id="5" w:name="_Hlk180576283"/>
            <w:r w:rsidRPr="00530D53">
              <w:rPr>
                <w:rFonts w:ascii="Century Gothic" w:eastAsia="Book Antiqua" w:hAnsi="Century Gothic" w:cs="Book Antiqua"/>
                <w:b/>
                <w:sz w:val="20"/>
                <w:szCs w:val="20"/>
              </w:rPr>
              <w:t>Artículo 4°.</w:t>
            </w:r>
            <w:r w:rsidRPr="00530D53">
              <w:rPr>
                <w:rFonts w:ascii="Century Gothic" w:eastAsia="Book Antiqua" w:hAnsi="Century Gothic" w:cs="Book Antiqua"/>
                <w:sz w:val="20"/>
                <w:szCs w:val="20"/>
              </w:rPr>
              <w:t xml:space="preserve"> Modifíquese el artículo 2° de la Ley 1257 de 2008 el cual quedará así: </w:t>
            </w:r>
          </w:p>
          <w:p w14:paraId="5F10E0C4"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Artículo 2°. Definición de violencia contra la mujer. Por violencia contra la mujer se entiende cualquier acción u omisión, que le cause muerte, daño o sufrimiento físico, sexual, psicológico, económico o patrimonial </w:t>
            </w:r>
            <w:r w:rsidRPr="00530D53">
              <w:rPr>
                <w:rFonts w:ascii="Century Gothic" w:eastAsia="Book Antiqua" w:hAnsi="Century Gothic" w:cs="Book Antiqua"/>
                <w:b/>
                <w:sz w:val="20"/>
                <w:szCs w:val="20"/>
                <w:u w:val="single"/>
              </w:rPr>
              <w:t>o vicaria</w:t>
            </w:r>
            <w:r w:rsidRPr="00530D53">
              <w:rPr>
                <w:rFonts w:ascii="Century Gothic" w:eastAsia="Book Antiqua" w:hAnsi="Century Gothic" w:cs="Book Antiqua"/>
                <w:sz w:val="20"/>
                <w:szCs w:val="20"/>
              </w:rPr>
              <w:t xml:space="preserve"> por su condición de mujer, así como las amenazas de tales actos, la coacción o la privación arbitraria de la libertad, bien sea que se presente en el ámbito público o en el privado.</w:t>
            </w:r>
          </w:p>
          <w:p w14:paraId="658C8AF5" w14:textId="1657D094" w:rsidR="001310A4" w:rsidRPr="00530D53" w:rsidRDefault="006A6B72" w:rsidP="0044016F">
            <w:pPr>
              <w:jc w:val="both"/>
              <w:rPr>
                <w:rFonts w:ascii="Century Gothic" w:eastAsia="Book Antiqua" w:hAnsi="Century Gothic" w:cs="Book Antiqua"/>
                <w:b/>
                <w:sz w:val="20"/>
                <w:szCs w:val="20"/>
                <w:u w:val="single"/>
              </w:rPr>
            </w:pPr>
            <w:r w:rsidRPr="00530D53">
              <w:rPr>
                <w:rFonts w:ascii="Century Gothic" w:eastAsia="Book Antiqua" w:hAnsi="Century Gothic" w:cs="Book Antiqua"/>
                <w:b/>
                <w:sz w:val="20"/>
                <w:szCs w:val="20"/>
                <w:u w:val="single"/>
              </w:rPr>
              <w:br/>
            </w:r>
            <w:r w:rsidR="001310A4" w:rsidRPr="00530D53">
              <w:rPr>
                <w:rFonts w:ascii="Century Gothic" w:eastAsia="Book Antiqua" w:hAnsi="Century Gothic" w:cs="Book Antiqua"/>
                <w:b/>
                <w:sz w:val="20"/>
                <w:szCs w:val="20"/>
                <w:u w:val="single"/>
              </w:rPr>
              <w:t xml:space="preserve">Así mismo, quedan comprendidas aquellas conductas que, por acción u omisión, se ejerzan sobre los/as hijos y/o personas del grupo familiar o afectivo de la mujer y que tengan por objeto o por resultado afectar su integridad psicológica, física, económica o patrimonial. </w:t>
            </w:r>
          </w:p>
          <w:p w14:paraId="5BBBD0F6" w14:textId="77777777" w:rsidR="001310A4" w:rsidRPr="00530D53" w:rsidRDefault="001310A4" w:rsidP="0044016F">
            <w:pPr>
              <w:jc w:val="both"/>
              <w:rPr>
                <w:rFonts w:ascii="Century Gothic" w:eastAsia="Book Antiqua" w:hAnsi="Century Gothic" w:cs="Book Antiqua"/>
                <w:sz w:val="20"/>
                <w:szCs w:val="20"/>
              </w:rPr>
            </w:pPr>
          </w:p>
          <w:p w14:paraId="597DE1DD" w14:textId="77777777" w:rsidR="006A6B72" w:rsidRPr="00530D53" w:rsidRDefault="006A6B72" w:rsidP="0044016F">
            <w:pPr>
              <w:jc w:val="both"/>
              <w:rPr>
                <w:rFonts w:ascii="Century Gothic" w:eastAsia="Book Antiqua" w:hAnsi="Century Gothic" w:cs="Book Antiqua"/>
                <w:sz w:val="20"/>
                <w:szCs w:val="20"/>
              </w:rPr>
            </w:pPr>
          </w:p>
          <w:p w14:paraId="4F4C6627"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 </w:t>
            </w:r>
          </w:p>
          <w:bookmarkEnd w:id="5"/>
          <w:p w14:paraId="40F7B884" w14:textId="77777777" w:rsidR="001310A4" w:rsidRPr="00530D53" w:rsidRDefault="001310A4" w:rsidP="0044016F">
            <w:pPr>
              <w:rPr>
                <w:rFonts w:ascii="Century Gothic" w:eastAsia="Book Antiqua" w:hAnsi="Century Gothic" w:cs="Book Antiqua"/>
                <w:sz w:val="20"/>
                <w:szCs w:val="20"/>
              </w:rPr>
            </w:pPr>
          </w:p>
        </w:tc>
        <w:tc>
          <w:tcPr>
            <w:tcW w:w="2889" w:type="dxa"/>
          </w:tcPr>
          <w:p w14:paraId="7A6E6B54"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Se ajusta la definición de violencia vicaria contra la mujer de acuerdo con los pronunciamientos de la Corte Constitucional T-172-23, Sentencia T-526/23.</w:t>
            </w:r>
          </w:p>
        </w:tc>
      </w:tr>
      <w:tr w:rsidR="001310A4" w:rsidRPr="00530D53" w14:paraId="2D5126D5" w14:textId="77777777" w:rsidTr="006A6B72">
        <w:tc>
          <w:tcPr>
            <w:tcW w:w="2946" w:type="dxa"/>
          </w:tcPr>
          <w:p w14:paraId="38DC3770"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t>Artículo 6°.</w:t>
            </w:r>
            <w:r w:rsidRPr="00530D53">
              <w:rPr>
                <w:rFonts w:ascii="Century Gothic" w:eastAsia="Constantia" w:hAnsi="Century Gothic" w:cs="Constantia"/>
                <w:sz w:val="20"/>
                <w:szCs w:val="20"/>
              </w:rPr>
              <w:t xml:space="preserve"> MEDIDAS DE PROTECCIÓN EN CASOS DE </w:t>
            </w:r>
            <w:r w:rsidRPr="00530D53">
              <w:rPr>
                <w:rFonts w:ascii="Century Gothic" w:eastAsia="Constantia" w:hAnsi="Century Gothic" w:cs="Constantia"/>
                <w:sz w:val="20"/>
                <w:szCs w:val="20"/>
              </w:rPr>
              <w:lastRenderedPageBreak/>
              <w:t xml:space="preserve">VIOLENCIA VICARIA. En las denuncias recibidas por violencia vicaria la autoridad competente deberá establecer medidas de protección que trata el artículo 5 de Ley 294 de 1996 o la disposición que haga sus veces, sin perjuicio de las medidas de atención a que haya lugar al configurarse el delito de violencia vicaria por razones de género en el contexto familiar, garantizando los derechos consagrados en los artículos 7 y 8 de la Ley 1257 de 2008. </w:t>
            </w:r>
          </w:p>
        </w:tc>
        <w:tc>
          <w:tcPr>
            <w:tcW w:w="3003" w:type="dxa"/>
          </w:tcPr>
          <w:p w14:paraId="73479D60" w14:textId="77777777" w:rsidR="001310A4" w:rsidRPr="00530D53" w:rsidRDefault="001310A4" w:rsidP="0044016F">
            <w:pPr>
              <w:jc w:val="both"/>
              <w:rPr>
                <w:rFonts w:ascii="Century Gothic" w:eastAsia="Constantia" w:hAnsi="Century Gothic" w:cs="Constantia"/>
                <w:sz w:val="20"/>
                <w:szCs w:val="20"/>
              </w:rPr>
            </w:pPr>
            <w:bookmarkStart w:id="6" w:name="_Hlk180576312"/>
            <w:r w:rsidRPr="00530D53">
              <w:rPr>
                <w:rFonts w:ascii="Century Gothic" w:eastAsia="Constantia" w:hAnsi="Century Gothic" w:cs="Constantia"/>
                <w:b/>
                <w:sz w:val="20"/>
                <w:szCs w:val="20"/>
              </w:rPr>
              <w:lastRenderedPageBreak/>
              <w:t>Artículo 5°.</w:t>
            </w:r>
            <w:r w:rsidRPr="00530D53">
              <w:rPr>
                <w:rFonts w:ascii="Century Gothic" w:eastAsia="Constantia" w:hAnsi="Century Gothic" w:cs="Constantia"/>
                <w:sz w:val="20"/>
                <w:szCs w:val="20"/>
              </w:rPr>
              <w:t xml:space="preserve"> MEDIDAS DE PROTECCIÓN EN CASOS DE </w:t>
            </w:r>
            <w:r w:rsidRPr="00530D53">
              <w:rPr>
                <w:rFonts w:ascii="Century Gothic" w:eastAsia="Constantia" w:hAnsi="Century Gothic" w:cs="Constantia"/>
                <w:sz w:val="20"/>
                <w:szCs w:val="20"/>
              </w:rPr>
              <w:lastRenderedPageBreak/>
              <w:t xml:space="preserve">VIOLENCIA VICARIA. En las denuncias recibidas por violencia vicaria la autoridad competente deberá establecer medidas de protección que trata el artículo 5 de Ley 294 de 1996 o la disposición que haga sus veces, sin perjuicio de las medidas de atención a que haya lugar al configurarse el delito de violencia vicaria por razones de género en el contexto familiar, garantizando los derechos consagrados en los artículos 7 y 8 de la Ley 1257 de 2008 </w:t>
            </w:r>
            <w:r w:rsidRPr="00530D53">
              <w:rPr>
                <w:rFonts w:ascii="Century Gothic" w:eastAsia="Constantia" w:hAnsi="Century Gothic" w:cs="Constantia"/>
                <w:b/>
                <w:sz w:val="20"/>
                <w:szCs w:val="20"/>
                <w:u w:val="single"/>
              </w:rPr>
              <w:t>y las disposiciones específicas que regulen la materia.</w:t>
            </w:r>
            <w:r w:rsidRPr="00530D53">
              <w:rPr>
                <w:rFonts w:ascii="Century Gothic" w:eastAsia="Constantia" w:hAnsi="Century Gothic" w:cs="Constantia"/>
                <w:sz w:val="20"/>
                <w:szCs w:val="20"/>
              </w:rPr>
              <w:t xml:space="preserve"> </w:t>
            </w:r>
          </w:p>
          <w:bookmarkEnd w:id="6"/>
          <w:p w14:paraId="1D6D55FA" w14:textId="77777777" w:rsidR="001310A4" w:rsidRPr="00530D53" w:rsidRDefault="001310A4" w:rsidP="0044016F">
            <w:pPr>
              <w:jc w:val="both"/>
              <w:rPr>
                <w:rFonts w:ascii="Century Gothic" w:eastAsia="Constantia" w:hAnsi="Century Gothic" w:cs="Constantia"/>
                <w:sz w:val="20"/>
                <w:szCs w:val="20"/>
              </w:rPr>
            </w:pPr>
          </w:p>
        </w:tc>
        <w:tc>
          <w:tcPr>
            <w:tcW w:w="2889" w:type="dxa"/>
          </w:tcPr>
          <w:p w14:paraId="06881318" w14:textId="77777777" w:rsidR="001310A4" w:rsidRPr="00530D53" w:rsidRDefault="001310A4" w:rsidP="0044016F">
            <w:pPr>
              <w:jc w:val="both"/>
              <w:rPr>
                <w:rFonts w:ascii="Century Gothic" w:eastAsia="Constantia" w:hAnsi="Century Gothic" w:cs="Constantia"/>
                <w:b/>
                <w:sz w:val="20"/>
                <w:szCs w:val="20"/>
              </w:rPr>
            </w:pPr>
            <w:r w:rsidRPr="00530D53">
              <w:rPr>
                <w:rFonts w:ascii="Century Gothic" w:eastAsia="Constantia" w:hAnsi="Century Gothic" w:cs="Constantia"/>
                <w:sz w:val="20"/>
                <w:szCs w:val="20"/>
              </w:rPr>
              <w:lastRenderedPageBreak/>
              <w:t xml:space="preserve">Se realiza remisión normativa al marco de </w:t>
            </w:r>
            <w:r w:rsidRPr="00530D53">
              <w:rPr>
                <w:rFonts w:ascii="Century Gothic" w:eastAsia="Constantia" w:hAnsi="Century Gothic" w:cs="Constantia"/>
                <w:sz w:val="20"/>
                <w:szCs w:val="20"/>
              </w:rPr>
              <w:lastRenderedPageBreak/>
              <w:t xml:space="preserve">regulación específica de la materia y se ajusta la numeración del articulado </w:t>
            </w:r>
          </w:p>
        </w:tc>
      </w:tr>
      <w:tr w:rsidR="001310A4" w:rsidRPr="00530D53" w14:paraId="34CD68B6" w14:textId="77777777" w:rsidTr="006A6B72">
        <w:tc>
          <w:tcPr>
            <w:tcW w:w="2946" w:type="dxa"/>
          </w:tcPr>
          <w:p w14:paraId="1D4B8C2D"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lastRenderedPageBreak/>
              <w:t>Artículo 7°.</w:t>
            </w:r>
            <w:r w:rsidRPr="00530D53">
              <w:rPr>
                <w:rFonts w:ascii="Century Gothic" w:eastAsia="Constantia" w:hAnsi="Century Gothic" w:cs="Constantia"/>
                <w:sz w:val="20"/>
                <w:szCs w:val="20"/>
              </w:rPr>
              <w:t xml:space="preserve"> PROTECCIÓN AL MENOR POR VIOLENCIA VICARIA. En el procedimiento para la adopción de medidas de protección para casos de violencia contra la mujer o violencia intrafamiliar en los que se tenga prueba o indicios de violencia que vinculen a los hijos menores de edad, la autoridad competente deberá establecer de manera provisional medidas relacionadas con régimen de visitas, la guarda y custodia del menor, sin perjuicio de la competencia en materia civil de otras autoridades, quienes podrán ratificar esta medida o modificarla. La omisión del análisis de procedencia de estas medidas provisionales dará lugar a la configuración de falta disciplinaria del funcionario público que tenga conocimiento del caso. </w:t>
            </w:r>
          </w:p>
        </w:tc>
        <w:tc>
          <w:tcPr>
            <w:tcW w:w="3003" w:type="dxa"/>
          </w:tcPr>
          <w:p w14:paraId="764D692B" w14:textId="77777777" w:rsidR="001310A4" w:rsidRPr="00530D53" w:rsidRDefault="001310A4" w:rsidP="0044016F">
            <w:pPr>
              <w:jc w:val="both"/>
              <w:rPr>
                <w:rFonts w:ascii="Century Gothic" w:eastAsia="Constantia" w:hAnsi="Century Gothic" w:cs="Constantia"/>
                <w:sz w:val="20"/>
                <w:szCs w:val="20"/>
              </w:rPr>
            </w:pPr>
            <w:bookmarkStart w:id="7" w:name="_Hlk180576332"/>
            <w:r w:rsidRPr="00530D53">
              <w:rPr>
                <w:rFonts w:ascii="Century Gothic" w:eastAsia="Constantia" w:hAnsi="Century Gothic" w:cs="Constantia"/>
                <w:b/>
                <w:sz w:val="20"/>
                <w:szCs w:val="20"/>
              </w:rPr>
              <w:t>Artículo 6°.</w:t>
            </w:r>
            <w:r w:rsidRPr="00530D53">
              <w:rPr>
                <w:rFonts w:ascii="Century Gothic" w:eastAsia="Constantia" w:hAnsi="Century Gothic" w:cs="Constantia"/>
                <w:sz w:val="20"/>
                <w:szCs w:val="20"/>
              </w:rPr>
              <w:t xml:space="preserve"> PROTECCIÓN AL MENOR POR VIOLENCIA VICARIA. En el procedimiento para la adopción de medidas de protección para casos de violencia contra la mujer o violencia intrafamiliar en los que se tenga prueba o indicios de violencia que vinculen a los hijos menores de edad, la autoridad competente deberá establecer de manera provisional medidas relacionadas con régimen de visitas, la guarda y custodia del menor, sin perjuicio de la competencia en materia civil de otras autoridades, quienes podrán ratificar esta medida o modificarla. La omisión del análisis de procedencia de estas medidas provisionales dará lugar a la configuración de falta disciplinaria del funcionario público que tenga conocimiento del caso. </w:t>
            </w:r>
            <w:bookmarkEnd w:id="7"/>
          </w:p>
        </w:tc>
        <w:tc>
          <w:tcPr>
            <w:tcW w:w="2889" w:type="dxa"/>
          </w:tcPr>
          <w:p w14:paraId="12C89A20"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sz w:val="20"/>
                <w:szCs w:val="20"/>
              </w:rPr>
              <w:t xml:space="preserve">Se ajusta la numeración del articulado al incluirse dentro del título I. </w:t>
            </w:r>
          </w:p>
        </w:tc>
      </w:tr>
      <w:tr w:rsidR="001310A4" w:rsidRPr="00530D53" w14:paraId="5D97AA66" w14:textId="77777777" w:rsidTr="0044016F">
        <w:trPr>
          <w:trHeight w:val="220"/>
        </w:trPr>
        <w:tc>
          <w:tcPr>
            <w:tcW w:w="8838" w:type="dxa"/>
            <w:gridSpan w:val="3"/>
          </w:tcPr>
          <w:p w14:paraId="4736D29A" w14:textId="77777777" w:rsidR="001310A4" w:rsidRPr="00530D53" w:rsidRDefault="001310A4" w:rsidP="0044016F">
            <w:pPr>
              <w:jc w:val="center"/>
              <w:rPr>
                <w:rFonts w:ascii="Century Gothic" w:eastAsia="Book Antiqua" w:hAnsi="Century Gothic" w:cs="Book Antiqua"/>
                <w:b/>
                <w:sz w:val="20"/>
                <w:szCs w:val="20"/>
              </w:rPr>
            </w:pPr>
            <w:bookmarkStart w:id="8" w:name="_Hlk180576347"/>
            <w:r w:rsidRPr="00530D53">
              <w:rPr>
                <w:rFonts w:ascii="Century Gothic" w:eastAsia="Book Antiqua" w:hAnsi="Century Gothic" w:cs="Book Antiqua"/>
                <w:b/>
                <w:sz w:val="20"/>
                <w:szCs w:val="20"/>
              </w:rPr>
              <w:t>TITULO II</w:t>
            </w:r>
          </w:p>
          <w:p w14:paraId="1D3A3889" w14:textId="77777777" w:rsidR="001310A4" w:rsidRPr="00530D53" w:rsidRDefault="001310A4" w:rsidP="0044016F">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DE LA SANCIÓN PENAL</w:t>
            </w:r>
            <w:bookmarkEnd w:id="8"/>
          </w:p>
        </w:tc>
      </w:tr>
      <w:tr w:rsidR="001310A4" w:rsidRPr="00530D53" w14:paraId="637823CA" w14:textId="77777777" w:rsidTr="006A6B72">
        <w:tc>
          <w:tcPr>
            <w:tcW w:w="2946" w:type="dxa"/>
          </w:tcPr>
          <w:p w14:paraId="1E70E199"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t>Artículo 4°.</w:t>
            </w:r>
            <w:r w:rsidRPr="00530D53">
              <w:rPr>
                <w:rFonts w:ascii="Century Gothic" w:eastAsia="Constantia" w:hAnsi="Century Gothic" w:cs="Constantia"/>
                <w:sz w:val="20"/>
                <w:szCs w:val="20"/>
              </w:rPr>
              <w:t xml:space="preserve"> Adiciónese el artículo 103 B al Título I Delitos Contra la Vida y la Integridad Personal del </w:t>
            </w:r>
            <w:r w:rsidRPr="00530D53">
              <w:rPr>
                <w:rFonts w:ascii="Century Gothic" w:eastAsia="Constantia" w:hAnsi="Century Gothic" w:cs="Constantia"/>
                <w:sz w:val="20"/>
                <w:szCs w:val="20"/>
              </w:rPr>
              <w:lastRenderedPageBreak/>
              <w:t xml:space="preserve">Código Penal Ley 599 de 2000, así: </w:t>
            </w:r>
          </w:p>
          <w:p w14:paraId="6B8B7C8D" w14:textId="77777777" w:rsidR="001310A4" w:rsidRPr="00530D53" w:rsidRDefault="001310A4" w:rsidP="0044016F">
            <w:pPr>
              <w:jc w:val="both"/>
              <w:rPr>
                <w:rFonts w:ascii="Century Gothic" w:eastAsia="Constantia" w:hAnsi="Century Gothic" w:cs="Constantia"/>
                <w:sz w:val="20"/>
                <w:szCs w:val="20"/>
              </w:rPr>
            </w:pPr>
          </w:p>
          <w:p w14:paraId="6136227C" w14:textId="77777777" w:rsidR="001310A4" w:rsidRPr="00530D53" w:rsidRDefault="001310A4" w:rsidP="0044016F">
            <w:pPr>
              <w:jc w:val="both"/>
              <w:rPr>
                <w:rFonts w:ascii="Century Gothic" w:eastAsia="Constantia" w:hAnsi="Century Gothic" w:cs="Constantia"/>
                <w:b/>
                <w:sz w:val="20"/>
                <w:szCs w:val="20"/>
              </w:rPr>
            </w:pPr>
          </w:p>
          <w:p w14:paraId="4A152C4A" w14:textId="4A06D620" w:rsidR="001310A4" w:rsidRPr="00530D53" w:rsidRDefault="001310A4" w:rsidP="00C01370">
            <w:pPr>
              <w:jc w:val="both"/>
              <w:rPr>
                <w:rFonts w:ascii="Century Gothic" w:eastAsia="Book Antiqua" w:hAnsi="Century Gothic" w:cs="Book Antiqua"/>
                <w:sz w:val="20"/>
                <w:szCs w:val="20"/>
              </w:rPr>
            </w:pPr>
            <w:r w:rsidRPr="00530D53">
              <w:rPr>
                <w:rFonts w:ascii="Century Gothic" w:eastAsia="Constantia" w:hAnsi="Century Gothic" w:cs="Constantia"/>
                <w:b/>
                <w:sz w:val="20"/>
                <w:szCs w:val="20"/>
              </w:rPr>
              <w:t>103B. HOMICIDIO VICARIO</w:t>
            </w:r>
            <w:r w:rsidRPr="00530D53">
              <w:rPr>
                <w:rFonts w:ascii="Century Gothic" w:eastAsia="Constantia" w:hAnsi="Century Gothic" w:cs="Constantia"/>
                <w:sz w:val="20"/>
                <w:szCs w:val="20"/>
              </w:rPr>
              <w:t xml:space="preserve">. El que matare a los hijos menores o mayores de edad con discapacidad de la persona con la que tenga o haya tenido vínculo de matrimonio, unión marital de hecho o relación de pareja con el fin de causar sufrimiento o daño a la integridad física, psicológica, económica o patrimonial del padre o madre incurrirá en prisión de cuatrocientos ochenta (480) a seiscientos (600) meses. </w:t>
            </w:r>
          </w:p>
        </w:tc>
        <w:tc>
          <w:tcPr>
            <w:tcW w:w="3003" w:type="dxa"/>
          </w:tcPr>
          <w:p w14:paraId="2950F304" w14:textId="13F79EBC" w:rsidR="001310A4" w:rsidRPr="00530D53" w:rsidRDefault="001310A4" w:rsidP="0044016F">
            <w:pPr>
              <w:jc w:val="both"/>
              <w:rPr>
                <w:rFonts w:ascii="Century Gothic" w:eastAsia="Constantia" w:hAnsi="Century Gothic" w:cs="Constantia"/>
                <w:sz w:val="20"/>
                <w:szCs w:val="20"/>
              </w:rPr>
            </w:pPr>
            <w:bookmarkStart w:id="9" w:name="_Hlk180576367"/>
            <w:r w:rsidRPr="00530D53">
              <w:rPr>
                <w:rFonts w:ascii="Century Gothic" w:eastAsia="Constantia" w:hAnsi="Century Gothic" w:cs="Constantia"/>
                <w:b/>
                <w:sz w:val="20"/>
                <w:szCs w:val="20"/>
              </w:rPr>
              <w:lastRenderedPageBreak/>
              <w:t>Artículo 7°.</w:t>
            </w:r>
            <w:r w:rsidRPr="00530D53">
              <w:rPr>
                <w:rFonts w:ascii="Century Gothic" w:eastAsia="Constantia" w:hAnsi="Century Gothic" w:cs="Constantia"/>
                <w:sz w:val="20"/>
                <w:szCs w:val="20"/>
              </w:rPr>
              <w:t xml:space="preserve">  </w:t>
            </w:r>
            <w:r w:rsidR="007B500C" w:rsidRPr="00530D53">
              <w:rPr>
                <w:rFonts w:ascii="Century Gothic" w:eastAsia="Constantia" w:hAnsi="Century Gothic" w:cs="Constantia"/>
                <w:sz w:val="20"/>
                <w:szCs w:val="20"/>
              </w:rPr>
              <w:t>A</w:t>
            </w:r>
            <w:r w:rsidRPr="00530D53">
              <w:rPr>
                <w:rFonts w:ascii="Century Gothic" w:eastAsia="Constantia" w:hAnsi="Century Gothic" w:cs="Constantia"/>
                <w:sz w:val="20"/>
                <w:szCs w:val="20"/>
              </w:rPr>
              <w:t xml:space="preserve">diciónese un numeral al inciso primero del artículo 104 del Título I Delitos Contra la Vida y la Integridad Personal del </w:t>
            </w:r>
            <w:r w:rsidRPr="00530D53">
              <w:rPr>
                <w:rFonts w:ascii="Century Gothic" w:eastAsia="Constantia" w:hAnsi="Century Gothic" w:cs="Constantia"/>
                <w:sz w:val="20"/>
                <w:szCs w:val="20"/>
              </w:rPr>
              <w:lastRenderedPageBreak/>
              <w:t xml:space="preserve">Código Penal Ley 599 de 2000, así: </w:t>
            </w:r>
          </w:p>
          <w:p w14:paraId="2187BC05" w14:textId="77777777" w:rsidR="001310A4" w:rsidRPr="00530D53" w:rsidRDefault="001310A4" w:rsidP="0044016F">
            <w:pPr>
              <w:jc w:val="both"/>
              <w:rPr>
                <w:rFonts w:ascii="Century Gothic" w:eastAsia="Constantia" w:hAnsi="Century Gothic" w:cs="Constantia"/>
                <w:sz w:val="20"/>
                <w:szCs w:val="20"/>
              </w:rPr>
            </w:pPr>
          </w:p>
          <w:p w14:paraId="6F44BDF1" w14:textId="77777777" w:rsidR="001310A4" w:rsidRPr="00530D53" w:rsidRDefault="001310A4" w:rsidP="0044016F">
            <w:pPr>
              <w:jc w:val="both"/>
              <w:rPr>
                <w:rFonts w:ascii="Century Gothic" w:eastAsia="Constantia" w:hAnsi="Century Gothic" w:cs="Constantia"/>
                <w:b/>
                <w:sz w:val="20"/>
                <w:szCs w:val="20"/>
              </w:rPr>
            </w:pPr>
            <w:r w:rsidRPr="00530D53">
              <w:rPr>
                <w:rFonts w:ascii="Century Gothic" w:eastAsia="Constantia" w:hAnsi="Century Gothic" w:cs="Constantia"/>
                <w:b/>
                <w:sz w:val="20"/>
                <w:szCs w:val="20"/>
              </w:rPr>
              <w:t xml:space="preserve">ARTÍCULO 104. CIRCUNSTANCIAS DE AGRAVACIÓN. </w:t>
            </w:r>
          </w:p>
          <w:p w14:paraId="3B37B43F" w14:textId="77777777" w:rsidR="001310A4" w:rsidRPr="00530D53" w:rsidRDefault="001310A4" w:rsidP="0044016F">
            <w:pPr>
              <w:jc w:val="both"/>
              <w:rPr>
                <w:rFonts w:ascii="Century Gothic" w:eastAsia="Constantia" w:hAnsi="Century Gothic" w:cs="Constantia"/>
                <w:b/>
                <w:sz w:val="20"/>
                <w:szCs w:val="20"/>
              </w:rPr>
            </w:pPr>
          </w:p>
          <w:p w14:paraId="630AABBA" w14:textId="77777777" w:rsidR="001310A4" w:rsidRPr="00530D53" w:rsidRDefault="001310A4" w:rsidP="0044016F">
            <w:pPr>
              <w:jc w:val="both"/>
              <w:rPr>
                <w:rFonts w:ascii="Century Gothic" w:eastAsia="Constantia" w:hAnsi="Century Gothic" w:cs="Constantia"/>
                <w:b/>
                <w:sz w:val="20"/>
                <w:szCs w:val="20"/>
              </w:rPr>
            </w:pPr>
            <w:r w:rsidRPr="00530D53">
              <w:rPr>
                <w:rFonts w:ascii="Century Gothic" w:eastAsia="Constantia" w:hAnsi="Century Gothic" w:cs="Constantia"/>
                <w:b/>
                <w:sz w:val="20"/>
                <w:szCs w:val="20"/>
              </w:rPr>
              <w:t>(...)</w:t>
            </w:r>
          </w:p>
          <w:p w14:paraId="2B6AEC6B" w14:textId="77777777" w:rsidR="001310A4" w:rsidRPr="00530D53" w:rsidRDefault="001310A4" w:rsidP="0044016F">
            <w:pPr>
              <w:jc w:val="both"/>
              <w:rPr>
                <w:rFonts w:ascii="Century Gothic" w:eastAsia="Constantia" w:hAnsi="Century Gothic" w:cs="Constantia"/>
                <w:b/>
                <w:sz w:val="20"/>
                <w:szCs w:val="20"/>
              </w:rPr>
            </w:pPr>
          </w:p>
          <w:p w14:paraId="3FFC8349" w14:textId="77777777" w:rsidR="001310A4" w:rsidRPr="00530D53" w:rsidRDefault="001310A4" w:rsidP="0044016F">
            <w:pPr>
              <w:jc w:val="both"/>
              <w:rPr>
                <w:rFonts w:ascii="Century Gothic" w:eastAsia="Constantia" w:hAnsi="Century Gothic" w:cs="Constantia"/>
                <w:b/>
                <w:sz w:val="20"/>
                <w:szCs w:val="20"/>
                <w:u w:val="single"/>
              </w:rPr>
            </w:pPr>
            <w:r w:rsidRPr="00530D53">
              <w:rPr>
                <w:rFonts w:ascii="Century Gothic" w:eastAsia="Constantia" w:hAnsi="Century Gothic" w:cs="Constantia"/>
                <w:b/>
                <w:sz w:val="20"/>
                <w:szCs w:val="20"/>
              </w:rPr>
              <w:t xml:space="preserve">8. </w:t>
            </w:r>
            <w:r w:rsidRPr="00530D53">
              <w:rPr>
                <w:rFonts w:ascii="Century Gothic" w:eastAsia="Constantia" w:hAnsi="Century Gothic" w:cs="Constantia"/>
                <w:sz w:val="20"/>
                <w:szCs w:val="20"/>
                <w:u w:val="single"/>
              </w:rPr>
              <w:t xml:space="preserve">Instrumentalizando a la víctima </w:t>
            </w:r>
            <w:r w:rsidRPr="00530D53">
              <w:rPr>
                <w:rFonts w:ascii="Century Gothic" w:eastAsia="Book Antiqua" w:hAnsi="Century Gothic" w:cs="Book Antiqua"/>
                <w:sz w:val="20"/>
                <w:szCs w:val="20"/>
                <w:u w:val="single"/>
              </w:rPr>
              <w:t xml:space="preserve">para causar daño a la integridad física, psicológica, económica o patrimonial del padre o madre; o menoscabar el vínculo familiar. </w:t>
            </w:r>
            <w:bookmarkEnd w:id="9"/>
          </w:p>
        </w:tc>
        <w:tc>
          <w:tcPr>
            <w:tcW w:w="2889" w:type="dxa"/>
          </w:tcPr>
          <w:p w14:paraId="55456D1F"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sz w:val="20"/>
                <w:szCs w:val="20"/>
              </w:rPr>
              <w:lastRenderedPageBreak/>
              <w:t xml:space="preserve">Atiendo a las observaciones realizadas por el Consejo de Política Criminal, se pasa de un delito autónomo a un </w:t>
            </w:r>
            <w:r w:rsidRPr="00530D53">
              <w:rPr>
                <w:rFonts w:ascii="Century Gothic" w:eastAsia="Constantia" w:hAnsi="Century Gothic" w:cs="Constantia"/>
                <w:sz w:val="20"/>
                <w:szCs w:val="20"/>
              </w:rPr>
              <w:lastRenderedPageBreak/>
              <w:t xml:space="preserve">agravante del Homicidio, evitando la duplicidad de conductas punibles, sin desconocer la necesidad de sancionar la instrumentalización y la violencia indirecta en este tipo de casos. </w:t>
            </w:r>
          </w:p>
        </w:tc>
      </w:tr>
      <w:tr w:rsidR="001310A4" w:rsidRPr="00530D53" w14:paraId="06C78D8C" w14:textId="77777777" w:rsidTr="006A6B72">
        <w:tc>
          <w:tcPr>
            <w:tcW w:w="2946" w:type="dxa"/>
          </w:tcPr>
          <w:p w14:paraId="1301DAF2" w14:textId="74079840"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lastRenderedPageBreak/>
              <w:t>Artículo 5°.</w:t>
            </w:r>
            <w:r w:rsidRPr="00530D53">
              <w:rPr>
                <w:rFonts w:ascii="Century Gothic" w:eastAsia="Constantia" w:hAnsi="Century Gothic" w:cs="Constantia"/>
                <w:sz w:val="20"/>
                <w:szCs w:val="20"/>
              </w:rPr>
              <w:t xml:space="preserve"> Adiciónese el artículo 230 B al Título VI Delitos contra la familia del Código Penal Ley 599 de 2000, así: </w:t>
            </w:r>
            <w:r w:rsidR="006A6B72" w:rsidRPr="00530D53">
              <w:rPr>
                <w:rFonts w:ascii="Century Gothic" w:eastAsia="Constantia" w:hAnsi="Century Gothic" w:cs="Constantia"/>
                <w:sz w:val="20"/>
                <w:szCs w:val="20"/>
              </w:rPr>
              <w:br/>
            </w:r>
          </w:p>
          <w:p w14:paraId="4939323B" w14:textId="77777777" w:rsidR="001310A4" w:rsidRPr="00530D53" w:rsidRDefault="001310A4" w:rsidP="006A6B72">
            <w:pPr>
              <w:ind w:left="20"/>
              <w:jc w:val="both"/>
              <w:rPr>
                <w:rFonts w:ascii="Century Gothic" w:eastAsia="Constantia" w:hAnsi="Century Gothic" w:cs="Constantia"/>
                <w:sz w:val="20"/>
                <w:szCs w:val="20"/>
              </w:rPr>
            </w:pPr>
            <w:r w:rsidRPr="00530D53">
              <w:rPr>
                <w:rFonts w:ascii="Century Gothic" w:eastAsia="Constantia" w:hAnsi="Century Gothic" w:cs="Constantia"/>
                <w:b/>
                <w:sz w:val="20"/>
                <w:szCs w:val="20"/>
              </w:rPr>
              <w:t>230B. VIOLENCIA VICARIA O POR SUSTITUCIÓN</w:t>
            </w:r>
            <w:r w:rsidRPr="00530D53">
              <w:rPr>
                <w:rFonts w:ascii="Century Gothic" w:eastAsia="Constantia" w:hAnsi="Century Gothic" w:cs="Constantia"/>
                <w:sz w:val="20"/>
                <w:szCs w:val="20"/>
              </w:rPr>
              <w:t xml:space="preserve">. El que usare como instrumento a los hijos menores o mayores de edad con discapacidad de la persona con la que tenga o haya tenido vínculo de matrimonio, unión marital de hecho o relación de pareja para causar daño a la integridad física, psicológica, económica o patrimonial del padre o madre; o menoscabar el vínculo familiar afectivo incurrirá, por ese solo hecho, en prisión de uno (1) a seis (6) años y en multa de uno (1) a dieciséis (16) salarios mínimos legales mensuales vigentes. </w:t>
            </w:r>
          </w:p>
        </w:tc>
        <w:tc>
          <w:tcPr>
            <w:tcW w:w="3003" w:type="dxa"/>
          </w:tcPr>
          <w:p w14:paraId="3248E3BE" w14:textId="77777777" w:rsidR="001310A4" w:rsidRPr="00530D53" w:rsidRDefault="001310A4" w:rsidP="0044016F">
            <w:pPr>
              <w:rPr>
                <w:rFonts w:ascii="Century Gothic" w:eastAsia="Book Antiqua" w:hAnsi="Century Gothic" w:cs="Book Antiqua"/>
                <w:sz w:val="20"/>
                <w:szCs w:val="20"/>
              </w:rPr>
            </w:pPr>
            <w:bookmarkStart w:id="10" w:name="_Hlk180576405"/>
            <w:r w:rsidRPr="00530D53">
              <w:rPr>
                <w:rFonts w:ascii="Century Gothic" w:eastAsia="Book Antiqua" w:hAnsi="Century Gothic" w:cs="Book Antiqua"/>
                <w:b/>
                <w:sz w:val="20"/>
                <w:szCs w:val="20"/>
              </w:rPr>
              <w:t xml:space="preserve">Artículo 8°. </w:t>
            </w:r>
            <w:r w:rsidRPr="00530D53">
              <w:rPr>
                <w:rFonts w:ascii="Century Gothic" w:eastAsia="Book Antiqua" w:hAnsi="Century Gothic" w:cs="Book Antiqua"/>
                <w:sz w:val="20"/>
                <w:szCs w:val="20"/>
              </w:rPr>
              <w:t xml:space="preserve">Adiciónese el artículo 230 B al Título VI Delitos contra la familia del Código Penal Ley 599 de 2000, así: </w:t>
            </w:r>
          </w:p>
          <w:p w14:paraId="3F3A227B" w14:textId="5371F773" w:rsidR="001310A4" w:rsidRPr="00530D53" w:rsidRDefault="006A6B72" w:rsidP="0044016F">
            <w:pPr>
              <w:jc w:val="both"/>
              <w:rPr>
                <w:rFonts w:ascii="Century Gothic" w:eastAsia="Book Antiqua" w:hAnsi="Century Gothic" w:cs="Book Antiqua"/>
                <w:sz w:val="20"/>
                <w:szCs w:val="20"/>
              </w:rPr>
            </w:pPr>
            <w:r w:rsidRPr="00530D53">
              <w:rPr>
                <w:rFonts w:ascii="Century Gothic" w:eastAsia="Book Antiqua" w:hAnsi="Century Gothic" w:cs="Book Antiqua"/>
                <w:b/>
                <w:sz w:val="20"/>
                <w:szCs w:val="20"/>
              </w:rPr>
              <w:br/>
            </w:r>
            <w:r w:rsidR="001310A4" w:rsidRPr="00530D53">
              <w:rPr>
                <w:rFonts w:ascii="Century Gothic" w:eastAsia="Book Antiqua" w:hAnsi="Century Gothic" w:cs="Book Antiqua"/>
                <w:b/>
                <w:sz w:val="20"/>
                <w:szCs w:val="20"/>
              </w:rPr>
              <w:t>230B. VIOLENCIA VICARIA O POR SUSTITUCIÓN.</w:t>
            </w:r>
            <w:r w:rsidR="001310A4" w:rsidRPr="00530D53">
              <w:rPr>
                <w:rFonts w:ascii="Century Gothic" w:eastAsia="Book Antiqua" w:hAnsi="Century Gothic" w:cs="Book Antiqua"/>
                <w:sz w:val="20"/>
                <w:szCs w:val="20"/>
              </w:rPr>
              <w:t xml:space="preserve"> El que usare como instrumento a los hijos menores o mayores de edad con discapacidad de la persona con la que tenga o haya tenido vínculo de matrimonio, unión marital de hecho o relación de pareja para causar daño a la integridad física, psicológica, económica o patrimonial del padre o madre; o menoscabar el vínculo familiar afectivo incurrirá, por ese solo hecho, en prisión de uno (1) a seis (6) años y en multa de uno (1) a dieciséis (16) salarios mínimos legales mensuales vigentes.</w:t>
            </w:r>
            <w:bookmarkEnd w:id="10"/>
          </w:p>
        </w:tc>
        <w:tc>
          <w:tcPr>
            <w:tcW w:w="2889" w:type="dxa"/>
          </w:tcPr>
          <w:p w14:paraId="34499AE2" w14:textId="77777777" w:rsidR="001310A4" w:rsidRPr="00530D53" w:rsidRDefault="001310A4" w:rsidP="0044016F">
            <w:pPr>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Se ajusta la numeración del articulado al incluirse dentro del título II. </w:t>
            </w:r>
          </w:p>
        </w:tc>
      </w:tr>
      <w:tr w:rsidR="00C01370" w:rsidRPr="00530D53" w14:paraId="70801875" w14:textId="77777777" w:rsidTr="006C293C">
        <w:tc>
          <w:tcPr>
            <w:tcW w:w="8838" w:type="dxa"/>
            <w:gridSpan w:val="3"/>
          </w:tcPr>
          <w:p w14:paraId="4EA02389" w14:textId="5B6C0AB8" w:rsidR="00C01370" w:rsidRPr="00530D53" w:rsidRDefault="00C01370" w:rsidP="00C01370">
            <w:pPr>
              <w:widowControl w:val="0"/>
              <w:pBdr>
                <w:top w:val="nil"/>
                <w:left w:val="nil"/>
                <w:bottom w:val="nil"/>
                <w:right w:val="nil"/>
                <w:between w:val="nil"/>
              </w:pBdr>
              <w:spacing w:line="276" w:lineRule="auto"/>
              <w:jc w:val="center"/>
              <w:rPr>
                <w:rFonts w:ascii="Century Gothic" w:eastAsia="Book Antiqua" w:hAnsi="Century Gothic" w:cs="Book Antiqua"/>
                <w:b/>
                <w:sz w:val="20"/>
                <w:szCs w:val="20"/>
              </w:rPr>
            </w:pPr>
            <w:bookmarkStart w:id="11" w:name="_Hlk180576428"/>
            <w:r w:rsidRPr="00530D53">
              <w:rPr>
                <w:rFonts w:ascii="Century Gothic" w:eastAsia="Book Antiqua" w:hAnsi="Century Gothic" w:cs="Book Antiqua"/>
                <w:b/>
                <w:sz w:val="20"/>
                <w:szCs w:val="20"/>
              </w:rPr>
              <w:t>DISPOSICIONES FINALES</w:t>
            </w:r>
            <w:bookmarkEnd w:id="11"/>
          </w:p>
        </w:tc>
      </w:tr>
      <w:tr w:rsidR="001310A4" w:rsidRPr="00530D53" w14:paraId="49873181" w14:textId="77777777" w:rsidTr="006A6B72">
        <w:tc>
          <w:tcPr>
            <w:tcW w:w="2946" w:type="dxa"/>
          </w:tcPr>
          <w:p w14:paraId="486A3794" w14:textId="6893649D" w:rsidR="001310A4" w:rsidRPr="00530D53" w:rsidRDefault="001310A4" w:rsidP="00FC4F37">
            <w:pPr>
              <w:jc w:val="both"/>
              <w:rPr>
                <w:rFonts w:ascii="Century Gothic" w:eastAsia="Book Antiqua" w:hAnsi="Century Gothic" w:cs="Book Antiqua"/>
                <w:sz w:val="20"/>
                <w:szCs w:val="20"/>
              </w:rPr>
            </w:pPr>
            <w:r w:rsidRPr="00530D53">
              <w:rPr>
                <w:rFonts w:ascii="Century Gothic" w:eastAsia="Constantia" w:hAnsi="Century Gothic" w:cs="Constantia"/>
                <w:b/>
                <w:sz w:val="20"/>
                <w:szCs w:val="20"/>
              </w:rPr>
              <w:t>Artículo 8º:</w:t>
            </w:r>
            <w:r w:rsidRPr="00530D53">
              <w:rPr>
                <w:rFonts w:ascii="Century Gothic" w:eastAsia="Constantia" w:hAnsi="Century Gothic" w:cs="Constantia"/>
                <w:sz w:val="20"/>
                <w:szCs w:val="20"/>
              </w:rPr>
              <w:t xml:space="preserve"> INFORMACIÓN, MONITOREO Y SEGUIMIENTO. Ministerio de Salud y Protección Social en coordinación con el Ministerio de Justicia y del Derecho, el Departamento Administrativo Nacional de </w:t>
            </w:r>
            <w:r w:rsidRPr="00530D53">
              <w:rPr>
                <w:rFonts w:ascii="Century Gothic" w:eastAsia="Constantia" w:hAnsi="Century Gothic" w:cs="Constantia"/>
                <w:sz w:val="20"/>
                <w:szCs w:val="20"/>
              </w:rPr>
              <w:lastRenderedPageBreak/>
              <w:t xml:space="preserve">Estadística, la Consejería Presidencial para la Equidad de la Mujer, y el Instituto Nacional de Medicina Legal y Ciencias Forenses en el término de seis meses contado a partir de la expedición de la presente ley, adicionará al Sistema Integrado de Información sobre Violencias de Género (SIVIGE) información estadística sobre violencia vicaria. El análisis y compilación estadística servirá de insumo para la formulación, la implementación y la evaluación de planes, programas, políticas públicas, acciones, estrategias orientadas a la prevención, atención y respuesta institucional en favor de las víctimas de violencia vicaria. </w:t>
            </w:r>
          </w:p>
        </w:tc>
        <w:tc>
          <w:tcPr>
            <w:tcW w:w="3003" w:type="dxa"/>
          </w:tcPr>
          <w:p w14:paraId="2DE2F651" w14:textId="77777777" w:rsidR="001310A4" w:rsidRPr="00530D53" w:rsidRDefault="001310A4" w:rsidP="0044016F">
            <w:pPr>
              <w:jc w:val="both"/>
              <w:rPr>
                <w:rFonts w:ascii="Century Gothic" w:eastAsia="Book Antiqua" w:hAnsi="Century Gothic" w:cs="Book Antiqua"/>
                <w:sz w:val="20"/>
                <w:szCs w:val="20"/>
              </w:rPr>
            </w:pPr>
            <w:bookmarkStart w:id="12" w:name="_Hlk180576441"/>
            <w:r w:rsidRPr="00530D53">
              <w:rPr>
                <w:rFonts w:ascii="Century Gothic" w:eastAsia="Constantia" w:hAnsi="Century Gothic" w:cs="Constantia"/>
                <w:b/>
                <w:sz w:val="20"/>
                <w:szCs w:val="20"/>
              </w:rPr>
              <w:lastRenderedPageBreak/>
              <w:t>Artículo 9°º:</w:t>
            </w:r>
            <w:r w:rsidRPr="00530D53">
              <w:rPr>
                <w:rFonts w:ascii="Century Gothic" w:eastAsia="Constantia" w:hAnsi="Century Gothic" w:cs="Constantia"/>
                <w:sz w:val="20"/>
                <w:szCs w:val="20"/>
              </w:rPr>
              <w:t xml:space="preserve"> INFORMACIÓN, MONITOREO Y SEGUIMIENTO. Ministerio de Salud y Protección Social en coordinación con el Ministerio de Justicia y del Derecho, el Departamento Administrativo Nacional de </w:t>
            </w:r>
            <w:r w:rsidRPr="00530D53">
              <w:rPr>
                <w:rFonts w:ascii="Century Gothic" w:eastAsia="Constantia" w:hAnsi="Century Gothic" w:cs="Constantia"/>
                <w:sz w:val="20"/>
                <w:szCs w:val="20"/>
              </w:rPr>
              <w:lastRenderedPageBreak/>
              <w:t xml:space="preserve">Estadística, la Consejería Presidencial para la Equidad de la Mujer, y el Instituto Nacional de Medicina Legal y Ciencias Forenses en el término de seis meses contado a partir de la expedición de la presente ley, adicionará al Sistema Integrado de Información sobre Violencias de Género (SIVIGE) información estadística sobre violencia vicaria. El análisis y compilación estadística servirá de insumo para la formulación, la implementación y la evaluación de planes, programas, políticas públicas, acciones, estrategias orientadas a la prevención, atención y respuesta institucional en favor de las víctimas de violencia vicaria. </w:t>
            </w:r>
            <w:bookmarkEnd w:id="12"/>
          </w:p>
        </w:tc>
        <w:tc>
          <w:tcPr>
            <w:tcW w:w="2889" w:type="dxa"/>
          </w:tcPr>
          <w:p w14:paraId="77105B30" w14:textId="77777777" w:rsidR="001310A4" w:rsidRPr="00530D53" w:rsidRDefault="001310A4" w:rsidP="0044016F">
            <w:pPr>
              <w:jc w:val="both"/>
              <w:rPr>
                <w:rFonts w:ascii="Century Gothic" w:eastAsia="Constantia" w:hAnsi="Century Gothic" w:cs="Constantia"/>
                <w:b/>
                <w:sz w:val="20"/>
                <w:szCs w:val="20"/>
              </w:rPr>
            </w:pPr>
            <w:r w:rsidRPr="00530D53">
              <w:rPr>
                <w:rFonts w:ascii="Century Gothic" w:eastAsia="Constantia" w:hAnsi="Century Gothic" w:cs="Constantia"/>
                <w:sz w:val="20"/>
                <w:szCs w:val="20"/>
              </w:rPr>
              <w:lastRenderedPageBreak/>
              <w:t>Se ajusta la numeración</w:t>
            </w:r>
            <w:r w:rsidRPr="00530D53">
              <w:rPr>
                <w:rFonts w:ascii="Century Gothic" w:eastAsia="Constantia" w:hAnsi="Century Gothic" w:cs="Constantia"/>
                <w:b/>
                <w:sz w:val="20"/>
                <w:szCs w:val="20"/>
              </w:rPr>
              <w:t xml:space="preserve">. </w:t>
            </w:r>
          </w:p>
        </w:tc>
      </w:tr>
      <w:tr w:rsidR="001310A4" w:rsidRPr="00530D53" w14:paraId="21A47042" w14:textId="77777777" w:rsidTr="006A6B72">
        <w:tc>
          <w:tcPr>
            <w:tcW w:w="2946" w:type="dxa"/>
          </w:tcPr>
          <w:p w14:paraId="6282FF72"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t>Artículo 9°.</w:t>
            </w:r>
            <w:r w:rsidRPr="00530D53">
              <w:rPr>
                <w:rFonts w:ascii="Century Gothic" w:eastAsia="Constantia" w:hAnsi="Century Gothic" w:cs="Constantia"/>
                <w:sz w:val="20"/>
                <w:szCs w:val="20"/>
              </w:rPr>
              <w:t xml:space="preserve"> Programas de sensibilización y concientización social contra la violencia vicaria. El Gobierno Nacional a través del Ministerio de Justicia y del Derecho en coordinación con el Ministerio de Igualdad y Equidad promoverán programas y proyectos de formación y concientización social en torno a las conductas constitutivas de violencia vicaria, la sanción y rutas de atención y protección a las víctimas, con especial énfasis, en los funcionarios públicos encargados de la atención y denuncia de las víctimas. Así mismo, incluirán en las estrategias de formación y capacitación dirigidas a las comisarías de familia del territorio nacional, la socialización de las disposiciones contenidas en la presente ley. </w:t>
            </w:r>
          </w:p>
        </w:tc>
        <w:tc>
          <w:tcPr>
            <w:tcW w:w="3003" w:type="dxa"/>
          </w:tcPr>
          <w:p w14:paraId="568EB398" w14:textId="77777777" w:rsidR="001310A4" w:rsidRPr="00530D53" w:rsidRDefault="001310A4" w:rsidP="0044016F">
            <w:pPr>
              <w:jc w:val="center"/>
              <w:rPr>
                <w:rFonts w:ascii="Century Gothic" w:eastAsia="Book Antiqua" w:hAnsi="Century Gothic" w:cs="Book Antiqua"/>
                <w:b/>
                <w:sz w:val="20"/>
                <w:szCs w:val="20"/>
              </w:rPr>
            </w:pPr>
            <w:r w:rsidRPr="00530D53">
              <w:rPr>
                <w:rFonts w:ascii="Century Gothic" w:eastAsia="Book Antiqua" w:hAnsi="Century Gothic" w:cs="Book Antiqua"/>
                <w:b/>
                <w:sz w:val="20"/>
                <w:szCs w:val="20"/>
              </w:rPr>
              <w:t>SE ELIMINA EL ARTÍCULO</w:t>
            </w:r>
          </w:p>
        </w:tc>
        <w:tc>
          <w:tcPr>
            <w:tcW w:w="2889" w:type="dxa"/>
          </w:tcPr>
          <w:p w14:paraId="3B8CBFBC" w14:textId="77777777" w:rsidR="001310A4" w:rsidRPr="00530D53" w:rsidRDefault="001310A4" w:rsidP="0044016F">
            <w:pPr>
              <w:jc w:val="both"/>
              <w:rPr>
                <w:rFonts w:ascii="Century Gothic" w:eastAsia="Book Antiqua" w:hAnsi="Century Gothic" w:cs="Book Antiqua"/>
                <w:sz w:val="20"/>
                <w:szCs w:val="20"/>
              </w:rPr>
            </w:pPr>
            <w:r w:rsidRPr="00530D53">
              <w:rPr>
                <w:rFonts w:ascii="Century Gothic" w:eastAsia="Book Antiqua" w:hAnsi="Century Gothic" w:cs="Book Antiqua"/>
                <w:sz w:val="20"/>
                <w:szCs w:val="20"/>
              </w:rPr>
              <w:t xml:space="preserve">El sistema de capacitación propuesto se encuentra vigente en la ley aprobatoria de PND. </w:t>
            </w:r>
          </w:p>
        </w:tc>
      </w:tr>
      <w:tr w:rsidR="001310A4" w:rsidRPr="00530D53" w14:paraId="316B2554" w14:textId="77777777" w:rsidTr="006A6B72">
        <w:tc>
          <w:tcPr>
            <w:tcW w:w="2946" w:type="dxa"/>
          </w:tcPr>
          <w:p w14:paraId="3C73491A" w14:textId="77777777" w:rsidR="001310A4" w:rsidRPr="00530D53" w:rsidRDefault="001310A4" w:rsidP="0044016F">
            <w:pPr>
              <w:jc w:val="both"/>
              <w:rPr>
                <w:rFonts w:ascii="Century Gothic" w:eastAsia="Constantia" w:hAnsi="Century Gothic" w:cs="Constantia"/>
                <w:b/>
                <w:sz w:val="20"/>
                <w:szCs w:val="20"/>
              </w:rPr>
            </w:pPr>
            <w:r w:rsidRPr="00530D53">
              <w:rPr>
                <w:rFonts w:ascii="Century Gothic" w:eastAsia="Constantia" w:hAnsi="Century Gothic" w:cs="Constantia"/>
                <w:b/>
                <w:sz w:val="20"/>
                <w:szCs w:val="20"/>
              </w:rPr>
              <w:t>Artículo 11°.</w:t>
            </w:r>
            <w:r w:rsidRPr="00530D53">
              <w:rPr>
                <w:rFonts w:ascii="Century Gothic" w:eastAsia="Constantia" w:hAnsi="Century Gothic" w:cs="Constantia"/>
                <w:sz w:val="20"/>
                <w:szCs w:val="20"/>
              </w:rPr>
              <w:t xml:space="preserve"> En un plazo no mayor a doce (12) meses de expedida la presente ley, las entidades gubernamentales, en el </w:t>
            </w:r>
            <w:r w:rsidRPr="00530D53">
              <w:rPr>
                <w:rFonts w:ascii="Century Gothic" w:eastAsia="Constantia" w:hAnsi="Century Gothic" w:cs="Constantia"/>
                <w:sz w:val="20"/>
                <w:szCs w:val="20"/>
              </w:rPr>
              <w:lastRenderedPageBreak/>
              <w:t>orden nacional, departamental, distrital y municipal,</w:t>
            </w:r>
            <w:r w:rsidRPr="00530D53">
              <w:rPr>
                <w:rFonts w:ascii="Century Gothic" w:hAnsi="Century Gothic"/>
                <w:sz w:val="20"/>
                <w:szCs w:val="20"/>
              </w:rPr>
              <w:t xml:space="preserve"> </w:t>
            </w:r>
            <w:r w:rsidRPr="00530D53">
              <w:rPr>
                <w:rFonts w:ascii="Century Gothic" w:eastAsia="Constantia" w:hAnsi="Century Gothic" w:cs="Constantia"/>
                <w:sz w:val="20"/>
                <w:szCs w:val="20"/>
              </w:rPr>
              <w:t>establecerán los lineamientos para la formulación, implementación y evaluación de políticas públicas, con el fin de prevenir y afrontar la violencia vicaria, incluidos planes, programas y proyectos para disminuir la afectación y en consecuencia generar y reforzar proyectos de vida a las víctimas.</w:t>
            </w:r>
          </w:p>
        </w:tc>
        <w:tc>
          <w:tcPr>
            <w:tcW w:w="3003" w:type="dxa"/>
          </w:tcPr>
          <w:p w14:paraId="2DC83BF8" w14:textId="77777777" w:rsidR="001310A4" w:rsidRPr="00530D53" w:rsidRDefault="001310A4" w:rsidP="0044016F">
            <w:pPr>
              <w:jc w:val="both"/>
              <w:rPr>
                <w:rFonts w:ascii="Century Gothic" w:eastAsia="Constantia" w:hAnsi="Century Gothic" w:cs="Constantia"/>
                <w:b/>
                <w:sz w:val="20"/>
                <w:szCs w:val="20"/>
              </w:rPr>
            </w:pPr>
            <w:bookmarkStart w:id="13" w:name="_Hlk180576461"/>
            <w:r w:rsidRPr="00530D53">
              <w:rPr>
                <w:rFonts w:ascii="Century Gothic" w:eastAsia="Constantia" w:hAnsi="Century Gothic" w:cs="Constantia"/>
                <w:b/>
                <w:sz w:val="20"/>
                <w:szCs w:val="20"/>
              </w:rPr>
              <w:lastRenderedPageBreak/>
              <w:t>Artículo 10°.</w:t>
            </w:r>
            <w:r w:rsidRPr="00530D53">
              <w:rPr>
                <w:rFonts w:ascii="Century Gothic" w:eastAsia="Constantia" w:hAnsi="Century Gothic" w:cs="Constantia"/>
                <w:sz w:val="20"/>
                <w:szCs w:val="20"/>
              </w:rPr>
              <w:t xml:space="preserve"> En un plazo no mayor a doce (12) meses de expedida la presente ley, las entidades gubernamentales, en el </w:t>
            </w:r>
            <w:r w:rsidRPr="00530D53">
              <w:rPr>
                <w:rFonts w:ascii="Century Gothic" w:eastAsia="Constantia" w:hAnsi="Century Gothic" w:cs="Constantia"/>
                <w:sz w:val="20"/>
                <w:szCs w:val="20"/>
              </w:rPr>
              <w:lastRenderedPageBreak/>
              <w:t>orden nacional, departamental, distrital y municipal,</w:t>
            </w:r>
            <w:r w:rsidRPr="00530D53">
              <w:rPr>
                <w:rFonts w:ascii="Century Gothic" w:hAnsi="Century Gothic"/>
                <w:sz w:val="20"/>
                <w:szCs w:val="20"/>
              </w:rPr>
              <w:t xml:space="preserve"> </w:t>
            </w:r>
            <w:r w:rsidRPr="00530D53">
              <w:rPr>
                <w:rFonts w:ascii="Century Gothic" w:eastAsia="Constantia" w:hAnsi="Century Gothic" w:cs="Constantia"/>
                <w:sz w:val="20"/>
                <w:szCs w:val="20"/>
              </w:rPr>
              <w:t>establecerán los lineamientos para la formulación, implementación y evaluación de políticas públicas, con el fin de prevenir y afrontar la violencia vicaria, incluidos planes, programas y proyectos para disminuir la afectación y en consecuencia generar y reforzar proyectos de vida a las víctimas.</w:t>
            </w:r>
            <w:bookmarkEnd w:id="13"/>
          </w:p>
        </w:tc>
        <w:tc>
          <w:tcPr>
            <w:tcW w:w="2889" w:type="dxa"/>
          </w:tcPr>
          <w:p w14:paraId="75B1648B"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sz w:val="20"/>
                <w:szCs w:val="20"/>
              </w:rPr>
              <w:lastRenderedPageBreak/>
              <w:t xml:space="preserve">Se ajusta la numeración.  </w:t>
            </w:r>
          </w:p>
        </w:tc>
      </w:tr>
      <w:tr w:rsidR="001310A4" w:rsidRPr="00530D53" w14:paraId="4E19D0FE" w14:textId="77777777" w:rsidTr="006A6B72">
        <w:tc>
          <w:tcPr>
            <w:tcW w:w="2946" w:type="dxa"/>
          </w:tcPr>
          <w:p w14:paraId="7683D2AA" w14:textId="77777777" w:rsidR="001310A4" w:rsidRPr="00530D53" w:rsidRDefault="001310A4" w:rsidP="0044016F">
            <w:pPr>
              <w:jc w:val="both"/>
              <w:rPr>
                <w:rFonts w:ascii="Century Gothic" w:eastAsia="Constantia" w:hAnsi="Century Gothic" w:cs="Constantia"/>
                <w:sz w:val="20"/>
                <w:szCs w:val="20"/>
              </w:rPr>
            </w:pPr>
            <w:r w:rsidRPr="00530D53">
              <w:rPr>
                <w:rFonts w:ascii="Century Gothic" w:eastAsia="Constantia" w:hAnsi="Century Gothic" w:cs="Constantia"/>
                <w:b/>
                <w:sz w:val="20"/>
                <w:szCs w:val="20"/>
              </w:rPr>
              <w:t>Artículo 12°.</w:t>
            </w:r>
            <w:r w:rsidRPr="00530D53">
              <w:rPr>
                <w:rFonts w:ascii="Century Gothic" w:eastAsia="Constantia" w:hAnsi="Century Gothic" w:cs="Constantia"/>
                <w:sz w:val="20"/>
                <w:szCs w:val="20"/>
              </w:rPr>
              <w:t xml:space="preserve"> La presente ley rige a partir de su publicación y deroga las disposiciones que le sean contrarias.</w:t>
            </w:r>
          </w:p>
          <w:p w14:paraId="3A35CB14" w14:textId="77777777" w:rsidR="001310A4" w:rsidRPr="00530D53" w:rsidRDefault="001310A4" w:rsidP="0044016F">
            <w:pPr>
              <w:jc w:val="both"/>
              <w:rPr>
                <w:rFonts w:ascii="Century Gothic" w:eastAsia="Constantia" w:hAnsi="Century Gothic" w:cs="Constantia"/>
                <w:b/>
                <w:sz w:val="20"/>
                <w:szCs w:val="20"/>
              </w:rPr>
            </w:pPr>
          </w:p>
        </w:tc>
        <w:tc>
          <w:tcPr>
            <w:tcW w:w="3003" w:type="dxa"/>
          </w:tcPr>
          <w:p w14:paraId="3CBC99E7" w14:textId="77777777" w:rsidR="001310A4" w:rsidRPr="00530D53" w:rsidRDefault="001310A4" w:rsidP="0044016F">
            <w:pPr>
              <w:jc w:val="both"/>
              <w:rPr>
                <w:rFonts w:ascii="Century Gothic" w:eastAsia="Constantia" w:hAnsi="Century Gothic" w:cs="Constantia"/>
                <w:sz w:val="20"/>
                <w:szCs w:val="20"/>
              </w:rPr>
            </w:pPr>
            <w:bookmarkStart w:id="14" w:name="_Hlk180576480"/>
            <w:r w:rsidRPr="00530D53">
              <w:rPr>
                <w:rFonts w:ascii="Century Gothic" w:eastAsia="Constantia" w:hAnsi="Century Gothic" w:cs="Constantia"/>
                <w:b/>
                <w:sz w:val="20"/>
                <w:szCs w:val="20"/>
              </w:rPr>
              <w:t>Artículo 11°.</w:t>
            </w:r>
            <w:r w:rsidRPr="00530D53">
              <w:rPr>
                <w:rFonts w:ascii="Century Gothic" w:eastAsia="Constantia" w:hAnsi="Century Gothic" w:cs="Constantia"/>
                <w:sz w:val="20"/>
                <w:szCs w:val="20"/>
              </w:rPr>
              <w:t xml:space="preserve"> La presente ley rige a partir de su publicación y deroga las disposiciones que le sean contrarias.</w:t>
            </w:r>
          </w:p>
          <w:bookmarkEnd w:id="14"/>
          <w:p w14:paraId="2A691261" w14:textId="77777777" w:rsidR="001310A4" w:rsidRPr="00530D53" w:rsidRDefault="001310A4" w:rsidP="0044016F">
            <w:pPr>
              <w:jc w:val="both"/>
              <w:rPr>
                <w:rFonts w:ascii="Century Gothic" w:eastAsia="Constantia" w:hAnsi="Century Gothic" w:cs="Constantia"/>
                <w:b/>
                <w:sz w:val="20"/>
                <w:szCs w:val="20"/>
              </w:rPr>
            </w:pPr>
          </w:p>
        </w:tc>
        <w:tc>
          <w:tcPr>
            <w:tcW w:w="2889" w:type="dxa"/>
          </w:tcPr>
          <w:p w14:paraId="1BF2D674" w14:textId="77777777" w:rsidR="001310A4" w:rsidRPr="00530D53" w:rsidRDefault="001310A4" w:rsidP="0044016F">
            <w:pPr>
              <w:jc w:val="both"/>
              <w:rPr>
                <w:rFonts w:ascii="Century Gothic" w:eastAsia="Constantia" w:hAnsi="Century Gothic" w:cs="Constantia"/>
                <w:b/>
                <w:sz w:val="20"/>
                <w:szCs w:val="20"/>
              </w:rPr>
            </w:pPr>
            <w:bookmarkStart w:id="15" w:name="_heading=h.gjdgxs" w:colFirst="0" w:colLast="0"/>
            <w:bookmarkEnd w:id="15"/>
            <w:r w:rsidRPr="00530D53">
              <w:rPr>
                <w:rFonts w:ascii="Century Gothic" w:eastAsia="Constantia" w:hAnsi="Century Gothic" w:cs="Constantia"/>
                <w:sz w:val="20"/>
                <w:szCs w:val="20"/>
              </w:rPr>
              <w:t xml:space="preserve">Se ajusta la numeración. </w:t>
            </w:r>
          </w:p>
        </w:tc>
      </w:tr>
    </w:tbl>
    <w:p w14:paraId="22354EF4" w14:textId="77777777" w:rsidR="00FC4F37" w:rsidRPr="00306F0D" w:rsidRDefault="00FC4F37" w:rsidP="00FC4F37">
      <w:pPr>
        <w:pStyle w:val="Prrafodelista"/>
        <w:numPr>
          <w:ilvl w:val="0"/>
          <w:numId w:val="5"/>
        </w:numPr>
        <w:ind w:right="474"/>
        <w:rPr>
          <w:rFonts w:ascii="Century Gothic" w:hAnsi="Century Gothic"/>
          <w:b/>
          <w:lang w:val="es-MX"/>
        </w:rPr>
      </w:pPr>
      <w:r w:rsidRPr="00306F0D">
        <w:rPr>
          <w:rFonts w:ascii="Century Gothic" w:hAnsi="Century Gothic"/>
          <w:b/>
          <w:lang w:val="es-MX"/>
        </w:rPr>
        <w:t>IMPACTO FISCAL</w:t>
      </w:r>
    </w:p>
    <w:p w14:paraId="6ABB1267" w14:textId="7C6FB7B9" w:rsidR="00FC4F37" w:rsidRPr="00306F0D" w:rsidRDefault="00FC4F37" w:rsidP="00980CBD">
      <w:pPr>
        <w:ind w:right="49"/>
        <w:jc w:val="both"/>
        <w:rPr>
          <w:rFonts w:ascii="Century Gothic" w:hAnsi="Century Gothic"/>
          <w:b/>
          <w:lang w:val="es-MX"/>
        </w:rPr>
      </w:pPr>
      <w:r w:rsidRPr="00306F0D">
        <w:rPr>
          <w:rFonts w:ascii="Century Gothic" w:eastAsia="Bookman Old Style" w:hAnsi="Century Gothic" w:cs="Bookman Old Style"/>
          <w:color w:val="000000"/>
          <w:lang w:val="es"/>
        </w:rPr>
        <w:t xml:space="preserve">Revisado el proyecto de ley se considera que el presente no genera ningún Impacto fiscal para su implementación. Sin embargo, de considerarse por parte del Ministerio de Hacienda u otros entes que así lo hiciere es importante recordar la normatividad en la materia: </w:t>
      </w:r>
    </w:p>
    <w:p w14:paraId="7EEB364F"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 xml:space="preserve">El artículo 7°, de la Ley 819, de 2003 “por la cual se dictan normas orgánicas en materia de presupuesto, responsabilidad y transparencia fiscal y se dictan otras disposiciones”, determina que en la exposición de motivos y en las ponencias de los proyectos de ley se debe hacer explícito el costo fiscal que se genera por el gasto ordenado o por el otorgamiento de beneficios tributarios, que debe ser compatible con el Marco Fiscal de Mediano Plazo, al mismo tiempo que debe señalar la fuente de financiación de dicho costo. </w:t>
      </w:r>
    </w:p>
    <w:p w14:paraId="38EF45FA"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Ahora bien, en cumplimiento a la disposición referida, se deja de manifiesto que el gasto de que tratan algunos artículos no se impone u ordena, sino que se autoriza, para que el Gobierno incorpore dentro del Presupuesto General de la Nación y/o impulse a través del sistema nacional de cofinanciación las apropiaciones requeridas para dar cumplimiento a lo allí estipulado. Frente a este acápite es importante manifestar que la Corte Constitucional le ha reconocido al Congreso de la República la facultad que tiene para aprobar proyectos de ley que comporten gasto público, siempre y cuando no se imponga su ejecución, sino que se faculte al Gobierno para incluir las partidas correspondientes en el Presupuesto General de la Nación.</w:t>
      </w:r>
    </w:p>
    <w:p w14:paraId="4638A34E"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 xml:space="preserve">Así mismo,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w:t>
      </w:r>
    </w:p>
    <w:p w14:paraId="05DDB1AB"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p>
    <w:p w14:paraId="24F5A7CB"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r w:rsidRPr="00530D53">
        <w:rPr>
          <w:rFonts w:ascii="Century Gothic" w:eastAsia="Bookman Old Style" w:hAnsi="Century Gothic" w:cs="Bookman Old Style"/>
          <w:color w:val="000000"/>
          <w:lang w:val="es"/>
        </w:rPr>
        <w:lastRenderedPageBreak/>
        <w:t>(…) el cumplimiento de lo dispuesto en el artículo 7° de la Ley 819 de 2003 corresponde al Congreso, pero principalmente al ministro de Hacienda y Crédito Público, en tanto que “es el que cuenta con los datos, los equipos de funcionarios y la experticia en materia económica (...)”</w:t>
      </w:r>
      <w:r w:rsidRPr="00530D53">
        <w:rPr>
          <w:rFonts w:ascii="Century Gothic" w:eastAsia="Bookman Old Style" w:hAnsi="Century Gothic" w:cs="Bookman Old Style"/>
          <w:color w:val="000000"/>
          <w:vertAlign w:val="superscript"/>
          <w:lang w:val="es"/>
        </w:rPr>
        <w:footnoteReference w:id="9"/>
      </w:r>
    </w:p>
    <w:p w14:paraId="7F32D2D6"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p>
    <w:p w14:paraId="5BCF4F81"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r w:rsidRPr="00530D53">
        <w:rPr>
          <w:rFonts w:ascii="Century Gothic" w:eastAsia="Bookman Old Style" w:hAnsi="Century Gothic" w:cs="Bookman Old Style"/>
          <w:color w:val="000000"/>
          <w:lang w:val="es"/>
        </w:rPr>
        <w:t>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 con los datos, los equipos de funcionarios y la experticia en materia económica.</w:t>
      </w:r>
    </w:p>
    <w:p w14:paraId="0FD67C75" w14:textId="77777777" w:rsidR="00FC4F37" w:rsidRPr="00306F0D" w:rsidRDefault="00FC4F37" w:rsidP="00FC4F37">
      <w:pPr>
        <w:pStyle w:val="Prrafodelista"/>
        <w:ind w:right="474"/>
        <w:rPr>
          <w:rFonts w:ascii="Century Gothic" w:hAnsi="Century Gothic"/>
          <w:b/>
          <w:lang w:val="es-MX"/>
        </w:rPr>
      </w:pPr>
    </w:p>
    <w:p w14:paraId="1E98DFC2" w14:textId="13372835" w:rsidR="00C06EDB" w:rsidRPr="00306F0D" w:rsidRDefault="00C06EDB" w:rsidP="00C06EDB">
      <w:pPr>
        <w:pStyle w:val="Prrafodelista"/>
        <w:numPr>
          <w:ilvl w:val="0"/>
          <w:numId w:val="5"/>
        </w:numPr>
        <w:ind w:right="474"/>
        <w:rPr>
          <w:rFonts w:ascii="Century Gothic" w:hAnsi="Century Gothic"/>
          <w:b/>
          <w:lang w:val="es-MX"/>
        </w:rPr>
      </w:pPr>
      <w:r w:rsidRPr="00306F0D">
        <w:rPr>
          <w:rFonts w:ascii="Century Gothic" w:hAnsi="Century Gothic"/>
          <w:b/>
          <w:lang w:val="es-MX"/>
        </w:rPr>
        <w:t>CONFLICTOS DE INTERÉS</w:t>
      </w:r>
    </w:p>
    <w:p w14:paraId="69CCD696" w14:textId="77777777" w:rsidR="00C06EDB" w:rsidRPr="00306F0D" w:rsidRDefault="00C06EDB" w:rsidP="00C06EDB">
      <w:pPr>
        <w:spacing w:line="276" w:lineRule="auto"/>
        <w:ind w:right="100"/>
        <w:jc w:val="both"/>
        <w:rPr>
          <w:rFonts w:ascii="Century Gothic" w:eastAsia="Arial" w:hAnsi="Century Gothic"/>
        </w:rPr>
      </w:pPr>
      <w:r w:rsidRPr="00306F0D">
        <w:rPr>
          <w:rFonts w:ascii="Century Gothic" w:eastAsia="Arial" w:hAnsi="Century Gothic"/>
        </w:rPr>
        <w:t>De conformidad con lo dispuesto en la Ley 2003 de 2019, para que se configure un conflicto de intereses los congresistas deberán estar incursos en:</w:t>
      </w:r>
    </w:p>
    <w:p w14:paraId="725132C6" w14:textId="77777777"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i/>
          <w:color w:val="000000"/>
        </w:rPr>
        <w:t>“</w:t>
      </w:r>
      <w:r w:rsidRPr="00306F0D">
        <w:rPr>
          <w:rFonts w:ascii="Century Gothic" w:eastAsia="Arial" w:hAnsi="Century Gothic"/>
          <w:b/>
          <w:bCs/>
          <w:i/>
          <w:color w:val="000000"/>
        </w:rPr>
        <w:t xml:space="preserve">Beneficio </w:t>
      </w:r>
      <w:r w:rsidRPr="00306F0D">
        <w:rPr>
          <w:rFonts w:ascii="Century Gothic" w:eastAsia="Arial" w:hAnsi="Century Gothic"/>
          <w:b/>
          <w:bCs/>
          <w:i/>
        </w:rPr>
        <w:t>particular</w:t>
      </w:r>
      <w:r w:rsidRPr="00306F0D">
        <w:rPr>
          <w:rFonts w:ascii="Century Gothic" w:eastAsia="Arial" w:hAnsi="Century Gothic"/>
          <w:i/>
        </w:rPr>
        <w:t>"</w:t>
      </w:r>
      <w:r w:rsidRPr="00306F0D">
        <w:rPr>
          <w:rFonts w:ascii="Century Gothic" w:eastAsia="Arial" w:hAnsi="Century Gothic"/>
          <w:i/>
          <w:color w:val="000000"/>
        </w:rPr>
        <w:t>: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015C08E" w14:textId="77777777"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b/>
          <w:bCs/>
          <w:i/>
          <w:color w:val="000000"/>
        </w:rPr>
        <w:t>Beneficio actual:</w:t>
      </w:r>
      <w:r w:rsidRPr="00306F0D">
        <w:rPr>
          <w:rFonts w:ascii="Century Gothic" w:eastAsia="Arial" w:hAnsi="Century Gothic"/>
          <w:i/>
          <w:color w:val="000000"/>
        </w:rPr>
        <w:t xml:space="preserve"> aquel que efectivamente se configura en las circunstancias presentes y existentes al momento en el que el congresista participa de la decisión;</w:t>
      </w:r>
    </w:p>
    <w:p w14:paraId="143A86EF" w14:textId="175A0724"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b/>
          <w:bCs/>
          <w:i/>
          <w:color w:val="000000"/>
        </w:rPr>
        <w:t>Beneficio directo</w:t>
      </w:r>
      <w:r w:rsidRPr="00306F0D">
        <w:rPr>
          <w:rFonts w:ascii="Century Gothic" w:eastAsia="Arial" w:hAnsi="Century Gothic"/>
          <w:i/>
          <w:color w:val="000000"/>
        </w:rPr>
        <w:t xml:space="preserve">: aquel que se produzca de forma específica respecto del congresista, de su cónyuge, compañero o compañera permanente, o parientes dentro del segundo grado de consanguinidad, segundo de afinidad o primero civil”. </w:t>
      </w:r>
    </w:p>
    <w:p w14:paraId="245729C3" w14:textId="77777777" w:rsidR="00C06EDB" w:rsidRPr="00306F0D" w:rsidRDefault="00C06EDB" w:rsidP="00C06EDB">
      <w:pPr>
        <w:spacing w:line="276" w:lineRule="auto"/>
        <w:jc w:val="both"/>
        <w:rPr>
          <w:rFonts w:ascii="Century Gothic" w:eastAsia="Arial" w:hAnsi="Century Gothic"/>
        </w:rPr>
      </w:pPr>
      <w:r w:rsidRPr="00306F0D">
        <w:rPr>
          <w:rFonts w:ascii="Century Gothic" w:eastAsia="Arial" w:hAnsi="Century Gothic"/>
        </w:rPr>
        <w:t>El mismo artículo 1 de la Ley 2003 de 2019 dispone:</w:t>
      </w:r>
    </w:p>
    <w:p w14:paraId="3EE9D463" w14:textId="77777777" w:rsidR="00C06EDB" w:rsidRPr="00306F0D" w:rsidRDefault="00C06EDB" w:rsidP="00C06EDB">
      <w:pPr>
        <w:spacing w:line="276" w:lineRule="auto"/>
        <w:ind w:left="567" w:right="-12"/>
        <w:jc w:val="both"/>
        <w:rPr>
          <w:rFonts w:ascii="Century Gothic" w:eastAsia="Arial" w:hAnsi="Century Gothic"/>
        </w:rPr>
      </w:pPr>
      <w:r w:rsidRPr="00306F0D">
        <w:rPr>
          <w:rFonts w:ascii="Century Gothic" w:eastAsia="Arial" w:hAnsi="Century Gothic"/>
        </w:rPr>
        <w:t>“</w:t>
      </w:r>
      <w:r w:rsidRPr="00306F0D">
        <w:rPr>
          <w:rFonts w:ascii="Century Gothic" w:eastAsia="Arial" w:hAnsi="Century Gothic"/>
          <w:i/>
        </w:rPr>
        <w:t>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14:paraId="44A8A7FD" w14:textId="77777777" w:rsidR="00C06EDB" w:rsidRPr="00306F0D" w:rsidRDefault="00C06EDB" w:rsidP="00C06EDB">
      <w:pPr>
        <w:jc w:val="both"/>
        <w:rPr>
          <w:rFonts w:ascii="Century Gothic" w:eastAsia="Arial" w:hAnsi="Century Gothic"/>
        </w:rPr>
      </w:pPr>
      <w:r w:rsidRPr="00306F0D">
        <w:rPr>
          <w:rFonts w:ascii="Century Gothic" w:eastAsia="Arial" w:hAnsi="Century Gothic"/>
        </w:rPr>
        <w:t xml:space="preserve">En cumplimiento de lo ordenado por el artículo 291 de la ley 5 de 1992, la suscrita ponente </w:t>
      </w:r>
      <w:r w:rsidRPr="00306F0D">
        <w:rPr>
          <w:rFonts w:ascii="Century Gothic" w:eastAsia="Arial" w:hAnsi="Century Gothic"/>
          <w:b/>
          <w:u w:val="single"/>
        </w:rPr>
        <w:t xml:space="preserve">no encuentra circunstancia de impedimento </w:t>
      </w:r>
      <w:r w:rsidRPr="00306F0D">
        <w:rPr>
          <w:rFonts w:ascii="Century Gothic" w:eastAsia="Arial" w:hAnsi="Century Gothic"/>
        </w:rPr>
        <w:t xml:space="preserve">al no evidenciarse un beneficio particular, actual y directo con relación a las disposiciones que pretenden establecer el presente proyecto de Acto Legislativo, por ser una reforma general, abstracta e impersonal. </w:t>
      </w:r>
    </w:p>
    <w:p w14:paraId="1927F79C" w14:textId="46040828" w:rsidR="003F0158" w:rsidRPr="00306F0D" w:rsidRDefault="00FC4F37" w:rsidP="00FC4F37">
      <w:pPr>
        <w:pStyle w:val="NormalWeb"/>
        <w:numPr>
          <w:ilvl w:val="0"/>
          <w:numId w:val="5"/>
        </w:numPr>
        <w:rPr>
          <w:rFonts w:ascii="Century Gothic" w:hAnsi="Century Gothic"/>
          <w:b/>
          <w:bCs/>
          <w:color w:val="000000"/>
          <w:sz w:val="22"/>
          <w:szCs w:val="22"/>
        </w:rPr>
      </w:pPr>
      <w:r w:rsidRPr="00306F0D">
        <w:rPr>
          <w:rFonts w:ascii="Century Gothic" w:hAnsi="Century Gothic"/>
          <w:b/>
          <w:bCs/>
          <w:color w:val="000000"/>
          <w:sz w:val="22"/>
          <w:szCs w:val="22"/>
        </w:rPr>
        <w:t>PROPOSICIÓN</w:t>
      </w:r>
    </w:p>
    <w:p w14:paraId="6FDFE201" w14:textId="14990F46" w:rsidR="003F0158" w:rsidRPr="005847C5" w:rsidRDefault="003F0158" w:rsidP="003F0158">
      <w:pPr>
        <w:pStyle w:val="NormalWeb"/>
        <w:jc w:val="both"/>
        <w:rPr>
          <w:rFonts w:ascii="Century Gothic" w:hAnsi="Century Gothic"/>
          <w:color w:val="000000"/>
          <w:sz w:val="22"/>
          <w:szCs w:val="22"/>
        </w:rPr>
      </w:pPr>
      <w:r w:rsidRPr="005847C5">
        <w:rPr>
          <w:rFonts w:ascii="Century Gothic" w:hAnsi="Century Gothic"/>
          <w:color w:val="000000"/>
          <w:sz w:val="22"/>
          <w:szCs w:val="22"/>
        </w:rPr>
        <w:t xml:space="preserve">Con fundamento en las anteriores consideraciones, presentamos ponencia positiva y, en consecuencia, solicitamos a los Honorables Representantes que integran la Comisión Primera de la Cámara de Representantes, dar Primer Debate </w:t>
      </w:r>
      <w:r w:rsidR="00FC4F37" w:rsidRPr="005847C5">
        <w:rPr>
          <w:rFonts w:ascii="Century Gothic" w:hAnsi="Century Gothic"/>
          <w:color w:val="000000"/>
          <w:sz w:val="22"/>
          <w:szCs w:val="22"/>
        </w:rPr>
        <w:t>y aprobar el</w:t>
      </w:r>
      <w:r w:rsidRPr="005847C5">
        <w:rPr>
          <w:rFonts w:ascii="Century Gothic" w:hAnsi="Century Gothic"/>
          <w:color w:val="000000"/>
          <w:sz w:val="22"/>
          <w:szCs w:val="22"/>
        </w:rPr>
        <w:t xml:space="preserve"> </w:t>
      </w:r>
      <w:r w:rsidR="004D65FF" w:rsidRPr="005847C5">
        <w:rPr>
          <w:rFonts w:ascii="Century Gothic" w:hAnsi="Century Gothic"/>
          <w:sz w:val="22"/>
          <w:szCs w:val="22"/>
          <w:lang w:val="es-MX"/>
        </w:rPr>
        <w:t>Proyecto de Ley No. 448 de 2024 Cámara – No. 062 de 2023 Senado “Por medio del cual se dictan medidas para reconocer, prevenir y sancionar violencia vicaria como una manifestación de violencia de género y se dictan otras disposiciones. "Ley Gabriel Esteban"</w:t>
      </w:r>
      <w:r w:rsidR="004D65FF" w:rsidRPr="005847C5">
        <w:rPr>
          <w:rFonts w:ascii="Century Gothic" w:hAnsi="Century Gothic"/>
          <w:sz w:val="22"/>
          <w:szCs w:val="22"/>
          <w:lang w:val="es-MX"/>
        </w:rPr>
        <w:t>,</w:t>
      </w:r>
      <w:r w:rsidR="004D65FF" w:rsidRPr="005847C5">
        <w:rPr>
          <w:rFonts w:ascii="Century Gothic" w:hAnsi="Century Gothic"/>
          <w:b/>
          <w:bCs/>
          <w:sz w:val="22"/>
          <w:szCs w:val="22"/>
          <w:lang w:val="es-MX"/>
        </w:rPr>
        <w:t xml:space="preserve"> </w:t>
      </w:r>
      <w:r w:rsidR="004D65FF" w:rsidRPr="005847C5">
        <w:rPr>
          <w:rFonts w:ascii="Century Gothic" w:hAnsi="Century Gothic"/>
          <w:sz w:val="22"/>
          <w:szCs w:val="22"/>
          <w:lang w:val="es-MX"/>
        </w:rPr>
        <w:t xml:space="preserve">conforme al texto propuesto. </w:t>
      </w:r>
      <w:r w:rsidR="005847C5">
        <w:rPr>
          <w:rFonts w:ascii="Century Gothic" w:hAnsi="Century Gothic"/>
          <w:sz w:val="22"/>
          <w:szCs w:val="22"/>
          <w:lang w:val="es-MX"/>
        </w:rPr>
        <w:tab/>
      </w:r>
      <w:r w:rsidR="005847C5">
        <w:rPr>
          <w:rFonts w:ascii="Century Gothic" w:hAnsi="Century Gothic"/>
          <w:sz w:val="22"/>
          <w:szCs w:val="22"/>
          <w:lang w:val="es-MX"/>
        </w:rPr>
        <w:br/>
      </w:r>
    </w:p>
    <w:tbl>
      <w:tblPr>
        <w:tblStyle w:val="Tablaconcuadrcula"/>
        <w:tblW w:w="9640" w:type="dxa"/>
        <w:tblInd w:w="-147" w:type="dxa"/>
        <w:tblLook w:val="04A0" w:firstRow="1" w:lastRow="0" w:firstColumn="1" w:lastColumn="0" w:noHBand="0" w:noVBand="1"/>
      </w:tblPr>
      <w:tblGrid>
        <w:gridCol w:w="4678"/>
        <w:gridCol w:w="4962"/>
      </w:tblGrid>
      <w:tr w:rsidR="00FC4F37" w:rsidRPr="00306F0D" w14:paraId="227D77CE" w14:textId="77777777" w:rsidTr="005C0778">
        <w:tc>
          <w:tcPr>
            <w:tcW w:w="4678" w:type="dxa"/>
            <w:vAlign w:val="bottom"/>
          </w:tcPr>
          <w:p w14:paraId="7346C907" w14:textId="77777777" w:rsidR="00FC4F37" w:rsidRPr="00306F0D" w:rsidRDefault="00FC4F37"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lastRenderedPageBreak/>
              <w:t>H.R. </w:t>
            </w:r>
            <w:hyperlink r:id="rId50" w:tgtFrame="_blank" w:history="1">
              <w:r w:rsidRPr="00306F0D">
                <w:rPr>
                  <w:rFonts w:ascii="Century Gothic" w:eastAsia="Times New Roman" w:hAnsi="Century Gothic" w:cs="Times New Roman"/>
                  <w:b/>
                  <w:lang w:eastAsia="es-CO"/>
                </w:rPr>
                <w:t>DELCY E. ISAZA BUENAVENTURA</w:t>
              </w:r>
            </w:hyperlink>
            <w:r w:rsidRPr="00306F0D">
              <w:rPr>
                <w:rFonts w:ascii="Century Gothic" w:eastAsia="Times New Roman" w:hAnsi="Century Gothic" w:cs="Times New Roman"/>
                <w:b/>
                <w:lang w:eastAsia="es-CO"/>
              </w:rPr>
              <w:br/>
              <w:t>PONENTE COORDINADORA</w:t>
            </w:r>
          </w:p>
        </w:tc>
        <w:tc>
          <w:tcPr>
            <w:tcW w:w="4962" w:type="dxa"/>
            <w:vAlign w:val="bottom"/>
          </w:tcPr>
          <w:p w14:paraId="6011B5EF" w14:textId="77777777" w:rsidR="00FC4F37" w:rsidRPr="00306F0D" w:rsidRDefault="00FC4F37" w:rsidP="005C0778">
            <w:pPr>
              <w:spacing w:line="360" w:lineRule="auto"/>
              <w:ind w:left="42" w:right="40"/>
              <w:jc w:val="center"/>
              <w:rPr>
                <w:rFonts w:ascii="Century Gothic" w:hAnsi="Century Gothic"/>
                <w:b/>
                <w:lang w:val="es-MX"/>
              </w:rPr>
            </w:pPr>
            <w:r w:rsidRPr="00306F0D">
              <w:rPr>
                <w:rFonts w:ascii="Century Gothic" w:eastAsia="Times New Roman" w:hAnsi="Century Gothic" w:cs="Times New Roman"/>
                <w:b/>
                <w:lang w:eastAsia="es-CO"/>
              </w:rPr>
              <w:t>H.R. </w:t>
            </w:r>
            <w:hyperlink r:id="rId51" w:tgtFrame="_blank" w:history="1">
              <w:r w:rsidRPr="00306F0D">
                <w:rPr>
                  <w:rFonts w:ascii="Century Gothic" w:eastAsia="Times New Roman" w:hAnsi="Century Gothic" w:cs="Times New Roman"/>
                  <w:b/>
                  <w:lang w:eastAsia="es-CO"/>
                </w:rPr>
                <w:t>ADRIANA CAROLINA ARBELÁEZ G</w:t>
              </w:r>
            </w:hyperlink>
            <w:r w:rsidRPr="00306F0D">
              <w:rPr>
                <w:rFonts w:ascii="Century Gothic" w:eastAsia="Times New Roman" w:hAnsi="Century Gothic" w:cs="Times New Roman"/>
                <w:b/>
                <w:lang w:eastAsia="es-CO"/>
              </w:rPr>
              <w:br/>
            </w:r>
            <w:r w:rsidRPr="00306F0D">
              <w:rPr>
                <w:rFonts w:ascii="Century Gothic" w:hAnsi="Century Gothic"/>
                <w:b/>
                <w:lang w:val="es-MX"/>
              </w:rPr>
              <w:t>PONENTE</w:t>
            </w:r>
          </w:p>
        </w:tc>
      </w:tr>
      <w:tr w:rsidR="00FC4F37" w:rsidRPr="00306F0D" w14:paraId="188D18A7" w14:textId="77777777" w:rsidTr="005C0778">
        <w:tc>
          <w:tcPr>
            <w:tcW w:w="4678" w:type="dxa"/>
            <w:vAlign w:val="bottom"/>
          </w:tcPr>
          <w:p w14:paraId="4269D57B"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p>
          <w:p w14:paraId="712F99A3" w14:textId="0E7D2A08" w:rsidR="00FC4F37" w:rsidRPr="00306F0D" w:rsidRDefault="00FC4F37"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br/>
              <w:t>H.R. </w:t>
            </w:r>
            <w:hyperlink r:id="rId52" w:tgtFrame="_blank" w:history="1">
              <w:r w:rsidRPr="00306F0D">
                <w:rPr>
                  <w:rFonts w:ascii="Century Gothic" w:eastAsia="Times New Roman" w:hAnsi="Century Gothic" w:cs="Times New Roman"/>
                  <w:b/>
                  <w:lang w:eastAsia="es-CO"/>
                </w:rPr>
                <w:t>KARYME ADRANA COTES MARTÍNEZ</w:t>
              </w:r>
            </w:hyperlink>
            <w:r w:rsidRPr="00306F0D">
              <w:rPr>
                <w:rFonts w:ascii="Century Gothic" w:eastAsia="Times New Roman" w:hAnsi="Century Gothic" w:cs="Times New Roman"/>
                <w:b/>
                <w:lang w:eastAsia="es-CO"/>
              </w:rPr>
              <w:br/>
              <w:t>PONENTE</w:t>
            </w:r>
          </w:p>
        </w:tc>
        <w:tc>
          <w:tcPr>
            <w:tcW w:w="4962" w:type="dxa"/>
            <w:vAlign w:val="bottom"/>
          </w:tcPr>
          <w:p w14:paraId="2B12E46A" w14:textId="77777777" w:rsidR="00FC4F37" w:rsidRPr="00306F0D" w:rsidRDefault="00FC4F37" w:rsidP="005C0778">
            <w:pPr>
              <w:spacing w:line="360" w:lineRule="auto"/>
              <w:ind w:left="42"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53" w:tgtFrame="_blank" w:history="1">
              <w:r w:rsidRPr="00306F0D">
                <w:rPr>
                  <w:rFonts w:ascii="Century Gothic" w:eastAsia="Times New Roman" w:hAnsi="Century Gothic" w:cs="Times New Roman"/>
                  <w:b/>
                  <w:lang w:eastAsia="es-CO"/>
                </w:rPr>
                <w:t>ANA PAOLA GARCÍA SOTO</w:t>
              </w:r>
            </w:hyperlink>
          </w:p>
          <w:p w14:paraId="0ED18FFA" w14:textId="77777777" w:rsidR="00FC4F37" w:rsidRPr="00306F0D" w:rsidRDefault="00FC4F37"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FC4F37" w:rsidRPr="00306F0D" w14:paraId="2473B50F" w14:textId="77777777" w:rsidTr="005C0778">
        <w:tc>
          <w:tcPr>
            <w:tcW w:w="4678" w:type="dxa"/>
            <w:vAlign w:val="bottom"/>
          </w:tcPr>
          <w:p w14:paraId="77F7864C"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p>
          <w:p w14:paraId="7D361D4B" w14:textId="591A45DC" w:rsidR="00980CBD" w:rsidRPr="00306F0D" w:rsidRDefault="00980CBD" w:rsidP="005C0778">
            <w:pPr>
              <w:spacing w:line="360" w:lineRule="auto"/>
              <w:ind w:left="41" w:right="29"/>
              <w:jc w:val="center"/>
              <w:rPr>
                <w:rFonts w:ascii="Century Gothic" w:eastAsia="Times New Roman" w:hAnsi="Century Gothic" w:cs="Times New Roman"/>
                <w:b/>
                <w:lang w:eastAsia="es-CO"/>
              </w:rPr>
            </w:pPr>
          </w:p>
          <w:p w14:paraId="700890BB" w14:textId="77777777" w:rsidR="00980CBD" w:rsidRPr="00306F0D" w:rsidRDefault="00980CBD" w:rsidP="005C0778">
            <w:pPr>
              <w:spacing w:line="360" w:lineRule="auto"/>
              <w:ind w:left="41" w:right="29"/>
              <w:jc w:val="center"/>
              <w:rPr>
                <w:rFonts w:ascii="Century Gothic" w:eastAsia="Times New Roman" w:hAnsi="Century Gothic" w:cs="Times New Roman"/>
                <w:b/>
                <w:lang w:eastAsia="es-CO"/>
              </w:rPr>
            </w:pPr>
          </w:p>
          <w:p w14:paraId="78FAC196" w14:textId="200EBA2A" w:rsidR="00FC4F37" w:rsidRPr="00306F0D" w:rsidRDefault="00FC4F37"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t>H.R. </w:t>
            </w:r>
            <w:hyperlink r:id="rId54" w:tgtFrame="_blank" w:history="1">
              <w:r w:rsidRPr="00306F0D">
                <w:rPr>
                  <w:rFonts w:ascii="Century Gothic" w:eastAsia="Times New Roman" w:hAnsi="Century Gothic" w:cs="Times New Roman"/>
                  <w:b/>
                  <w:lang w:eastAsia="es-CO"/>
                </w:rPr>
                <w:t>MARELEN CASTILLO TORRES</w:t>
              </w:r>
            </w:hyperlink>
            <w:r w:rsidRPr="00306F0D">
              <w:rPr>
                <w:rFonts w:ascii="Century Gothic" w:eastAsia="Times New Roman" w:hAnsi="Century Gothic" w:cs="Times New Roman"/>
                <w:b/>
                <w:lang w:eastAsia="es-CO"/>
              </w:rPr>
              <w:br/>
              <w:t>PONENTE</w:t>
            </w:r>
          </w:p>
        </w:tc>
        <w:tc>
          <w:tcPr>
            <w:tcW w:w="4962" w:type="dxa"/>
            <w:vAlign w:val="bottom"/>
          </w:tcPr>
          <w:p w14:paraId="2878153B" w14:textId="77777777" w:rsidR="00980CBD" w:rsidRPr="00306F0D" w:rsidRDefault="00980CBD" w:rsidP="005C0778">
            <w:pPr>
              <w:spacing w:line="360" w:lineRule="auto"/>
              <w:ind w:left="42" w:right="40"/>
              <w:jc w:val="center"/>
              <w:rPr>
                <w:rFonts w:ascii="Century Gothic" w:eastAsia="Times New Roman" w:hAnsi="Century Gothic" w:cs="Times New Roman"/>
                <w:b/>
                <w:lang w:eastAsia="es-CO"/>
              </w:rPr>
            </w:pPr>
          </w:p>
          <w:p w14:paraId="4061B79F" w14:textId="77777777" w:rsidR="00980CBD" w:rsidRPr="00306F0D" w:rsidRDefault="00980CBD" w:rsidP="005C0778">
            <w:pPr>
              <w:spacing w:line="360" w:lineRule="auto"/>
              <w:ind w:left="42" w:right="40"/>
              <w:jc w:val="center"/>
              <w:rPr>
                <w:rFonts w:ascii="Century Gothic" w:eastAsia="Times New Roman" w:hAnsi="Century Gothic" w:cs="Times New Roman"/>
                <w:b/>
                <w:lang w:eastAsia="es-CO"/>
              </w:rPr>
            </w:pPr>
          </w:p>
          <w:p w14:paraId="7B9AEFF6" w14:textId="77777777" w:rsidR="00980CBD" w:rsidRPr="00306F0D" w:rsidRDefault="00980CBD" w:rsidP="005C0778">
            <w:pPr>
              <w:spacing w:line="360" w:lineRule="auto"/>
              <w:ind w:left="42" w:right="40"/>
              <w:jc w:val="center"/>
              <w:rPr>
                <w:rFonts w:ascii="Century Gothic" w:eastAsia="Times New Roman" w:hAnsi="Century Gothic" w:cs="Times New Roman"/>
                <w:b/>
                <w:lang w:eastAsia="es-CO"/>
              </w:rPr>
            </w:pPr>
          </w:p>
          <w:p w14:paraId="46E184D0" w14:textId="5264AF03" w:rsidR="00FC4F37" w:rsidRPr="00306F0D" w:rsidRDefault="00FC4F37" w:rsidP="005C0778">
            <w:pPr>
              <w:spacing w:line="360" w:lineRule="auto"/>
              <w:ind w:left="42"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55" w:tgtFrame="_blank" w:history="1">
              <w:r w:rsidRPr="00306F0D">
                <w:rPr>
                  <w:rFonts w:ascii="Century Gothic" w:eastAsia="Times New Roman" w:hAnsi="Century Gothic" w:cs="Times New Roman"/>
                  <w:b/>
                  <w:lang w:eastAsia="es-CO"/>
                </w:rPr>
                <w:t>DIÓGENES QUINTERO AMAYA</w:t>
              </w:r>
            </w:hyperlink>
          </w:p>
          <w:p w14:paraId="54B0FA00" w14:textId="77777777" w:rsidR="00FC4F37" w:rsidRPr="00306F0D" w:rsidRDefault="00FC4F37"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FC4F37" w:rsidRPr="00306F0D" w14:paraId="7468D33D" w14:textId="77777777" w:rsidTr="005C0778">
        <w:tc>
          <w:tcPr>
            <w:tcW w:w="4678" w:type="dxa"/>
            <w:vAlign w:val="bottom"/>
          </w:tcPr>
          <w:p w14:paraId="05F5B8E0"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p>
          <w:p w14:paraId="3EC2143C"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p>
          <w:p w14:paraId="368F17BE" w14:textId="77777777" w:rsidR="00FC4F37" w:rsidRPr="00306F0D" w:rsidRDefault="00FC4F37"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br/>
              <w:t>H.R. </w:t>
            </w:r>
            <w:hyperlink r:id="rId56" w:tgtFrame="_blank" w:history="1">
              <w:r w:rsidRPr="00306F0D">
                <w:rPr>
                  <w:rFonts w:ascii="Century Gothic" w:eastAsia="Times New Roman" w:hAnsi="Century Gothic" w:cs="Times New Roman"/>
                  <w:b/>
                  <w:lang w:eastAsia="es-CO"/>
                </w:rPr>
                <w:t>HERACLITO LANDINEZ SUÁREZ</w:t>
              </w:r>
            </w:hyperlink>
            <w:r w:rsidRPr="00306F0D">
              <w:rPr>
                <w:rFonts w:ascii="Century Gothic" w:eastAsia="Times New Roman" w:hAnsi="Century Gothic" w:cs="Times New Roman"/>
                <w:b/>
                <w:lang w:eastAsia="es-CO"/>
              </w:rPr>
              <w:br/>
              <w:t>PONENTE</w:t>
            </w:r>
          </w:p>
        </w:tc>
        <w:tc>
          <w:tcPr>
            <w:tcW w:w="4962" w:type="dxa"/>
            <w:vAlign w:val="bottom"/>
          </w:tcPr>
          <w:p w14:paraId="2A8E949D" w14:textId="77777777" w:rsidR="00FC4F37" w:rsidRPr="00306F0D" w:rsidRDefault="00FC4F37" w:rsidP="005C0778">
            <w:pPr>
              <w:spacing w:line="360" w:lineRule="auto"/>
              <w:ind w:left="42" w:right="40"/>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57" w:tgtFrame="_blank" w:history="1">
              <w:r w:rsidRPr="00306F0D">
                <w:rPr>
                  <w:rFonts w:ascii="Century Gothic" w:eastAsia="Times New Roman" w:hAnsi="Century Gothic" w:cs="Times New Roman"/>
                  <w:b/>
                  <w:lang w:eastAsia="es-CO"/>
                </w:rPr>
                <w:t>JOSÉ JAIME USCÁTEGUI PASTRANA</w:t>
              </w:r>
            </w:hyperlink>
          </w:p>
          <w:p w14:paraId="3AE8148A" w14:textId="77777777" w:rsidR="00FC4F37" w:rsidRPr="00306F0D" w:rsidRDefault="00FC4F37"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FC4F37" w:rsidRPr="00306F0D" w14:paraId="5E3EAFD9" w14:textId="77777777" w:rsidTr="005C0778">
        <w:tc>
          <w:tcPr>
            <w:tcW w:w="4678" w:type="dxa"/>
            <w:vAlign w:val="bottom"/>
          </w:tcPr>
          <w:p w14:paraId="747CB495"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p>
          <w:p w14:paraId="6F28A7D8"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p>
          <w:p w14:paraId="05BC0315"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p>
          <w:p w14:paraId="18CEE89D" w14:textId="77777777" w:rsidR="00FC4F37" w:rsidRPr="00306F0D" w:rsidRDefault="00FC4F37"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58" w:tgtFrame="_blank" w:history="1">
              <w:r w:rsidRPr="00306F0D">
                <w:rPr>
                  <w:rFonts w:ascii="Century Gothic" w:eastAsia="Times New Roman" w:hAnsi="Century Gothic" w:cs="Times New Roman"/>
                  <w:b/>
                  <w:lang w:eastAsia="es-CO"/>
                </w:rPr>
                <w:t>CATHERINE JUVINAO CLAVIJO</w:t>
              </w:r>
            </w:hyperlink>
            <w:r w:rsidRPr="00306F0D">
              <w:rPr>
                <w:rFonts w:ascii="Century Gothic" w:eastAsia="Times New Roman" w:hAnsi="Century Gothic" w:cs="Times New Roman"/>
                <w:b/>
                <w:lang w:eastAsia="es-CO"/>
              </w:rPr>
              <w:br/>
              <w:t>PONENTE</w:t>
            </w:r>
          </w:p>
        </w:tc>
        <w:tc>
          <w:tcPr>
            <w:tcW w:w="4962" w:type="dxa"/>
            <w:vAlign w:val="bottom"/>
          </w:tcPr>
          <w:p w14:paraId="54BE9A69" w14:textId="77777777" w:rsidR="00FC4F37" w:rsidRPr="00306F0D" w:rsidRDefault="00FC4F37" w:rsidP="005C0778">
            <w:pPr>
              <w:spacing w:after="160" w:line="360" w:lineRule="auto"/>
              <w:ind w:left="42" w:right="40"/>
              <w:jc w:val="center"/>
              <w:rPr>
                <w:rFonts w:ascii="Century Gothic" w:eastAsia="Times New Roman" w:hAnsi="Century Gothic" w:cs="Times New Roman"/>
                <w:b/>
                <w:lang w:eastAsia="es-CO"/>
              </w:rPr>
            </w:pPr>
          </w:p>
          <w:p w14:paraId="2F36A402" w14:textId="77777777" w:rsidR="00FC4F37" w:rsidRPr="00306F0D" w:rsidRDefault="00FC4F37" w:rsidP="005C0778">
            <w:pPr>
              <w:spacing w:after="160" w:line="360" w:lineRule="auto"/>
              <w:ind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r w:rsidRPr="00306F0D">
              <w:rPr>
                <w:rFonts w:ascii="Century Gothic" w:eastAsia="Times New Roman" w:hAnsi="Century Gothic" w:cs="Times New Roman"/>
                <w:b/>
                <w:lang w:eastAsia="es-CO"/>
              </w:rPr>
              <w:br/>
              <w:t>H.R LUIS ALBERTO ALBÁN URBANO</w:t>
            </w:r>
            <w:r w:rsidRPr="00306F0D">
              <w:rPr>
                <w:rFonts w:ascii="Century Gothic" w:eastAsia="Times New Roman" w:hAnsi="Century Gothic" w:cs="Times New Roman"/>
                <w:b/>
                <w:lang w:eastAsia="es-CO"/>
              </w:rPr>
              <w:br/>
              <w:t>PONENTE</w:t>
            </w:r>
          </w:p>
        </w:tc>
      </w:tr>
    </w:tbl>
    <w:p w14:paraId="212F9958" w14:textId="77777777" w:rsidR="00980CBD" w:rsidRPr="00306F0D" w:rsidRDefault="00980CBD" w:rsidP="00980CBD">
      <w:pPr>
        <w:pStyle w:val="Prrafodelista"/>
        <w:ind w:right="474"/>
        <w:rPr>
          <w:rFonts w:ascii="Century Gothic" w:hAnsi="Century Gothic"/>
          <w:lang w:val="es-MX"/>
        </w:rPr>
      </w:pPr>
    </w:p>
    <w:p w14:paraId="291201F9" w14:textId="77777777" w:rsidR="00980CBD" w:rsidRPr="00306F0D" w:rsidRDefault="00980CBD" w:rsidP="00980CBD">
      <w:pPr>
        <w:pStyle w:val="Prrafodelista"/>
        <w:ind w:right="474"/>
        <w:rPr>
          <w:rFonts w:ascii="Century Gothic" w:hAnsi="Century Gothic"/>
          <w:lang w:val="es-MX"/>
        </w:rPr>
      </w:pPr>
    </w:p>
    <w:p w14:paraId="3453E3FA" w14:textId="77777777" w:rsidR="00980CBD" w:rsidRPr="00306F0D" w:rsidRDefault="00980CBD" w:rsidP="00980CBD">
      <w:pPr>
        <w:pStyle w:val="Prrafodelista"/>
        <w:ind w:right="474"/>
        <w:rPr>
          <w:rFonts w:ascii="Century Gothic" w:hAnsi="Century Gothic"/>
          <w:lang w:val="es-MX"/>
        </w:rPr>
      </w:pPr>
    </w:p>
    <w:p w14:paraId="53AAC81F" w14:textId="77777777" w:rsidR="00980CBD" w:rsidRPr="00306F0D" w:rsidRDefault="00980CBD" w:rsidP="00980CBD">
      <w:pPr>
        <w:pStyle w:val="Prrafodelista"/>
        <w:ind w:right="474"/>
        <w:rPr>
          <w:rFonts w:ascii="Century Gothic" w:hAnsi="Century Gothic"/>
          <w:lang w:val="es-MX"/>
        </w:rPr>
      </w:pPr>
    </w:p>
    <w:p w14:paraId="07D6E431" w14:textId="77777777" w:rsidR="00980CBD" w:rsidRPr="00306F0D" w:rsidRDefault="00980CBD" w:rsidP="00980CBD">
      <w:pPr>
        <w:pStyle w:val="Prrafodelista"/>
        <w:ind w:right="474"/>
        <w:rPr>
          <w:rFonts w:ascii="Century Gothic" w:hAnsi="Century Gothic"/>
          <w:lang w:val="es-MX"/>
        </w:rPr>
      </w:pPr>
    </w:p>
    <w:p w14:paraId="535F4BDD" w14:textId="77777777" w:rsidR="00980CBD" w:rsidRPr="00306F0D" w:rsidRDefault="00980CBD" w:rsidP="00980CBD">
      <w:pPr>
        <w:pStyle w:val="Prrafodelista"/>
        <w:ind w:right="474"/>
        <w:rPr>
          <w:rFonts w:ascii="Century Gothic" w:hAnsi="Century Gothic"/>
          <w:lang w:val="es-MX"/>
        </w:rPr>
      </w:pPr>
    </w:p>
    <w:p w14:paraId="135B1193" w14:textId="77777777" w:rsidR="00980CBD" w:rsidRPr="00306F0D" w:rsidRDefault="00980CBD" w:rsidP="00980CBD">
      <w:pPr>
        <w:pStyle w:val="Prrafodelista"/>
        <w:ind w:right="474"/>
        <w:rPr>
          <w:rFonts w:ascii="Century Gothic" w:hAnsi="Century Gothic"/>
          <w:lang w:val="es-MX"/>
        </w:rPr>
      </w:pPr>
    </w:p>
    <w:p w14:paraId="3DC599C5" w14:textId="77777777" w:rsidR="00980CBD" w:rsidRPr="00306F0D" w:rsidRDefault="00980CBD" w:rsidP="00980CBD">
      <w:pPr>
        <w:pStyle w:val="Prrafodelista"/>
        <w:ind w:right="474"/>
        <w:rPr>
          <w:rFonts w:ascii="Century Gothic" w:hAnsi="Century Gothic"/>
          <w:lang w:val="es-MX"/>
        </w:rPr>
      </w:pPr>
    </w:p>
    <w:p w14:paraId="4BE614C4" w14:textId="77777777" w:rsidR="00980CBD" w:rsidRDefault="00980CBD" w:rsidP="00980CBD">
      <w:pPr>
        <w:pStyle w:val="Prrafodelista"/>
        <w:ind w:right="474"/>
        <w:rPr>
          <w:rFonts w:ascii="Century Gothic" w:hAnsi="Century Gothic"/>
          <w:lang w:val="es-MX"/>
        </w:rPr>
      </w:pPr>
    </w:p>
    <w:p w14:paraId="203D63CB" w14:textId="77777777" w:rsidR="005847C5" w:rsidRDefault="005847C5" w:rsidP="00980CBD">
      <w:pPr>
        <w:pStyle w:val="Prrafodelista"/>
        <w:ind w:right="474"/>
        <w:rPr>
          <w:rFonts w:ascii="Century Gothic" w:hAnsi="Century Gothic"/>
          <w:lang w:val="es-MX"/>
        </w:rPr>
      </w:pPr>
    </w:p>
    <w:p w14:paraId="644C44B5" w14:textId="77777777" w:rsidR="005847C5" w:rsidRDefault="005847C5" w:rsidP="00980CBD">
      <w:pPr>
        <w:pStyle w:val="Prrafodelista"/>
        <w:ind w:right="474"/>
        <w:rPr>
          <w:rFonts w:ascii="Century Gothic" w:hAnsi="Century Gothic"/>
          <w:lang w:val="es-MX"/>
        </w:rPr>
      </w:pPr>
    </w:p>
    <w:p w14:paraId="341016BC" w14:textId="77777777" w:rsidR="005847C5" w:rsidRDefault="005847C5" w:rsidP="00980CBD">
      <w:pPr>
        <w:pStyle w:val="Prrafodelista"/>
        <w:ind w:right="474"/>
        <w:rPr>
          <w:rFonts w:ascii="Century Gothic" w:hAnsi="Century Gothic"/>
          <w:lang w:val="es-MX"/>
        </w:rPr>
      </w:pPr>
    </w:p>
    <w:p w14:paraId="37752A27" w14:textId="77777777" w:rsidR="005847C5" w:rsidRDefault="005847C5" w:rsidP="00980CBD">
      <w:pPr>
        <w:pStyle w:val="Prrafodelista"/>
        <w:ind w:right="474"/>
        <w:rPr>
          <w:rFonts w:ascii="Century Gothic" w:hAnsi="Century Gothic"/>
          <w:lang w:val="es-MX"/>
        </w:rPr>
      </w:pPr>
    </w:p>
    <w:p w14:paraId="148F2D14" w14:textId="77777777" w:rsidR="005847C5" w:rsidRDefault="005847C5" w:rsidP="00980CBD">
      <w:pPr>
        <w:pStyle w:val="Prrafodelista"/>
        <w:ind w:right="474"/>
        <w:rPr>
          <w:rFonts w:ascii="Century Gothic" w:hAnsi="Century Gothic"/>
          <w:lang w:val="es-MX"/>
        </w:rPr>
      </w:pPr>
    </w:p>
    <w:p w14:paraId="32702CBA" w14:textId="77777777" w:rsidR="005847C5" w:rsidRDefault="005847C5" w:rsidP="00980CBD">
      <w:pPr>
        <w:pStyle w:val="Prrafodelista"/>
        <w:ind w:right="474"/>
        <w:rPr>
          <w:rFonts w:ascii="Century Gothic" w:hAnsi="Century Gothic"/>
          <w:lang w:val="es-MX"/>
        </w:rPr>
      </w:pPr>
    </w:p>
    <w:p w14:paraId="427F13BB" w14:textId="77777777" w:rsidR="005847C5" w:rsidRDefault="005847C5" w:rsidP="00980CBD">
      <w:pPr>
        <w:pStyle w:val="Prrafodelista"/>
        <w:ind w:right="474"/>
        <w:rPr>
          <w:rFonts w:ascii="Century Gothic" w:hAnsi="Century Gothic"/>
          <w:lang w:val="es-MX"/>
        </w:rPr>
      </w:pPr>
    </w:p>
    <w:p w14:paraId="3E51E6F2" w14:textId="77777777" w:rsidR="005847C5" w:rsidRDefault="005847C5" w:rsidP="00980CBD">
      <w:pPr>
        <w:pStyle w:val="Prrafodelista"/>
        <w:ind w:right="474"/>
        <w:rPr>
          <w:rFonts w:ascii="Century Gothic" w:hAnsi="Century Gothic"/>
          <w:lang w:val="es-MX"/>
        </w:rPr>
      </w:pPr>
    </w:p>
    <w:p w14:paraId="461D14C4" w14:textId="77777777" w:rsidR="005847C5" w:rsidRDefault="005847C5" w:rsidP="00980CBD">
      <w:pPr>
        <w:pStyle w:val="Prrafodelista"/>
        <w:ind w:right="474"/>
        <w:rPr>
          <w:rFonts w:ascii="Century Gothic" w:hAnsi="Century Gothic"/>
          <w:lang w:val="es-MX"/>
        </w:rPr>
      </w:pPr>
    </w:p>
    <w:p w14:paraId="3056CAF1" w14:textId="77777777" w:rsidR="005847C5" w:rsidRDefault="005847C5" w:rsidP="00980CBD">
      <w:pPr>
        <w:pStyle w:val="Prrafodelista"/>
        <w:ind w:right="474"/>
        <w:rPr>
          <w:rFonts w:ascii="Century Gothic" w:hAnsi="Century Gothic"/>
          <w:lang w:val="es-MX"/>
        </w:rPr>
      </w:pPr>
    </w:p>
    <w:p w14:paraId="7D7FE6E0" w14:textId="77777777" w:rsidR="005847C5" w:rsidRDefault="005847C5" w:rsidP="00980CBD">
      <w:pPr>
        <w:pStyle w:val="Prrafodelista"/>
        <w:ind w:right="474"/>
        <w:rPr>
          <w:rFonts w:ascii="Century Gothic" w:hAnsi="Century Gothic"/>
          <w:lang w:val="es-MX"/>
        </w:rPr>
      </w:pPr>
    </w:p>
    <w:p w14:paraId="7603B48B" w14:textId="77777777" w:rsidR="005847C5" w:rsidRDefault="005847C5" w:rsidP="00980CBD">
      <w:pPr>
        <w:pStyle w:val="Prrafodelista"/>
        <w:ind w:right="474"/>
        <w:rPr>
          <w:rFonts w:ascii="Century Gothic" w:hAnsi="Century Gothic"/>
          <w:lang w:val="es-MX"/>
        </w:rPr>
      </w:pPr>
    </w:p>
    <w:p w14:paraId="2A3AB96F" w14:textId="77777777" w:rsidR="005847C5" w:rsidRDefault="005847C5" w:rsidP="00980CBD">
      <w:pPr>
        <w:pStyle w:val="Prrafodelista"/>
        <w:ind w:right="474"/>
        <w:rPr>
          <w:rFonts w:ascii="Century Gothic" w:hAnsi="Century Gothic"/>
          <w:lang w:val="es-MX"/>
        </w:rPr>
      </w:pPr>
    </w:p>
    <w:p w14:paraId="59A8C611" w14:textId="77777777" w:rsidR="005847C5" w:rsidRPr="00306F0D" w:rsidRDefault="005847C5" w:rsidP="00980CBD">
      <w:pPr>
        <w:pStyle w:val="Prrafodelista"/>
        <w:ind w:right="474"/>
        <w:rPr>
          <w:rFonts w:ascii="Century Gothic" w:hAnsi="Century Gothic"/>
          <w:lang w:val="es-MX"/>
        </w:rPr>
      </w:pPr>
    </w:p>
    <w:p w14:paraId="1CACB309" w14:textId="77777777" w:rsidR="00980CBD" w:rsidRPr="00306F0D" w:rsidRDefault="00980CBD" w:rsidP="00980CBD">
      <w:pPr>
        <w:pStyle w:val="Prrafodelista"/>
        <w:ind w:right="474"/>
        <w:rPr>
          <w:rFonts w:ascii="Century Gothic" w:hAnsi="Century Gothic"/>
          <w:lang w:val="es-MX"/>
        </w:rPr>
      </w:pPr>
    </w:p>
    <w:p w14:paraId="172FC806" w14:textId="77777777" w:rsidR="00980CBD" w:rsidRPr="00306F0D" w:rsidRDefault="00980CBD" w:rsidP="00980CBD">
      <w:pPr>
        <w:pStyle w:val="Prrafodelista"/>
        <w:ind w:right="474"/>
        <w:rPr>
          <w:rFonts w:ascii="Century Gothic" w:hAnsi="Century Gothic"/>
          <w:lang w:val="es-MX"/>
        </w:rPr>
      </w:pPr>
    </w:p>
    <w:p w14:paraId="05BC7EF7" w14:textId="77777777" w:rsidR="00044B1C" w:rsidRPr="00306F0D" w:rsidRDefault="00044B1C" w:rsidP="00980CBD">
      <w:pPr>
        <w:pStyle w:val="Prrafodelista"/>
        <w:ind w:right="474"/>
        <w:rPr>
          <w:rFonts w:ascii="Century Gothic" w:hAnsi="Century Gothic"/>
          <w:lang w:val="es-MX"/>
        </w:rPr>
      </w:pPr>
    </w:p>
    <w:p w14:paraId="7306D6BF" w14:textId="77777777" w:rsidR="00044B1C" w:rsidRPr="00306F0D" w:rsidRDefault="00044B1C" w:rsidP="00980CBD">
      <w:pPr>
        <w:pStyle w:val="Prrafodelista"/>
        <w:ind w:right="474"/>
        <w:rPr>
          <w:rFonts w:ascii="Century Gothic" w:hAnsi="Century Gothic"/>
          <w:lang w:val="es-MX"/>
        </w:rPr>
      </w:pPr>
    </w:p>
    <w:p w14:paraId="26ED3072" w14:textId="16ADA568" w:rsidR="004D65FF" w:rsidRPr="004D65FF" w:rsidRDefault="00FC4F37" w:rsidP="00EC37CB">
      <w:pPr>
        <w:pStyle w:val="Prrafodelista"/>
        <w:numPr>
          <w:ilvl w:val="0"/>
          <w:numId w:val="5"/>
        </w:numPr>
        <w:ind w:right="474"/>
        <w:jc w:val="center"/>
        <w:rPr>
          <w:rFonts w:ascii="Century Gothic" w:hAnsi="Century Gothic"/>
          <w:lang w:val="es-MX"/>
        </w:rPr>
      </w:pPr>
      <w:r w:rsidRPr="004D65FF">
        <w:rPr>
          <w:rFonts w:ascii="Century Gothic" w:eastAsia="Book Antiqua" w:hAnsi="Century Gothic" w:cs="Book Antiqua"/>
          <w:b/>
        </w:rPr>
        <w:t xml:space="preserve">TEXTO PROPUESTO PRIMER DEBATE CÁMARA </w:t>
      </w:r>
    </w:p>
    <w:p w14:paraId="618A1453" w14:textId="77777777" w:rsidR="004D65FF" w:rsidRPr="004D65FF" w:rsidRDefault="004D65FF" w:rsidP="004D65FF">
      <w:pPr>
        <w:pStyle w:val="Prrafodelista"/>
        <w:ind w:right="474"/>
        <w:rPr>
          <w:rFonts w:ascii="Century Gothic" w:hAnsi="Century Gothic"/>
          <w:lang w:val="es-MX"/>
        </w:rPr>
      </w:pPr>
    </w:p>
    <w:p w14:paraId="5EB18048" w14:textId="77777777" w:rsidR="004D65FF" w:rsidRDefault="004D65FF" w:rsidP="00FC4F37">
      <w:pPr>
        <w:ind w:left="360" w:right="474"/>
        <w:jc w:val="center"/>
        <w:rPr>
          <w:rFonts w:ascii="Century Gothic" w:eastAsia="Book Antiqua" w:hAnsi="Century Gothic" w:cs="Book Antiqua"/>
          <w:b/>
          <w:bCs/>
          <w:lang w:val="es-MX"/>
        </w:rPr>
      </w:pPr>
      <w:r w:rsidRPr="004D65FF">
        <w:rPr>
          <w:rFonts w:ascii="Century Gothic" w:eastAsia="Book Antiqua" w:hAnsi="Century Gothic" w:cs="Book Antiqua"/>
          <w:b/>
          <w:bCs/>
          <w:lang w:val="es-MX"/>
        </w:rPr>
        <w:t>Proyecto de Ley No. 448 de 2024 Cámara – No. 062 de 2023 Senado “Por medio del cual se dictan medidas para reconocer, prevenir y sancionar violencia vicaria como una manifestación de violencia de género y se dictan otras disposiciones. "Ley Gabriel Esteban"</w:t>
      </w:r>
    </w:p>
    <w:p w14:paraId="5A711874" w14:textId="77777777" w:rsidR="004D65FF" w:rsidRDefault="004D65FF" w:rsidP="00FC4F37">
      <w:pPr>
        <w:ind w:left="360" w:right="474"/>
        <w:jc w:val="center"/>
        <w:rPr>
          <w:rFonts w:ascii="Century Gothic" w:eastAsia="Book Antiqua" w:hAnsi="Century Gothic" w:cs="Book Antiqua"/>
          <w:b/>
          <w:bCs/>
          <w:lang w:val="es-MX"/>
        </w:rPr>
      </w:pPr>
    </w:p>
    <w:p w14:paraId="5D25C253" w14:textId="2B5DFBE6" w:rsidR="004D65FF" w:rsidRDefault="004D65FF" w:rsidP="00FC4F37">
      <w:pPr>
        <w:ind w:left="360" w:right="474"/>
        <w:jc w:val="center"/>
        <w:rPr>
          <w:rFonts w:ascii="Century Gothic" w:eastAsia="Book Antiqua" w:hAnsi="Century Gothic" w:cs="Book Antiqua"/>
          <w:b/>
          <w:bCs/>
          <w:lang w:val="es-MX"/>
        </w:rPr>
      </w:pPr>
      <w:r>
        <w:rPr>
          <w:rFonts w:ascii="Century Gothic" w:eastAsia="Book Antiqua" w:hAnsi="Century Gothic" w:cs="Book Antiqua"/>
          <w:b/>
          <w:bCs/>
          <w:lang w:val="es-MX"/>
        </w:rPr>
        <w:t xml:space="preserve">EL CONGRESO DE COLOMBIA </w:t>
      </w:r>
    </w:p>
    <w:p w14:paraId="32777661" w14:textId="77777777" w:rsidR="004D65FF" w:rsidRDefault="004D65FF" w:rsidP="00FC4F37">
      <w:pPr>
        <w:ind w:left="360" w:right="474"/>
        <w:jc w:val="center"/>
        <w:rPr>
          <w:rFonts w:ascii="Century Gothic" w:eastAsia="Book Antiqua" w:hAnsi="Century Gothic" w:cs="Book Antiqua"/>
          <w:b/>
          <w:bCs/>
          <w:lang w:val="es-MX"/>
        </w:rPr>
      </w:pPr>
    </w:p>
    <w:p w14:paraId="5C40403E" w14:textId="5D342660" w:rsidR="004D65FF" w:rsidRDefault="004D65FF" w:rsidP="00FC4F37">
      <w:pPr>
        <w:ind w:left="360" w:right="474"/>
        <w:jc w:val="center"/>
        <w:rPr>
          <w:rFonts w:ascii="Century Gothic" w:eastAsia="Book Antiqua" w:hAnsi="Century Gothic" w:cs="Book Antiqua"/>
          <w:b/>
          <w:bCs/>
          <w:lang w:val="es-MX"/>
        </w:rPr>
      </w:pPr>
      <w:r>
        <w:rPr>
          <w:rFonts w:ascii="Century Gothic" w:eastAsia="Book Antiqua" w:hAnsi="Century Gothic" w:cs="Book Antiqua"/>
          <w:b/>
          <w:bCs/>
          <w:lang w:val="es-MX"/>
        </w:rPr>
        <w:t xml:space="preserve">DECRETA </w:t>
      </w:r>
    </w:p>
    <w:p w14:paraId="0A86F708" w14:textId="77777777" w:rsidR="004D65FF" w:rsidRDefault="004D65FF" w:rsidP="00FC4F37">
      <w:pPr>
        <w:ind w:left="360" w:right="474"/>
        <w:jc w:val="center"/>
        <w:rPr>
          <w:rFonts w:ascii="Century Gothic" w:eastAsia="Book Antiqua" w:hAnsi="Century Gothic" w:cs="Book Antiqua"/>
          <w:b/>
          <w:bCs/>
          <w:lang w:val="es-MX"/>
        </w:rPr>
      </w:pPr>
    </w:p>
    <w:p w14:paraId="1D919EC8" w14:textId="5A9327F7" w:rsidR="00FC4F37" w:rsidRPr="00306F0D" w:rsidRDefault="00FC4F37" w:rsidP="00FC4F37">
      <w:pPr>
        <w:ind w:left="360" w:right="474"/>
        <w:jc w:val="center"/>
        <w:rPr>
          <w:rFonts w:ascii="Century Gothic" w:hAnsi="Century Gothic"/>
          <w:lang w:val="es-MX"/>
        </w:rPr>
      </w:pPr>
      <w:r w:rsidRPr="00306F0D">
        <w:rPr>
          <w:rFonts w:ascii="Century Gothic" w:eastAsia="Book Antiqua" w:hAnsi="Century Gothic" w:cs="Book Antiqua"/>
          <w:b/>
        </w:rPr>
        <w:t>DISPOSICIONES GENERALES</w:t>
      </w:r>
    </w:p>
    <w:p w14:paraId="3C7DD332" w14:textId="2683B734"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bCs/>
        </w:rPr>
        <w:t>Artículo 1°.</w:t>
      </w:r>
      <w:r w:rsidRPr="00306F0D">
        <w:rPr>
          <w:rFonts w:ascii="Century Gothic" w:eastAsia="Book Antiqua" w:hAnsi="Century Gothic" w:cs="Book Antiqua"/>
        </w:rPr>
        <w:t xml:space="preserve"> Objeto. La presente ley tiene por objeto garantizar una vida libre de violencia mediante el reconocimiento, prevención y sanción de la violencia vicaria como una manifestación de violencia contra la mujer y la integridad familiar.</w:t>
      </w:r>
    </w:p>
    <w:p w14:paraId="18E24342" w14:textId="3B3AFD70"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bCs/>
        </w:rPr>
        <w:t>Artículo 2°.</w:t>
      </w:r>
      <w:r w:rsidRPr="00306F0D">
        <w:rPr>
          <w:rFonts w:ascii="Century Gothic" w:eastAsia="Constantia" w:hAnsi="Century Gothic" w:cs="Constantia"/>
        </w:rPr>
        <w:t xml:space="preserve"> Enfoques. La presente ley está regida de manera transversal por los enfoques de género, derechos humanos, interseccional y diferencial y de curso de vida, de acuerdo con el marco jurídico vigente.</w:t>
      </w:r>
    </w:p>
    <w:p w14:paraId="5428E683" w14:textId="17C9F381"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bCs/>
        </w:rPr>
        <w:t>Artículo 3 °.</w:t>
      </w:r>
      <w:r w:rsidRPr="00306F0D">
        <w:rPr>
          <w:rFonts w:ascii="Century Gothic" w:eastAsia="Book Antiqua" w:hAnsi="Century Gothic" w:cs="Book Antiqua"/>
        </w:rPr>
        <w:t xml:space="preserve"> Violencia Vicaria. Se entiende por violencia vicaria como una violencia indirecta que tiene como fin afligir a una persona, menoscabar sus relaciones familiares o afectivas, instrumentalizando a un tercero como hijos, familiares, dependientes, personas o animales afectivamente significativos.</w:t>
      </w:r>
    </w:p>
    <w:p w14:paraId="43BFD852" w14:textId="45615E66" w:rsidR="00FC4F37" w:rsidRPr="00306F0D" w:rsidRDefault="00FC4F37" w:rsidP="00044B1C">
      <w:pPr>
        <w:ind w:right="49"/>
        <w:jc w:val="center"/>
        <w:rPr>
          <w:rFonts w:ascii="Century Gothic" w:eastAsia="Book Antiqua" w:hAnsi="Century Gothic" w:cs="Book Antiqua"/>
          <w:b/>
        </w:rPr>
      </w:pPr>
      <w:r w:rsidRPr="00306F0D">
        <w:rPr>
          <w:rFonts w:ascii="Century Gothic" w:eastAsia="Book Antiqua" w:hAnsi="Century Gothic" w:cs="Book Antiqua"/>
          <w:b/>
        </w:rPr>
        <w:br/>
        <w:t>TITULO I</w:t>
      </w:r>
    </w:p>
    <w:p w14:paraId="2C224072" w14:textId="398F5B07"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rPr>
        <w:t>Artículo 4°.</w:t>
      </w:r>
      <w:r w:rsidRPr="00306F0D">
        <w:rPr>
          <w:rFonts w:ascii="Century Gothic" w:eastAsia="Book Antiqua" w:hAnsi="Century Gothic" w:cs="Book Antiqua"/>
        </w:rPr>
        <w:t xml:space="preserve"> Modifíquese el artículo 2° de la Ley 1257 de 2008 el cual quedará así:</w:t>
      </w:r>
    </w:p>
    <w:p w14:paraId="390F200B" w14:textId="77777777" w:rsidR="00FC4F37" w:rsidRPr="00306F0D" w:rsidRDefault="00FC4F37" w:rsidP="00044B1C">
      <w:pPr>
        <w:ind w:right="49"/>
        <w:jc w:val="both"/>
        <w:rPr>
          <w:rFonts w:ascii="Century Gothic" w:eastAsia="Book Antiqua" w:hAnsi="Century Gothic" w:cs="Book Antiqua"/>
          <w:bCs/>
        </w:rPr>
      </w:pPr>
      <w:r w:rsidRPr="00306F0D">
        <w:rPr>
          <w:rFonts w:ascii="Century Gothic" w:eastAsia="Book Antiqua" w:hAnsi="Century Gothic" w:cs="Book Antiqua"/>
        </w:rPr>
        <w:t xml:space="preserve">Artículo 2°. Definición de violencia contra la mujer. Por violencia contra la mujer se entiende cualquier acción u omisión, que le cause muerte, daño o sufrimiento físico, sexual, psicológico, económico o patrimonial </w:t>
      </w:r>
      <w:r w:rsidRPr="00306F0D">
        <w:rPr>
          <w:rFonts w:ascii="Century Gothic" w:eastAsia="Book Antiqua" w:hAnsi="Century Gothic" w:cs="Book Antiqua"/>
          <w:bCs/>
        </w:rPr>
        <w:t>o vicaria por su condición de mujer, así como las amenazas de tales actos, la coacción o la privación arbitraria de la libertad, bien sea que se presente en el ámbito público o en el privado.</w:t>
      </w:r>
    </w:p>
    <w:p w14:paraId="144D1C8B" w14:textId="0FA3534B" w:rsidR="00FC4F37" w:rsidRPr="00306F0D" w:rsidRDefault="00FC4F37" w:rsidP="00044B1C">
      <w:pPr>
        <w:ind w:right="49"/>
        <w:jc w:val="both"/>
        <w:rPr>
          <w:rFonts w:ascii="Century Gothic" w:eastAsia="Book Antiqua" w:hAnsi="Century Gothic" w:cs="Book Antiqua"/>
          <w:bCs/>
        </w:rPr>
      </w:pPr>
      <w:r w:rsidRPr="00306F0D">
        <w:rPr>
          <w:rFonts w:ascii="Century Gothic" w:eastAsia="Book Antiqua" w:hAnsi="Century Gothic" w:cs="Book Antiqua"/>
          <w:bCs/>
        </w:rPr>
        <w:t>Así mismo, quedan comprendidas aquellas conductas que, por acción u omisión, se ejerzan sobre los/as hijos y/o personas del grupo familiar o afectivo de la mujer y que tengan por objeto o por resultado afectar su integridad psicológica, física, económica o patrimonial.</w:t>
      </w:r>
    </w:p>
    <w:p w14:paraId="30D241EF" w14:textId="6CBE9A20"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2205F2B7" w14:textId="672B9FEE"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5°.</w:t>
      </w:r>
      <w:r w:rsidRPr="00306F0D">
        <w:rPr>
          <w:rFonts w:ascii="Century Gothic" w:eastAsia="Constantia" w:hAnsi="Century Gothic" w:cs="Constantia"/>
        </w:rPr>
        <w:t xml:space="preserve"> MEDIDAS DE PROTECCIÓN EN CASOS DE VIOLENCIA VICARIA. En las denuncias recibidas por violencia vicaria la autoridad competente deberá establecer medidas de protección que trata el artículo 5 de Ley 294 de 1996 o la </w:t>
      </w:r>
      <w:r w:rsidRPr="00306F0D">
        <w:rPr>
          <w:rFonts w:ascii="Century Gothic" w:eastAsia="Constantia" w:hAnsi="Century Gothic" w:cs="Constantia"/>
        </w:rPr>
        <w:lastRenderedPageBreak/>
        <w:t>disposición que haga sus veces, sin perjuicio de las medidas de atención a que haya lugar al configurarse el delito de violencia vicaria por razones de género en el contexto familiar, garantizando los derechos consagrados en los artículos 7 y 8 de la Ley 1257 de 2008 y las disposiciones específicas que regulen la materia.</w:t>
      </w:r>
    </w:p>
    <w:p w14:paraId="5BC7AA6A" w14:textId="5F13DB1E" w:rsidR="00FC4F37" w:rsidRPr="00306F0D" w:rsidRDefault="00FC4F37" w:rsidP="00044B1C">
      <w:pPr>
        <w:ind w:right="49"/>
        <w:jc w:val="both"/>
        <w:rPr>
          <w:rFonts w:ascii="Century Gothic" w:eastAsia="Book Antiqua" w:hAnsi="Century Gothic" w:cs="Book Antiqua"/>
          <w:b/>
        </w:rPr>
      </w:pPr>
      <w:r w:rsidRPr="00306F0D">
        <w:rPr>
          <w:rFonts w:ascii="Century Gothic" w:eastAsia="Constantia" w:hAnsi="Century Gothic" w:cs="Constantia"/>
          <w:b/>
        </w:rPr>
        <w:t>Artículo 6°.</w:t>
      </w:r>
      <w:r w:rsidRPr="00306F0D">
        <w:rPr>
          <w:rFonts w:ascii="Century Gothic" w:eastAsia="Constantia" w:hAnsi="Century Gothic" w:cs="Constantia"/>
        </w:rPr>
        <w:t xml:space="preserve"> PROTECCIÓN AL MENOR POR VIOLENCIA VICARIA. En el procedimiento para la adopción de medidas de protección para casos de violencia contra la mujer o violencia intrafamiliar en los que se tenga prueba o indicios de violencia que vinculen a los hijos menores de edad, la autoridad competente deberá establecer de manera provisional medidas relacionadas con régimen de visitas, la guarda y custodia del menor, sin perjuicio de la competencia en materia civil de otras autoridades, quienes podrán ratificar esta medida o modificarla. La omisión del análisis de procedencia de estas medidas provisionales dará lugar a la configuración de falta disciplinaria del funcionario público que tenga conocimiento del caso.</w:t>
      </w:r>
    </w:p>
    <w:p w14:paraId="7B57C9BB" w14:textId="415F58F8" w:rsidR="00FC4F37" w:rsidRPr="00306F0D" w:rsidRDefault="00FC4F37" w:rsidP="00044B1C">
      <w:pPr>
        <w:ind w:right="49"/>
        <w:jc w:val="center"/>
        <w:rPr>
          <w:rFonts w:ascii="Century Gothic" w:eastAsia="Book Antiqua" w:hAnsi="Century Gothic" w:cs="Book Antiqua"/>
          <w:b/>
        </w:rPr>
      </w:pPr>
      <w:r w:rsidRPr="00306F0D">
        <w:rPr>
          <w:rFonts w:ascii="Century Gothic" w:eastAsia="Book Antiqua" w:hAnsi="Century Gothic" w:cs="Book Antiqua"/>
          <w:b/>
        </w:rPr>
        <w:t>TITULO II</w:t>
      </w:r>
      <w:r w:rsidRPr="00306F0D">
        <w:rPr>
          <w:rFonts w:ascii="Century Gothic" w:eastAsia="Book Antiqua" w:hAnsi="Century Gothic" w:cs="Book Antiqua"/>
          <w:b/>
        </w:rPr>
        <w:br/>
        <w:t>DE LA SANCIÓN PENAL</w:t>
      </w:r>
    </w:p>
    <w:p w14:paraId="42A05F7A" w14:textId="77777777"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7°.</w:t>
      </w:r>
      <w:r w:rsidRPr="00306F0D">
        <w:rPr>
          <w:rFonts w:ascii="Century Gothic" w:eastAsia="Constantia" w:hAnsi="Century Gothic" w:cs="Constantia"/>
        </w:rPr>
        <w:t xml:space="preserve">  Adiciónese un numeral al inciso primero del artículo 104 del Título I Delitos Contra la Vida y la Integridad Personal del Código Penal Ley 599 de 2000, así: </w:t>
      </w:r>
    </w:p>
    <w:p w14:paraId="28AA6807" w14:textId="77777777" w:rsidR="00FC4F37" w:rsidRPr="00306F0D" w:rsidRDefault="00FC4F37" w:rsidP="00044B1C">
      <w:pPr>
        <w:ind w:right="49"/>
        <w:jc w:val="both"/>
        <w:rPr>
          <w:rFonts w:ascii="Century Gothic" w:eastAsia="Constantia" w:hAnsi="Century Gothic" w:cs="Constantia"/>
          <w:b/>
        </w:rPr>
      </w:pPr>
      <w:r w:rsidRPr="00306F0D">
        <w:rPr>
          <w:rFonts w:ascii="Century Gothic" w:eastAsia="Constantia" w:hAnsi="Century Gothic" w:cs="Constantia"/>
          <w:b/>
        </w:rPr>
        <w:t xml:space="preserve">ARTÍCULO 104. CIRCUNSTANCIAS DE AGRAVACIÓN. </w:t>
      </w:r>
    </w:p>
    <w:p w14:paraId="5397DA81" w14:textId="77777777" w:rsidR="00FC4F37" w:rsidRPr="00306F0D" w:rsidRDefault="00FC4F37" w:rsidP="00044B1C">
      <w:pPr>
        <w:ind w:right="49"/>
        <w:jc w:val="both"/>
        <w:rPr>
          <w:rFonts w:ascii="Century Gothic" w:eastAsia="Constantia" w:hAnsi="Century Gothic" w:cs="Constantia"/>
          <w:b/>
        </w:rPr>
      </w:pPr>
      <w:r w:rsidRPr="00306F0D">
        <w:rPr>
          <w:rFonts w:ascii="Century Gothic" w:eastAsia="Constantia" w:hAnsi="Century Gothic" w:cs="Constantia"/>
          <w:b/>
        </w:rPr>
        <w:t>(...)</w:t>
      </w:r>
    </w:p>
    <w:p w14:paraId="7772E7AE" w14:textId="77777777" w:rsidR="00FC4F37" w:rsidRPr="00306F0D" w:rsidRDefault="00FC4F37" w:rsidP="00044B1C">
      <w:pPr>
        <w:pStyle w:val="Prrafodelista"/>
        <w:numPr>
          <w:ilvl w:val="0"/>
          <w:numId w:val="5"/>
        </w:numPr>
        <w:ind w:right="49"/>
        <w:jc w:val="both"/>
        <w:rPr>
          <w:rFonts w:ascii="Century Gothic" w:eastAsia="Book Antiqua" w:hAnsi="Century Gothic" w:cs="Book Antiqua"/>
        </w:rPr>
      </w:pPr>
      <w:r w:rsidRPr="00306F0D">
        <w:rPr>
          <w:rFonts w:ascii="Century Gothic" w:eastAsia="Constantia" w:hAnsi="Century Gothic" w:cs="Constantia"/>
        </w:rPr>
        <w:t xml:space="preserve">Instrumentalizando a la víctima </w:t>
      </w:r>
      <w:r w:rsidRPr="00306F0D">
        <w:rPr>
          <w:rFonts w:ascii="Century Gothic" w:eastAsia="Book Antiqua" w:hAnsi="Century Gothic" w:cs="Book Antiqua"/>
        </w:rPr>
        <w:t>para causar daño a la integridad física, psicológica, económica o patrimonial del padre o madre; o menoscabar el vínculo familiar</w:t>
      </w:r>
    </w:p>
    <w:p w14:paraId="253FCB9F" w14:textId="5AE5D32C" w:rsidR="00FC4F37" w:rsidRPr="00306F0D" w:rsidRDefault="00FC4F37" w:rsidP="00044B1C">
      <w:pPr>
        <w:ind w:right="49"/>
        <w:jc w:val="both"/>
        <w:rPr>
          <w:rFonts w:ascii="Century Gothic" w:eastAsia="Book Antiqua" w:hAnsi="Century Gothic" w:cs="Book Antiqua"/>
          <w:u w:val="single"/>
        </w:rPr>
      </w:pPr>
      <w:r w:rsidRPr="00306F0D">
        <w:rPr>
          <w:rFonts w:ascii="Century Gothic" w:eastAsia="Book Antiqua" w:hAnsi="Century Gothic" w:cs="Book Antiqua"/>
          <w:b/>
        </w:rPr>
        <w:t xml:space="preserve">Artículo 8°. </w:t>
      </w:r>
      <w:r w:rsidRPr="00306F0D">
        <w:rPr>
          <w:rFonts w:ascii="Century Gothic" w:eastAsia="Book Antiqua" w:hAnsi="Century Gothic" w:cs="Book Antiqua"/>
        </w:rPr>
        <w:t xml:space="preserve">Adiciónese el artículo 230 B al Título VI Delitos contra la familia del Código Penal Ley 599 de 2000, así: </w:t>
      </w:r>
    </w:p>
    <w:p w14:paraId="600009DA" w14:textId="461CDBF1" w:rsidR="00FC4F37" w:rsidRPr="00306F0D" w:rsidRDefault="00FC4F37" w:rsidP="00044B1C">
      <w:pPr>
        <w:ind w:left="284" w:right="49"/>
        <w:jc w:val="both"/>
        <w:rPr>
          <w:rFonts w:ascii="Century Gothic" w:eastAsia="Book Antiqua" w:hAnsi="Century Gothic" w:cs="Book Antiqua"/>
        </w:rPr>
      </w:pPr>
      <w:r w:rsidRPr="00306F0D">
        <w:rPr>
          <w:rFonts w:ascii="Century Gothic" w:eastAsia="Book Antiqua" w:hAnsi="Century Gothic" w:cs="Book Antiqua"/>
          <w:b/>
        </w:rPr>
        <w:t>230B. VIOLENCIA VICARIA O POR SUSTITUCIÓN.</w:t>
      </w:r>
      <w:r w:rsidRPr="00306F0D">
        <w:rPr>
          <w:rFonts w:ascii="Century Gothic" w:eastAsia="Book Antiqua" w:hAnsi="Century Gothic" w:cs="Book Antiqua"/>
        </w:rPr>
        <w:t xml:space="preserve"> El que usare como instrumento a los hijos menores o mayores de edad con discapacidad de la persona con la que tenga o haya tenido vínculo de matrimonio, unión marital de hecho o relación de pareja para causar daño a la integridad física, psicológica, económica o patrimonial del padre o madre; o menoscabar el vínculo familiar afectivo incurrirá, por ese solo hecho, en prisión de uno (1) a seis (6) años y en multa de uno (1) a dieciséis (16) salarios mínimos legales mensuales vigentes.</w:t>
      </w:r>
    </w:p>
    <w:p w14:paraId="6F5C0011" w14:textId="77777777" w:rsidR="00FC4F37" w:rsidRPr="00306F0D" w:rsidRDefault="00FC4F37" w:rsidP="00044B1C">
      <w:pPr>
        <w:ind w:left="284" w:right="49"/>
        <w:jc w:val="both"/>
        <w:rPr>
          <w:rFonts w:ascii="Century Gothic" w:eastAsia="Book Antiqua" w:hAnsi="Century Gothic" w:cs="Book Antiqua"/>
        </w:rPr>
      </w:pPr>
    </w:p>
    <w:p w14:paraId="62835C92" w14:textId="3112A58F" w:rsidR="00FC4F37" w:rsidRPr="00306F0D" w:rsidRDefault="00FC4F37" w:rsidP="00044B1C">
      <w:pPr>
        <w:ind w:left="360" w:right="49"/>
        <w:jc w:val="center"/>
        <w:rPr>
          <w:rFonts w:ascii="Century Gothic" w:hAnsi="Century Gothic"/>
          <w:lang w:val="es-MX"/>
        </w:rPr>
      </w:pPr>
      <w:r w:rsidRPr="00306F0D">
        <w:rPr>
          <w:rFonts w:ascii="Century Gothic" w:eastAsia="Book Antiqua" w:hAnsi="Century Gothic" w:cs="Book Antiqua"/>
          <w:b/>
        </w:rPr>
        <w:t>DISPOSICIONES FINALES</w:t>
      </w:r>
    </w:p>
    <w:p w14:paraId="6B2C2DC1" w14:textId="648313CC"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9°º:</w:t>
      </w:r>
      <w:r w:rsidRPr="00306F0D">
        <w:rPr>
          <w:rFonts w:ascii="Century Gothic" w:eastAsia="Constantia" w:hAnsi="Century Gothic" w:cs="Constantia"/>
        </w:rPr>
        <w:t xml:space="preserve"> INFORMACIÓN, MONITOREO Y SEGUIMIENTO. Ministerio de Salud y Protección Social en coordinación con el Ministerio de Justicia y del Derecho, el Departamento Administrativo Nacional de Estadística, la Consejería Presidencial para la Equidad de la Mujer, y el Instituto Nacional de Medicina Legal y Ciencias Forenses en el término de seis meses contado a partir de la expedición de la presente ley, adicionará al Sistema Integrado de Información sobre Violencias de Género (SIVIGE) información estadística sobre violencia vicaria. El análisis y compilación estadística servirá de insumo para la formulación, la implementación y la evaluación de planes, programas, políticas públicas, acciones, estrategias orientadas a la prevención, atención y respuesta institucional en favor de las víctimas de violencia vicaria.</w:t>
      </w:r>
    </w:p>
    <w:p w14:paraId="081BF5F1" w14:textId="33B6D2A1"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10°.</w:t>
      </w:r>
      <w:r w:rsidRPr="00306F0D">
        <w:rPr>
          <w:rFonts w:ascii="Century Gothic" w:eastAsia="Constantia" w:hAnsi="Century Gothic" w:cs="Constantia"/>
        </w:rPr>
        <w:t xml:space="preserve"> En un plazo no mayor a doce (12) meses de expedida la presente ley, las entidades gubernamentales, en el orden nacional, departamental, distrital y municipal,</w:t>
      </w:r>
      <w:r w:rsidRPr="00306F0D">
        <w:rPr>
          <w:rFonts w:ascii="Century Gothic" w:hAnsi="Century Gothic"/>
        </w:rPr>
        <w:t xml:space="preserve"> </w:t>
      </w:r>
      <w:r w:rsidRPr="00306F0D">
        <w:rPr>
          <w:rFonts w:ascii="Century Gothic" w:eastAsia="Constantia" w:hAnsi="Century Gothic" w:cs="Constantia"/>
        </w:rPr>
        <w:t xml:space="preserve">establecerán los lineamientos para la formulación, implementación y evaluación de políticas públicas, con el fin de prevenir y afrontar la violencia vicaria, </w:t>
      </w:r>
      <w:r w:rsidRPr="00306F0D">
        <w:rPr>
          <w:rFonts w:ascii="Century Gothic" w:eastAsia="Constantia" w:hAnsi="Century Gothic" w:cs="Constantia"/>
        </w:rPr>
        <w:lastRenderedPageBreak/>
        <w:t>incluidos planes, programas y proyectos para disminuir la afectación y en consecuencia generar y reforzar proyectos de vida a las víctimas.</w:t>
      </w:r>
    </w:p>
    <w:p w14:paraId="4ACDA0BC" w14:textId="77777777"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11°.</w:t>
      </w:r>
      <w:r w:rsidRPr="00306F0D">
        <w:rPr>
          <w:rFonts w:ascii="Century Gothic" w:eastAsia="Constantia" w:hAnsi="Century Gothic" w:cs="Constantia"/>
        </w:rPr>
        <w:t xml:space="preserve"> La presente ley rige a partir de su publicación y deroga las disposiciones que le sean contrarias.</w:t>
      </w:r>
    </w:p>
    <w:p w14:paraId="08093140" w14:textId="77777777" w:rsidR="00C448E5" w:rsidRPr="00306F0D" w:rsidRDefault="00C448E5" w:rsidP="00FC4F37">
      <w:pPr>
        <w:jc w:val="both"/>
        <w:rPr>
          <w:rFonts w:ascii="Century Gothic" w:eastAsia="Constantia" w:hAnsi="Century Gothic" w:cs="Constantia"/>
        </w:rPr>
      </w:pPr>
    </w:p>
    <w:tbl>
      <w:tblPr>
        <w:tblStyle w:val="Tablaconcuadrcul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9C3E4B" w:rsidRPr="00306F0D" w14:paraId="545897C0" w14:textId="77777777" w:rsidTr="005847C5">
        <w:tc>
          <w:tcPr>
            <w:tcW w:w="4678" w:type="dxa"/>
            <w:vAlign w:val="bottom"/>
          </w:tcPr>
          <w:p w14:paraId="4D8F5910" w14:textId="77777777" w:rsidR="00044B1C" w:rsidRPr="00306F0D" w:rsidRDefault="00044B1C" w:rsidP="005C0778">
            <w:pPr>
              <w:spacing w:line="360" w:lineRule="auto"/>
              <w:ind w:left="41" w:right="29"/>
              <w:jc w:val="center"/>
              <w:rPr>
                <w:rFonts w:ascii="Century Gothic" w:eastAsia="Times New Roman" w:hAnsi="Century Gothic" w:cs="Times New Roman"/>
                <w:b/>
                <w:lang w:eastAsia="es-CO"/>
              </w:rPr>
            </w:pPr>
          </w:p>
          <w:p w14:paraId="561787A6" w14:textId="77777777" w:rsidR="00044B1C" w:rsidRPr="00306F0D" w:rsidRDefault="00044B1C" w:rsidP="005C0778">
            <w:pPr>
              <w:spacing w:line="360" w:lineRule="auto"/>
              <w:ind w:left="41" w:right="29"/>
              <w:jc w:val="center"/>
              <w:rPr>
                <w:rFonts w:ascii="Century Gothic" w:eastAsia="Times New Roman" w:hAnsi="Century Gothic" w:cs="Times New Roman"/>
                <w:b/>
                <w:lang w:eastAsia="es-CO"/>
              </w:rPr>
            </w:pPr>
          </w:p>
          <w:p w14:paraId="05AD06BF" w14:textId="0F58A0A5" w:rsidR="009C3E4B" w:rsidRPr="00306F0D" w:rsidRDefault="009C3E4B"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t>H.R. </w:t>
            </w:r>
            <w:hyperlink r:id="rId59" w:tgtFrame="_blank" w:history="1">
              <w:r w:rsidRPr="00306F0D">
                <w:rPr>
                  <w:rFonts w:ascii="Century Gothic" w:eastAsia="Times New Roman" w:hAnsi="Century Gothic" w:cs="Times New Roman"/>
                  <w:b/>
                  <w:lang w:eastAsia="es-CO"/>
                </w:rPr>
                <w:t>DELCY E. ISAZA BUENAVENTURA</w:t>
              </w:r>
            </w:hyperlink>
            <w:r w:rsidRPr="00306F0D">
              <w:rPr>
                <w:rFonts w:ascii="Century Gothic" w:eastAsia="Times New Roman" w:hAnsi="Century Gothic" w:cs="Times New Roman"/>
                <w:b/>
                <w:lang w:eastAsia="es-CO"/>
              </w:rPr>
              <w:br/>
              <w:t>PONENTE COORDINADORA</w:t>
            </w:r>
          </w:p>
        </w:tc>
        <w:tc>
          <w:tcPr>
            <w:tcW w:w="4678" w:type="dxa"/>
            <w:vAlign w:val="bottom"/>
          </w:tcPr>
          <w:p w14:paraId="4967BBA7" w14:textId="1A08B55F" w:rsidR="009C3E4B" w:rsidRPr="00306F0D" w:rsidRDefault="009C3E4B" w:rsidP="005C0778">
            <w:pPr>
              <w:spacing w:line="360" w:lineRule="auto"/>
              <w:ind w:left="42"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p>
          <w:p w14:paraId="4061BB4E" w14:textId="77777777" w:rsidR="00044B1C" w:rsidRPr="00306F0D" w:rsidRDefault="00044B1C" w:rsidP="005C0778">
            <w:pPr>
              <w:spacing w:line="360" w:lineRule="auto"/>
              <w:ind w:left="42" w:right="40"/>
              <w:jc w:val="center"/>
              <w:rPr>
                <w:rFonts w:ascii="Century Gothic" w:eastAsia="Times New Roman" w:hAnsi="Century Gothic" w:cs="Times New Roman"/>
                <w:b/>
                <w:lang w:eastAsia="es-CO"/>
              </w:rPr>
            </w:pPr>
          </w:p>
          <w:p w14:paraId="2B96D43B" w14:textId="77777777" w:rsidR="009C3E4B" w:rsidRPr="00306F0D" w:rsidRDefault="009C3E4B" w:rsidP="005C0778">
            <w:pPr>
              <w:spacing w:line="360" w:lineRule="auto"/>
              <w:ind w:left="42" w:right="40"/>
              <w:jc w:val="center"/>
              <w:rPr>
                <w:rFonts w:ascii="Century Gothic" w:hAnsi="Century Gothic"/>
                <w:b/>
                <w:lang w:val="es-MX"/>
              </w:rPr>
            </w:pPr>
            <w:r w:rsidRPr="00306F0D">
              <w:rPr>
                <w:rFonts w:ascii="Century Gothic" w:eastAsia="Times New Roman" w:hAnsi="Century Gothic" w:cs="Times New Roman"/>
                <w:b/>
                <w:lang w:eastAsia="es-CO"/>
              </w:rPr>
              <w:t>H.R. </w:t>
            </w:r>
            <w:hyperlink r:id="rId60" w:tgtFrame="_blank" w:history="1">
              <w:r w:rsidRPr="00306F0D">
                <w:rPr>
                  <w:rFonts w:ascii="Century Gothic" w:eastAsia="Times New Roman" w:hAnsi="Century Gothic" w:cs="Times New Roman"/>
                  <w:b/>
                  <w:lang w:eastAsia="es-CO"/>
                </w:rPr>
                <w:t>ADRIANA CAROLINA ARBELÁEZ G</w:t>
              </w:r>
            </w:hyperlink>
            <w:r w:rsidRPr="00306F0D">
              <w:rPr>
                <w:rFonts w:ascii="Century Gothic" w:eastAsia="Times New Roman" w:hAnsi="Century Gothic" w:cs="Times New Roman"/>
                <w:b/>
                <w:lang w:eastAsia="es-CO"/>
              </w:rPr>
              <w:br/>
            </w:r>
            <w:r w:rsidRPr="00306F0D">
              <w:rPr>
                <w:rFonts w:ascii="Century Gothic" w:hAnsi="Century Gothic"/>
                <w:b/>
                <w:lang w:val="es-MX"/>
              </w:rPr>
              <w:t>PONENTE</w:t>
            </w:r>
          </w:p>
        </w:tc>
      </w:tr>
      <w:tr w:rsidR="009C3E4B" w:rsidRPr="00306F0D" w14:paraId="5FC0B301" w14:textId="77777777" w:rsidTr="005847C5">
        <w:tc>
          <w:tcPr>
            <w:tcW w:w="4678" w:type="dxa"/>
            <w:vAlign w:val="bottom"/>
          </w:tcPr>
          <w:p w14:paraId="65C2830E" w14:textId="77777777" w:rsidR="009C3E4B" w:rsidRPr="00306F0D" w:rsidRDefault="009C3E4B" w:rsidP="005C0778">
            <w:pPr>
              <w:spacing w:line="360" w:lineRule="auto"/>
              <w:ind w:left="41" w:right="29"/>
              <w:jc w:val="center"/>
              <w:rPr>
                <w:rFonts w:ascii="Century Gothic" w:eastAsia="Times New Roman" w:hAnsi="Century Gothic" w:cs="Times New Roman"/>
                <w:b/>
                <w:lang w:eastAsia="es-CO"/>
              </w:rPr>
            </w:pPr>
          </w:p>
          <w:p w14:paraId="722A95E9" w14:textId="77777777" w:rsidR="009C3E4B" w:rsidRPr="00306F0D" w:rsidRDefault="009C3E4B"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br/>
            </w:r>
            <w:r w:rsidRPr="00306F0D">
              <w:rPr>
                <w:rFonts w:ascii="Century Gothic" w:eastAsia="Times New Roman" w:hAnsi="Century Gothic" w:cs="Times New Roman"/>
                <w:b/>
                <w:lang w:eastAsia="es-CO"/>
              </w:rPr>
              <w:br/>
              <w:t>H.R. </w:t>
            </w:r>
            <w:hyperlink r:id="rId61" w:tgtFrame="_blank" w:history="1">
              <w:r w:rsidRPr="00306F0D">
                <w:rPr>
                  <w:rFonts w:ascii="Century Gothic" w:eastAsia="Times New Roman" w:hAnsi="Century Gothic" w:cs="Times New Roman"/>
                  <w:b/>
                  <w:lang w:eastAsia="es-CO"/>
                </w:rPr>
                <w:t>KARYME ADRANA COTES MARTÍNEZ</w:t>
              </w:r>
            </w:hyperlink>
            <w:r w:rsidRPr="00306F0D">
              <w:rPr>
                <w:rFonts w:ascii="Century Gothic" w:eastAsia="Times New Roman" w:hAnsi="Century Gothic" w:cs="Times New Roman"/>
                <w:b/>
                <w:lang w:eastAsia="es-CO"/>
              </w:rPr>
              <w:br/>
              <w:t>PONENTE</w:t>
            </w:r>
          </w:p>
        </w:tc>
        <w:tc>
          <w:tcPr>
            <w:tcW w:w="4678" w:type="dxa"/>
            <w:vAlign w:val="bottom"/>
          </w:tcPr>
          <w:p w14:paraId="66C60613" w14:textId="77777777" w:rsidR="009C3E4B" w:rsidRPr="00306F0D" w:rsidRDefault="009C3E4B" w:rsidP="005C0778">
            <w:pPr>
              <w:spacing w:line="360" w:lineRule="auto"/>
              <w:ind w:left="42" w:right="40"/>
              <w:jc w:val="center"/>
              <w:rPr>
                <w:rFonts w:ascii="Century Gothic" w:eastAsia="Times New Roman" w:hAnsi="Century Gothic" w:cs="Times New Roman"/>
                <w:b/>
                <w:lang w:eastAsia="es-CO"/>
              </w:rPr>
            </w:pPr>
          </w:p>
          <w:p w14:paraId="55E3FF9C" w14:textId="77777777" w:rsidR="009C3E4B" w:rsidRPr="00306F0D" w:rsidRDefault="009C3E4B" w:rsidP="005C0778">
            <w:pPr>
              <w:spacing w:line="360" w:lineRule="auto"/>
              <w:ind w:left="42"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62" w:tgtFrame="_blank" w:history="1">
              <w:r w:rsidRPr="00306F0D">
                <w:rPr>
                  <w:rFonts w:ascii="Century Gothic" w:eastAsia="Times New Roman" w:hAnsi="Century Gothic" w:cs="Times New Roman"/>
                  <w:b/>
                  <w:lang w:eastAsia="es-CO"/>
                </w:rPr>
                <w:t>ANA PAOLA GARCÍA SOTO</w:t>
              </w:r>
            </w:hyperlink>
          </w:p>
          <w:p w14:paraId="26D1F56A" w14:textId="77777777" w:rsidR="009C3E4B" w:rsidRPr="00306F0D" w:rsidRDefault="009C3E4B"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9C3E4B" w:rsidRPr="00306F0D" w14:paraId="407CF534" w14:textId="77777777" w:rsidTr="005847C5">
        <w:tc>
          <w:tcPr>
            <w:tcW w:w="4678" w:type="dxa"/>
            <w:vAlign w:val="bottom"/>
          </w:tcPr>
          <w:p w14:paraId="6065D7D7" w14:textId="00B6AD06" w:rsidR="009C3E4B" w:rsidRPr="00306F0D" w:rsidRDefault="009C3E4B"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t>H.R. </w:t>
            </w:r>
            <w:hyperlink r:id="rId63" w:tgtFrame="_blank" w:history="1">
              <w:r w:rsidRPr="00306F0D">
                <w:rPr>
                  <w:rFonts w:ascii="Century Gothic" w:eastAsia="Times New Roman" w:hAnsi="Century Gothic" w:cs="Times New Roman"/>
                  <w:b/>
                  <w:lang w:eastAsia="es-CO"/>
                </w:rPr>
                <w:t>MARELEN CASTILLO TORRES</w:t>
              </w:r>
            </w:hyperlink>
            <w:r w:rsidRPr="00306F0D">
              <w:rPr>
                <w:rFonts w:ascii="Century Gothic" w:eastAsia="Times New Roman" w:hAnsi="Century Gothic" w:cs="Times New Roman"/>
                <w:b/>
                <w:lang w:eastAsia="es-CO"/>
              </w:rPr>
              <w:br/>
              <w:t>PONENTE</w:t>
            </w:r>
          </w:p>
        </w:tc>
        <w:tc>
          <w:tcPr>
            <w:tcW w:w="4678" w:type="dxa"/>
            <w:vAlign w:val="bottom"/>
          </w:tcPr>
          <w:p w14:paraId="4FF408A4" w14:textId="77777777" w:rsidR="00044B1C" w:rsidRPr="00306F0D" w:rsidRDefault="00044B1C" w:rsidP="005C0778">
            <w:pPr>
              <w:spacing w:line="360" w:lineRule="auto"/>
              <w:ind w:right="40"/>
              <w:jc w:val="center"/>
              <w:rPr>
                <w:rFonts w:ascii="Century Gothic" w:eastAsia="Times New Roman" w:hAnsi="Century Gothic" w:cs="Times New Roman"/>
                <w:b/>
                <w:lang w:eastAsia="es-CO"/>
              </w:rPr>
            </w:pPr>
          </w:p>
          <w:p w14:paraId="22238975" w14:textId="77777777" w:rsidR="00044B1C" w:rsidRDefault="00044B1C" w:rsidP="005C0778">
            <w:pPr>
              <w:spacing w:line="360" w:lineRule="auto"/>
              <w:ind w:right="40"/>
              <w:jc w:val="center"/>
              <w:rPr>
                <w:rFonts w:ascii="Century Gothic" w:eastAsia="Times New Roman" w:hAnsi="Century Gothic" w:cs="Times New Roman"/>
                <w:b/>
                <w:lang w:eastAsia="es-CO"/>
              </w:rPr>
            </w:pPr>
          </w:p>
          <w:p w14:paraId="351F7ABB" w14:textId="77777777" w:rsidR="005847C5" w:rsidRPr="00306F0D" w:rsidRDefault="005847C5" w:rsidP="005C0778">
            <w:pPr>
              <w:spacing w:line="360" w:lineRule="auto"/>
              <w:ind w:right="40"/>
              <w:jc w:val="center"/>
              <w:rPr>
                <w:rFonts w:ascii="Century Gothic" w:eastAsia="Times New Roman" w:hAnsi="Century Gothic" w:cs="Times New Roman"/>
                <w:b/>
                <w:lang w:eastAsia="es-CO"/>
              </w:rPr>
            </w:pPr>
          </w:p>
          <w:p w14:paraId="3E163A6F" w14:textId="7D939762" w:rsidR="009C3E4B" w:rsidRPr="00306F0D" w:rsidRDefault="009C3E4B" w:rsidP="005C0778">
            <w:pPr>
              <w:spacing w:line="360" w:lineRule="auto"/>
              <w:ind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64" w:tgtFrame="_blank" w:history="1">
              <w:r w:rsidRPr="00306F0D">
                <w:rPr>
                  <w:rFonts w:ascii="Century Gothic" w:eastAsia="Times New Roman" w:hAnsi="Century Gothic" w:cs="Times New Roman"/>
                  <w:b/>
                  <w:lang w:eastAsia="es-CO"/>
                </w:rPr>
                <w:t>DIOGENES QUINTERO AMAYA</w:t>
              </w:r>
            </w:hyperlink>
          </w:p>
          <w:p w14:paraId="75CC7A4E" w14:textId="77777777" w:rsidR="009C3E4B" w:rsidRPr="00306F0D" w:rsidRDefault="009C3E4B"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9C3E4B" w:rsidRPr="00306F0D" w14:paraId="5246F8EF" w14:textId="77777777" w:rsidTr="005847C5">
        <w:tc>
          <w:tcPr>
            <w:tcW w:w="4678" w:type="dxa"/>
            <w:vAlign w:val="bottom"/>
          </w:tcPr>
          <w:p w14:paraId="14D790E7" w14:textId="77777777" w:rsidR="009C3E4B" w:rsidRPr="00306F0D" w:rsidRDefault="009C3E4B"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r>
          </w:p>
          <w:p w14:paraId="2CDEAC8F" w14:textId="77777777" w:rsidR="009C3E4B" w:rsidRPr="00306F0D" w:rsidRDefault="009C3E4B" w:rsidP="005C0778">
            <w:pPr>
              <w:spacing w:line="360" w:lineRule="auto"/>
              <w:ind w:left="41" w:right="29"/>
              <w:jc w:val="center"/>
              <w:rPr>
                <w:rFonts w:ascii="Century Gothic" w:hAnsi="Century Gothic"/>
                <w:b/>
                <w:lang w:val="es-MX"/>
              </w:rPr>
            </w:pPr>
            <w:r w:rsidRPr="00306F0D">
              <w:rPr>
                <w:rFonts w:ascii="Century Gothic" w:eastAsia="Times New Roman" w:hAnsi="Century Gothic" w:cs="Times New Roman"/>
                <w:b/>
                <w:lang w:eastAsia="es-CO"/>
              </w:rPr>
              <w:br/>
              <w:t>H.R. </w:t>
            </w:r>
            <w:hyperlink r:id="rId65" w:tgtFrame="_blank" w:history="1">
              <w:r w:rsidRPr="00306F0D">
                <w:rPr>
                  <w:rFonts w:ascii="Century Gothic" w:eastAsia="Times New Roman" w:hAnsi="Century Gothic" w:cs="Times New Roman"/>
                  <w:b/>
                  <w:lang w:eastAsia="es-CO"/>
                </w:rPr>
                <w:t>HERACLITO LANDINEZ SUÁREZ</w:t>
              </w:r>
            </w:hyperlink>
            <w:r w:rsidRPr="00306F0D">
              <w:rPr>
                <w:rFonts w:ascii="Century Gothic" w:eastAsia="Times New Roman" w:hAnsi="Century Gothic" w:cs="Times New Roman"/>
                <w:b/>
                <w:lang w:eastAsia="es-CO"/>
              </w:rPr>
              <w:br/>
              <w:t>PONENTE</w:t>
            </w:r>
          </w:p>
        </w:tc>
        <w:tc>
          <w:tcPr>
            <w:tcW w:w="4678" w:type="dxa"/>
            <w:vAlign w:val="bottom"/>
          </w:tcPr>
          <w:p w14:paraId="758EBE17" w14:textId="77777777" w:rsidR="009C3E4B" w:rsidRPr="00306F0D" w:rsidRDefault="009C3E4B" w:rsidP="005C0778">
            <w:pPr>
              <w:spacing w:line="360" w:lineRule="auto"/>
              <w:ind w:left="42" w:right="40"/>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66" w:tgtFrame="_blank" w:history="1">
              <w:r w:rsidRPr="00306F0D">
                <w:rPr>
                  <w:rFonts w:ascii="Century Gothic" w:eastAsia="Times New Roman" w:hAnsi="Century Gothic" w:cs="Times New Roman"/>
                  <w:b/>
                  <w:lang w:eastAsia="es-CO"/>
                </w:rPr>
                <w:t>JOSÉ JAIME USCÁTEGUI PASTRANA</w:t>
              </w:r>
            </w:hyperlink>
          </w:p>
          <w:p w14:paraId="001F77E3" w14:textId="77777777" w:rsidR="009C3E4B" w:rsidRPr="00306F0D" w:rsidRDefault="009C3E4B" w:rsidP="005C0778">
            <w:pPr>
              <w:spacing w:line="360" w:lineRule="auto"/>
              <w:ind w:left="42" w:right="40"/>
              <w:jc w:val="center"/>
              <w:rPr>
                <w:rFonts w:ascii="Century Gothic" w:hAnsi="Century Gothic"/>
                <w:b/>
                <w:lang w:val="es-MX"/>
              </w:rPr>
            </w:pPr>
            <w:r w:rsidRPr="00306F0D">
              <w:rPr>
                <w:rFonts w:ascii="Century Gothic" w:hAnsi="Century Gothic"/>
                <w:b/>
                <w:lang w:val="es-MX"/>
              </w:rPr>
              <w:t>PONENTE</w:t>
            </w:r>
          </w:p>
        </w:tc>
      </w:tr>
      <w:tr w:rsidR="009C3E4B" w:rsidRPr="00306F0D" w14:paraId="0D72E9A5" w14:textId="77777777" w:rsidTr="005847C5">
        <w:tc>
          <w:tcPr>
            <w:tcW w:w="4678" w:type="dxa"/>
            <w:vAlign w:val="bottom"/>
          </w:tcPr>
          <w:p w14:paraId="07C8CEE2" w14:textId="77777777" w:rsidR="009C3E4B" w:rsidRPr="00306F0D" w:rsidRDefault="009C3E4B" w:rsidP="005C0778">
            <w:pPr>
              <w:spacing w:line="360" w:lineRule="auto"/>
              <w:ind w:left="41" w:right="29"/>
              <w:jc w:val="center"/>
              <w:rPr>
                <w:rFonts w:ascii="Century Gothic" w:eastAsia="Times New Roman" w:hAnsi="Century Gothic" w:cs="Times New Roman"/>
                <w:b/>
                <w:lang w:eastAsia="es-CO"/>
              </w:rPr>
            </w:pPr>
          </w:p>
          <w:p w14:paraId="3DB55EBC" w14:textId="77777777" w:rsidR="009C3E4B" w:rsidRPr="00306F0D" w:rsidRDefault="009C3E4B" w:rsidP="005C0778">
            <w:pPr>
              <w:spacing w:line="360" w:lineRule="auto"/>
              <w:ind w:left="41" w:right="29"/>
              <w:jc w:val="center"/>
              <w:rPr>
                <w:rFonts w:ascii="Century Gothic" w:eastAsia="Times New Roman" w:hAnsi="Century Gothic" w:cs="Times New Roman"/>
                <w:b/>
                <w:lang w:eastAsia="es-CO"/>
              </w:rPr>
            </w:pPr>
          </w:p>
          <w:p w14:paraId="720039B2" w14:textId="77777777" w:rsidR="009C3E4B" w:rsidRPr="00306F0D" w:rsidRDefault="009C3E4B" w:rsidP="005C0778">
            <w:pPr>
              <w:spacing w:line="360" w:lineRule="auto"/>
              <w:ind w:left="41" w:right="29"/>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t>H.R. </w:t>
            </w:r>
            <w:hyperlink r:id="rId67" w:tgtFrame="_blank" w:history="1">
              <w:r w:rsidRPr="00306F0D">
                <w:rPr>
                  <w:rFonts w:ascii="Century Gothic" w:eastAsia="Times New Roman" w:hAnsi="Century Gothic" w:cs="Times New Roman"/>
                  <w:b/>
                  <w:lang w:eastAsia="es-CO"/>
                </w:rPr>
                <w:t>CATHERINE JUVINAO CLAVIJO</w:t>
              </w:r>
            </w:hyperlink>
            <w:r w:rsidRPr="00306F0D">
              <w:rPr>
                <w:rFonts w:ascii="Century Gothic" w:eastAsia="Times New Roman" w:hAnsi="Century Gothic" w:cs="Times New Roman"/>
                <w:b/>
                <w:lang w:eastAsia="es-CO"/>
              </w:rPr>
              <w:br/>
              <w:t>PONENTE</w:t>
            </w:r>
          </w:p>
        </w:tc>
        <w:tc>
          <w:tcPr>
            <w:tcW w:w="4678" w:type="dxa"/>
            <w:vAlign w:val="bottom"/>
          </w:tcPr>
          <w:p w14:paraId="4C9F7135" w14:textId="77777777" w:rsidR="005847C5" w:rsidRDefault="005847C5" w:rsidP="005C0778">
            <w:pPr>
              <w:spacing w:after="160" w:line="360" w:lineRule="auto"/>
              <w:ind w:right="40"/>
              <w:jc w:val="center"/>
              <w:rPr>
                <w:rFonts w:ascii="Century Gothic" w:eastAsia="Times New Roman" w:hAnsi="Century Gothic" w:cs="Times New Roman"/>
                <w:b/>
                <w:lang w:eastAsia="es-CO"/>
              </w:rPr>
            </w:pPr>
          </w:p>
          <w:p w14:paraId="36FDDB26" w14:textId="77777777" w:rsidR="005847C5" w:rsidRDefault="005847C5" w:rsidP="005C0778">
            <w:pPr>
              <w:spacing w:after="160" w:line="360" w:lineRule="auto"/>
              <w:ind w:right="40"/>
              <w:jc w:val="center"/>
              <w:rPr>
                <w:rFonts w:ascii="Century Gothic" w:eastAsia="Times New Roman" w:hAnsi="Century Gothic" w:cs="Times New Roman"/>
                <w:b/>
                <w:lang w:eastAsia="es-CO"/>
              </w:rPr>
            </w:pPr>
          </w:p>
          <w:p w14:paraId="0DB254FB" w14:textId="1BC6DC4B" w:rsidR="009C3E4B" w:rsidRPr="00306F0D" w:rsidRDefault="009C3E4B" w:rsidP="005C0778">
            <w:pPr>
              <w:spacing w:after="160" w:line="360" w:lineRule="auto"/>
              <w:ind w:right="40"/>
              <w:jc w:val="center"/>
              <w:rPr>
                <w:rFonts w:ascii="Century Gothic" w:eastAsia="Times New Roman" w:hAnsi="Century Gothic" w:cs="Times New Roman"/>
                <w:b/>
                <w:lang w:eastAsia="es-CO"/>
              </w:rPr>
            </w:pPr>
            <w:r w:rsidRPr="00306F0D">
              <w:rPr>
                <w:rFonts w:ascii="Century Gothic" w:eastAsia="Times New Roman" w:hAnsi="Century Gothic" w:cs="Times New Roman"/>
                <w:b/>
                <w:lang w:eastAsia="es-CO"/>
              </w:rPr>
              <w:br/>
              <w:t>H.R LUIS ALBERTO ALBÁN URBANO</w:t>
            </w:r>
            <w:r w:rsidRPr="00306F0D">
              <w:rPr>
                <w:rFonts w:ascii="Century Gothic" w:eastAsia="Times New Roman" w:hAnsi="Century Gothic" w:cs="Times New Roman"/>
                <w:b/>
                <w:lang w:eastAsia="es-CO"/>
              </w:rPr>
              <w:br/>
              <w:t>PONENTE</w:t>
            </w:r>
          </w:p>
        </w:tc>
      </w:tr>
    </w:tbl>
    <w:p w14:paraId="682F116A" w14:textId="77777777" w:rsidR="00C448E5" w:rsidRPr="00306F0D" w:rsidRDefault="00C448E5" w:rsidP="00FC4F37">
      <w:pPr>
        <w:jc w:val="both"/>
        <w:rPr>
          <w:rFonts w:ascii="Century Gothic" w:eastAsia="Constantia" w:hAnsi="Century Gothic" w:cs="Constantia"/>
        </w:rPr>
      </w:pPr>
    </w:p>
    <w:sectPr w:rsidR="00C448E5" w:rsidRPr="00306F0D" w:rsidSect="001954ED">
      <w:headerReference w:type="default" r:id="rId68"/>
      <w:footerReference w:type="default" r:id="rId69"/>
      <w:pgSz w:w="12240" w:h="20160" w:code="5"/>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FF2B" w14:textId="77777777" w:rsidR="004C1AA9" w:rsidRDefault="004C1AA9" w:rsidP="001310A4">
      <w:pPr>
        <w:spacing w:after="0" w:line="240" w:lineRule="auto"/>
      </w:pPr>
      <w:r>
        <w:separator/>
      </w:r>
    </w:p>
  </w:endnote>
  <w:endnote w:type="continuationSeparator" w:id="0">
    <w:p w14:paraId="3F06E1D9" w14:textId="77777777" w:rsidR="004C1AA9" w:rsidRDefault="004C1AA9" w:rsidP="001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46610"/>
      <w:docPartObj>
        <w:docPartGallery w:val="Page Numbers (Bottom of Page)"/>
        <w:docPartUnique/>
      </w:docPartObj>
    </w:sdtPr>
    <w:sdtEndPr/>
    <w:sdtContent>
      <w:p w14:paraId="5FDE4ED0" w14:textId="5C83C79B" w:rsidR="009C485B" w:rsidRDefault="009C485B">
        <w:pPr>
          <w:pStyle w:val="Piedepgina"/>
          <w:jc w:val="right"/>
        </w:pPr>
        <w:r>
          <w:fldChar w:fldCharType="begin"/>
        </w:r>
        <w:r>
          <w:instrText>PAGE   \* MERGEFORMAT</w:instrText>
        </w:r>
        <w:r>
          <w:fldChar w:fldCharType="separate"/>
        </w:r>
        <w:r>
          <w:rPr>
            <w:lang w:val="es-ES"/>
          </w:rPr>
          <w:t>2</w:t>
        </w:r>
        <w:r>
          <w:fldChar w:fldCharType="end"/>
        </w:r>
      </w:p>
    </w:sdtContent>
  </w:sdt>
  <w:p w14:paraId="1286B4D7" w14:textId="77777777" w:rsidR="009C485B" w:rsidRDefault="009C48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EA65" w14:textId="77777777" w:rsidR="004C1AA9" w:rsidRDefault="004C1AA9" w:rsidP="001310A4">
      <w:pPr>
        <w:spacing w:after="0" w:line="240" w:lineRule="auto"/>
      </w:pPr>
      <w:r>
        <w:separator/>
      </w:r>
    </w:p>
  </w:footnote>
  <w:footnote w:type="continuationSeparator" w:id="0">
    <w:p w14:paraId="3D121F03" w14:textId="77777777" w:rsidR="004C1AA9" w:rsidRDefault="004C1AA9" w:rsidP="001310A4">
      <w:pPr>
        <w:spacing w:after="0" w:line="240" w:lineRule="auto"/>
      </w:pPr>
      <w:r>
        <w:continuationSeparator/>
      </w:r>
    </w:p>
  </w:footnote>
  <w:footnote w:id="1">
    <w:p w14:paraId="31924F4A" w14:textId="77777777" w:rsidR="001644D4" w:rsidRPr="0065759D" w:rsidRDefault="001644D4" w:rsidP="001644D4">
      <w:pPr>
        <w:pBdr>
          <w:top w:val="nil"/>
          <w:left w:val="nil"/>
          <w:bottom w:val="nil"/>
          <w:right w:val="nil"/>
          <w:between w:val="nil"/>
        </w:pBdr>
        <w:spacing w:after="0" w:line="240" w:lineRule="auto"/>
        <w:rPr>
          <w:rFonts w:eastAsia="Times New Roman" w:cstheme="minorHAnsi"/>
          <w:color w:val="000000"/>
          <w:sz w:val="18"/>
          <w:szCs w:val="18"/>
        </w:rPr>
      </w:pPr>
      <w:r w:rsidRPr="0065759D">
        <w:rPr>
          <w:rFonts w:cstheme="minorHAnsi"/>
          <w:sz w:val="18"/>
          <w:szCs w:val="18"/>
          <w:vertAlign w:val="superscript"/>
        </w:rPr>
        <w:footnoteRef/>
      </w:r>
      <w:r w:rsidRPr="0065759D">
        <w:rPr>
          <w:rFonts w:eastAsia="Times New Roman" w:cstheme="minorHAnsi"/>
          <w:color w:val="000000"/>
          <w:sz w:val="18"/>
          <w:szCs w:val="18"/>
        </w:rPr>
        <w:t xml:space="preserve"> ONU MUJER. Ver en: </w:t>
      </w:r>
      <w:hyperlink r:id="rId1">
        <w:r w:rsidRPr="0065759D">
          <w:rPr>
            <w:rFonts w:eastAsia="Times New Roman" w:cstheme="minorHAnsi"/>
            <w:color w:val="0563C1"/>
            <w:sz w:val="18"/>
            <w:szCs w:val="18"/>
            <w:u w:val="single"/>
          </w:rPr>
          <w:t>https://www.unwomen.org/es/what-we-do/ending-violence-against-women/faqs/types-of-violence</w:t>
        </w:r>
      </w:hyperlink>
      <w:r w:rsidRPr="0065759D">
        <w:rPr>
          <w:rFonts w:eastAsia="Times New Roman" w:cstheme="minorHAnsi"/>
          <w:color w:val="000000"/>
          <w:sz w:val="18"/>
          <w:szCs w:val="18"/>
        </w:rPr>
        <w:t xml:space="preserve"> </w:t>
      </w:r>
    </w:p>
  </w:footnote>
  <w:footnote w:id="2">
    <w:p w14:paraId="68BF0915" w14:textId="77777777" w:rsidR="000A6852" w:rsidRDefault="000A6852" w:rsidP="000A685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65759D">
        <w:rPr>
          <w:rFonts w:ascii="Times New Roman" w:eastAsia="Times New Roman" w:hAnsi="Times New Roman" w:cs="Times New Roman"/>
          <w:color w:val="000000"/>
          <w:sz w:val="18"/>
          <w:szCs w:val="20"/>
        </w:rPr>
        <w:t xml:space="preserve">Estudio sobre el análisis de datos de casos de violencia vicaria extrema violencia vicaria: un golpe irreversible contra las madres. Sonia Vaccaro 2021. </w:t>
      </w:r>
    </w:p>
  </w:footnote>
  <w:footnote w:id="3">
    <w:p w14:paraId="5C3B0D2D" w14:textId="58AB4EB3" w:rsidR="00040678" w:rsidRPr="00040678" w:rsidRDefault="00040678" w:rsidP="00FC3548">
      <w:pPr>
        <w:pStyle w:val="Textonotapie"/>
        <w:jc w:val="both"/>
        <w:rPr>
          <w:lang w:val="es-MX"/>
        </w:rPr>
      </w:pPr>
      <w:r>
        <w:rPr>
          <w:rStyle w:val="Refdenotaalpie"/>
        </w:rPr>
        <w:footnoteRef/>
      </w:r>
      <w:r>
        <w:t xml:space="preserve"> Revista Puntos, Universidad de los </w:t>
      </w:r>
      <w:proofErr w:type="gramStart"/>
      <w:r>
        <w:t>Andes,  31</w:t>
      </w:r>
      <w:proofErr w:type="gramEnd"/>
      <w:r>
        <w:t xml:space="preserve"> de diciembre de 2024 </w:t>
      </w:r>
      <w:hyperlink r:id="rId2" w:history="1">
        <w:r w:rsidRPr="00304D14">
          <w:rPr>
            <w:rStyle w:val="Hipervnculo"/>
          </w:rPr>
          <w:t>https://revistapuntos.uniandes.edu.co/era-como-si-mi-dolor-lo-saciara/</w:t>
        </w:r>
      </w:hyperlink>
      <w:r>
        <w:tab/>
      </w:r>
    </w:p>
  </w:footnote>
  <w:footnote w:id="4">
    <w:p w14:paraId="1807D177" w14:textId="17A753C1" w:rsidR="002870CE" w:rsidRPr="002870CE" w:rsidRDefault="002870CE" w:rsidP="00FC3548">
      <w:pPr>
        <w:pStyle w:val="Textonotapie"/>
        <w:jc w:val="both"/>
        <w:rPr>
          <w:lang w:val="es-MX"/>
        </w:rPr>
      </w:pPr>
      <w:r>
        <w:rPr>
          <w:rStyle w:val="Refdenotaalpie"/>
        </w:rPr>
        <w:footnoteRef/>
      </w:r>
      <w:r>
        <w:t xml:space="preserve"> </w:t>
      </w:r>
      <w:r w:rsidRPr="002870CE">
        <w:rPr>
          <w:b/>
          <w:bCs/>
        </w:rPr>
        <w:t>‘Gabriel, el niño asesinado, fue un instrumento para hacerle daño a su mamá</w:t>
      </w:r>
      <w:r w:rsidR="0033553A" w:rsidRPr="002870CE">
        <w:rPr>
          <w:b/>
          <w:bCs/>
        </w:rPr>
        <w:t>’</w:t>
      </w:r>
      <w:r w:rsidR="0033553A" w:rsidRPr="002870CE">
        <w:t>,</w:t>
      </w:r>
      <w:r>
        <w:t xml:space="preserve"> </w:t>
      </w:r>
      <w:hyperlink r:id="rId3" w:history="1">
        <w:r w:rsidRPr="00304D14">
          <w:rPr>
            <w:rStyle w:val="Hipervnculo"/>
          </w:rPr>
          <w:t>https://www.eltiempo.com/justicia/gabriel-gonzalez-nino-asesinado-es-simbolo-de-la-violencia-vicaria-708289</w:t>
        </w:r>
      </w:hyperlink>
      <w:r>
        <w:t xml:space="preserve">, Natalia Tamayo Gaviria, 7 de octubre de 2022. </w:t>
      </w:r>
    </w:p>
  </w:footnote>
  <w:footnote w:id="5">
    <w:p w14:paraId="4E11CD76" w14:textId="6DA53AE0" w:rsidR="002C397A" w:rsidRPr="002C397A" w:rsidRDefault="002C397A" w:rsidP="00FC3548">
      <w:pPr>
        <w:pStyle w:val="Textonotapie"/>
        <w:jc w:val="both"/>
        <w:rPr>
          <w:lang w:val="es-MX"/>
        </w:rPr>
      </w:pPr>
      <w:r>
        <w:rPr>
          <w:rStyle w:val="Refdenotaalpie"/>
        </w:rPr>
        <w:footnoteRef/>
      </w:r>
      <w:r w:rsidRPr="002C397A">
        <w:rPr>
          <w:b/>
          <w:bCs/>
        </w:rPr>
        <w:t>Madre de menores asesinados por su padre rompe el silencio: “Nunca vi señales de alerta”</w:t>
      </w:r>
      <w:r>
        <w:t xml:space="preserve"> </w:t>
      </w:r>
      <w:hyperlink r:id="rId4" w:history="1">
        <w:r w:rsidRPr="00304D14">
          <w:rPr>
            <w:rStyle w:val="Hipervnculo"/>
          </w:rPr>
          <w:t>https://cwmas.com.co/colombia/2024/11/30/madre-de-menores-asesinados-por-su-padre-rompe-el-silencio-nunca-vi-senales-de-alerta/</w:t>
        </w:r>
      </w:hyperlink>
      <w:r>
        <w:t xml:space="preserve">, Valeria Sánchez. </w:t>
      </w:r>
    </w:p>
  </w:footnote>
  <w:footnote w:id="6">
    <w:p w14:paraId="04FDF1FB" w14:textId="4BB859A5" w:rsidR="002870CE" w:rsidRDefault="002870CE" w:rsidP="00FC3548">
      <w:pPr>
        <w:pStyle w:val="Textonotapie"/>
        <w:jc w:val="both"/>
      </w:pPr>
      <w:r>
        <w:rPr>
          <w:rStyle w:val="Refdenotaalpie"/>
        </w:rPr>
        <w:footnoteRef/>
      </w:r>
      <w:r>
        <w:t xml:space="preserve"> </w:t>
      </w:r>
      <w:r w:rsidRPr="002870CE">
        <w:rPr>
          <w:b/>
          <w:bCs/>
        </w:rPr>
        <w:t>El duro testimonio de los vecinos del barrio Las Ferias, en Bogotá, donde hombre asesinó a sus hijos de 4 y 7 años</w:t>
      </w:r>
      <w:r>
        <w:t xml:space="preserve">, </w:t>
      </w:r>
      <w:hyperlink r:id="rId5" w:history="1">
        <w:r w:rsidRPr="00304D14">
          <w:rPr>
            <w:rStyle w:val="Hipervnculo"/>
          </w:rPr>
          <w:t>https://www.eltiempo.com/bogota/me-mato-a-mis-ninos-el-crudo-testimonio-de-los-vecinos-del-barrio-las-ferias-en-bogota-donde-hombre-asesino-a-sus-hijos-de-4-y-7-anos-3394845</w:t>
        </w:r>
      </w:hyperlink>
      <w:r>
        <w:t xml:space="preserve">, </w:t>
      </w:r>
      <w:r w:rsidR="002C397A">
        <w:t xml:space="preserve">Laura Natalia Quintero, 29 de octubre de 2024. </w:t>
      </w:r>
    </w:p>
    <w:p w14:paraId="7F1BFD93" w14:textId="77777777" w:rsidR="002C397A" w:rsidRPr="002870CE" w:rsidRDefault="002C397A">
      <w:pPr>
        <w:pStyle w:val="Textonotapie"/>
        <w:rPr>
          <w:lang w:val="es-MX"/>
        </w:rPr>
      </w:pPr>
    </w:p>
  </w:footnote>
  <w:footnote w:id="7">
    <w:p w14:paraId="2E77B912" w14:textId="44134DDA" w:rsidR="00FC3548" w:rsidRPr="00FC3548" w:rsidRDefault="00FC3548" w:rsidP="00FC3548">
      <w:pPr>
        <w:pStyle w:val="Textonotapie"/>
        <w:rPr>
          <w:b/>
          <w:bCs/>
        </w:rPr>
      </w:pPr>
      <w:r>
        <w:rPr>
          <w:rStyle w:val="Refdenotaalpie"/>
        </w:rPr>
        <w:footnoteRef/>
      </w:r>
      <w:r>
        <w:t xml:space="preserve"> </w:t>
      </w:r>
      <w:r>
        <w:rPr>
          <w:lang w:val="es-MX"/>
        </w:rPr>
        <w:t xml:space="preserve">Representante Vásquez en </w:t>
      </w:r>
      <w:r w:rsidRPr="00FC3548">
        <w:rPr>
          <w:b/>
          <w:bCs/>
        </w:rPr>
        <w:t>Violencia vicaria: cuando los hijos son usados para violentar a las mujeres</w:t>
      </w:r>
      <w:r>
        <w:rPr>
          <w:b/>
          <w:bCs/>
        </w:rPr>
        <w:t xml:space="preserve">, El Espectador. 21 de junio de 2023. Mariana Escobar. </w:t>
      </w:r>
      <w:hyperlink r:id="rId6" w:history="1">
        <w:r w:rsidRPr="00304D14">
          <w:rPr>
            <w:rStyle w:val="Hipervnculo"/>
            <w:b/>
            <w:bCs/>
          </w:rPr>
          <w:t>https://www.elespectador.com/genero-y-diversidad/las-igualadas/violencia-vicaria-cuando-los-hijos-son-usados-para-violentar-a-las-mujeres/</w:t>
        </w:r>
      </w:hyperlink>
      <w:r>
        <w:rPr>
          <w:b/>
          <w:bCs/>
        </w:rPr>
        <w:t xml:space="preserve">. </w:t>
      </w:r>
    </w:p>
    <w:p w14:paraId="5BECC877" w14:textId="4203B384" w:rsidR="00FC3548" w:rsidRPr="00FC3548" w:rsidRDefault="00FC3548">
      <w:pPr>
        <w:pStyle w:val="Textonotapie"/>
        <w:rPr>
          <w:lang w:val="es-MX"/>
        </w:rPr>
      </w:pPr>
    </w:p>
  </w:footnote>
  <w:footnote w:id="8">
    <w:p w14:paraId="1262C9D8" w14:textId="2A007B22" w:rsidR="003336E6" w:rsidRPr="003336E6" w:rsidRDefault="003336E6">
      <w:pPr>
        <w:pStyle w:val="Textonotapie"/>
        <w:rPr>
          <w:lang w:val="es-MX"/>
        </w:rPr>
      </w:pPr>
      <w:r>
        <w:rPr>
          <w:rStyle w:val="Refdenotaalpie"/>
        </w:rPr>
        <w:footnoteRef/>
      </w:r>
      <w:r>
        <w:t xml:space="preserve"> Ver en </w:t>
      </w:r>
      <w:hyperlink r:id="rId7" w:history="1">
        <w:r w:rsidRPr="00304D14">
          <w:rPr>
            <w:rStyle w:val="Hipervnculo"/>
          </w:rPr>
          <w:t>https://www.oas.org/juridico/spanish/tratados/a-61.html</w:t>
        </w:r>
      </w:hyperlink>
      <w:r>
        <w:t xml:space="preserve"> </w:t>
      </w:r>
    </w:p>
  </w:footnote>
  <w:footnote w:id="9">
    <w:p w14:paraId="3B29FA21" w14:textId="77777777" w:rsidR="00FC4F37" w:rsidRDefault="00FC4F37" w:rsidP="00FC4F37">
      <w:pPr>
        <w:rPr>
          <w:sz w:val="20"/>
          <w:szCs w:val="20"/>
        </w:rPr>
      </w:pPr>
      <w:r>
        <w:rPr>
          <w:vertAlign w:val="superscript"/>
        </w:rPr>
        <w:footnoteRef/>
      </w:r>
      <w:r>
        <w:rPr>
          <w:sz w:val="20"/>
          <w:szCs w:val="20"/>
        </w:rPr>
        <w:t xml:space="preserve"> Corte Constitucional. Sentencia C-866 de 2010. Magistrado Ponente: Jorge Ignacio Pretelt Chaljub. Recuperada de: https://www.corteconstitucional.gov.co/ RELATORIA/2010/C-866-10.htm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8A5B" w14:textId="529EEAD6" w:rsidR="009C485B" w:rsidRDefault="002A34A2" w:rsidP="002A34A2">
    <w:pPr>
      <w:pStyle w:val="Encabezado"/>
      <w:jc w:val="center"/>
    </w:pPr>
    <w:r>
      <w:rPr>
        <w:noProof/>
        <w:lang w:eastAsia="es-CO"/>
      </w:rPr>
      <w:drawing>
        <wp:inline distT="0" distB="0" distL="0" distR="0" wp14:anchorId="35A3F0CE" wp14:editId="6D59D93D">
          <wp:extent cx="2524662" cy="734095"/>
          <wp:effectExtent l="0" t="0" r="9525" b="8890"/>
          <wp:docPr id="272107528" name="image35.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485019161" name="image35.png" descr="Imagen que contiene Texto&#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a:xfrm>
                    <a:off x="0" y="0"/>
                    <a:ext cx="2548172" cy="740931"/>
                  </a:xfrm>
                  <a:prstGeom prst="rect">
                    <a:avLst/>
                  </a:prstGeom>
                  <a:ln/>
                </pic:spPr>
              </pic:pic>
            </a:graphicData>
          </a:graphic>
        </wp:inline>
      </w:drawing>
    </w:r>
  </w:p>
  <w:p w14:paraId="7FB3A8BE" w14:textId="77777777" w:rsidR="00335588" w:rsidRPr="00C06EDB" w:rsidRDefault="00335588" w:rsidP="00C06ED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88"/>
    <w:multiLevelType w:val="hybridMultilevel"/>
    <w:tmpl w:val="36E42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F6C677A"/>
    <w:multiLevelType w:val="hybridMultilevel"/>
    <w:tmpl w:val="F87AF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51187"/>
    <w:multiLevelType w:val="hybridMultilevel"/>
    <w:tmpl w:val="2E9EA964"/>
    <w:lvl w:ilvl="0" w:tplc="240A0005">
      <w:start w:val="1"/>
      <w:numFmt w:val="bullet"/>
      <w:lvlText w:val=""/>
      <w:lvlJc w:val="left"/>
      <w:pPr>
        <w:ind w:left="3338"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F232F5"/>
    <w:multiLevelType w:val="hybridMultilevel"/>
    <w:tmpl w:val="0302C98A"/>
    <w:lvl w:ilvl="0" w:tplc="D412605C">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08D7973"/>
    <w:multiLevelType w:val="hybridMultilevel"/>
    <w:tmpl w:val="9574F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444FF5"/>
    <w:multiLevelType w:val="multilevel"/>
    <w:tmpl w:val="68749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887B7E"/>
    <w:multiLevelType w:val="hybridMultilevel"/>
    <w:tmpl w:val="2048F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9F4FD5"/>
    <w:multiLevelType w:val="hybridMultilevel"/>
    <w:tmpl w:val="2048F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5A7DDB"/>
    <w:multiLevelType w:val="hybridMultilevel"/>
    <w:tmpl w:val="96ACB8A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7600CC"/>
    <w:multiLevelType w:val="hybridMultilevel"/>
    <w:tmpl w:val="C57CC9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D27001"/>
    <w:multiLevelType w:val="hybridMultilevel"/>
    <w:tmpl w:val="4D785C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5A3FD6"/>
    <w:multiLevelType w:val="hybridMultilevel"/>
    <w:tmpl w:val="583C55CA"/>
    <w:lvl w:ilvl="0" w:tplc="C9D20C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036402"/>
    <w:multiLevelType w:val="hybridMultilevel"/>
    <w:tmpl w:val="789A2D8E"/>
    <w:lvl w:ilvl="0" w:tplc="C9D20C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487EEA"/>
    <w:multiLevelType w:val="multilevel"/>
    <w:tmpl w:val="31ECA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2027174">
    <w:abstractNumId w:val="7"/>
  </w:num>
  <w:num w:numId="2" w16cid:durableId="1864977630">
    <w:abstractNumId w:val="11"/>
  </w:num>
  <w:num w:numId="3" w16cid:durableId="1684628164">
    <w:abstractNumId w:val="9"/>
  </w:num>
  <w:num w:numId="4" w16cid:durableId="2100901554">
    <w:abstractNumId w:val="6"/>
  </w:num>
  <w:num w:numId="5" w16cid:durableId="542444041">
    <w:abstractNumId w:val="8"/>
  </w:num>
  <w:num w:numId="6" w16cid:durableId="1133016271">
    <w:abstractNumId w:val="10"/>
  </w:num>
  <w:num w:numId="7" w16cid:durableId="549658917">
    <w:abstractNumId w:val="3"/>
  </w:num>
  <w:num w:numId="8" w16cid:durableId="693116761">
    <w:abstractNumId w:val="4"/>
  </w:num>
  <w:num w:numId="9" w16cid:durableId="616910643">
    <w:abstractNumId w:val="14"/>
  </w:num>
  <w:num w:numId="10" w16cid:durableId="397901012">
    <w:abstractNumId w:val="2"/>
  </w:num>
  <w:num w:numId="11" w16cid:durableId="1893156251">
    <w:abstractNumId w:val="0"/>
  </w:num>
  <w:num w:numId="12" w16cid:durableId="210043622">
    <w:abstractNumId w:val="5"/>
  </w:num>
  <w:num w:numId="13" w16cid:durableId="1431513206">
    <w:abstractNumId w:val="12"/>
  </w:num>
  <w:num w:numId="14" w16cid:durableId="754591776">
    <w:abstractNumId w:val="1"/>
  </w:num>
  <w:num w:numId="15" w16cid:durableId="1839080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A4"/>
    <w:rsid w:val="00040678"/>
    <w:rsid w:val="00044B1C"/>
    <w:rsid w:val="00082115"/>
    <w:rsid w:val="000A6852"/>
    <w:rsid w:val="00116800"/>
    <w:rsid w:val="001310A4"/>
    <w:rsid w:val="001644D4"/>
    <w:rsid w:val="00180C68"/>
    <w:rsid w:val="001954ED"/>
    <w:rsid w:val="001A4DA1"/>
    <w:rsid w:val="001B67AD"/>
    <w:rsid w:val="001D7947"/>
    <w:rsid w:val="00237060"/>
    <w:rsid w:val="0024138F"/>
    <w:rsid w:val="002474A5"/>
    <w:rsid w:val="002508C1"/>
    <w:rsid w:val="002870CE"/>
    <w:rsid w:val="00290785"/>
    <w:rsid w:val="0029372F"/>
    <w:rsid w:val="002A34A2"/>
    <w:rsid w:val="002C397A"/>
    <w:rsid w:val="00302031"/>
    <w:rsid w:val="00306F0D"/>
    <w:rsid w:val="00313C23"/>
    <w:rsid w:val="003336E6"/>
    <w:rsid w:val="0033553A"/>
    <w:rsid w:val="00335588"/>
    <w:rsid w:val="003401EB"/>
    <w:rsid w:val="00344631"/>
    <w:rsid w:val="003F0158"/>
    <w:rsid w:val="00403FF3"/>
    <w:rsid w:val="00404D92"/>
    <w:rsid w:val="00432FA0"/>
    <w:rsid w:val="004466A6"/>
    <w:rsid w:val="00451546"/>
    <w:rsid w:val="004575B1"/>
    <w:rsid w:val="0047197B"/>
    <w:rsid w:val="004976F0"/>
    <w:rsid w:val="004B0B47"/>
    <w:rsid w:val="004B4E2A"/>
    <w:rsid w:val="004C1AA9"/>
    <w:rsid w:val="004D65FF"/>
    <w:rsid w:val="004F3913"/>
    <w:rsid w:val="00530D53"/>
    <w:rsid w:val="0056024E"/>
    <w:rsid w:val="00581C50"/>
    <w:rsid w:val="005847C5"/>
    <w:rsid w:val="00602010"/>
    <w:rsid w:val="00620D90"/>
    <w:rsid w:val="0067133F"/>
    <w:rsid w:val="00673E14"/>
    <w:rsid w:val="006A4824"/>
    <w:rsid w:val="006A6B72"/>
    <w:rsid w:val="006E40E5"/>
    <w:rsid w:val="00711DCA"/>
    <w:rsid w:val="007137CB"/>
    <w:rsid w:val="00727FF8"/>
    <w:rsid w:val="00755D6E"/>
    <w:rsid w:val="00767706"/>
    <w:rsid w:val="007723CE"/>
    <w:rsid w:val="00782BEF"/>
    <w:rsid w:val="007B500C"/>
    <w:rsid w:val="00803335"/>
    <w:rsid w:val="0081407F"/>
    <w:rsid w:val="008305C1"/>
    <w:rsid w:val="0083699A"/>
    <w:rsid w:val="008A7046"/>
    <w:rsid w:val="008C7501"/>
    <w:rsid w:val="008F4010"/>
    <w:rsid w:val="008F70AF"/>
    <w:rsid w:val="009218F4"/>
    <w:rsid w:val="00957786"/>
    <w:rsid w:val="00980CBD"/>
    <w:rsid w:val="00994185"/>
    <w:rsid w:val="009C3E4B"/>
    <w:rsid w:val="009C485B"/>
    <w:rsid w:val="009C7102"/>
    <w:rsid w:val="009D1F4D"/>
    <w:rsid w:val="009F4378"/>
    <w:rsid w:val="00A55EC1"/>
    <w:rsid w:val="00AC606F"/>
    <w:rsid w:val="00AE1D51"/>
    <w:rsid w:val="00AF6F37"/>
    <w:rsid w:val="00B51C36"/>
    <w:rsid w:val="00B52EA5"/>
    <w:rsid w:val="00BC0092"/>
    <w:rsid w:val="00BE0B2D"/>
    <w:rsid w:val="00C01370"/>
    <w:rsid w:val="00C06EDB"/>
    <w:rsid w:val="00C128C0"/>
    <w:rsid w:val="00C25D18"/>
    <w:rsid w:val="00C448E5"/>
    <w:rsid w:val="00C63647"/>
    <w:rsid w:val="00C7355B"/>
    <w:rsid w:val="00C74ABC"/>
    <w:rsid w:val="00CA3588"/>
    <w:rsid w:val="00CB324F"/>
    <w:rsid w:val="00CB4EB1"/>
    <w:rsid w:val="00D0429F"/>
    <w:rsid w:val="00D10EA4"/>
    <w:rsid w:val="00D2658D"/>
    <w:rsid w:val="00D32601"/>
    <w:rsid w:val="00D96C33"/>
    <w:rsid w:val="00DA3547"/>
    <w:rsid w:val="00DA45BF"/>
    <w:rsid w:val="00DB0ECE"/>
    <w:rsid w:val="00DD05FA"/>
    <w:rsid w:val="00DD20AA"/>
    <w:rsid w:val="00DF34F2"/>
    <w:rsid w:val="00E7231F"/>
    <w:rsid w:val="00EF4486"/>
    <w:rsid w:val="00EF786A"/>
    <w:rsid w:val="00F4467D"/>
    <w:rsid w:val="00F51A86"/>
    <w:rsid w:val="00F54BF8"/>
    <w:rsid w:val="00F573BE"/>
    <w:rsid w:val="00FA16F3"/>
    <w:rsid w:val="00FC3548"/>
    <w:rsid w:val="00FC4F37"/>
    <w:rsid w:val="00FF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AB80"/>
  <w15:chartTrackingRefBased/>
  <w15:docId w15:val="{88F1985D-71B7-45C4-A0DA-C7448E5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35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10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0A4"/>
  </w:style>
  <w:style w:type="paragraph" w:styleId="Piedepgina">
    <w:name w:val="footer"/>
    <w:basedOn w:val="Normal"/>
    <w:link w:val="PiedepginaCar"/>
    <w:uiPriority w:val="99"/>
    <w:unhideWhenUsed/>
    <w:rsid w:val="00131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0A4"/>
  </w:style>
  <w:style w:type="character" w:customStyle="1" w:styleId="intdebpon">
    <w:name w:val="intdebpon"/>
    <w:basedOn w:val="Fuentedeprrafopredeter"/>
    <w:rsid w:val="001310A4"/>
  </w:style>
  <w:style w:type="character" w:customStyle="1" w:styleId="intdecor">
    <w:name w:val="intdecor"/>
    <w:basedOn w:val="Fuentedeprrafopredeter"/>
    <w:rsid w:val="001310A4"/>
  </w:style>
  <w:style w:type="character" w:styleId="Hipervnculo">
    <w:name w:val="Hyperlink"/>
    <w:basedOn w:val="Fuentedeprrafopredeter"/>
    <w:uiPriority w:val="99"/>
    <w:unhideWhenUsed/>
    <w:rsid w:val="001310A4"/>
    <w:rPr>
      <w:color w:val="0000FF"/>
      <w:u w:val="single"/>
    </w:rPr>
  </w:style>
  <w:style w:type="table" w:styleId="Tablaconcuadrcula">
    <w:name w:val="Table Grid"/>
    <w:basedOn w:val="Tablanormal"/>
    <w:uiPriority w:val="39"/>
    <w:rsid w:val="0013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1310A4"/>
    <w:pPr>
      <w:ind w:left="720"/>
      <w:contextualSpacing/>
    </w:pPr>
  </w:style>
  <w:style w:type="paragraph" w:styleId="NormalWeb">
    <w:name w:val="Normal (Web)"/>
    <w:basedOn w:val="Normal"/>
    <w:uiPriority w:val="99"/>
    <w:semiHidden/>
    <w:unhideWhenUsed/>
    <w:rsid w:val="003F015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DA45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45BF"/>
    <w:rPr>
      <w:sz w:val="20"/>
      <w:szCs w:val="20"/>
    </w:rPr>
  </w:style>
  <w:style w:type="character" w:styleId="Refdenotaalfinal">
    <w:name w:val="endnote reference"/>
    <w:basedOn w:val="Fuentedeprrafopredeter"/>
    <w:uiPriority w:val="99"/>
    <w:semiHidden/>
    <w:unhideWhenUsed/>
    <w:rsid w:val="00DA45BF"/>
    <w:rPr>
      <w:vertAlign w:val="superscript"/>
    </w:rPr>
  </w:style>
  <w:style w:type="paragraph" w:styleId="Textonotapie">
    <w:name w:val="footnote text"/>
    <w:basedOn w:val="Normal"/>
    <w:link w:val="TextonotapieCar"/>
    <w:uiPriority w:val="99"/>
    <w:semiHidden/>
    <w:unhideWhenUsed/>
    <w:rsid w:val="009C71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7102"/>
    <w:rPr>
      <w:sz w:val="20"/>
      <w:szCs w:val="20"/>
    </w:rPr>
  </w:style>
  <w:style w:type="character" w:styleId="Refdenotaalpie">
    <w:name w:val="footnote reference"/>
    <w:basedOn w:val="Fuentedeprrafopredeter"/>
    <w:uiPriority w:val="99"/>
    <w:semiHidden/>
    <w:unhideWhenUsed/>
    <w:rsid w:val="009C7102"/>
    <w:rPr>
      <w:vertAlign w:val="superscript"/>
    </w:rPr>
  </w:style>
  <w:style w:type="character" w:styleId="Mencinsinresolver">
    <w:name w:val="Unresolved Mention"/>
    <w:basedOn w:val="Fuentedeprrafopredeter"/>
    <w:uiPriority w:val="99"/>
    <w:semiHidden/>
    <w:unhideWhenUsed/>
    <w:rsid w:val="002870CE"/>
    <w:rPr>
      <w:color w:val="605E5C"/>
      <w:shd w:val="clear" w:color="auto" w:fill="E1DFDD"/>
    </w:rPr>
  </w:style>
  <w:style w:type="character" w:customStyle="1" w:styleId="Ttulo1Car">
    <w:name w:val="Título 1 Car"/>
    <w:basedOn w:val="Fuentedeprrafopredeter"/>
    <w:link w:val="Ttulo1"/>
    <w:uiPriority w:val="9"/>
    <w:rsid w:val="00FC3548"/>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33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0311">
      <w:bodyDiv w:val="1"/>
      <w:marLeft w:val="0"/>
      <w:marRight w:val="0"/>
      <w:marTop w:val="0"/>
      <w:marBottom w:val="0"/>
      <w:divBdr>
        <w:top w:val="none" w:sz="0" w:space="0" w:color="auto"/>
        <w:left w:val="none" w:sz="0" w:space="0" w:color="auto"/>
        <w:bottom w:val="none" w:sz="0" w:space="0" w:color="auto"/>
        <w:right w:val="none" w:sz="0" w:space="0" w:color="auto"/>
      </w:divBdr>
    </w:div>
    <w:div w:id="323700441">
      <w:bodyDiv w:val="1"/>
      <w:marLeft w:val="0"/>
      <w:marRight w:val="0"/>
      <w:marTop w:val="0"/>
      <w:marBottom w:val="0"/>
      <w:divBdr>
        <w:top w:val="none" w:sz="0" w:space="0" w:color="auto"/>
        <w:left w:val="none" w:sz="0" w:space="0" w:color="auto"/>
        <w:bottom w:val="none" w:sz="0" w:space="0" w:color="auto"/>
        <w:right w:val="none" w:sz="0" w:space="0" w:color="auto"/>
      </w:divBdr>
    </w:div>
    <w:div w:id="821580103">
      <w:bodyDiv w:val="1"/>
      <w:marLeft w:val="0"/>
      <w:marRight w:val="0"/>
      <w:marTop w:val="0"/>
      <w:marBottom w:val="0"/>
      <w:divBdr>
        <w:top w:val="none" w:sz="0" w:space="0" w:color="auto"/>
        <w:left w:val="none" w:sz="0" w:space="0" w:color="auto"/>
        <w:bottom w:val="none" w:sz="0" w:space="0" w:color="auto"/>
        <w:right w:val="none" w:sz="0" w:space="0" w:color="auto"/>
      </w:divBdr>
    </w:div>
    <w:div w:id="1208486876">
      <w:bodyDiv w:val="1"/>
      <w:marLeft w:val="0"/>
      <w:marRight w:val="0"/>
      <w:marTop w:val="0"/>
      <w:marBottom w:val="0"/>
      <w:divBdr>
        <w:top w:val="none" w:sz="0" w:space="0" w:color="auto"/>
        <w:left w:val="none" w:sz="0" w:space="0" w:color="auto"/>
        <w:bottom w:val="none" w:sz="0" w:space="0" w:color="auto"/>
        <w:right w:val="none" w:sz="0" w:space="0" w:color="auto"/>
      </w:divBdr>
      <w:divsChild>
        <w:div w:id="1070150513">
          <w:marLeft w:val="0"/>
          <w:marRight w:val="0"/>
          <w:marTop w:val="0"/>
          <w:marBottom w:val="0"/>
          <w:divBdr>
            <w:top w:val="none" w:sz="0" w:space="0" w:color="auto"/>
            <w:left w:val="none" w:sz="0" w:space="0" w:color="auto"/>
            <w:bottom w:val="single" w:sz="12" w:space="8" w:color="D5D5D5"/>
            <w:right w:val="none" w:sz="0" w:space="0" w:color="auto"/>
          </w:divBdr>
          <w:divsChild>
            <w:div w:id="2128114120">
              <w:marLeft w:val="0"/>
              <w:marRight w:val="0"/>
              <w:marTop w:val="0"/>
              <w:marBottom w:val="0"/>
              <w:divBdr>
                <w:top w:val="none" w:sz="0" w:space="0" w:color="auto"/>
                <w:left w:val="none" w:sz="0" w:space="0" w:color="auto"/>
                <w:bottom w:val="none" w:sz="0" w:space="0" w:color="auto"/>
                <w:right w:val="none" w:sz="0" w:space="0" w:color="auto"/>
              </w:divBdr>
            </w:div>
          </w:divsChild>
        </w:div>
        <w:div w:id="405344516">
          <w:marLeft w:val="0"/>
          <w:marRight w:val="0"/>
          <w:marTop w:val="150"/>
          <w:marBottom w:val="342"/>
          <w:divBdr>
            <w:top w:val="none" w:sz="0" w:space="0" w:color="auto"/>
            <w:left w:val="none" w:sz="0" w:space="0" w:color="auto"/>
            <w:bottom w:val="none" w:sz="0" w:space="0" w:color="auto"/>
            <w:right w:val="none" w:sz="0" w:space="0" w:color="auto"/>
          </w:divBdr>
          <w:divsChild>
            <w:div w:id="182598765">
              <w:marLeft w:val="0"/>
              <w:marRight w:val="0"/>
              <w:marTop w:val="0"/>
              <w:marBottom w:val="0"/>
              <w:divBdr>
                <w:top w:val="none" w:sz="0" w:space="0" w:color="auto"/>
                <w:left w:val="none" w:sz="0" w:space="0" w:color="auto"/>
                <w:bottom w:val="none" w:sz="0" w:space="0" w:color="auto"/>
                <w:right w:val="none" w:sz="0" w:space="0" w:color="auto"/>
              </w:divBdr>
            </w:div>
            <w:div w:id="1194726669">
              <w:marLeft w:val="0"/>
              <w:marRight w:val="0"/>
              <w:marTop w:val="0"/>
              <w:marBottom w:val="0"/>
              <w:divBdr>
                <w:top w:val="none" w:sz="0" w:space="0" w:color="auto"/>
                <w:left w:val="none" w:sz="0" w:space="0" w:color="auto"/>
                <w:bottom w:val="none" w:sz="0" w:space="0" w:color="auto"/>
                <w:right w:val="none" w:sz="0" w:space="0" w:color="auto"/>
              </w:divBdr>
            </w:div>
            <w:div w:id="523788120">
              <w:marLeft w:val="0"/>
              <w:marRight w:val="0"/>
              <w:marTop w:val="0"/>
              <w:marBottom w:val="0"/>
              <w:divBdr>
                <w:top w:val="none" w:sz="0" w:space="0" w:color="auto"/>
                <w:left w:val="none" w:sz="0" w:space="0" w:color="auto"/>
                <w:bottom w:val="none" w:sz="0" w:space="0" w:color="auto"/>
                <w:right w:val="none" w:sz="0" w:space="0" w:color="auto"/>
              </w:divBdr>
            </w:div>
            <w:div w:id="1372459199">
              <w:marLeft w:val="0"/>
              <w:marRight w:val="0"/>
              <w:marTop w:val="0"/>
              <w:marBottom w:val="0"/>
              <w:divBdr>
                <w:top w:val="none" w:sz="0" w:space="0" w:color="auto"/>
                <w:left w:val="none" w:sz="0" w:space="0" w:color="auto"/>
                <w:bottom w:val="none" w:sz="0" w:space="0" w:color="auto"/>
                <w:right w:val="none" w:sz="0" w:space="0" w:color="auto"/>
              </w:divBdr>
            </w:div>
            <w:div w:id="88282682">
              <w:marLeft w:val="0"/>
              <w:marRight w:val="0"/>
              <w:marTop w:val="0"/>
              <w:marBottom w:val="0"/>
              <w:divBdr>
                <w:top w:val="none" w:sz="0" w:space="0" w:color="auto"/>
                <w:left w:val="none" w:sz="0" w:space="0" w:color="auto"/>
                <w:bottom w:val="none" w:sz="0" w:space="0" w:color="auto"/>
                <w:right w:val="none" w:sz="0" w:space="0" w:color="auto"/>
              </w:divBdr>
            </w:div>
            <w:div w:id="921334997">
              <w:marLeft w:val="0"/>
              <w:marRight w:val="0"/>
              <w:marTop w:val="0"/>
              <w:marBottom w:val="0"/>
              <w:divBdr>
                <w:top w:val="none" w:sz="0" w:space="0" w:color="auto"/>
                <w:left w:val="none" w:sz="0" w:space="0" w:color="auto"/>
                <w:bottom w:val="none" w:sz="0" w:space="0" w:color="auto"/>
                <w:right w:val="none" w:sz="0" w:space="0" w:color="auto"/>
              </w:divBdr>
            </w:div>
            <w:div w:id="1054431123">
              <w:marLeft w:val="0"/>
              <w:marRight w:val="0"/>
              <w:marTop w:val="0"/>
              <w:marBottom w:val="0"/>
              <w:divBdr>
                <w:top w:val="none" w:sz="0" w:space="0" w:color="auto"/>
                <w:left w:val="none" w:sz="0" w:space="0" w:color="auto"/>
                <w:bottom w:val="none" w:sz="0" w:space="0" w:color="auto"/>
                <w:right w:val="none" w:sz="0" w:space="0" w:color="auto"/>
              </w:divBdr>
            </w:div>
            <w:div w:id="1336422674">
              <w:marLeft w:val="0"/>
              <w:marRight w:val="0"/>
              <w:marTop w:val="0"/>
              <w:marBottom w:val="0"/>
              <w:divBdr>
                <w:top w:val="none" w:sz="0" w:space="0" w:color="auto"/>
                <w:left w:val="none" w:sz="0" w:space="0" w:color="auto"/>
                <w:bottom w:val="none" w:sz="0" w:space="0" w:color="auto"/>
                <w:right w:val="none" w:sz="0" w:space="0" w:color="auto"/>
              </w:divBdr>
            </w:div>
            <w:div w:id="2341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6082">
      <w:bodyDiv w:val="1"/>
      <w:marLeft w:val="0"/>
      <w:marRight w:val="0"/>
      <w:marTop w:val="0"/>
      <w:marBottom w:val="0"/>
      <w:divBdr>
        <w:top w:val="none" w:sz="0" w:space="0" w:color="auto"/>
        <w:left w:val="none" w:sz="0" w:space="0" w:color="auto"/>
        <w:bottom w:val="none" w:sz="0" w:space="0" w:color="auto"/>
        <w:right w:val="none" w:sz="0" w:space="0" w:color="auto"/>
      </w:divBdr>
    </w:div>
    <w:div w:id="1554465147">
      <w:bodyDiv w:val="1"/>
      <w:marLeft w:val="0"/>
      <w:marRight w:val="0"/>
      <w:marTop w:val="0"/>
      <w:marBottom w:val="0"/>
      <w:divBdr>
        <w:top w:val="none" w:sz="0" w:space="0" w:color="auto"/>
        <w:left w:val="none" w:sz="0" w:space="0" w:color="auto"/>
        <w:bottom w:val="none" w:sz="0" w:space="0" w:color="auto"/>
        <w:right w:val="none" w:sz="0" w:space="0" w:color="auto"/>
      </w:divBdr>
      <w:divsChild>
        <w:div w:id="708577172">
          <w:marLeft w:val="0"/>
          <w:marRight w:val="0"/>
          <w:marTop w:val="0"/>
          <w:marBottom w:val="0"/>
          <w:divBdr>
            <w:top w:val="none" w:sz="0" w:space="0" w:color="auto"/>
            <w:left w:val="none" w:sz="0" w:space="0" w:color="auto"/>
            <w:bottom w:val="single" w:sz="12" w:space="8" w:color="D5D5D5"/>
            <w:right w:val="none" w:sz="0" w:space="0" w:color="auto"/>
          </w:divBdr>
          <w:divsChild>
            <w:div w:id="66999793">
              <w:marLeft w:val="0"/>
              <w:marRight w:val="0"/>
              <w:marTop w:val="0"/>
              <w:marBottom w:val="0"/>
              <w:divBdr>
                <w:top w:val="none" w:sz="0" w:space="0" w:color="auto"/>
                <w:left w:val="none" w:sz="0" w:space="0" w:color="auto"/>
                <w:bottom w:val="none" w:sz="0" w:space="0" w:color="auto"/>
                <w:right w:val="none" w:sz="0" w:space="0" w:color="auto"/>
              </w:divBdr>
            </w:div>
          </w:divsChild>
        </w:div>
        <w:div w:id="1995792835">
          <w:marLeft w:val="0"/>
          <w:marRight w:val="0"/>
          <w:marTop w:val="150"/>
          <w:marBottom w:val="342"/>
          <w:divBdr>
            <w:top w:val="none" w:sz="0" w:space="0" w:color="auto"/>
            <w:left w:val="none" w:sz="0" w:space="0" w:color="auto"/>
            <w:bottom w:val="none" w:sz="0" w:space="0" w:color="auto"/>
            <w:right w:val="none" w:sz="0" w:space="0" w:color="auto"/>
          </w:divBdr>
          <w:divsChild>
            <w:div w:id="883249575">
              <w:marLeft w:val="0"/>
              <w:marRight w:val="0"/>
              <w:marTop w:val="0"/>
              <w:marBottom w:val="0"/>
              <w:divBdr>
                <w:top w:val="none" w:sz="0" w:space="0" w:color="auto"/>
                <w:left w:val="none" w:sz="0" w:space="0" w:color="auto"/>
                <w:bottom w:val="none" w:sz="0" w:space="0" w:color="auto"/>
                <w:right w:val="none" w:sz="0" w:space="0" w:color="auto"/>
              </w:divBdr>
            </w:div>
            <w:div w:id="614336844">
              <w:marLeft w:val="0"/>
              <w:marRight w:val="0"/>
              <w:marTop w:val="0"/>
              <w:marBottom w:val="0"/>
              <w:divBdr>
                <w:top w:val="none" w:sz="0" w:space="0" w:color="auto"/>
                <w:left w:val="none" w:sz="0" w:space="0" w:color="auto"/>
                <w:bottom w:val="none" w:sz="0" w:space="0" w:color="auto"/>
                <w:right w:val="none" w:sz="0" w:space="0" w:color="auto"/>
              </w:divBdr>
            </w:div>
            <w:div w:id="1161117564">
              <w:marLeft w:val="0"/>
              <w:marRight w:val="0"/>
              <w:marTop w:val="0"/>
              <w:marBottom w:val="0"/>
              <w:divBdr>
                <w:top w:val="none" w:sz="0" w:space="0" w:color="auto"/>
                <w:left w:val="none" w:sz="0" w:space="0" w:color="auto"/>
                <w:bottom w:val="none" w:sz="0" w:space="0" w:color="auto"/>
                <w:right w:val="none" w:sz="0" w:space="0" w:color="auto"/>
              </w:divBdr>
            </w:div>
            <w:div w:id="131144432">
              <w:marLeft w:val="0"/>
              <w:marRight w:val="0"/>
              <w:marTop w:val="0"/>
              <w:marBottom w:val="0"/>
              <w:divBdr>
                <w:top w:val="none" w:sz="0" w:space="0" w:color="auto"/>
                <w:left w:val="none" w:sz="0" w:space="0" w:color="auto"/>
                <w:bottom w:val="none" w:sz="0" w:space="0" w:color="auto"/>
                <w:right w:val="none" w:sz="0" w:space="0" w:color="auto"/>
              </w:divBdr>
            </w:div>
            <w:div w:id="1954288617">
              <w:marLeft w:val="0"/>
              <w:marRight w:val="0"/>
              <w:marTop w:val="0"/>
              <w:marBottom w:val="0"/>
              <w:divBdr>
                <w:top w:val="none" w:sz="0" w:space="0" w:color="auto"/>
                <w:left w:val="none" w:sz="0" w:space="0" w:color="auto"/>
                <w:bottom w:val="none" w:sz="0" w:space="0" w:color="auto"/>
                <w:right w:val="none" w:sz="0" w:space="0" w:color="auto"/>
              </w:divBdr>
            </w:div>
            <w:div w:id="1376999643">
              <w:marLeft w:val="0"/>
              <w:marRight w:val="0"/>
              <w:marTop w:val="0"/>
              <w:marBottom w:val="0"/>
              <w:divBdr>
                <w:top w:val="none" w:sz="0" w:space="0" w:color="auto"/>
                <w:left w:val="none" w:sz="0" w:space="0" w:color="auto"/>
                <w:bottom w:val="none" w:sz="0" w:space="0" w:color="auto"/>
                <w:right w:val="none" w:sz="0" w:space="0" w:color="auto"/>
              </w:divBdr>
            </w:div>
            <w:div w:id="1887789204">
              <w:marLeft w:val="0"/>
              <w:marRight w:val="0"/>
              <w:marTop w:val="0"/>
              <w:marBottom w:val="0"/>
              <w:divBdr>
                <w:top w:val="none" w:sz="0" w:space="0" w:color="auto"/>
                <w:left w:val="none" w:sz="0" w:space="0" w:color="auto"/>
                <w:bottom w:val="none" w:sz="0" w:space="0" w:color="auto"/>
                <w:right w:val="none" w:sz="0" w:space="0" w:color="auto"/>
              </w:divBdr>
            </w:div>
            <w:div w:id="870729623">
              <w:marLeft w:val="0"/>
              <w:marRight w:val="0"/>
              <w:marTop w:val="0"/>
              <w:marBottom w:val="0"/>
              <w:divBdr>
                <w:top w:val="none" w:sz="0" w:space="0" w:color="auto"/>
                <w:left w:val="none" w:sz="0" w:space="0" w:color="auto"/>
                <w:bottom w:val="none" w:sz="0" w:space="0" w:color="auto"/>
                <w:right w:val="none" w:sz="0" w:space="0" w:color="auto"/>
              </w:divBdr>
            </w:div>
            <w:div w:id="370228668">
              <w:marLeft w:val="0"/>
              <w:marRight w:val="0"/>
              <w:marTop w:val="0"/>
              <w:marBottom w:val="0"/>
              <w:divBdr>
                <w:top w:val="none" w:sz="0" w:space="0" w:color="auto"/>
                <w:left w:val="none" w:sz="0" w:space="0" w:color="auto"/>
                <w:bottom w:val="none" w:sz="0" w:space="0" w:color="auto"/>
                <w:right w:val="none" w:sz="0" w:space="0" w:color="auto"/>
              </w:divBdr>
            </w:div>
          </w:divsChild>
        </w:div>
        <w:div w:id="607198115">
          <w:marLeft w:val="0"/>
          <w:marRight w:val="0"/>
          <w:marTop w:val="0"/>
          <w:marBottom w:val="0"/>
          <w:divBdr>
            <w:top w:val="none" w:sz="0" w:space="0" w:color="auto"/>
            <w:left w:val="none" w:sz="0" w:space="0" w:color="auto"/>
            <w:bottom w:val="none" w:sz="0" w:space="0" w:color="auto"/>
            <w:right w:val="none" w:sz="0" w:space="0" w:color="auto"/>
          </w:divBdr>
        </w:div>
      </w:divsChild>
    </w:div>
    <w:div w:id="1640960057">
      <w:bodyDiv w:val="1"/>
      <w:marLeft w:val="0"/>
      <w:marRight w:val="0"/>
      <w:marTop w:val="0"/>
      <w:marBottom w:val="0"/>
      <w:divBdr>
        <w:top w:val="none" w:sz="0" w:space="0" w:color="auto"/>
        <w:left w:val="none" w:sz="0" w:space="0" w:color="auto"/>
        <w:bottom w:val="none" w:sz="0" w:space="0" w:color="auto"/>
        <w:right w:val="none" w:sz="0" w:space="0" w:color="auto"/>
      </w:divBdr>
    </w:div>
    <w:div w:id="1897886507">
      <w:bodyDiv w:val="1"/>
      <w:marLeft w:val="0"/>
      <w:marRight w:val="0"/>
      <w:marTop w:val="0"/>
      <w:marBottom w:val="0"/>
      <w:divBdr>
        <w:top w:val="none" w:sz="0" w:space="0" w:color="auto"/>
        <w:left w:val="none" w:sz="0" w:space="0" w:color="auto"/>
        <w:bottom w:val="none" w:sz="0" w:space="0" w:color="auto"/>
        <w:right w:val="none" w:sz="0" w:space="0" w:color="auto"/>
      </w:divBdr>
      <w:divsChild>
        <w:div w:id="1463889769">
          <w:marLeft w:val="0"/>
          <w:marRight w:val="0"/>
          <w:marTop w:val="0"/>
          <w:marBottom w:val="0"/>
          <w:divBdr>
            <w:top w:val="none" w:sz="0" w:space="0" w:color="auto"/>
            <w:left w:val="none" w:sz="0" w:space="0" w:color="auto"/>
            <w:bottom w:val="single" w:sz="12" w:space="8" w:color="D5D5D5"/>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
          </w:divsChild>
        </w:div>
        <w:div w:id="1753889429">
          <w:marLeft w:val="0"/>
          <w:marRight w:val="0"/>
          <w:marTop w:val="150"/>
          <w:marBottom w:val="342"/>
          <w:divBdr>
            <w:top w:val="none" w:sz="0" w:space="0" w:color="auto"/>
            <w:left w:val="none" w:sz="0" w:space="0" w:color="auto"/>
            <w:bottom w:val="none" w:sz="0" w:space="0" w:color="auto"/>
            <w:right w:val="none" w:sz="0" w:space="0" w:color="auto"/>
          </w:divBdr>
          <w:divsChild>
            <w:div w:id="1736466461">
              <w:marLeft w:val="0"/>
              <w:marRight w:val="0"/>
              <w:marTop w:val="0"/>
              <w:marBottom w:val="0"/>
              <w:divBdr>
                <w:top w:val="none" w:sz="0" w:space="0" w:color="auto"/>
                <w:left w:val="none" w:sz="0" w:space="0" w:color="auto"/>
                <w:bottom w:val="none" w:sz="0" w:space="0" w:color="auto"/>
                <w:right w:val="none" w:sz="0" w:space="0" w:color="auto"/>
              </w:divBdr>
            </w:div>
            <w:div w:id="1862236850">
              <w:marLeft w:val="0"/>
              <w:marRight w:val="0"/>
              <w:marTop w:val="0"/>
              <w:marBottom w:val="0"/>
              <w:divBdr>
                <w:top w:val="none" w:sz="0" w:space="0" w:color="auto"/>
                <w:left w:val="none" w:sz="0" w:space="0" w:color="auto"/>
                <w:bottom w:val="none" w:sz="0" w:space="0" w:color="auto"/>
                <w:right w:val="none" w:sz="0" w:space="0" w:color="auto"/>
              </w:divBdr>
            </w:div>
            <w:div w:id="1000159494">
              <w:marLeft w:val="0"/>
              <w:marRight w:val="0"/>
              <w:marTop w:val="0"/>
              <w:marBottom w:val="0"/>
              <w:divBdr>
                <w:top w:val="none" w:sz="0" w:space="0" w:color="auto"/>
                <w:left w:val="none" w:sz="0" w:space="0" w:color="auto"/>
                <w:bottom w:val="none" w:sz="0" w:space="0" w:color="auto"/>
                <w:right w:val="none" w:sz="0" w:space="0" w:color="auto"/>
              </w:divBdr>
            </w:div>
            <w:div w:id="992831393">
              <w:marLeft w:val="0"/>
              <w:marRight w:val="0"/>
              <w:marTop w:val="0"/>
              <w:marBottom w:val="0"/>
              <w:divBdr>
                <w:top w:val="none" w:sz="0" w:space="0" w:color="auto"/>
                <w:left w:val="none" w:sz="0" w:space="0" w:color="auto"/>
                <w:bottom w:val="none" w:sz="0" w:space="0" w:color="auto"/>
                <w:right w:val="none" w:sz="0" w:space="0" w:color="auto"/>
              </w:divBdr>
            </w:div>
            <w:div w:id="1111627538">
              <w:marLeft w:val="0"/>
              <w:marRight w:val="0"/>
              <w:marTop w:val="0"/>
              <w:marBottom w:val="0"/>
              <w:divBdr>
                <w:top w:val="none" w:sz="0" w:space="0" w:color="auto"/>
                <w:left w:val="none" w:sz="0" w:space="0" w:color="auto"/>
                <w:bottom w:val="none" w:sz="0" w:space="0" w:color="auto"/>
                <w:right w:val="none" w:sz="0" w:space="0" w:color="auto"/>
              </w:divBdr>
            </w:div>
            <w:div w:id="663894879">
              <w:marLeft w:val="0"/>
              <w:marRight w:val="0"/>
              <w:marTop w:val="0"/>
              <w:marBottom w:val="0"/>
              <w:divBdr>
                <w:top w:val="none" w:sz="0" w:space="0" w:color="auto"/>
                <w:left w:val="none" w:sz="0" w:space="0" w:color="auto"/>
                <w:bottom w:val="none" w:sz="0" w:space="0" w:color="auto"/>
                <w:right w:val="none" w:sz="0" w:space="0" w:color="auto"/>
              </w:divBdr>
            </w:div>
            <w:div w:id="1383404130">
              <w:marLeft w:val="0"/>
              <w:marRight w:val="0"/>
              <w:marTop w:val="0"/>
              <w:marBottom w:val="0"/>
              <w:divBdr>
                <w:top w:val="none" w:sz="0" w:space="0" w:color="auto"/>
                <w:left w:val="none" w:sz="0" w:space="0" w:color="auto"/>
                <w:bottom w:val="none" w:sz="0" w:space="0" w:color="auto"/>
                <w:right w:val="none" w:sz="0" w:space="0" w:color="auto"/>
              </w:divBdr>
            </w:div>
            <w:div w:id="889389830">
              <w:marLeft w:val="0"/>
              <w:marRight w:val="0"/>
              <w:marTop w:val="0"/>
              <w:marBottom w:val="0"/>
              <w:divBdr>
                <w:top w:val="none" w:sz="0" w:space="0" w:color="auto"/>
                <w:left w:val="none" w:sz="0" w:space="0" w:color="auto"/>
                <w:bottom w:val="none" w:sz="0" w:space="0" w:color="auto"/>
                <w:right w:val="none" w:sz="0" w:space="0" w:color="auto"/>
              </w:divBdr>
            </w:div>
            <w:div w:id="626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claudia-maria-perez-giraldo" TargetMode="External"/><Relationship Id="rId21" Type="http://schemas.openxmlformats.org/officeDocument/2006/relationships/hyperlink" Target="https://www.camara.gov.co/german-alcides-blanco-alvarez" TargetMode="External"/><Relationship Id="rId42" Type="http://schemas.openxmlformats.org/officeDocument/2006/relationships/hyperlink" Target="https://www.camara.gov.co/representantes/diogenes-quintero-amaya" TargetMode="External"/><Relationship Id="rId47" Type="http://schemas.openxmlformats.org/officeDocument/2006/relationships/image" Target="media/image2.png"/><Relationship Id="rId63" Type="http://schemas.openxmlformats.org/officeDocument/2006/relationships/hyperlink" Target="https://www.camara.gov.co/representantes/marelen-castillo-torre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mara.gov.co/representantes/diogenes-quintero-amaya" TargetMode="External"/><Relationship Id="rId29" Type="http://schemas.openxmlformats.org/officeDocument/2006/relationships/hyperlink" Target="https://www.camara.gov.co/ana-maria-castaneda-gomez" TargetMode="External"/><Relationship Id="rId11" Type="http://schemas.openxmlformats.org/officeDocument/2006/relationships/hyperlink" Target="https://www.camara.gov.co/representantes/delcy-esperanza-isaza-buenaventura" TargetMode="External"/><Relationship Id="rId24" Type="http://schemas.openxmlformats.org/officeDocument/2006/relationships/hyperlink" Target="https://www.camara.gov.co/nicolas-albeiro-echeverri-alvaran" TargetMode="External"/><Relationship Id="rId32" Type="http://schemas.openxmlformats.org/officeDocument/2006/relationships/hyperlink" Target="https://www.camara.gov.co/carlos-mario-farelo-daza" TargetMode="External"/><Relationship Id="rId37" Type="http://schemas.openxmlformats.org/officeDocument/2006/relationships/hyperlink" Target="https://www.camara.gov.co/representantes/delcy-esperanza-isaza-buenaventura" TargetMode="External"/><Relationship Id="rId40" Type="http://schemas.openxmlformats.org/officeDocument/2006/relationships/hyperlink" Target="https://www.camara.gov.co/representantes/karyme-adrana-cotes-martinez" TargetMode="External"/><Relationship Id="rId45" Type="http://schemas.openxmlformats.org/officeDocument/2006/relationships/hyperlink" Target="https://www.camara.gov.co/representantes/luis-alberto-alban-urbano" TargetMode="External"/><Relationship Id="rId53" Type="http://schemas.openxmlformats.org/officeDocument/2006/relationships/hyperlink" Target="https://www.camara.gov.co/representantes/ana-paola-garcia-soto" TargetMode="External"/><Relationship Id="rId58" Type="http://schemas.openxmlformats.org/officeDocument/2006/relationships/hyperlink" Target="https://www.camara.gov.co/representantes/catherine-juvinao-clavijo" TargetMode="External"/><Relationship Id="rId66" Type="http://schemas.openxmlformats.org/officeDocument/2006/relationships/hyperlink" Target="https://www.camara.gov.co/representantes/jose-jaime-uscategui-pastrana" TargetMode="External"/><Relationship Id="rId5" Type="http://schemas.openxmlformats.org/officeDocument/2006/relationships/numbering" Target="numbering.xml"/><Relationship Id="rId61" Type="http://schemas.openxmlformats.org/officeDocument/2006/relationships/hyperlink" Target="https://www.camara.gov.co/representantes/karyme-adrana-cotes-martinez" TargetMode="External"/><Relationship Id="rId19" Type="http://schemas.openxmlformats.org/officeDocument/2006/relationships/hyperlink" Target="https://www.camara.gov.co/representantes/catherine-juvinao-clavijo" TargetMode="External"/><Relationship Id="rId14" Type="http://schemas.openxmlformats.org/officeDocument/2006/relationships/hyperlink" Target="https://www.camara.gov.co/representantes/ana-paola-garcia-soto" TargetMode="External"/><Relationship Id="rId22" Type="http://schemas.openxmlformats.org/officeDocument/2006/relationships/hyperlink" Target="https://www.camara.gov.co/liliana-esther-bitar-castilla" TargetMode="External"/><Relationship Id="rId27" Type="http://schemas.openxmlformats.org/officeDocument/2006/relationships/hyperlink" Target="https://www.camara.gov.co/sor-berenice-bedoya-perez" TargetMode="External"/><Relationship Id="rId30" Type="http://schemas.openxmlformats.org/officeDocument/2006/relationships/hyperlink" Target="https://www.camara.gov.co/angelica-lisbeth-lozano-correa" TargetMode="External"/><Relationship Id="rId35" Type="http://schemas.openxmlformats.org/officeDocument/2006/relationships/hyperlink" Target="https://www.camara.gov.co/jose-alfredo-marin-lozano" TargetMode="External"/><Relationship Id="rId43" Type="http://schemas.openxmlformats.org/officeDocument/2006/relationships/hyperlink" Target="https://www.camara.gov.co/representantes/jose-jaime-uscategui-pastrana" TargetMode="External"/><Relationship Id="rId48" Type="http://schemas.openxmlformats.org/officeDocument/2006/relationships/image" Target="media/image3.png"/><Relationship Id="rId56" Type="http://schemas.openxmlformats.org/officeDocument/2006/relationships/hyperlink" Target="https://www.camara.gov.co/representantes/heraclito-landinez-suarez" TargetMode="External"/><Relationship Id="rId64" Type="http://schemas.openxmlformats.org/officeDocument/2006/relationships/hyperlink" Target="https://www.camara.gov.co/representantes/diogenes-quintero-amaya"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amara.gov.co/representantes/adriana-carolina-arbelaez-giraldo" TargetMode="External"/><Relationship Id="rId3" Type="http://schemas.openxmlformats.org/officeDocument/2006/relationships/customXml" Target="../customXml/item3.xml"/><Relationship Id="rId12" Type="http://schemas.openxmlformats.org/officeDocument/2006/relationships/hyperlink" Target="https://www.camara.gov.co/representantes/adriana-carolina-arbelaez-giraldo" TargetMode="External"/><Relationship Id="rId17" Type="http://schemas.openxmlformats.org/officeDocument/2006/relationships/hyperlink" Target="https://www.camara.gov.co/representantes/heraclito-landinez-suarez" TargetMode="External"/><Relationship Id="rId25" Type="http://schemas.openxmlformats.org/officeDocument/2006/relationships/hyperlink" Target="https://www.camara.gov.co/miguel-angel-barreto-castillo" TargetMode="External"/><Relationship Id="rId33" Type="http://schemas.openxmlformats.org/officeDocument/2006/relationships/hyperlink" Target="https://www.camara.gov.co/taxonomy/term/1112" TargetMode="External"/><Relationship Id="rId38" Type="http://schemas.openxmlformats.org/officeDocument/2006/relationships/hyperlink" Target="https://www.camara.gov.co/representantes/delcy-esperanza-isaza-buenaventura" TargetMode="External"/><Relationship Id="rId46" Type="http://schemas.openxmlformats.org/officeDocument/2006/relationships/image" Target="media/image1.png"/><Relationship Id="rId59" Type="http://schemas.openxmlformats.org/officeDocument/2006/relationships/hyperlink" Target="https://www.camara.gov.co/representantes/delcy-esperanza-isaza-buenaventura" TargetMode="External"/><Relationship Id="rId67" Type="http://schemas.openxmlformats.org/officeDocument/2006/relationships/hyperlink" Target="https://www.camara.gov.co/representantes/catherine-juvinao-clavijo" TargetMode="External"/><Relationship Id="rId20" Type="http://schemas.openxmlformats.org/officeDocument/2006/relationships/hyperlink" Target="https://www.camara.gov.co/nadya-georgette-blel-scaf" TargetMode="External"/><Relationship Id="rId41" Type="http://schemas.openxmlformats.org/officeDocument/2006/relationships/hyperlink" Target="https://www.camara.gov.co/representantes/ana-paola-garcia-soto" TargetMode="External"/><Relationship Id="rId54" Type="http://schemas.openxmlformats.org/officeDocument/2006/relationships/hyperlink" Target="https://www.camara.gov.co/representantes/marelen-castillo-torres" TargetMode="External"/><Relationship Id="rId62" Type="http://schemas.openxmlformats.org/officeDocument/2006/relationships/hyperlink" Target="https://www.camara.gov.co/representantes/ana-paola-garcia-soto"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mara.gov.co/representantes/marelen-castillo-torres" TargetMode="External"/><Relationship Id="rId23" Type="http://schemas.openxmlformats.org/officeDocument/2006/relationships/hyperlink" Target="https://www.camara.gov.co/soledad-tamayo-tamayo" TargetMode="External"/><Relationship Id="rId28" Type="http://schemas.openxmlformats.org/officeDocument/2006/relationships/hyperlink" Target="https://www.camara.gov.co/karina-espinosa-oliver" TargetMode="External"/><Relationship Id="rId36" Type="http://schemas.openxmlformats.org/officeDocument/2006/relationships/hyperlink" Target="https://www.camara.gov.co/representantes/ruth-amelia-caycedo-rosero" TargetMode="External"/><Relationship Id="rId49" Type="http://schemas.openxmlformats.org/officeDocument/2006/relationships/image" Target="media/image4.png"/><Relationship Id="rId57" Type="http://schemas.openxmlformats.org/officeDocument/2006/relationships/hyperlink" Target="https://www.camara.gov.co/representantes/jose-jaime-uscategui-pastrana" TargetMode="External"/><Relationship Id="rId10" Type="http://schemas.openxmlformats.org/officeDocument/2006/relationships/endnotes" Target="endnotes.xml"/><Relationship Id="rId31" Type="http://schemas.openxmlformats.org/officeDocument/2006/relationships/hyperlink" Target="https://www.camara.gov.co/efrain-jose-cepeda-sarabia" TargetMode="External"/><Relationship Id="rId44" Type="http://schemas.openxmlformats.org/officeDocument/2006/relationships/hyperlink" Target="https://www.camara.gov.co/representantes/catherine-juvinao-clavijo" TargetMode="External"/><Relationship Id="rId52" Type="http://schemas.openxmlformats.org/officeDocument/2006/relationships/hyperlink" Target="https://www.camara.gov.co/representantes/karyme-adrana-cotes-martinez" TargetMode="External"/><Relationship Id="rId60" Type="http://schemas.openxmlformats.org/officeDocument/2006/relationships/hyperlink" Target="https://www.camara.gov.co/representantes/adriana-carolina-arbelaez-giraldo" TargetMode="External"/><Relationship Id="rId65" Type="http://schemas.openxmlformats.org/officeDocument/2006/relationships/hyperlink" Target="https://www.camara.gov.co/representantes/heraclito-landinez-suarez"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mara.gov.co/representantes/karyme-adrana-cotes-martinez" TargetMode="External"/><Relationship Id="rId18" Type="http://schemas.openxmlformats.org/officeDocument/2006/relationships/hyperlink" Target="https://www.camara.gov.co/representantes/jose-jaime-uscategui-pastrana" TargetMode="External"/><Relationship Id="rId39" Type="http://schemas.openxmlformats.org/officeDocument/2006/relationships/hyperlink" Target="https://www.camara.gov.co/representantes/adriana-carolina-arbelaez-giraldo" TargetMode="External"/><Relationship Id="rId34" Type="http://schemas.openxmlformats.org/officeDocument/2006/relationships/hyperlink" Target="https://www.camara.gov.co/honorio-miguel-henriquez-pinedo" TargetMode="External"/><Relationship Id="rId50" Type="http://schemas.openxmlformats.org/officeDocument/2006/relationships/hyperlink" Target="https://www.camara.gov.co/representantes/delcy-esperanza-isaza-buenaventura" TargetMode="External"/><Relationship Id="rId55" Type="http://schemas.openxmlformats.org/officeDocument/2006/relationships/hyperlink" Target="https://www.camara.gov.co/representantes/diogenes-quintero-amay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justicia/gabriel-gonzalez-nino-asesinado-es-simbolo-de-la-violencia-vicaria-708289" TargetMode="External"/><Relationship Id="rId7" Type="http://schemas.openxmlformats.org/officeDocument/2006/relationships/hyperlink" Target="https://www.oas.org/juridico/spanish/tratados/a-61.html" TargetMode="External"/><Relationship Id="rId2" Type="http://schemas.openxmlformats.org/officeDocument/2006/relationships/hyperlink" Target="https://revistapuntos.uniandes.edu.co/era-como-si-mi-dolor-lo-saciara/" TargetMode="External"/><Relationship Id="rId1" Type="http://schemas.openxmlformats.org/officeDocument/2006/relationships/hyperlink" Target="https://www.unwomen.org/es/what-we-do/ending-violence-against-women/faqs/types-of-violence" TargetMode="External"/><Relationship Id="rId6" Type="http://schemas.openxmlformats.org/officeDocument/2006/relationships/hyperlink" Target="https://www.elespectador.com/genero-y-diversidad/las-igualadas/violencia-vicaria-cuando-los-hijos-son-usados-para-violentar-a-las-mujeres/" TargetMode="External"/><Relationship Id="rId5" Type="http://schemas.openxmlformats.org/officeDocument/2006/relationships/hyperlink" Target="https://www.eltiempo.com/bogota/me-mato-a-mis-ninos-el-crudo-testimonio-de-los-vecinos-del-barrio-las-ferias-en-bogota-donde-hombre-asesino-a-sus-hijos-de-4-y-7-anos-3394845" TargetMode="External"/><Relationship Id="rId4" Type="http://schemas.openxmlformats.org/officeDocument/2006/relationships/hyperlink" Target="https://cwmas.com.co/colombia/2024/11/30/madre-de-menores-asesinados-por-su-padre-rompe-el-silencio-nunca-vi-senales-de-al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3209f22-3570-412a-a7dc-a5c735dc1e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037872157E4854CB7859389C19C579A" ma:contentTypeVersion="16" ma:contentTypeDescription="Crear nuevo documento." ma:contentTypeScope="" ma:versionID="a78fdbb4bf26afe7bea536c85c9f7f4c">
  <xsd:schema xmlns:xsd="http://www.w3.org/2001/XMLSchema" xmlns:xs="http://www.w3.org/2001/XMLSchema" xmlns:p="http://schemas.microsoft.com/office/2006/metadata/properties" xmlns:ns3="33209f22-3570-412a-a7dc-a5c735dc1e70" xmlns:ns4="b33f0696-be8b-4ef0-8841-da61b81691e2" targetNamespace="http://schemas.microsoft.com/office/2006/metadata/properties" ma:root="true" ma:fieldsID="9ab82f75a5a96a0064cb4c8547a1bfac" ns3:_="" ns4:_="">
    <xsd:import namespace="33209f22-3570-412a-a7dc-a5c735dc1e70"/>
    <xsd:import namespace="b33f0696-be8b-4ef0-8841-da61b81691e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bjectDetectorVersions" minOccurs="0"/>
                <xsd:element ref="ns3:MediaServiceAutoTags" minOccurs="0"/>
                <xsd:element ref="ns3:MediaServiceLocation" minOccurs="0"/>
                <xsd:element ref="ns3:MediaServiceOCR"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09f22-3570-412a-a7dc-a5c735dc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f0696-be8b-4ef0-8841-da61b81691e2"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92598-8935-4D8D-8DA4-AA67E3FC8FC8}">
  <ds:schemaRefs>
    <ds:schemaRef ds:uri="http://schemas.openxmlformats.org/officeDocument/2006/bibliography"/>
  </ds:schemaRefs>
</ds:datastoreItem>
</file>

<file path=customXml/itemProps2.xml><?xml version="1.0" encoding="utf-8"?>
<ds:datastoreItem xmlns:ds="http://schemas.openxmlformats.org/officeDocument/2006/customXml" ds:itemID="{90439D97-74ED-46AD-9996-611135ADBDAB}">
  <ds:schemaRefs>
    <ds:schemaRef ds:uri="http://schemas.microsoft.com/office/2006/metadata/properties"/>
    <ds:schemaRef ds:uri="http://schemas.microsoft.com/office/infopath/2007/PartnerControls"/>
    <ds:schemaRef ds:uri="33209f22-3570-412a-a7dc-a5c735dc1e70"/>
  </ds:schemaRefs>
</ds:datastoreItem>
</file>

<file path=customXml/itemProps3.xml><?xml version="1.0" encoding="utf-8"?>
<ds:datastoreItem xmlns:ds="http://schemas.openxmlformats.org/officeDocument/2006/customXml" ds:itemID="{0662BAB7-C408-43E1-990D-EA150F7C4177}">
  <ds:schemaRefs>
    <ds:schemaRef ds:uri="http://schemas.microsoft.com/sharepoint/v3/contenttype/forms"/>
  </ds:schemaRefs>
</ds:datastoreItem>
</file>

<file path=customXml/itemProps4.xml><?xml version="1.0" encoding="utf-8"?>
<ds:datastoreItem xmlns:ds="http://schemas.openxmlformats.org/officeDocument/2006/customXml" ds:itemID="{E1CE3068-FAC1-4AB6-8054-4599D0C2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09f22-3570-412a-a7dc-a5c735dc1e70"/>
    <ds:schemaRef ds:uri="b33f0696-be8b-4ef0-8841-da61b8169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9206</Words>
  <Characters>50634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Macias Barreto</dc:creator>
  <cp:keywords/>
  <dc:description/>
  <cp:lastModifiedBy>Juliana Macias Barreto</cp:lastModifiedBy>
  <cp:revision>2</cp:revision>
  <dcterms:created xsi:type="dcterms:W3CDTF">2025-05-15T19:19:00Z</dcterms:created>
  <dcterms:modified xsi:type="dcterms:W3CDTF">2025-05-15T19:19:00Z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0x0101009037872157E4854CB7859389C19C579A</vt:lpwstr>
  </property>
</Properties>
</file>