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6A10" w14:textId="23F09F2B" w:rsidR="008414D9" w:rsidRPr="00631D03" w:rsidRDefault="008414D9" w:rsidP="008414D9">
      <w:pPr>
        <w:widowControl w:val="0"/>
        <w:spacing w:after="240"/>
        <w:rPr>
          <w:rFonts w:ascii="Bookman Old Style" w:hAnsi="Bookman Old Style"/>
          <w:color w:val="000000" w:themeColor="text1"/>
        </w:rPr>
      </w:pPr>
      <w:r w:rsidRPr="00631D03">
        <w:rPr>
          <w:rFonts w:ascii="Bookman Old Style" w:hAnsi="Bookman Old Style"/>
          <w:color w:val="000000" w:themeColor="text1"/>
        </w:rPr>
        <w:t>Bogotá D.C.,</w:t>
      </w:r>
      <w:r>
        <w:rPr>
          <w:rFonts w:ascii="Bookman Old Style" w:hAnsi="Bookman Old Style"/>
          <w:color w:val="000000" w:themeColor="text1"/>
        </w:rPr>
        <w:t xml:space="preserve"> 1</w:t>
      </w:r>
      <w:r w:rsidR="005F7957">
        <w:rPr>
          <w:rFonts w:ascii="Bookman Old Style" w:hAnsi="Bookman Old Style"/>
          <w:color w:val="000000" w:themeColor="text1"/>
        </w:rPr>
        <w:t>2</w:t>
      </w:r>
      <w:r>
        <w:rPr>
          <w:rFonts w:ascii="Bookman Old Style" w:hAnsi="Bookman Old Style"/>
          <w:color w:val="000000" w:themeColor="text1"/>
        </w:rPr>
        <w:t xml:space="preserve"> de </w:t>
      </w:r>
      <w:r w:rsidR="005F7957">
        <w:rPr>
          <w:rFonts w:ascii="Bookman Old Style" w:hAnsi="Bookman Old Style"/>
          <w:color w:val="000000" w:themeColor="text1"/>
        </w:rPr>
        <w:t>junio</w:t>
      </w:r>
      <w:r w:rsidR="005F7957" w:rsidRPr="00631D03">
        <w:rPr>
          <w:rFonts w:ascii="Bookman Old Style" w:hAnsi="Bookman Old Style"/>
          <w:color w:val="000000" w:themeColor="text1"/>
        </w:rPr>
        <w:t xml:space="preserve"> de</w:t>
      </w:r>
      <w:r w:rsidRPr="00631D03">
        <w:rPr>
          <w:rFonts w:ascii="Bookman Old Style" w:hAnsi="Bookman Old Style"/>
          <w:color w:val="000000" w:themeColor="text1"/>
        </w:rPr>
        <w:t xml:space="preserve"> 2024</w:t>
      </w:r>
    </w:p>
    <w:p w14:paraId="1381C7A6" w14:textId="77777777" w:rsidR="008414D9" w:rsidRPr="00631D03" w:rsidRDefault="008414D9" w:rsidP="008414D9">
      <w:pPr>
        <w:widowControl w:val="0"/>
        <w:spacing w:after="240"/>
        <w:jc w:val="both"/>
        <w:rPr>
          <w:rFonts w:ascii="Bookman Old Style" w:hAnsi="Bookman Old Style"/>
          <w:b/>
          <w:color w:val="000000" w:themeColor="text1"/>
        </w:rPr>
      </w:pPr>
    </w:p>
    <w:p w14:paraId="74D4EAFE" w14:textId="77777777" w:rsidR="008414D9" w:rsidRPr="00631D03" w:rsidRDefault="008414D9" w:rsidP="008414D9">
      <w:pPr>
        <w:widowControl w:val="0"/>
        <w:jc w:val="both"/>
        <w:rPr>
          <w:rFonts w:ascii="Bookman Old Style" w:hAnsi="Bookman Old Style"/>
          <w:color w:val="000000" w:themeColor="text1"/>
        </w:rPr>
      </w:pPr>
      <w:r>
        <w:rPr>
          <w:rFonts w:ascii="Bookman Old Style" w:hAnsi="Bookman Old Style"/>
          <w:color w:val="000000" w:themeColor="text1"/>
        </w:rPr>
        <w:t>Doctor</w:t>
      </w:r>
    </w:p>
    <w:p w14:paraId="2747FB40" w14:textId="77777777" w:rsidR="008414D9" w:rsidRPr="00631D03" w:rsidRDefault="008414D9" w:rsidP="008414D9">
      <w:pPr>
        <w:widowControl w:val="0"/>
        <w:jc w:val="both"/>
        <w:rPr>
          <w:rFonts w:ascii="Bookman Old Style" w:hAnsi="Bookman Old Style"/>
          <w:b/>
          <w:color w:val="000000" w:themeColor="text1"/>
        </w:rPr>
      </w:pPr>
      <w:r w:rsidRPr="00631D03">
        <w:rPr>
          <w:rFonts w:ascii="Bookman Old Style" w:hAnsi="Bookman Old Style"/>
          <w:b/>
          <w:color w:val="000000" w:themeColor="text1"/>
        </w:rPr>
        <w:t>ÓSCAR HERNÁN SÁNCHEZ</w:t>
      </w:r>
    </w:p>
    <w:p w14:paraId="0F7E8C29" w14:textId="77777777" w:rsidR="008414D9" w:rsidRPr="00631D03" w:rsidRDefault="008414D9" w:rsidP="008414D9">
      <w:pPr>
        <w:widowControl w:val="0"/>
        <w:jc w:val="both"/>
        <w:rPr>
          <w:rFonts w:ascii="Bookman Old Style" w:hAnsi="Bookman Old Style"/>
          <w:color w:val="000000" w:themeColor="text1"/>
        </w:rPr>
      </w:pPr>
      <w:r w:rsidRPr="00631D03">
        <w:rPr>
          <w:rFonts w:ascii="Bookman Old Style" w:hAnsi="Bookman Old Style"/>
          <w:color w:val="000000" w:themeColor="text1"/>
        </w:rPr>
        <w:t>Presidente Comisión Primera Constitucional Permanente</w:t>
      </w:r>
    </w:p>
    <w:p w14:paraId="04D3C66F" w14:textId="77777777" w:rsidR="008414D9" w:rsidRPr="00631D03" w:rsidRDefault="008414D9" w:rsidP="008414D9">
      <w:pPr>
        <w:widowControl w:val="0"/>
        <w:jc w:val="both"/>
        <w:rPr>
          <w:rFonts w:ascii="Bookman Old Style" w:hAnsi="Bookman Old Style"/>
          <w:color w:val="000000" w:themeColor="text1"/>
        </w:rPr>
      </w:pPr>
      <w:r w:rsidRPr="00631D03">
        <w:rPr>
          <w:rFonts w:ascii="Bookman Old Style" w:hAnsi="Bookman Old Style"/>
          <w:color w:val="000000" w:themeColor="text1"/>
        </w:rPr>
        <w:t>Cámara de Representantes</w:t>
      </w:r>
    </w:p>
    <w:p w14:paraId="4B703304" w14:textId="77777777" w:rsidR="008414D9" w:rsidRPr="00631D03" w:rsidRDefault="008414D9" w:rsidP="008414D9">
      <w:pPr>
        <w:widowControl w:val="0"/>
        <w:jc w:val="both"/>
        <w:rPr>
          <w:rFonts w:ascii="Bookman Old Style" w:hAnsi="Bookman Old Style"/>
          <w:color w:val="000000" w:themeColor="text1"/>
        </w:rPr>
      </w:pPr>
      <w:r w:rsidRPr="00631D03">
        <w:rPr>
          <w:rFonts w:ascii="Bookman Old Style" w:hAnsi="Bookman Old Style"/>
          <w:color w:val="000000" w:themeColor="text1"/>
        </w:rPr>
        <w:t>Bogotá</w:t>
      </w:r>
    </w:p>
    <w:p w14:paraId="2A61FE1D" w14:textId="77777777" w:rsidR="008414D9" w:rsidRPr="00631D03" w:rsidRDefault="008414D9" w:rsidP="008414D9">
      <w:pPr>
        <w:widowControl w:val="0"/>
        <w:spacing w:after="240"/>
        <w:jc w:val="right"/>
        <w:rPr>
          <w:rFonts w:ascii="Bookman Old Style" w:hAnsi="Bookman Old Style"/>
          <w:b/>
          <w:color w:val="000000" w:themeColor="text1"/>
        </w:rPr>
      </w:pPr>
    </w:p>
    <w:p w14:paraId="0C5E7A53" w14:textId="0E17FE65" w:rsidR="008414D9" w:rsidRPr="00631D03" w:rsidRDefault="008414D9" w:rsidP="008414D9">
      <w:pPr>
        <w:widowControl w:val="0"/>
        <w:spacing w:after="240"/>
        <w:ind w:left="720"/>
        <w:jc w:val="both"/>
        <w:rPr>
          <w:rFonts w:ascii="Bookman Old Style" w:hAnsi="Bookman Old Style"/>
          <w:color w:val="000000" w:themeColor="text1"/>
        </w:rPr>
      </w:pPr>
      <w:r w:rsidRPr="00631D03">
        <w:rPr>
          <w:rFonts w:ascii="Bookman Old Style" w:hAnsi="Bookman Old Style"/>
          <w:b/>
          <w:color w:val="000000" w:themeColor="text1"/>
        </w:rPr>
        <w:t xml:space="preserve">Asunto: </w:t>
      </w:r>
      <w:r w:rsidRPr="00631D03">
        <w:rPr>
          <w:rFonts w:ascii="Bookman Old Style" w:hAnsi="Bookman Old Style"/>
          <w:color w:val="000000" w:themeColor="text1"/>
        </w:rPr>
        <w:t xml:space="preserve">Informe de ponencia para primer debate del Proyecto </w:t>
      </w:r>
      <w:r>
        <w:rPr>
          <w:rFonts w:ascii="Bookman Old Style" w:hAnsi="Bookman Old Style"/>
          <w:color w:val="000000" w:themeColor="text1"/>
        </w:rPr>
        <w:t xml:space="preserve">de Acto </w:t>
      </w:r>
      <w:r w:rsidRPr="00631D03">
        <w:rPr>
          <w:rFonts w:ascii="Bookman Old Style" w:hAnsi="Bookman Old Style"/>
          <w:color w:val="000000" w:themeColor="text1"/>
        </w:rPr>
        <w:t>Legislativo No. 449 de 2024 Cámara – No. 019 de 2024 Senado “Por el cual se otorga la</w:t>
      </w:r>
      <w:r>
        <w:rPr>
          <w:rFonts w:ascii="Bookman Old Style" w:hAnsi="Bookman Old Style"/>
          <w:color w:val="000000" w:themeColor="text1"/>
        </w:rPr>
        <w:t xml:space="preserve"> </w:t>
      </w:r>
      <w:r w:rsidRPr="00631D03">
        <w:rPr>
          <w:rFonts w:ascii="Bookman Old Style" w:hAnsi="Bookman Old Style"/>
          <w:color w:val="000000" w:themeColor="text1"/>
        </w:rPr>
        <w:t>categoría de Distrito Especial eje del conocimiento al municipio de Manizales en el</w:t>
      </w:r>
      <w:r>
        <w:rPr>
          <w:rFonts w:ascii="Bookman Old Style" w:hAnsi="Bookman Old Style"/>
          <w:color w:val="000000" w:themeColor="text1"/>
        </w:rPr>
        <w:t xml:space="preserve"> </w:t>
      </w:r>
      <w:r w:rsidRPr="00631D03">
        <w:rPr>
          <w:rFonts w:ascii="Bookman Old Style" w:hAnsi="Bookman Old Style"/>
          <w:color w:val="000000" w:themeColor="text1"/>
        </w:rPr>
        <w:t>departamento de Caldas” Primera Vuelta.</w:t>
      </w:r>
    </w:p>
    <w:p w14:paraId="1F878930" w14:textId="77777777" w:rsidR="008414D9" w:rsidRPr="00631D03" w:rsidRDefault="008414D9" w:rsidP="008414D9">
      <w:pPr>
        <w:widowControl w:val="0"/>
        <w:spacing w:after="240"/>
        <w:jc w:val="both"/>
        <w:rPr>
          <w:rFonts w:ascii="Bookman Old Style" w:hAnsi="Bookman Old Style"/>
          <w:color w:val="000000" w:themeColor="text1"/>
        </w:rPr>
      </w:pPr>
      <w:r w:rsidRPr="00631D03">
        <w:rPr>
          <w:rFonts w:ascii="Bookman Old Style" w:hAnsi="Bookman Old Style"/>
          <w:color w:val="000000" w:themeColor="text1"/>
        </w:rPr>
        <w:t>Honorable Presidente,</w:t>
      </w:r>
    </w:p>
    <w:p w14:paraId="2DA6B168" w14:textId="77777777" w:rsidR="008414D9" w:rsidRPr="00631D03" w:rsidRDefault="008414D9" w:rsidP="008414D9">
      <w:pPr>
        <w:jc w:val="both"/>
        <w:rPr>
          <w:rFonts w:ascii="Bookman Old Style" w:hAnsi="Bookman Old Style"/>
          <w:color w:val="000000" w:themeColor="text1"/>
        </w:rPr>
      </w:pPr>
      <w:r w:rsidRPr="00631D03">
        <w:rPr>
          <w:rFonts w:ascii="Bookman Old Style" w:hAnsi="Bookman Old Style"/>
          <w:color w:val="000000" w:themeColor="text1"/>
        </w:rPr>
        <w:t xml:space="preserve">En </w:t>
      </w:r>
      <w:r>
        <w:rPr>
          <w:rFonts w:ascii="Bookman Old Style" w:hAnsi="Bookman Old Style"/>
          <w:color w:val="000000" w:themeColor="text1"/>
        </w:rPr>
        <w:t>c</w:t>
      </w:r>
      <w:r w:rsidRPr="00631D03">
        <w:rPr>
          <w:rFonts w:ascii="Bookman Old Style" w:hAnsi="Bookman Old Style"/>
          <w:color w:val="000000" w:themeColor="text1"/>
        </w:rPr>
        <w:t>umplimiento de la designación conferida por la Comisión Primera de la Cámara de Representantes, presento a consideración informe de ponencia positiva para primer debate</w:t>
      </w:r>
      <w:r>
        <w:rPr>
          <w:rFonts w:ascii="Bookman Old Style" w:hAnsi="Bookman Old Style"/>
          <w:color w:val="000000" w:themeColor="text1"/>
        </w:rPr>
        <w:t xml:space="preserve"> </w:t>
      </w:r>
      <w:r w:rsidRPr="00631D03">
        <w:rPr>
          <w:rFonts w:ascii="Bookman Old Style" w:hAnsi="Bookman Old Style"/>
          <w:color w:val="000000" w:themeColor="text1"/>
        </w:rPr>
        <w:t>del Proyecto de Acto Legislativo No. 449 de 2024 Cámara – No. 019 de 2024 Senado “Por el cual se otorga la categoría de Distrito Especial eje del conocimiento al municipio de Manizales en el departamento de Caldas” Primera Vuelta.</w:t>
      </w:r>
    </w:p>
    <w:p w14:paraId="6EF0BABF" w14:textId="77777777" w:rsidR="008414D9" w:rsidRDefault="008414D9" w:rsidP="008414D9">
      <w:pPr>
        <w:jc w:val="both"/>
        <w:rPr>
          <w:rFonts w:ascii="Bookman Old Style" w:hAnsi="Bookman Old Style"/>
          <w:color w:val="000000" w:themeColor="text1"/>
        </w:rPr>
      </w:pPr>
    </w:p>
    <w:p w14:paraId="243914AB" w14:textId="77777777" w:rsidR="008414D9" w:rsidRDefault="008414D9" w:rsidP="008414D9">
      <w:pPr>
        <w:jc w:val="both"/>
        <w:rPr>
          <w:rFonts w:ascii="Bookman Old Style" w:hAnsi="Bookman Old Style"/>
          <w:color w:val="000000" w:themeColor="text1"/>
        </w:rPr>
      </w:pPr>
    </w:p>
    <w:p w14:paraId="3CDAB186" w14:textId="77777777" w:rsidR="008414D9" w:rsidRDefault="008414D9" w:rsidP="008414D9">
      <w:pPr>
        <w:jc w:val="both"/>
        <w:rPr>
          <w:rFonts w:ascii="Bookman Old Style" w:hAnsi="Bookman Old Style"/>
          <w:color w:val="000000" w:themeColor="text1"/>
        </w:rPr>
      </w:pPr>
      <w:r>
        <w:rPr>
          <w:rFonts w:ascii="Bookman Old Style" w:hAnsi="Bookman Old Style"/>
          <w:color w:val="000000" w:themeColor="text1"/>
        </w:rPr>
        <w:t xml:space="preserve">Cordialmente, </w:t>
      </w:r>
    </w:p>
    <w:p w14:paraId="2CD92D82" w14:textId="77777777" w:rsidR="008414D9" w:rsidRDefault="008414D9" w:rsidP="008414D9">
      <w:pPr>
        <w:jc w:val="both"/>
        <w:rPr>
          <w:rFonts w:ascii="Bookman Old Style" w:hAnsi="Bookman Old Style"/>
          <w:color w:val="000000" w:themeColor="text1"/>
        </w:rPr>
      </w:pPr>
    </w:p>
    <w:p w14:paraId="22B3A72D" w14:textId="77777777" w:rsidR="008414D9" w:rsidRDefault="008414D9" w:rsidP="008414D9">
      <w:pPr>
        <w:jc w:val="both"/>
        <w:rPr>
          <w:rFonts w:ascii="Bookman Old Style" w:hAnsi="Bookman Old Style"/>
          <w:color w:val="000000" w:themeColor="text1"/>
        </w:rPr>
      </w:pPr>
    </w:p>
    <w:p w14:paraId="61211FBE" w14:textId="77777777" w:rsidR="008414D9" w:rsidRDefault="008414D9" w:rsidP="008414D9">
      <w:pPr>
        <w:jc w:val="both"/>
        <w:rPr>
          <w:rFonts w:ascii="Bookman Old Style" w:hAnsi="Bookman Old Style"/>
          <w:color w:val="000000" w:themeColor="text1"/>
        </w:rPr>
      </w:pPr>
    </w:p>
    <w:p w14:paraId="4ECBB748" w14:textId="77777777" w:rsidR="008414D9" w:rsidRDefault="008414D9" w:rsidP="008414D9">
      <w:pPr>
        <w:jc w:val="both"/>
        <w:rPr>
          <w:rFonts w:ascii="Bookman Old Style" w:hAnsi="Bookman Old Style"/>
          <w:color w:val="000000" w:themeColor="text1"/>
        </w:rPr>
      </w:pPr>
    </w:p>
    <w:p w14:paraId="78431746" w14:textId="77777777" w:rsidR="008414D9" w:rsidRPr="002E6E77" w:rsidRDefault="008414D9" w:rsidP="008414D9">
      <w:pPr>
        <w:jc w:val="both"/>
        <w:rPr>
          <w:rFonts w:ascii="Bookman Old Style" w:hAnsi="Bookman Old Style"/>
          <w:b/>
          <w:color w:val="000000" w:themeColor="text1"/>
        </w:rPr>
      </w:pPr>
      <w:r w:rsidRPr="002E6E77">
        <w:rPr>
          <w:rFonts w:ascii="Bookman Old Style" w:hAnsi="Bookman Old Style"/>
          <w:b/>
          <w:color w:val="000000" w:themeColor="text1"/>
        </w:rPr>
        <w:t>JUAN SEBASTIÁN GÓMEZ GONZÁLES</w:t>
      </w:r>
    </w:p>
    <w:p w14:paraId="40E0DBA1" w14:textId="77777777" w:rsidR="008414D9" w:rsidRPr="002E6E77" w:rsidRDefault="008414D9" w:rsidP="008414D9">
      <w:pPr>
        <w:jc w:val="both"/>
        <w:rPr>
          <w:rFonts w:ascii="Bookman Old Style" w:hAnsi="Bookman Old Style"/>
          <w:color w:val="000000" w:themeColor="text1"/>
        </w:rPr>
      </w:pPr>
      <w:r w:rsidRPr="002E6E77">
        <w:rPr>
          <w:rFonts w:ascii="Bookman Old Style" w:hAnsi="Bookman Old Style"/>
          <w:color w:val="000000" w:themeColor="text1"/>
        </w:rPr>
        <w:t>Representante a la Cámara por Caldas</w:t>
      </w:r>
    </w:p>
    <w:p w14:paraId="0D568B6E" w14:textId="77777777" w:rsidR="008414D9" w:rsidRDefault="008414D9" w:rsidP="008414D9">
      <w:pPr>
        <w:jc w:val="both"/>
        <w:rPr>
          <w:rFonts w:ascii="Bookman Old Style" w:hAnsi="Bookman Old Style"/>
          <w:color w:val="000000" w:themeColor="text1"/>
        </w:rPr>
      </w:pPr>
      <w:r w:rsidRPr="002E6E77">
        <w:rPr>
          <w:rFonts w:ascii="Bookman Old Style" w:hAnsi="Bookman Old Style"/>
          <w:color w:val="000000" w:themeColor="text1"/>
        </w:rPr>
        <w:t>Ponente</w:t>
      </w:r>
    </w:p>
    <w:p w14:paraId="7A214724" w14:textId="1F845756" w:rsidR="008414D9" w:rsidRDefault="008414D9" w:rsidP="008414D9">
      <w:pPr>
        <w:spacing w:after="160" w:line="278" w:lineRule="auto"/>
        <w:rPr>
          <w:rFonts w:ascii="Bookman Old Style" w:hAnsi="Bookman Old Style"/>
          <w:color w:val="000000" w:themeColor="text1"/>
        </w:rPr>
      </w:pPr>
      <w:r>
        <w:rPr>
          <w:rFonts w:ascii="Bookman Old Style" w:hAnsi="Bookman Old Style"/>
          <w:color w:val="000000" w:themeColor="text1"/>
        </w:rPr>
        <w:br w:type="page"/>
      </w:r>
    </w:p>
    <w:p w14:paraId="69B32497" w14:textId="03A60D88" w:rsidR="008414D9" w:rsidRDefault="008414D9" w:rsidP="008414D9">
      <w:pPr>
        <w:widowControl w:val="0"/>
        <w:spacing w:after="240"/>
        <w:ind w:left="720"/>
        <w:jc w:val="center"/>
        <w:rPr>
          <w:rFonts w:ascii="Bookman Old Style" w:hAnsi="Bookman Old Style"/>
          <w:b/>
          <w:bCs/>
          <w:color w:val="000000" w:themeColor="text1"/>
        </w:rPr>
      </w:pPr>
      <w:r w:rsidRPr="009C54CB">
        <w:rPr>
          <w:rFonts w:ascii="Bookman Old Style" w:hAnsi="Bookman Old Style"/>
          <w:b/>
          <w:bCs/>
          <w:color w:val="000000" w:themeColor="text1"/>
        </w:rPr>
        <w:lastRenderedPageBreak/>
        <w:t>Informe de ponencia para primer debate del Proyecto de Acto Legislativo No. 449 de 2024 Cámara – No. 019 de 2024 Senado “Por el cual se otorga la categoría de Distrito Especial eje del conocimiento al municipio de Manizales en el departamento de Caldas” Primera Vuelta.</w:t>
      </w:r>
    </w:p>
    <w:p w14:paraId="188FA015" w14:textId="4A0BD3A3" w:rsidR="008414D9" w:rsidRPr="009C54CB" w:rsidRDefault="005F7957" w:rsidP="008414D9">
      <w:pPr>
        <w:widowControl w:val="0"/>
        <w:spacing w:after="240"/>
        <w:jc w:val="both"/>
        <w:rPr>
          <w:rFonts w:ascii="Bookman Old Style" w:hAnsi="Bookman Old Style"/>
          <w:b/>
          <w:bCs/>
          <w:color w:val="000000" w:themeColor="text1"/>
        </w:rPr>
      </w:pPr>
      <w:r w:rsidRPr="009C54CB">
        <w:rPr>
          <w:rFonts w:ascii="Bookman Old Style" w:hAnsi="Bookman Old Style"/>
          <w:b/>
          <w:bCs/>
          <w:color w:val="000000" w:themeColor="text1"/>
        </w:rPr>
        <w:t>Tramite</w:t>
      </w:r>
      <w:r w:rsidR="008414D9" w:rsidRPr="009C54CB">
        <w:rPr>
          <w:rFonts w:ascii="Bookman Old Style" w:hAnsi="Bookman Old Style"/>
          <w:b/>
          <w:bCs/>
          <w:color w:val="000000" w:themeColor="text1"/>
        </w:rPr>
        <w:t xml:space="preserve"> </w:t>
      </w:r>
    </w:p>
    <w:p w14:paraId="58FCF655" w14:textId="77777777" w:rsidR="008414D9" w:rsidRDefault="008414D9" w:rsidP="008414D9">
      <w:pPr>
        <w:jc w:val="both"/>
        <w:rPr>
          <w:rFonts w:ascii="Bookman Old Style" w:hAnsi="Bookman Old Style"/>
          <w:color w:val="000000" w:themeColor="text1"/>
        </w:rPr>
      </w:pPr>
      <w:r w:rsidRPr="009C54CB">
        <w:rPr>
          <w:rFonts w:ascii="Bookman Old Style" w:hAnsi="Bookman Old Style"/>
          <w:color w:val="000000" w:themeColor="text1"/>
        </w:rPr>
        <w:t xml:space="preserve">El proyecto de acto legislativo que contiene la iniciativa para otorgar a la ciudad de Manizales la </w:t>
      </w:r>
      <w:proofErr w:type="spellStart"/>
      <w:r w:rsidRPr="009C54CB">
        <w:rPr>
          <w:rFonts w:ascii="Bookman Old Style" w:hAnsi="Bookman Old Style"/>
          <w:color w:val="000000" w:themeColor="text1"/>
        </w:rPr>
        <w:t>categoría</w:t>
      </w:r>
      <w:proofErr w:type="spellEnd"/>
      <w:r w:rsidRPr="009C54CB">
        <w:rPr>
          <w:rFonts w:ascii="Bookman Old Style" w:hAnsi="Bookman Old Style"/>
          <w:color w:val="000000" w:themeColor="text1"/>
        </w:rPr>
        <w:t xml:space="preserve"> de Distrito Especial Eje del Conocimiento fue radicado ante la Secretaría General del Senado de la República el 16 de febrero de 2024, por los senadores y senadoras Guido Echeverry Piedrahita, Andrés Felipe Guerra Hoyos, Sor Berenice Bedoya </w:t>
      </w:r>
      <w:proofErr w:type="spellStart"/>
      <w:r w:rsidRPr="009C54CB">
        <w:rPr>
          <w:rFonts w:ascii="Bookman Old Style" w:hAnsi="Bookman Old Style"/>
          <w:color w:val="000000" w:themeColor="text1"/>
        </w:rPr>
        <w:t>Pérez</w:t>
      </w:r>
      <w:proofErr w:type="spellEnd"/>
      <w:r w:rsidRPr="009C54CB">
        <w:rPr>
          <w:rFonts w:ascii="Bookman Old Style" w:hAnsi="Bookman Old Style"/>
          <w:color w:val="000000" w:themeColor="text1"/>
        </w:rPr>
        <w:t xml:space="preserve">, Alejandro Alberto Vega </w:t>
      </w:r>
      <w:proofErr w:type="spellStart"/>
      <w:r w:rsidRPr="009C54CB">
        <w:rPr>
          <w:rFonts w:ascii="Bookman Old Style" w:hAnsi="Bookman Old Style"/>
          <w:color w:val="000000" w:themeColor="text1"/>
        </w:rPr>
        <w:t>Pérez</w:t>
      </w:r>
      <w:proofErr w:type="spellEnd"/>
      <w:r w:rsidRPr="009C54CB">
        <w:rPr>
          <w:rFonts w:ascii="Bookman Old Style" w:hAnsi="Bookman Old Style"/>
          <w:color w:val="000000" w:themeColor="text1"/>
        </w:rPr>
        <w:t xml:space="preserve">, Enrique Cabrales Baquero , Carlos Manuel Meisel Vergara, Isabel Cristina Zuleta </w:t>
      </w:r>
      <w:proofErr w:type="spellStart"/>
      <w:r w:rsidRPr="009C54CB">
        <w:rPr>
          <w:rFonts w:ascii="Bookman Old Style" w:hAnsi="Bookman Old Style"/>
          <w:color w:val="000000" w:themeColor="text1"/>
        </w:rPr>
        <w:t>López</w:t>
      </w:r>
      <w:proofErr w:type="spellEnd"/>
      <w:r w:rsidRPr="009C54CB">
        <w:rPr>
          <w:rFonts w:ascii="Bookman Old Style" w:hAnsi="Bookman Old Style"/>
          <w:color w:val="000000" w:themeColor="text1"/>
        </w:rPr>
        <w:t>, Jairo Alberto Castellanos Serrano, Gustavo Adolfo Moreno Hurtado y Paulino Riascos Riascos. De forma posterior, la Mesa Directiva de la Comisión Primera Constitucional Permanente del Senado de la República, mediante el Acta MD-20 de 2024, designó como ponente</w:t>
      </w:r>
      <w:r>
        <w:rPr>
          <w:rFonts w:ascii="Bookman Old Style" w:hAnsi="Bookman Old Style"/>
          <w:color w:val="000000" w:themeColor="text1"/>
        </w:rPr>
        <w:t xml:space="preserve"> al H.S. Humberto de la Calle Lombana. </w:t>
      </w:r>
    </w:p>
    <w:p w14:paraId="7B82F743" w14:textId="77777777" w:rsidR="008414D9" w:rsidRPr="009C54CB" w:rsidRDefault="008414D9" w:rsidP="008414D9">
      <w:pPr>
        <w:jc w:val="both"/>
        <w:rPr>
          <w:rFonts w:ascii="Bookman Old Style" w:hAnsi="Bookman Old Style"/>
          <w:color w:val="000000" w:themeColor="text1"/>
        </w:rPr>
      </w:pPr>
    </w:p>
    <w:p w14:paraId="6A54C41E" w14:textId="77777777" w:rsidR="008414D9" w:rsidRDefault="008414D9" w:rsidP="008414D9">
      <w:pPr>
        <w:jc w:val="both"/>
        <w:rPr>
          <w:rFonts w:ascii="Bookman Old Style" w:hAnsi="Bookman Old Style"/>
          <w:color w:val="000000" w:themeColor="text1"/>
        </w:rPr>
      </w:pPr>
      <w:r w:rsidRPr="009C54CB">
        <w:rPr>
          <w:rFonts w:ascii="Bookman Old Style" w:hAnsi="Bookman Old Style"/>
          <w:color w:val="000000" w:themeColor="text1"/>
        </w:rPr>
        <w:t xml:space="preserve">La ponencia para primer debate en la Comisión Primera Constitucional Permanente fue publicada en la Gaceta del Congreso No. 90 de 2024. El martes 2 de abril de 2024, los senadores discutieron y aprobaron el texto propuesto en sesión presencial, sin modificaciones al texto original. </w:t>
      </w:r>
    </w:p>
    <w:p w14:paraId="50F499A0" w14:textId="77777777" w:rsidR="008414D9" w:rsidRDefault="008414D9" w:rsidP="008414D9">
      <w:pPr>
        <w:jc w:val="both"/>
        <w:rPr>
          <w:rFonts w:ascii="Bookman Old Style" w:hAnsi="Bookman Old Style"/>
          <w:color w:val="000000" w:themeColor="text1"/>
        </w:rPr>
      </w:pPr>
    </w:p>
    <w:p w14:paraId="52B66A16" w14:textId="77777777" w:rsidR="008414D9" w:rsidRDefault="008414D9" w:rsidP="008414D9">
      <w:pPr>
        <w:jc w:val="both"/>
        <w:rPr>
          <w:rFonts w:ascii="Bookman Old Style" w:hAnsi="Bookman Old Style"/>
          <w:color w:val="000000" w:themeColor="text1"/>
        </w:rPr>
      </w:pPr>
      <w:r w:rsidRPr="009C54CB">
        <w:rPr>
          <w:rFonts w:ascii="Bookman Old Style" w:hAnsi="Bookman Old Style"/>
          <w:color w:val="000000" w:themeColor="text1"/>
        </w:rPr>
        <w:t xml:space="preserve">La ponencia para </w:t>
      </w:r>
      <w:r>
        <w:rPr>
          <w:rFonts w:ascii="Bookman Old Style" w:hAnsi="Bookman Old Style"/>
          <w:color w:val="000000" w:themeColor="text1"/>
        </w:rPr>
        <w:t>segundo</w:t>
      </w:r>
      <w:r w:rsidRPr="009C54CB">
        <w:rPr>
          <w:rFonts w:ascii="Bookman Old Style" w:hAnsi="Bookman Old Style"/>
          <w:color w:val="000000" w:themeColor="text1"/>
        </w:rPr>
        <w:t xml:space="preserve"> debate en la </w:t>
      </w:r>
      <w:r>
        <w:rPr>
          <w:rFonts w:ascii="Bookman Old Style" w:hAnsi="Bookman Old Style"/>
          <w:color w:val="000000" w:themeColor="text1"/>
        </w:rPr>
        <w:t>Plenaria del Senado</w:t>
      </w:r>
      <w:r w:rsidRPr="009C54CB">
        <w:rPr>
          <w:rFonts w:ascii="Bookman Old Style" w:hAnsi="Bookman Old Style"/>
          <w:color w:val="000000" w:themeColor="text1"/>
        </w:rPr>
        <w:t xml:space="preserve"> fue publicada en la Gaceta del Congreso No. </w:t>
      </w:r>
      <w:r>
        <w:rPr>
          <w:rFonts w:ascii="Bookman Old Style" w:hAnsi="Bookman Old Style"/>
          <w:color w:val="000000" w:themeColor="text1"/>
        </w:rPr>
        <w:t>431</w:t>
      </w:r>
      <w:r w:rsidRPr="009C54CB">
        <w:rPr>
          <w:rFonts w:ascii="Bookman Old Style" w:hAnsi="Bookman Old Style"/>
          <w:color w:val="000000" w:themeColor="text1"/>
        </w:rPr>
        <w:t xml:space="preserve"> de 2024. El 2</w:t>
      </w:r>
      <w:r>
        <w:rPr>
          <w:rFonts w:ascii="Bookman Old Style" w:hAnsi="Bookman Old Style"/>
          <w:color w:val="000000" w:themeColor="text1"/>
        </w:rPr>
        <w:t>2</w:t>
      </w:r>
      <w:r w:rsidRPr="009C54CB">
        <w:rPr>
          <w:rFonts w:ascii="Bookman Old Style" w:hAnsi="Bookman Old Style"/>
          <w:color w:val="000000" w:themeColor="text1"/>
        </w:rPr>
        <w:t xml:space="preserve"> de </w:t>
      </w:r>
      <w:r>
        <w:rPr>
          <w:rFonts w:ascii="Bookman Old Style" w:hAnsi="Bookman Old Style"/>
          <w:color w:val="000000" w:themeColor="text1"/>
        </w:rPr>
        <w:t>mayo</w:t>
      </w:r>
      <w:r w:rsidRPr="009C54CB">
        <w:rPr>
          <w:rFonts w:ascii="Bookman Old Style" w:hAnsi="Bookman Old Style"/>
          <w:color w:val="000000" w:themeColor="text1"/>
        </w:rPr>
        <w:t xml:space="preserve"> de 2024, los senadores discutieron y aprobaron el texto propuesto en sesión presencial, </w:t>
      </w:r>
      <w:r>
        <w:rPr>
          <w:rFonts w:ascii="Bookman Old Style" w:hAnsi="Bookman Old Style"/>
          <w:color w:val="000000" w:themeColor="text1"/>
        </w:rPr>
        <w:t>con</w:t>
      </w:r>
      <w:r w:rsidRPr="009C54CB">
        <w:rPr>
          <w:rFonts w:ascii="Bookman Old Style" w:hAnsi="Bookman Old Style"/>
          <w:color w:val="000000" w:themeColor="text1"/>
        </w:rPr>
        <w:t xml:space="preserve"> modificaciones al texto original. </w:t>
      </w:r>
    </w:p>
    <w:p w14:paraId="3B10BB77" w14:textId="77777777" w:rsidR="008414D9" w:rsidRDefault="008414D9" w:rsidP="008414D9">
      <w:pPr>
        <w:jc w:val="both"/>
        <w:rPr>
          <w:rFonts w:ascii="Bookman Old Style" w:hAnsi="Bookman Old Style"/>
          <w:color w:val="000000" w:themeColor="text1"/>
        </w:rPr>
      </w:pPr>
    </w:p>
    <w:p w14:paraId="0BF4862C" w14:textId="77777777" w:rsidR="008414D9" w:rsidRDefault="008414D9" w:rsidP="008414D9">
      <w:pPr>
        <w:jc w:val="both"/>
        <w:rPr>
          <w:rFonts w:ascii="Bookman Old Style" w:hAnsi="Bookman Old Style"/>
          <w:color w:val="000000" w:themeColor="text1"/>
        </w:rPr>
      </w:pPr>
      <w:r>
        <w:rPr>
          <w:rFonts w:ascii="Bookman Old Style" w:hAnsi="Bookman Old Style"/>
          <w:color w:val="000000" w:themeColor="text1"/>
        </w:rPr>
        <w:t>El Texto definitivo aprobado en sesión plenaria del Senado de la República fue publicado en la Gaceta 715 del 2024.</w:t>
      </w:r>
    </w:p>
    <w:p w14:paraId="3ECBF377" w14:textId="77777777" w:rsidR="008414D9" w:rsidRPr="009C54CB" w:rsidRDefault="008414D9" w:rsidP="008414D9">
      <w:pPr>
        <w:jc w:val="both"/>
        <w:rPr>
          <w:rFonts w:ascii="Bookman Old Style" w:hAnsi="Bookman Old Style"/>
          <w:color w:val="000000" w:themeColor="text1"/>
        </w:rPr>
      </w:pPr>
    </w:p>
    <w:p w14:paraId="3147FFE3" w14:textId="77777777" w:rsidR="008414D9" w:rsidRDefault="008414D9" w:rsidP="008414D9">
      <w:pPr>
        <w:jc w:val="both"/>
        <w:rPr>
          <w:rFonts w:ascii="Bookman Old Style" w:hAnsi="Bookman Old Style"/>
          <w:color w:val="000000" w:themeColor="text1"/>
        </w:rPr>
      </w:pPr>
    </w:p>
    <w:p w14:paraId="32307145" w14:textId="77777777" w:rsidR="008414D9" w:rsidRDefault="008414D9" w:rsidP="008414D9">
      <w:pPr>
        <w:jc w:val="both"/>
        <w:rPr>
          <w:rFonts w:ascii="Bookman Old Style" w:hAnsi="Bookman Old Style"/>
          <w:b/>
          <w:bCs/>
          <w:color w:val="000000" w:themeColor="text1"/>
        </w:rPr>
      </w:pPr>
      <w:r w:rsidRPr="00614BBC">
        <w:rPr>
          <w:rFonts w:ascii="Bookman Old Style" w:hAnsi="Bookman Old Style"/>
          <w:b/>
          <w:bCs/>
          <w:color w:val="000000" w:themeColor="text1"/>
        </w:rPr>
        <w:t xml:space="preserve">Objeto </w:t>
      </w:r>
    </w:p>
    <w:p w14:paraId="07763AB0" w14:textId="77777777" w:rsidR="008414D9" w:rsidRPr="00614BBC" w:rsidRDefault="008414D9" w:rsidP="008414D9">
      <w:pPr>
        <w:jc w:val="both"/>
        <w:rPr>
          <w:rFonts w:ascii="Bookman Old Style" w:hAnsi="Bookman Old Style"/>
          <w:b/>
          <w:bCs/>
          <w:color w:val="000000" w:themeColor="text1"/>
        </w:rPr>
      </w:pPr>
    </w:p>
    <w:p w14:paraId="5DB62483" w14:textId="77777777" w:rsidR="008414D9" w:rsidRDefault="008414D9" w:rsidP="008414D9">
      <w:pPr>
        <w:jc w:val="both"/>
        <w:rPr>
          <w:rFonts w:ascii="Bookman Old Style" w:hAnsi="Bookman Old Style"/>
          <w:color w:val="000000" w:themeColor="text1"/>
        </w:rPr>
      </w:pPr>
      <w:r w:rsidRPr="00614BBC">
        <w:rPr>
          <w:rFonts w:ascii="Bookman Old Style" w:hAnsi="Bookman Old Style"/>
          <w:color w:val="000000" w:themeColor="text1"/>
        </w:rPr>
        <w:t xml:space="preserve">El proyecto de acto legislativo tiene como finalidad designar a la ciudad de Manizales como Distrito Especial Eje del Conocimiento, de manera que se materialice el proyecto de consolidar a la ciudad como una ciudad universitaria. Lo anterior, sobre la base de que en Manizales confluyen programas académicos de formación técnica, tecnológica y profesional y de posgrado, que se convierten en fuente directa de ingreso económico </w:t>
      </w:r>
      <w:r w:rsidRPr="00614BBC">
        <w:rPr>
          <w:rFonts w:ascii="Bookman Old Style" w:hAnsi="Bookman Old Style"/>
          <w:color w:val="000000" w:themeColor="text1"/>
        </w:rPr>
        <w:lastRenderedPageBreak/>
        <w:t xml:space="preserve">alrededor de las demandas que </w:t>
      </w:r>
      <w:proofErr w:type="spellStart"/>
      <w:r w:rsidRPr="00614BBC">
        <w:rPr>
          <w:rFonts w:ascii="Bookman Old Style" w:hAnsi="Bookman Old Style"/>
          <w:color w:val="000000" w:themeColor="text1"/>
        </w:rPr>
        <w:t>efectúan</w:t>
      </w:r>
      <w:proofErr w:type="spellEnd"/>
      <w:r w:rsidRPr="00614BBC">
        <w:rPr>
          <w:rFonts w:ascii="Bookman Old Style" w:hAnsi="Bookman Old Style"/>
          <w:color w:val="000000" w:themeColor="text1"/>
        </w:rPr>
        <w:t xml:space="preserve"> los estudiantes en materia de </w:t>
      </w:r>
      <w:proofErr w:type="spellStart"/>
      <w:r w:rsidRPr="00614BBC">
        <w:rPr>
          <w:rFonts w:ascii="Bookman Old Style" w:hAnsi="Bookman Old Style"/>
          <w:color w:val="000000" w:themeColor="text1"/>
        </w:rPr>
        <w:t>satisfacción</w:t>
      </w:r>
      <w:proofErr w:type="spellEnd"/>
      <w:r w:rsidRPr="00614BBC">
        <w:rPr>
          <w:rFonts w:ascii="Bookman Old Style" w:hAnsi="Bookman Old Style"/>
          <w:color w:val="000000" w:themeColor="text1"/>
        </w:rPr>
        <w:t xml:space="preserve"> de necesidades </w:t>
      </w:r>
      <w:proofErr w:type="spellStart"/>
      <w:r w:rsidRPr="00614BBC">
        <w:rPr>
          <w:rFonts w:ascii="Bookman Old Style" w:hAnsi="Bookman Old Style"/>
          <w:color w:val="000000" w:themeColor="text1"/>
        </w:rPr>
        <w:t>básicas</w:t>
      </w:r>
      <w:proofErr w:type="spellEnd"/>
      <w:r w:rsidRPr="00614BBC">
        <w:rPr>
          <w:rFonts w:ascii="Bookman Old Style" w:hAnsi="Bookman Old Style"/>
          <w:color w:val="000000" w:themeColor="text1"/>
        </w:rPr>
        <w:t xml:space="preserve"> en pro de adelantar sus estudios y sus proyectos de vida. </w:t>
      </w:r>
    </w:p>
    <w:p w14:paraId="2FA3A6BC" w14:textId="77777777" w:rsidR="008414D9" w:rsidRDefault="008414D9" w:rsidP="008414D9">
      <w:pPr>
        <w:jc w:val="both"/>
        <w:rPr>
          <w:rFonts w:ascii="Bookman Old Style" w:hAnsi="Bookman Old Style"/>
          <w:color w:val="000000" w:themeColor="text1"/>
        </w:rPr>
      </w:pPr>
    </w:p>
    <w:p w14:paraId="3440386A" w14:textId="77777777" w:rsidR="008414D9" w:rsidRDefault="008414D9" w:rsidP="008414D9">
      <w:pPr>
        <w:jc w:val="both"/>
        <w:rPr>
          <w:rFonts w:ascii="Bookman Old Style" w:hAnsi="Bookman Old Style"/>
          <w:b/>
          <w:bCs/>
          <w:color w:val="000000" w:themeColor="text1"/>
        </w:rPr>
      </w:pPr>
      <w:r w:rsidRPr="00614BBC">
        <w:rPr>
          <w:rFonts w:ascii="Bookman Old Style" w:hAnsi="Bookman Old Style"/>
          <w:b/>
          <w:bCs/>
          <w:color w:val="000000" w:themeColor="text1"/>
        </w:rPr>
        <w:t xml:space="preserve">Contenido </w:t>
      </w:r>
    </w:p>
    <w:p w14:paraId="1EC1043D" w14:textId="77777777" w:rsidR="008414D9" w:rsidRPr="00614BBC" w:rsidRDefault="008414D9" w:rsidP="008414D9">
      <w:pPr>
        <w:jc w:val="both"/>
        <w:rPr>
          <w:rFonts w:ascii="Bookman Old Style" w:hAnsi="Bookman Old Style"/>
          <w:b/>
          <w:bCs/>
          <w:color w:val="000000" w:themeColor="text1"/>
        </w:rPr>
      </w:pPr>
    </w:p>
    <w:p w14:paraId="6DCC67CE" w14:textId="77777777" w:rsidR="008414D9" w:rsidRDefault="008414D9" w:rsidP="008414D9">
      <w:pPr>
        <w:jc w:val="both"/>
        <w:rPr>
          <w:rFonts w:ascii="Bookman Old Style" w:hAnsi="Bookman Old Style"/>
          <w:color w:val="000000" w:themeColor="text1"/>
        </w:rPr>
      </w:pPr>
      <w:r w:rsidRPr="00614BBC">
        <w:rPr>
          <w:rFonts w:ascii="Bookman Old Style" w:hAnsi="Bookman Old Style"/>
          <w:color w:val="000000" w:themeColor="text1"/>
        </w:rPr>
        <w:t xml:space="preserve">El artículo primero del proyecto adiciona un inciso al artículo 328 de la </w:t>
      </w:r>
      <w:proofErr w:type="spellStart"/>
      <w:r w:rsidRPr="00614BBC">
        <w:rPr>
          <w:rFonts w:ascii="Bookman Old Style" w:hAnsi="Bookman Old Style"/>
          <w:color w:val="000000" w:themeColor="text1"/>
        </w:rPr>
        <w:t>Constitución</w:t>
      </w:r>
      <w:proofErr w:type="spellEnd"/>
      <w:r w:rsidRPr="00614BBC">
        <w:rPr>
          <w:rFonts w:ascii="Bookman Old Style" w:hAnsi="Bookman Old Style"/>
          <w:color w:val="000000" w:themeColor="text1"/>
        </w:rPr>
        <w:t xml:space="preserve">, en el sentido de organizar a Manizales como Distrito Especial Eje del Conocimiento. </w:t>
      </w:r>
    </w:p>
    <w:p w14:paraId="55B74D42" w14:textId="77777777" w:rsidR="008414D9" w:rsidRPr="00614BBC" w:rsidRDefault="008414D9" w:rsidP="008414D9">
      <w:pPr>
        <w:jc w:val="both"/>
        <w:rPr>
          <w:rFonts w:ascii="Bookman Old Style" w:hAnsi="Bookman Old Style"/>
          <w:color w:val="000000" w:themeColor="text1"/>
        </w:rPr>
      </w:pPr>
    </w:p>
    <w:p w14:paraId="741BCDE4" w14:textId="77777777" w:rsidR="008414D9" w:rsidRDefault="008414D9" w:rsidP="008414D9">
      <w:pPr>
        <w:jc w:val="both"/>
        <w:rPr>
          <w:rFonts w:ascii="Bookman Old Style" w:hAnsi="Bookman Old Style"/>
          <w:color w:val="000000" w:themeColor="text1"/>
        </w:rPr>
      </w:pPr>
      <w:r w:rsidRPr="00614BBC">
        <w:rPr>
          <w:rFonts w:ascii="Bookman Old Style" w:hAnsi="Bookman Old Style"/>
          <w:color w:val="000000" w:themeColor="text1"/>
        </w:rPr>
        <w:t xml:space="preserve">El artículo segundo adiciona un inciso al artículo 356 de la </w:t>
      </w:r>
      <w:proofErr w:type="spellStart"/>
      <w:r w:rsidRPr="00614BBC">
        <w:rPr>
          <w:rFonts w:ascii="Bookman Old Style" w:hAnsi="Bookman Old Style"/>
          <w:color w:val="000000" w:themeColor="text1"/>
        </w:rPr>
        <w:t>Constitución</w:t>
      </w:r>
      <w:proofErr w:type="spellEnd"/>
      <w:r>
        <w:rPr>
          <w:rFonts w:ascii="Bookman Old Style" w:hAnsi="Bookman Old Style"/>
          <w:color w:val="000000" w:themeColor="text1"/>
        </w:rPr>
        <w:t xml:space="preserve"> </w:t>
      </w:r>
      <w:r w:rsidRPr="00614BBC">
        <w:rPr>
          <w:rFonts w:ascii="Bookman Old Style" w:hAnsi="Bookman Old Style"/>
          <w:color w:val="000000" w:themeColor="text1"/>
        </w:rPr>
        <w:t>reiterando que Manizales se organiza como Distrito Especial Eje del</w:t>
      </w:r>
      <w:r>
        <w:rPr>
          <w:rFonts w:ascii="Bookman Old Style" w:hAnsi="Bookman Old Style"/>
          <w:color w:val="000000" w:themeColor="text1"/>
        </w:rPr>
        <w:t xml:space="preserve"> </w:t>
      </w:r>
      <w:r w:rsidRPr="00614BBC">
        <w:rPr>
          <w:rFonts w:ascii="Bookman Old Style" w:hAnsi="Bookman Old Style"/>
          <w:color w:val="000000" w:themeColor="text1"/>
        </w:rPr>
        <w:t xml:space="preserve">Conocimiento y agrega que el </w:t>
      </w:r>
      <w:proofErr w:type="spellStart"/>
      <w:r w:rsidRPr="00614BBC">
        <w:rPr>
          <w:rFonts w:ascii="Bookman Old Style" w:hAnsi="Bookman Old Style"/>
          <w:color w:val="000000" w:themeColor="text1"/>
        </w:rPr>
        <w:t>régimen</w:t>
      </w:r>
      <w:proofErr w:type="spellEnd"/>
      <w:r w:rsidRPr="00614BBC">
        <w:rPr>
          <w:rFonts w:ascii="Bookman Old Style" w:hAnsi="Bookman Old Style"/>
          <w:color w:val="000000" w:themeColor="text1"/>
        </w:rPr>
        <w:t xml:space="preserve"> </w:t>
      </w:r>
      <w:proofErr w:type="spellStart"/>
      <w:r w:rsidRPr="00614BBC">
        <w:rPr>
          <w:rFonts w:ascii="Bookman Old Style" w:hAnsi="Bookman Old Style"/>
          <w:color w:val="000000" w:themeColor="text1"/>
        </w:rPr>
        <w:t>político</w:t>
      </w:r>
      <w:proofErr w:type="spellEnd"/>
      <w:r w:rsidRPr="00614BBC">
        <w:rPr>
          <w:rFonts w:ascii="Bookman Old Style" w:hAnsi="Bookman Old Style"/>
          <w:color w:val="000000" w:themeColor="text1"/>
        </w:rPr>
        <w:t xml:space="preserve"> y fiscal será el previsto en la </w:t>
      </w:r>
      <w:proofErr w:type="spellStart"/>
      <w:r w:rsidRPr="00614BBC">
        <w:rPr>
          <w:rFonts w:ascii="Bookman Old Style" w:hAnsi="Bookman Old Style"/>
          <w:color w:val="000000" w:themeColor="text1"/>
        </w:rPr>
        <w:t>Constitución</w:t>
      </w:r>
      <w:proofErr w:type="spellEnd"/>
      <w:r w:rsidRPr="00614BBC">
        <w:rPr>
          <w:rFonts w:ascii="Bookman Old Style" w:hAnsi="Bookman Old Style"/>
          <w:color w:val="000000" w:themeColor="text1"/>
        </w:rPr>
        <w:t xml:space="preserve"> y las leyes especiales que para el efecto se dicten. Igualmente, el artículo tercero adiciona un </w:t>
      </w:r>
      <w:proofErr w:type="spellStart"/>
      <w:r w:rsidRPr="00614BBC">
        <w:rPr>
          <w:rFonts w:ascii="Bookman Old Style" w:hAnsi="Bookman Old Style"/>
          <w:color w:val="000000" w:themeColor="text1"/>
        </w:rPr>
        <w:t>parágrafo</w:t>
      </w:r>
      <w:proofErr w:type="spellEnd"/>
      <w:r w:rsidRPr="00614BBC">
        <w:rPr>
          <w:rFonts w:ascii="Bookman Old Style" w:hAnsi="Bookman Old Style"/>
          <w:color w:val="000000" w:themeColor="text1"/>
        </w:rPr>
        <w:t xml:space="preserve"> a la norma constitucional antes </w:t>
      </w:r>
      <w:proofErr w:type="spellStart"/>
      <w:r w:rsidRPr="00614BBC">
        <w:rPr>
          <w:rFonts w:ascii="Bookman Old Style" w:hAnsi="Bookman Old Style"/>
          <w:color w:val="000000" w:themeColor="text1"/>
        </w:rPr>
        <w:t>señalada</w:t>
      </w:r>
      <w:proofErr w:type="spellEnd"/>
      <w:r w:rsidRPr="00614BBC">
        <w:rPr>
          <w:rFonts w:ascii="Bookman Old Style" w:hAnsi="Bookman Old Style"/>
          <w:color w:val="000000" w:themeColor="text1"/>
        </w:rPr>
        <w:t xml:space="preserve">, mediante el cual se dispone que Manizales podrá crear mecanismos para la promoción del distrito especial, así como un fondo de desarrollo para el financiamiento de los proyectos asociados a ciencia, </w:t>
      </w:r>
      <w:proofErr w:type="spellStart"/>
      <w:r w:rsidRPr="00614BBC">
        <w:rPr>
          <w:rFonts w:ascii="Bookman Old Style" w:hAnsi="Bookman Old Style"/>
          <w:color w:val="000000" w:themeColor="text1"/>
        </w:rPr>
        <w:t>tecnología</w:t>
      </w:r>
      <w:proofErr w:type="spellEnd"/>
      <w:r w:rsidRPr="00614BBC">
        <w:rPr>
          <w:rFonts w:ascii="Bookman Old Style" w:hAnsi="Bookman Old Style"/>
          <w:color w:val="000000" w:themeColor="text1"/>
        </w:rPr>
        <w:t xml:space="preserve"> e </w:t>
      </w:r>
      <w:proofErr w:type="spellStart"/>
      <w:r w:rsidRPr="00614BBC">
        <w:rPr>
          <w:rFonts w:ascii="Bookman Old Style" w:hAnsi="Bookman Old Style"/>
          <w:color w:val="000000" w:themeColor="text1"/>
        </w:rPr>
        <w:t>innovación</w:t>
      </w:r>
      <w:proofErr w:type="spellEnd"/>
      <w:r w:rsidRPr="00614BBC">
        <w:rPr>
          <w:rFonts w:ascii="Bookman Old Style" w:hAnsi="Bookman Old Style"/>
          <w:color w:val="000000" w:themeColor="text1"/>
        </w:rPr>
        <w:t xml:space="preserve">, y que </w:t>
      </w:r>
      <w:proofErr w:type="spellStart"/>
      <w:r w:rsidRPr="00614BBC">
        <w:rPr>
          <w:rFonts w:ascii="Bookman Old Style" w:hAnsi="Bookman Old Style"/>
          <w:color w:val="000000" w:themeColor="text1"/>
        </w:rPr>
        <w:t>promovera</w:t>
      </w:r>
      <w:proofErr w:type="spellEnd"/>
      <w:r w:rsidRPr="00614BBC">
        <w:rPr>
          <w:rFonts w:ascii="Bookman Old Style" w:hAnsi="Bookman Old Style"/>
          <w:color w:val="000000" w:themeColor="text1"/>
        </w:rPr>
        <w:t xml:space="preserve">́ mecanismo para la inclusión de la población y el enfoque diferencial para los grupos étnicos. </w:t>
      </w:r>
    </w:p>
    <w:p w14:paraId="69B699C3" w14:textId="77777777" w:rsidR="008414D9" w:rsidRPr="00614BBC" w:rsidRDefault="008414D9" w:rsidP="008414D9">
      <w:pPr>
        <w:jc w:val="both"/>
        <w:rPr>
          <w:rFonts w:ascii="Bookman Old Style" w:hAnsi="Bookman Old Style"/>
          <w:color w:val="000000" w:themeColor="text1"/>
        </w:rPr>
      </w:pPr>
    </w:p>
    <w:p w14:paraId="1D35CA73" w14:textId="77777777" w:rsidR="008414D9" w:rsidRPr="00614BBC" w:rsidRDefault="008414D9" w:rsidP="008414D9">
      <w:pPr>
        <w:jc w:val="both"/>
        <w:rPr>
          <w:rFonts w:ascii="Bookman Old Style" w:hAnsi="Bookman Old Style"/>
          <w:color w:val="000000" w:themeColor="text1"/>
        </w:rPr>
      </w:pPr>
      <w:r w:rsidRPr="00614BBC">
        <w:rPr>
          <w:rFonts w:ascii="Bookman Old Style" w:hAnsi="Bookman Old Style"/>
          <w:color w:val="000000" w:themeColor="text1"/>
        </w:rPr>
        <w:t xml:space="preserve">El artículo cuarto dispone la vigencia de la norma. </w:t>
      </w:r>
    </w:p>
    <w:p w14:paraId="33A453E0" w14:textId="77777777" w:rsidR="008414D9" w:rsidRDefault="008414D9" w:rsidP="008414D9">
      <w:pPr>
        <w:jc w:val="both"/>
        <w:rPr>
          <w:rFonts w:ascii="Bookman Old Style" w:hAnsi="Bookman Old Style"/>
          <w:color w:val="000000" w:themeColor="text1"/>
        </w:rPr>
      </w:pPr>
    </w:p>
    <w:p w14:paraId="423297C2" w14:textId="77777777" w:rsidR="008414D9" w:rsidRDefault="008414D9" w:rsidP="008414D9">
      <w:pPr>
        <w:jc w:val="both"/>
        <w:rPr>
          <w:rFonts w:ascii="Bookman Old Style" w:hAnsi="Bookman Old Style"/>
          <w:b/>
          <w:bCs/>
          <w:color w:val="000000" w:themeColor="text1"/>
        </w:rPr>
      </w:pPr>
      <w:proofErr w:type="spellStart"/>
      <w:r w:rsidRPr="0004210A">
        <w:rPr>
          <w:rFonts w:ascii="Bookman Old Style" w:hAnsi="Bookman Old Style"/>
          <w:b/>
          <w:bCs/>
          <w:color w:val="000000" w:themeColor="text1"/>
        </w:rPr>
        <w:t>Justificación</w:t>
      </w:r>
      <w:proofErr w:type="spellEnd"/>
      <w:r w:rsidRPr="0004210A">
        <w:rPr>
          <w:rFonts w:ascii="Bookman Old Style" w:hAnsi="Bookman Old Style"/>
          <w:b/>
          <w:bCs/>
          <w:color w:val="000000" w:themeColor="text1"/>
        </w:rPr>
        <w:t xml:space="preserve"> </w:t>
      </w:r>
    </w:p>
    <w:p w14:paraId="29F4D015" w14:textId="77777777" w:rsidR="008414D9" w:rsidRPr="0004210A" w:rsidRDefault="008414D9" w:rsidP="008414D9">
      <w:pPr>
        <w:jc w:val="both"/>
        <w:rPr>
          <w:rFonts w:ascii="Bookman Old Style" w:hAnsi="Bookman Old Style"/>
          <w:b/>
          <w:bCs/>
          <w:color w:val="000000" w:themeColor="text1"/>
        </w:rPr>
      </w:pPr>
    </w:p>
    <w:p w14:paraId="2FDF90F8" w14:textId="77777777" w:rsidR="008414D9" w:rsidRDefault="008414D9" w:rsidP="008414D9">
      <w:pPr>
        <w:jc w:val="both"/>
        <w:rPr>
          <w:rFonts w:ascii="Bookman Old Style" w:hAnsi="Bookman Old Style"/>
          <w:color w:val="000000" w:themeColor="text1"/>
        </w:rPr>
      </w:pPr>
      <w:r w:rsidRPr="0004210A">
        <w:rPr>
          <w:rFonts w:ascii="Bookman Old Style" w:hAnsi="Bookman Old Style"/>
          <w:color w:val="000000" w:themeColor="text1"/>
        </w:rPr>
        <w:t xml:space="preserve">1. Contexto de la educación superior en el Departamento de Caldas </w:t>
      </w:r>
    </w:p>
    <w:p w14:paraId="2EC93DAE" w14:textId="77777777" w:rsidR="008414D9" w:rsidRPr="0004210A" w:rsidRDefault="008414D9" w:rsidP="008414D9">
      <w:pPr>
        <w:jc w:val="both"/>
        <w:rPr>
          <w:rFonts w:ascii="Bookman Old Style" w:hAnsi="Bookman Old Style"/>
          <w:color w:val="000000" w:themeColor="text1"/>
        </w:rPr>
      </w:pPr>
    </w:p>
    <w:p w14:paraId="79500FE7" w14:textId="77777777" w:rsidR="008414D9" w:rsidRDefault="008414D9" w:rsidP="008414D9">
      <w:pPr>
        <w:jc w:val="both"/>
        <w:rPr>
          <w:rFonts w:ascii="Bookman Old Style" w:hAnsi="Bookman Old Style"/>
          <w:color w:val="000000" w:themeColor="text1"/>
        </w:rPr>
      </w:pPr>
      <w:r w:rsidRPr="0004210A">
        <w:rPr>
          <w:rFonts w:ascii="Bookman Old Style" w:hAnsi="Bookman Old Style"/>
          <w:color w:val="000000" w:themeColor="text1"/>
        </w:rPr>
        <w:t xml:space="preserve">En el año 2019, la UNESCO nombró a Manizales como ciudad del aprendizaje. Diversas universidades tienen </w:t>
      </w:r>
      <w:proofErr w:type="spellStart"/>
      <w:r w:rsidRPr="0004210A">
        <w:rPr>
          <w:rFonts w:ascii="Bookman Old Style" w:hAnsi="Bookman Old Style"/>
          <w:color w:val="000000" w:themeColor="text1"/>
        </w:rPr>
        <w:t>acreditación</w:t>
      </w:r>
      <w:proofErr w:type="spellEnd"/>
      <w:r w:rsidRPr="0004210A">
        <w:rPr>
          <w:rFonts w:ascii="Bookman Old Style" w:hAnsi="Bookman Old Style"/>
          <w:color w:val="000000" w:themeColor="text1"/>
        </w:rPr>
        <w:t xml:space="preserve"> de alta calidad, con el </w:t>
      </w:r>
      <w:proofErr w:type="spellStart"/>
      <w:r w:rsidRPr="0004210A">
        <w:rPr>
          <w:rFonts w:ascii="Bookman Old Style" w:hAnsi="Bookman Old Style"/>
          <w:color w:val="000000" w:themeColor="text1"/>
        </w:rPr>
        <w:t>índice</w:t>
      </w:r>
      <w:proofErr w:type="spellEnd"/>
      <w:r w:rsidRPr="0004210A">
        <w:rPr>
          <w:rFonts w:ascii="Bookman Old Style" w:hAnsi="Bookman Old Style"/>
          <w:color w:val="000000" w:themeColor="text1"/>
        </w:rPr>
        <w:t xml:space="preserve"> </w:t>
      </w:r>
      <w:proofErr w:type="spellStart"/>
      <w:r w:rsidRPr="0004210A">
        <w:rPr>
          <w:rFonts w:ascii="Bookman Old Style" w:hAnsi="Bookman Old Style"/>
          <w:color w:val="000000" w:themeColor="text1"/>
        </w:rPr>
        <w:t>más</w:t>
      </w:r>
      <w:proofErr w:type="spellEnd"/>
      <w:r w:rsidRPr="0004210A">
        <w:rPr>
          <w:rFonts w:ascii="Bookman Old Style" w:hAnsi="Bookman Old Style"/>
          <w:color w:val="000000" w:themeColor="text1"/>
        </w:rPr>
        <w:t xml:space="preserve"> alto de docentes con doctorado por </w:t>
      </w:r>
      <w:proofErr w:type="spellStart"/>
      <w:r w:rsidRPr="0004210A">
        <w:rPr>
          <w:rFonts w:ascii="Bookman Old Style" w:hAnsi="Bookman Old Style"/>
          <w:color w:val="000000" w:themeColor="text1"/>
        </w:rPr>
        <w:t>millón</w:t>
      </w:r>
      <w:proofErr w:type="spellEnd"/>
      <w:r w:rsidRPr="0004210A">
        <w:rPr>
          <w:rFonts w:ascii="Bookman Old Style" w:hAnsi="Bookman Old Style"/>
          <w:color w:val="000000" w:themeColor="text1"/>
        </w:rPr>
        <w:t xml:space="preserve"> de habitantes, y se ha desarrollado el Sistema Universitario de Manizales (SUMA), una alianza entre la Universidad Nacional de Colombia, sede Manizales, Universidad de Caldas, Universidad </w:t>
      </w:r>
      <w:proofErr w:type="spellStart"/>
      <w:r w:rsidRPr="0004210A">
        <w:rPr>
          <w:rFonts w:ascii="Bookman Old Style" w:hAnsi="Bookman Old Style"/>
          <w:color w:val="000000" w:themeColor="text1"/>
        </w:rPr>
        <w:t>Católica</w:t>
      </w:r>
      <w:proofErr w:type="spellEnd"/>
      <w:r w:rsidRPr="0004210A">
        <w:rPr>
          <w:rFonts w:ascii="Bookman Old Style" w:hAnsi="Bookman Old Style"/>
          <w:color w:val="000000" w:themeColor="text1"/>
        </w:rPr>
        <w:t xml:space="preserve"> Luis Amigó, Universidad </w:t>
      </w:r>
      <w:proofErr w:type="spellStart"/>
      <w:r w:rsidRPr="0004210A">
        <w:rPr>
          <w:rFonts w:ascii="Bookman Old Style" w:hAnsi="Bookman Old Style"/>
          <w:color w:val="000000" w:themeColor="text1"/>
        </w:rPr>
        <w:t>Católica</w:t>
      </w:r>
      <w:proofErr w:type="spellEnd"/>
      <w:r w:rsidRPr="0004210A">
        <w:rPr>
          <w:rFonts w:ascii="Bookman Old Style" w:hAnsi="Bookman Old Style"/>
          <w:color w:val="000000" w:themeColor="text1"/>
        </w:rPr>
        <w:t xml:space="preserve"> de Manizales, Universidad </w:t>
      </w:r>
      <w:proofErr w:type="spellStart"/>
      <w:r w:rsidRPr="0004210A">
        <w:rPr>
          <w:rFonts w:ascii="Bookman Old Style" w:hAnsi="Bookman Old Style"/>
          <w:color w:val="000000" w:themeColor="text1"/>
        </w:rPr>
        <w:t>Autónoma</w:t>
      </w:r>
      <w:proofErr w:type="spellEnd"/>
      <w:r w:rsidRPr="0004210A">
        <w:rPr>
          <w:rFonts w:ascii="Bookman Old Style" w:hAnsi="Bookman Old Style"/>
          <w:color w:val="000000" w:themeColor="text1"/>
        </w:rPr>
        <w:t xml:space="preserve"> de Manizales y Universidad de Manizales, para la </w:t>
      </w:r>
      <w:proofErr w:type="spellStart"/>
      <w:r w:rsidRPr="0004210A">
        <w:rPr>
          <w:rFonts w:ascii="Bookman Old Style" w:hAnsi="Bookman Old Style"/>
          <w:color w:val="000000" w:themeColor="text1"/>
        </w:rPr>
        <w:t>generación</w:t>
      </w:r>
      <w:proofErr w:type="spellEnd"/>
      <w:r w:rsidRPr="0004210A">
        <w:rPr>
          <w:rFonts w:ascii="Bookman Old Style" w:hAnsi="Bookman Old Style"/>
          <w:color w:val="000000" w:themeColor="text1"/>
        </w:rPr>
        <w:t xml:space="preserve"> de esfuerzos conjuntos de </w:t>
      </w:r>
      <w:proofErr w:type="spellStart"/>
      <w:r w:rsidRPr="0004210A">
        <w:rPr>
          <w:rFonts w:ascii="Bookman Old Style" w:hAnsi="Bookman Old Style"/>
          <w:color w:val="000000" w:themeColor="text1"/>
        </w:rPr>
        <w:t>cooperación</w:t>
      </w:r>
      <w:proofErr w:type="spellEnd"/>
      <w:r w:rsidRPr="0004210A">
        <w:rPr>
          <w:rFonts w:ascii="Bookman Old Style" w:hAnsi="Bookman Old Style"/>
          <w:color w:val="000000" w:themeColor="text1"/>
        </w:rPr>
        <w:t xml:space="preserve"> hacia la </w:t>
      </w:r>
      <w:proofErr w:type="spellStart"/>
      <w:r w:rsidRPr="0004210A">
        <w:rPr>
          <w:rFonts w:ascii="Bookman Old Style" w:hAnsi="Bookman Old Style"/>
          <w:color w:val="000000" w:themeColor="text1"/>
        </w:rPr>
        <w:t>ejecución</w:t>
      </w:r>
      <w:proofErr w:type="spellEnd"/>
      <w:r w:rsidRPr="0004210A">
        <w:rPr>
          <w:rFonts w:ascii="Bookman Old Style" w:hAnsi="Bookman Old Style"/>
          <w:color w:val="000000" w:themeColor="text1"/>
        </w:rPr>
        <w:t xml:space="preserve"> de proyectos de </w:t>
      </w:r>
      <w:proofErr w:type="spellStart"/>
      <w:r w:rsidRPr="0004210A">
        <w:rPr>
          <w:rFonts w:ascii="Bookman Old Style" w:hAnsi="Bookman Old Style"/>
          <w:color w:val="000000" w:themeColor="text1"/>
        </w:rPr>
        <w:t>investigación</w:t>
      </w:r>
      <w:proofErr w:type="spellEnd"/>
      <w:r w:rsidRPr="0004210A">
        <w:rPr>
          <w:rFonts w:ascii="Bookman Old Style" w:hAnsi="Bookman Old Style"/>
          <w:color w:val="000000" w:themeColor="text1"/>
        </w:rPr>
        <w:t xml:space="preserve">, </w:t>
      </w:r>
      <w:proofErr w:type="spellStart"/>
      <w:r w:rsidRPr="0004210A">
        <w:rPr>
          <w:rFonts w:ascii="Bookman Old Style" w:hAnsi="Bookman Old Style"/>
          <w:color w:val="000000" w:themeColor="text1"/>
        </w:rPr>
        <w:t>formación</w:t>
      </w:r>
      <w:proofErr w:type="spellEnd"/>
      <w:r w:rsidRPr="0004210A">
        <w:rPr>
          <w:rFonts w:ascii="Bookman Old Style" w:hAnsi="Bookman Old Style"/>
          <w:color w:val="000000" w:themeColor="text1"/>
        </w:rPr>
        <w:t xml:space="preserve"> y </w:t>
      </w:r>
      <w:proofErr w:type="spellStart"/>
      <w:r w:rsidRPr="0004210A">
        <w:rPr>
          <w:rFonts w:ascii="Bookman Old Style" w:hAnsi="Bookman Old Style"/>
          <w:color w:val="000000" w:themeColor="text1"/>
        </w:rPr>
        <w:t>extensión</w:t>
      </w:r>
      <w:proofErr w:type="spellEnd"/>
      <w:r w:rsidRPr="0004210A">
        <w:rPr>
          <w:rFonts w:ascii="Bookman Old Style" w:hAnsi="Bookman Old Style"/>
          <w:color w:val="000000" w:themeColor="text1"/>
        </w:rPr>
        <w:t xml:space="preserve">, mediante la </w:t>
      </w:r>
      <w:proofErr w:type="spellStart"/>
      <w:r w:rsidRPr="0004210A">
        <w:rPr>
          <w:rFonts w:ascii="Bookman Old Style" w:hAnsi="Bookman Old Style"/>
          <w:color w:val="000000" w:themeColor="text1"/>
        </w:rPr>
        <w:t>integración</w:t>
      </w:r>
      <w:proofErr w:type="spellEnd"/>
      <w:r w:rsidRPr="0004210A">
        <w:rPr>
          <w:rFonts w:ascii="Bookman Old Style" w:hAnsi="Bookman Old Style"/>
          <w:color w:val="000000" w:themeColor="text1"/>
        </w:rPr>
        <w:t xml:space="preserve"> de recursos humanos, </w:t>
      </w:r>
      <w:proofErr w:type="spellStart"/>
      <w:r w:rsidRPr="0004210A">
        <w:rPr>
          <w:rFonts w:ascii="Bookman Old Style" w:hAnsi="Bookman Old Style"/>
          <w:color w:val="000000" w:themeColor="text1"/>
        </w:rPr>
        <w:t>técnicos</w:t>
      </w:r>
      <w:proofErr w:type="spellEnd"/>
      <w:r w:rsidRPr="0004210A">
        <w:rPr>
          <w:rFonts w:ascii="Bookman Old Style" w:hAnsi="Bookman Old Style"/>
          <w:color w:val="000000" w:themeColor="text1"/>
        </w:rPr>
        <w:t xml:space="preserve"> y </w:t>
      </w:r>
      <w:proofErr w:type="spellStart"/>
      <w:r w:rsidRPr="0004210A">
        <w:rPr>
          <w:rFonts w:ascii="Bookman Old Style" w:hAnsi="Bookman Old Style"/>
          <w:color w:val="000000" w:themeColor="text1"/>
        </w:rPr>
        <w:t>físicos</w:t>
      </w:r>
      <w:proofErr w:type="spellEnd"/>
      <w:r w:rsidRPr="0004210A">
        <w:rPr>
          <w:rFonts w:ascii="Bookman Old Style" w:hAnsi="Bookman Old Style"/>
          <w:color w:val="000000" w:themeColor="text1"/>
        </w:rPr>
        <w:t xml:space="preserve"> para generar mayor calidad, cobertura y eficiencia. </w:t>
      </w:r>
    </w:p>
    <w:p w14:paraId="0F7F0D01" w14:textId="77777777" w:rsidR="008414D9" w:rsidRPr="0004210A" w:rsidRDefault="008414D9" w:rsidP="008414D9">
      <w:pPr>
        <w:jc w:val="both"/>
        <w:rPr>
          <w:rFonts w:ascii="Bookman Old Style" w:hAnsi="Bookman Old Style"/>
          <w:color w:val="000000" w:themeColor="text1"/>
        </w:rPr>
      </w:pPr>
    </w:p>
    <w:p w14:paraId="18228B0D" w14:textId="77777777" w:rsidR="008414D9" w:rsidRPr="0004210A" w:rsidRDefault="008414D9" w:rsidP="008414D9">
      <w:pPr>
        <w:jc w:val="both"/>
        <w:rPr>
          <w:rFonts w:ascii="Bookman Old Style" w:hAnsi="Bookman Old Style"/>
          <w:color w:val="000000" w:themeColor="text1"/>
        </w:rPr>
      </w:pPr>
      <w:proofErr w:type="spellStart"/>
      <w:r w:rsidRPr="0004210A">
        <w:rPr>
          <w:rFonts w:ascii="Bookman Old Style" w:hAnsi="Bookman Old Style"/>
          <w:color w:val="000000" w:themeColor="text1"/>
        </w:rPr>
        <w:t>Además</w:t>
      </w:r>
      <w:proofErr w:type="spellEnd"/>
      <w:r w:rsidRPr="0004210A">
        <w:rPr>
          <w:rFonts w:ascii="Bookman Old Style" w:hAnsi="Bookman Old Style"/>
          <w:color w:val="000000" w:themeColor="text1"/>
        </w:rPr>
        <w:t xml:space="preserve">, la ciudad cuenta con 46 mil estudiantes, de los cuales casi la mitad, 46.3%, provienen de otras partes del país, especialmente, de Nariño, </w:t>
      </w:r>
      <w:r w:rsidRPr="0004210A">
        <w:rPr>
          <w:rFonts w:ascii="Bookman Old Style" w:hAnsi="Bookman Old Style"/>
          <w:color w:val="000000" w:themeColor="text1"/>
        </w:rPr>
        <w:lastRenderedPageBreak/>
        <w:t xml:space="preserve">Risaralda y Valle del Cuaca, y del extranjero, especialmente, de </w:t>
      </w:r>
      <w:proofErr w:type="spellStart"/>
      <w:r w:rsidRPr="0004210A">
        <w:rPr>
          <w:rFonts w:ascii="Bookman Old Style" w:hAnsi="Bookman Old Style"/>
          <w:color w:val="000000" w:themeColor="text1"/>
        </w:rPr>
        <w:t>España</w:t>
      </w:r>
      <w:proofErr w:type="spellEnd"/>
      <w:r w:rsidRPr="0004210A">
        <w:rPr>
          <w:rFonts w:ascii="Bookman Old Style" w:hAnsi="Bookman Old Style"/>
          <w:color w:val="000000" w:themeColor="text1"/>
        </w:rPr>
        <w:t xml:space="preserve">, Aruba, Estados Unidos, Venezuela, Argentina y </w:t>
      </w:r>
      <w:proofErr w:type="spellStart"/>
      <w:r w:rsidRPr="0004210A">
        <w:rPr>
          <w:rFonts w:ascii="Bookman Old Style" w:hAnsi="Bookman Old Style"/>
          <w:color w:val="000000" w:themeColor="text1"/>
        </w:rPr>
        <w:t>México</w:t>
      </w:r>
      <w:proofErr w:type="spellEnd"/>
      <w:r w:rsidRPr="0004210A">
        <w:rPr>
          <w:rFonts w:ascii="Bookman Old Style" w:hAnsi="Bookman Old Style"/>
          <w:color w:val="000000" w:themeColor="text1"/>
        </w:rPr>
        <w:t xml:space="preserve">. </w:t>
      </w:r>
    </w:p>
    <w:p w14:paraId="003D213B" w14:textId="77777777" w:rsidR="008414D9" w:rsidRPr="00614BBC" w:rsidRDefault="008414D9" w:rsidP="008414D9">
      <w:pPr>
        <w:jc w:val="both"/>
        <w:rPr>
          <w:rFonts w:ascii="Bookman Old Style" w:hAnsi="Bookman Old Style"/>
          <w:color w:val="000000" w:themeColor="text1"/>
        </w:rPr>
      </w:pPr>
    </w:p>
    <w:p w14:paraId="44308E0E" w14:textId="77777777" w:rsidR="008414D9" w:rsidRPr="00614BBC" w:rsidRDefault="008414D9" w:rsidP="008414D9">
      <w:pPr>
        <w:jc w:val="both"/>
        <w:rPr>
          <w:rFonts w:ascii="Bookman Old Style" w:hAnsi="Bookman Old Style"/>
          <w:color w:val="000000" w:themeColor="text1"/>
        </w:rPr>
      </w:pPr>
    </w:p>
    <w:p w14:paraId="15C67CB7" w14:textId="0385FBF1" w:rsidR="008414D9" w:rsidRPr="00985A2D" w:rsidRDefault="008414D9" w:rsidP="008414D9">
      <w:pPr>
        <w:pStyle w:val="Descripcin"/>
        <w:jc w:val="center"/>
        <w:rPr>
          <w:rFonts w:ascii="Arial" w:hAnsi="Arial" w:cs="Arial"/>
          <w:szCs w:val="22"/>
        </w:rPr>
      </w:pPr>
      <w:r>
        <w:t xml:space="preserve">Tabla </w:t>
      </w:r>
      <w:fldSimple w:instr=" SEQ Tabla \* ARABIC ">
        <w:r w:rsidR="007A7AF3">
          <w:rPr>
            <w:noProof/>
          </w:rPr>
          <w:t>1</w:t>
        </w:r>
      </w:fldSimple>
      <w:r>
        <w:t>. Procedencia nacional de estudiantes en Manizales</w:t>
      </w:r>
    </w:p>
    <w:tbl>
      <w:tblPr>
        <w:tblW w:w="3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1239"/>
      </w:tblGrid>
      <w:tr w:rsidR="008414D9" w:rsidRPr="00C8330C" w14:paraId="70966A55" w14:textId="77777777" w:rsidTr="00785DBD">
        <w:trPr>
          <w:trHeight w:val="300"/>
          <w:tblHeader/>
          <w:jc w:val="center"/>
        </w:trPr>
        <w:tc>
          <w:tcPr>
            <w:tcW w:w="2127" w:type="dxa"/>
            <w:shd w:val="clear" w:color="DDEBF7" w:fill="DDEBF7"/>
            <w:noWrap/>
            <w:vAlign w:val="bottom"/>
            <w:hideMark/>
          </w:tcPr>
          <w:p w14:paraId="7AAB413C" w14:textId="77777777" w:rsidR="008414D9" w:rsidRPr="00C8330C" w:rsidRDefault="008414D9" w:rsidP="00785DBD">
            <w:pPr>
              <w:rPr>
                <w:rFonts w:ascii="Arial" w:hAnsi="Arial" w:cs="Arial"/>
                <w:b/>
                <w:bCs/>
                <w:sz w:val="20"/>
                <w:szCs w:val="20"/>
              </w:rPr>
            </w:pPr>
            <w:r w:rsidRPr="00C8330C">
              <w:rPr>
                <w:rFonts w:ascii="Arial" w:hAnsi="Arial" w:cs="Arial"/>
                <w:b/>
                <w:bCs/>
                <w:sz w:val="20"/>
                <w:szCs w:val="20"/>
              </w:rPr>
              <w:t>Departamento</w:t>
            </w:r>
          </w:p>
        </w:tc>
        <w:tc>
          <w:tcPr>
            <w:tcW w:w="1239" w:type="dxa"/>
            <w:shd w:val="clear" w:color="DDEBF7" w:fill="DDEBF7"/>
            <w:noWrap/>
            <w:vAlign w:val="bottom"/>
            <w:hideMark/>
          </w:tcPr>
          <w:p w14:paraId="16F282F3" w14:textId="77777777" w:rsidR="008414D9" w:rsidRPr="00C8330C" w:rsidRDefault="008414D9" w:rsidP="00785DBD">
            <w:pPr>
              <w:rPr>
                <w:rFonts w:ascii="Arial" w:hAnsi="Arial" w:cs="Arial"/>
                <w:b/>
                <w:bCs/>
                <w:sz w:val="20"/>
                <w:szCs w:val="20"/>
              </w:rPr>
            </w:pPr>
            <w:r w:rsidRPr="00C8330C">
              <w:rPr>
                <w:rFonts w:ascii="Arial" w:hAnsi="Arial" w:cs="Arial"/>
                <w:b/>
                <w:bCs/>
                <w:sz w:val="20"/>
                <w:szCs w:val="20"/>
              </w:rPr>
              <w:t>Pregrado</w:t>
            </w:r>
          </w:p>
        </w:tc>
      </w:tr>
      <w:tr w:rsidR="008414D9" w:rsidRPr="00C8330C" w14:paraId="0FB22C66" w14:textId="77777777" w:rsidTr="00785DBD">
        <w:trPr>
          <w:trHeight w:val="300"/>
          <w:jc w:val="center"/>
        </w:trPr>
        <w:tc>
          <w:tcPr>
            <w:tcW w:w="2127" w:type="dxa"/>
            <w:shd w:val="clear" w:color="auto" w:fill="auto"/>
            <w:noWrap/>
            <w:vAlign w:val="bottom"/>
            <w:hideMark/>
          </w:tcPr>
          <w:p w14:paraId="557A38B6"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Nariño </w:t>
            </w:r>
          </w:p>
        </w:tc>
        <w:tc>
          <w:tcPr>
            <w:tcW w:w="1239" w:type="dxa"/>
            <w:shd w:val="clear" w:color="auto" w:fill="auto"/>
            <w:noWrap/>
            <w:vAlign w:val="bottom"/>
            <w:hideMark/>
          </w:tcPr>
          <w:p w14:paraId="4CDE8571" w14:textId="77777777" w:rsidR="008414D9" w:rsidRPr="00C8330C" w:rsidRDefault="008414D9" w:rsidP="00785DBD">
            <w:pPr>
              <w:rPr>
                <w:rFonts w:ascii="Arial" w:hAnsi="Arial" w:cs="Arial"/>
                <w:sz w:val="20"/>
                <w:szCs w:val="20"/>
              </w:rPr>
            </w:pPr>
            <w:r w:rsidRPr="00C8330C">
              <w:rPr>
                <w:rFonts w:ascii="Arial" w:hAnsi="Arial" w:cs="Arial"/>
                <w:sz w:val="20"/>
                <w:szCs w:val="20"/>
              </w:rPr>
              <w:t>16,6%</w:t>
            </w:r>
          </w:p>
        </w:tc>
      </w:tr>
      <w:tr w:rsidR="008414D9" w:rsidRPr="00C8330C" w14:paraId="7E6F3F22" w14:textId="77777777" w:rsidTr="00785DBD">
        <w:trPr>
          <w:trHeight w:val="300"/>
          <w:jc w:val="center"/>
        </w:trPr>
        <w:tc>
          <w:tcPr>
            <w:tcW w:w="2127" w:type="dxa"/>
            <w:shd w:val="clear" w:color="auto" w:fill="auto"/>
            <w:noWrap/>
            <w:vAlign w:val="bottom"/>
            <w:hideMark/>
          </w:tcPr>
          <w:p w14:paraId="415E118F"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Risaralda </w:t>
            </w:r>
          </w:p>
        </w:tc>
        <w:tc>
          <w:tcPr>
            <w:tcW w:w="1239" w:type="dxa"/>
            <w:shd w:val="clear" w:color="auto" w:fill="auto"/>
            <w:noWrap/>
            <w:vAlign w:val="bottom"/>
            <w:hideMark/>
          </w:tcPr>
          <w:p w14:paraId="50D45FE2" w14:textId="77777777" w:rsidR="008414D9" w:rsidRPr="00C8330C" w:rsidRDefault="008414D9" w:rsidP="00785DBD">
            <w:pPr>
              <w:rPr>
                <w:rFonts w:ascii="Arial" w:hAnsi="Arial" w:cs="Arial"/>
                <w:sz w:val="20"/>
                <w:szCs w:val="20"/>
              </w:rPr>
            </w:pPr>
            <w:r w:rsidRPr="00C8330C">
              <w:rPr>
                <w:rFonts w:ascii="Arial" w:hAnsi="Arial" w:cs="Arial"/>
                <w:sz w:val="20"/>
                <w:szCs w:val="20"/>
              </w:rPr>
              <w:t>14,8%</w:t>
            </w:r>
          </w:p>
        </w:tc>
      </w:tr>
      <w:tr w:rsidR="008414D9" w:rsidRPr="00C8330C" w14:paraId="4DBFF567" w14:textId="77777777" w:rsidTr="00785DBD">
        <w:trPr>
          <w:trHeight w:val="300"/>
          <w:jc w:val="center"/>
        </w:trPr>
        <w:tc>
          <w:tcPr>
            <w:tcW w:w="2127" w:type="dxa"/>
            <w:shd w:val="clear" w:color="auto" w:fill="auto"/>
            <w:noWrap/>
            <w:vAlign w:val="bottom"/>
            <w:hideMark/>
          </w:tcPr>
          <w:p w14:paraId="0CD5F9FC"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Valle del Cauca </w:t>
            </w:r>
          </w:p>
        </w:tc>
        <w:tc>
          <w:tcPr>
            <w:tcW w:w="1239" w:type="dxa"/>
            <w:shd w:val="clear" w:color="auto" w:fill="auto"/>
            <w:noWrap/>
            <w:vAlign w:val="bottom"/>
            <w:hideMark/>
          </w:tcPr>
          <w:p w14:paraId="07E3EB21" w14:textId="77777777" w:rsidR="008414D9" w:rsidRPr="00C8330C" w:rsidRDefault="008414D9" w:rsidP="00785DBD">
            <w:pPr>
              <w:rPr>
                <w:rFonts w:ascii="Arial" w:hAnsi="Arial" w:cs="Arial"/>
                <w:sz w:val="20"/>
                <w:szCs w:val="20"/>
              </w:rPr>
            </w:pPr>
            <w:r w:rsidRPr="00C8330C">
              <w:rPr>
                <w:rFonts w:ascii="Arial" w:hAnsi="Arial" w:cs="Arial"/>
                <w:sz w:val="20"/>
                <w:szCs w:val="20"/>
              </w:rPr>
              <w:t>14,5%</w:t>
            </w:r>
          </w:p>
        </w:tc>
      </w:tr>
      <w:tr w:rsidR="008414D9" w:rsidRPr="00C8330C" w14:paraId="0994512C" w14:textId="77777777" w:rsidTr="00785DBD">
        <w:trPr>
          <w:trHeight w:val="300"/>
          <w:jc w:val="center"/>
        </w:trPr>
        <w:tc>
          <w:tcPr>
            <w:tcW w:w="2127" w:type="dxa"/>
            <w:shd w:val="clear" w:color="auto" w:fill="auto"/>
            <w:noWrap/>
            <w:vAlign w:val="bottom"/>
            <w:hideMark/>
          </w:tcPr>
          <w:p w14:paraId="583654E5"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Tolima </w:t>
            </w:r>
          </w:p>
        </w:tc>
        <w:tc>
          <w:tcPr>
            <w:tcW w:w="1239" w:type="dxa"/>
            <w:shd w:val="clear" w:color="auto" w:fill="auto"/>
            <w:noWrap/>
            <w:vAlign w:val="bottom"/>
            <w:hideMark/>
          </w:tcPr>
          <w:p w14:paraId="3763C549" w14:textId="77777777" w:rsidR="008414D9" w:rsidRPr="00C8330C" w:rsidRDefault="008414D9" w:rsidP="00785DBD">
            <w:pPr>
              <w:rPr>
                <w:rFonts w:ascii="Arial" w:hAnsi="Arial" w:cs="Arial"/>
                <w:sz w:val="20"/>
                <w:szCs w:val="20"/>
              </w:rPr>
            </w:pPr>
            <w:r w:rsidRPr="00C8330C">
              <w:rPr>
                <w:rFonts w:ascii="Arial" w:hAnsi="Arial" w:cs="Arial"/>
                <w:sz w:val="20"/>
                <w:szCs w:val="20"/>
              </w:rPr>
              <w:t>9,0%</w:t>
            </w:r>
          </w:p>
        </w:tc>
      </w:tr>
      <w:tr w:rsidR="008414D9" w:rsidRPr="00C8330C" w14:paraId="49BC48D2" w14:textId="77777777" w:rsidTr="00785DBD">
        <w:trPr>
          <w:trHeight w:val="300"/>
          <w:jc w:val="center"/>
        </w:trPr>
        <w:tc>
          <w:tcPr>
            <w:tcW w:w="2127" w:type="dxa"/>
            <w:shd w:val="clear" w:color="auto" w:fill="auto"/>
            <w:noWrap/>
            <w:vAlign w:val="bottom"/>
            <w:hideMark/>
          </w:tcPr>
          <w:p w14:paraId="19FABBAF"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Bogotá D.C. </w:t>
            </w:r>
          </w:p>
        </w:tc>
        <w:tc>
          <w:tcPr>
            <w:tcW w:w="1239" w:type="dxa"/>
            <w:shd w:val="clear" w:color="auto" w:fill="auto"/>
            <w:noWrap/>
            <w:vAlign w:val="bottom"/>
            <w:hideMark/>
          </w:tcPr>
          <w:p w14:paraId="42FEF2FA" w14:textId="77777777" w:rsidR="008414D9" w:rsidRPr="00C8330C" w:rsidRDefault="008414D9" w:rsidP="00785DBD">
            <w:pPr>
              <w:rPr>
                <w:rFonts w:ascii="Arial" w:hAnsi="Arial" w:cs="Arial"/>
                <w:sz w:val="20"/>
                <w:szCs w:val="20"/>
              </w:rPr>
            </w:pPr>
            <w:r w:rsidRPr="00C8330C">
              <w:rPr>
                <w:rFonts w:ascii="Arial" w:hAnsi="Arial" w:cs="Arial"/>
                <w:sz w:val="20"/>
                <w:szCs w:val="20"/>
              </w:rPr>
              <w:t>6,2%</w:t>
            </w:r>
          </w:p>
        </w:tc>
      </w:tr>
      <w:tr w:rsidR="008414D9" w:rsidRPr="00C8330C" w14:paraId="09509F3A" w14:textId="77777777" w:rsidTr="00785DBD">
        <w:trPr>
          <w:trHeight w:val="300"/>
          <w:jc w:val="center"/>
        </w:trPr>
        <w:tc>
          <w:tcPr>
            <w:tcW w:w="2127" w:type="dxa"/>
            <w:shd w:val="clear" w:color="auto" w:fill="auto"/>
            <w:noWrap/>
            <w:vAlign w:val="bottom"/>
            <w:hideMark/>
          </w:tcPr>
          <w:p w14:paraId="57427E9F"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Putumayo </w:t>
            </w:r>
          </w:p>
        </w:tc>
        <w:tc>
          <w:tcPr>
            <w:tcW w:w="1239" w:type="dxa"/>
            <w:shd w:val="clear" w:color="auto" w:fill="auto"/>
            <w:noWrap/>
            <w:vAlign w:val="bottom"/>
            <w:hideMark/>
          </w:tcPr>
          <w:p w14:paraId="2D008DE7" w14:textId="77777777" w:rsidR="008414D9" w:rsidRPr="00C8330C" w:rsidRDefault="008414D9" w:rsidP="00785DBD">
            <w:pPr>
              <w:rPr>
                <w:rFonts w:ascii="Arial" w:hAnsi="Arial" w:cs="Arial"/>
                <w:sz w:val="20"/>
                <w:szCs w:val="20"/>
              </w:rPr>
            </w:pPr>
            <w:r w:rsidRPr="00C8330C">
              <w:rPr>
                <w:rFonts w:ascii="Arial" w:hAnsi="Arial" w:cs="Arial"/>
                <w:sz w:val="20"/>
                <w:szCs w:val="20"/>
              </w:rPr>
              <w:t>5,6%</w:t>
            </w:r>
          </w:p>
        </w:tc>
      </w:tr>
      <w:tr w:rsidR="008414D9" w:rsidRPr="00C8330C" w14:paraId="52FCF004" w14:textId="77777777" w:rsidTr="00785DBD">
        <w:trPr>
          <w:trHeight w:val="300"/>
          <w:jc w:val="center"/>
        </w:trPr>
        <w:tc>
          <w:tcPr>
            <w:tcW w:w="2127" w:type="dxa"/>
            <w:shd w:val="clear" w:color="auto" w:fill="auto"/>
            <w:noWrap/>
            <w:vAlign w:val="bottom"/>
            <w:hideMark/>
          </w:tcPr>
          <w:p w14:paraId="74F93268"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Quindío </w:t>
            </w:r>
          </w:p>
        </w:tc>
        <w:tc>
          <w:tcPr>
            <w:tcW w:w="1239" w:type="dxa"/>
            <w:shd w:val="clear" w:color="auto" w:fill="auto"/>
            <w:noWrap/>
            <w:vAlign w:val="bottom"/>
            <w:hideMark/>
          </w:tcPr>
          <w:p w14:paraId="170FC4C8" w14:textId="77777777" w:rsidR="008414D9" w:rsidRPr="00C8330C" w:rsidRDefault="008414D9" w:rsidP="00785DBD">
            <w:pPr>
              <w:rPr>
                <w:rFonts w:ascii="Arial" w:hAnsi="Arial" w:cs="Arial"/>
                <w:sz w:val="20"/>
                <w:szCs w:val="20"/>
              </w:rPr>
            </w:pPr>
            <w:r w:rsidRPr="00C8330C">
              <w:rPr>
                <w:rFonts w:ascii="Arial" w:hAnsi="Arial" w:cs="Arial"/>
                <w:sz w:val="20"/>
                <w:szCs w:val="20"/>
              </w:rPr>
              <w:t>4,0%</w:t>
            </w:r>
          </w:p>
        </w:tc>
      </w:tr>
      <w:tr w:rsidR="008414D9" w:rsidRPr="00C8330C" w14:paraId="13709741" w14:textId="77777777" w:rsidTr="00785DBD">
        <w:trPr>
          <w:trHeight w:val="300"/>
          <w:jc w:val="center"/>
        </w:trPr>
        <w:tc>
          <w:tcPr>
            <w:tcW w:w="2127" w:type="dxa"/>
            <w:shd w:val="clear" w:color="auto" w:fill="auto"/>
            <w:noWrap/>
            <w:vAlign w:val="bottom"/>
            <w:hideMark/>
          </w:tcPr>
          <w:p w14:paraId="4C90AE9B"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Huila </w:t>
            </w:r>
          </w:p>
        </w:tc>
        <w:tc>
          <w:tcPr>
            <w:tcW w:w="1239" w:type="dxa"/>
            <w:shd w:val="clear" w:color="auto" w:fill="auto"/>
            <w:noWrap/>
            <w:vAlign w:val="bottom"/>
            <w:hideMark/>
          </w:tcPr>
          <w:p w14:paraId="65875263" w14:textId="77777777" w:rsidR="008414D9" w:rsidRPr="00C8330C" w:rsidRDefault="008414D9" w:rsidP="00785DBD">
            <w:pPr>
              <w:rPr>
                <w:rFonts w:ascii="Arial" w:hAnsi="Arial" w:cs="Arial"/>
                <w:sz w:val="20"/>
                <w:szCs w:val="20"/>
              </w:rPr>
            </w:pPr>
            <w:r w:rsidRPr="00C8330C">
              <w:rPr>
                <w:rFonts w:ascii="Arial" w:hAnsi="Arial" w:cs="Arial"/>
                <w:sz w:val="20"/>
                <w:szCs w:val="20"/>
              </w:rPr>
              <w:t>3,8%</w:t>
            </w:r>
          </w:p>
        </w:tc>
      </w:tr>
      <w:tr w:rsidR="008414D9" w:rsidRPr="00C8330C" w14:paraId="3379AC50" w14:textId="77777777" w:rsidTr="00785DBD">
        <w:trPr>
          <w:trHeight w:val="300"/>
          <w:jc w:val="center"/>
        </w:trPr>
        <w:tc>
          <w:tcPr>
            <w:tcW w:w="2127" w:type="dxa"/>
            <w:shd w:val="clear" w:color="auto" w:fill="auto"/>
            <w:noWrap/>
            <w:vAlign w:val="bottom"/>
            <w:hideMark/>
          </w:tcPr>
          <w:p w14:paraId="616752AE"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Antioquia </w:t>
            </w:r>
          </w:p>
        </w:tc>
        <w:tc>
          <w:tcPr>
            <w:tcW w:w="1239" w:type="dxa"/>
            <w:shd w:val="clear" w:color="auto" w:fill="auto"/>
            <w:noWrap/>
            <w:vAlign w:val="bottom"/>
            <w:hideMark/>
          </w:tcPr>
          <w:p w14:paraId="53DBD4A5" w14:textId="77777777" w:rsidR="008414D9" w:rsidRPr="00C8330C" w:rsidRDefault="008414D9" w:rsidP="00785DBD">
            <w:pPr>
              <w:rPr>
                <w:rFonts w:ascii="Arial" w:hAnsi="Arial" w:cs="Arial"/>
                <w:sz w:val="20"/>
                <w:szCs w:val="20"/>
              </w:rPr>
            </w:pPr>
            <w:r w:rsidRPr="00C8330C">
              <w:rPr>
                <w:rFonts w:ascii="Arial" w:hAnsi="Arial" w:cs="Arial"/>
                <w:sz w:val="20"/>
                <w:szCs w:val="20"/>
              </w:rPr>
              <w:t>3,5%</w:t>
            </w:r>
          </w:p>
        </w:tc>
      </w:tr>
      <w:tr w:rsidR="008414D9" w:rsidRPr="00C8330C" w14:paraId="57A74A10" w14:textId="77777777" w:rsidTr="00785DBD">
        <w:trPr>
          <w:trHeight w:val="300"/>
          <w:jc w:val="center"/>
        </w:trPr>
        <w:tc>
          <w:tcPr>
            <w:tcW w:w="2127" w:type="dxa"/>
            <w:shd w:val="clear" w:color="auto" w:fill="auto"/>
            <w:noWrap/>
            <w:vAlign w:val="bottom"/>
            <w:hideMark/>
          </w:tcPr>
          <w:p w14:paraId="5DD441E4"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Cundinamarca </w:t>
            </w:r>
          </w:p>
        </w:tc>
        <w:tc>
          <w:tcPr>
            <w:tcW w:w="1239" w:type="dxa"/>
            <w:shd w:val="clear" w:color="auto" w:fill="auto"/>
            <w:noWrap/>
            <w:vAlign w:val="bottom"/>
            <w:hideMark/>
          </w:tcPr>
          <w:p w14:paraId="32F0B6F3" w14:textId="77777777" w:rsidR="008414D9" w:rsidRPr="00C8330C" w:rsidRDefault="008414D9" w:rsidP="00785DBD">
            <w:pPr>
              <w:rPr>
                <w:rFonts w:ascii="Arial" w:hAnsi="Arial" w:cs="Arial"/>
                <w:sz w:val="20"/>
                <w:szCs w:val="20"/>
              </w:rPr>
            </w:pPr>
            <w:r w:rsidRPr="00C8330C">
              <w:rPr>
                <w:rFonts w:ascii="Arial" w:hAnsi="Arial" w:cs="Arial"/>
                <w:sz w:val="20"/>
                <w:szCs w:val="20"/>
              </w:rPr>
              <w:t>3,4%</w:t>
            </w:r>
          </w:p>
        </w:tc>
      </w:tr>
      <w:tr w:rsidR="008414D9" w:rsidRPr="00C8330C" w14:paraId="75230518" w14:textId="77777777" w:rsidTr="00785DBD">
        <w:trPr>
          <w:trHeight w:val="300"/>
          <w:jc w:val="center"/>
        </w:trPr>
        <w:tc>
          <w:tcPr>
            <w:tcW w:w="2127" w:type="dxa"/>
            <w:shd w:val="clear" w:color="auto" w:fill="auto"/>
            <w:noWrap/>
            <w:vAlign w:val="bottom"/>
            <w:hideMark/>
          </w:tcPr>
          <w:p w14:paraId="47D13415"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Cauca </w:t>
            </w:r>
          </w:p>
        </w:tc>
        <w:tc>
          <w:tcPr>
            <w:tcW w:w="1239" w:type="dxa"/>
            <w:shd w:val="clear" w:color="auto" w:fill="auto"/>
            <w:noWrap/>
            <w:vAlign w:val="bottom"/>
            <w:hideMark/>
          </w:tcPr>
          <w:p w14:paraId="3FC7F587" w14:textId="77777777" w:rsidR="008414D9" w:rsidRPr="00C8330C" w:rsidRDefault="008414D9" w:rsidP="00785DBD">
            <w:pPr>
              <w:rPr>
                <w:rFonts w:ascii="Arial" w:hAnsi="Arial" w:cs="Arial"/>
                <w:sz w:val="20"/>
                <w:szCs w:val="20"/>
              </w:rPr>
            </w:pPr>
            <w:r w:rsidRPr="00C8330C">
              <w:rPr>
                <w:rFonts w:ascii="Arial" w:hAnsi="Arial" w:cs="Arial"/>
                <w:sz w:val="20"/>
                <w:szCs w:val="20"/>
              </w:rPr>
              <w:t>2,9%</w:t>
            </w:r>
          </w:p>
        </w:tc>
      </w:tr>
      <w:tr w:rsidR="008414D9" w:rsidRPr="00C8330C" w14:paraId="477ACB56" w14:textId="77777777" w:rsidTr="00785DBD">
        <w:trPr>
          <w:trHeight w:val="300"/>
          <w:jc w:val="center"/>
        </w:trPr>
        <w:tc>
          <w:tcPr>
            <w:tcW w:w="2127" w:type="dxa"/>
            <w:shd w:val="clear" w:color="auto" w:fill="auto"/>
            <w:noWrap/>
            <w:vAlign w:val="bottom"/>
            <w:hideMark/>
          </w:tcPr>
          <w:p w14:paraId="5B876DBE"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Caquetá </w:t>
            </w:r>
          </w:p>
        </w:tc>
        <w:tc>
          <w:tcPr>
            <w:tcW w:w="1239" w:type="dxa"/>
            <w:shd w:val="clear" w:color="auto" w:fill="auto"/>
            <w:noWrap/>
            <w:vAlign w:val="bottom"/>
            <w:hideMark/>
          </w:tcPr>
          <w:p w14:paraId="7589EDF5" w14:textId="77777777" w:rsidR="008414D9" w:rsidRPr="00C8330C" w:rsidRDefault="008414D9" w:rsidP="00785DBD">
            <w:pPr>
              <w:rPr>
                <w:rFonts w:ascii="Arial" w:hAnsi="Arial" w:cs="Arial"/>
                <w:sz w:val="20"/>
                <w:szCs w:val="20"/>
              </w:rPr>
            </w:pPr>
            <w:r w:rsidRPr="00C8330C">
              <w:rPr>
                <w:rFonts w:ascii="Arial" w:hAnsi="Arial" w:cs="Arial"/>
                <w:sz w:val="20"/>
                <w:szCs w:val="20"/>
              </w:rPr>
              <w:t>2,4%</w:t>
            </w:r>
          </w:p>
        </w:tc>
      </w:tr>
      <w:tr w:rsidR="008414D9" w:rsidRPr="00C8330C" w14:paraId="4C182B3D" w14:textId="77777777" w:rsidTr="00785DBD">
        <w:trPr>
          <w:trHeight w:val="300"/>
          <w:jc w:val="center"/>
        </w:trPr>
        <w:tc>
          <w:tcPr>
            <w:tcW w:w="2127" w:type="dxa"/>
            <w:shd w:val="clear" w:color="auto" w:fill="auto"/>
            <w:noWrap/>
            <w:vAlign w:val="bottom"/>
            <w:hideMark/>
          </w:tcPr>
          <w:p w14:paraId="4CD77B7B"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Santander </w:t>
            </w:r>
          </w:p>
        </w:tc>
        <w:tc>
          <w:tcPr>
            <w:tcW w:w="1239" w:type="dxa"/>
            <w:shd w:val="clear" w:color="auto" w:fill="auto"/>
            <w:noWrap/>
            <w:vAlign w:val="bottom"/>
            <w:hideMark/>
          </w:tcPr>
          <w:p w14:paraId="01A90457" w14:textId="77777777" w:rsidR="008414D9" w:rsidRPr="00C8330C" w:rsidRDefault="008414D9" w:rsidP="00785DBD">
            <w:pPr>
              <w:rPr>
                <w:rFonts w:ascii="Arial" w:hAnsi="Arial" w:cs="Arial"/>
                <w:sz w:val="20"/>
                <w:szCs w:val="20"/>
              </w:rPr>
            </w:pPr>
            <w:r w:rsidRPr="00C8330C">
              <w:rPr>
                <w:rFonts w:ascii="Arial" w:hAnsi="Arial" w:cs="Arial"/>
                <w:sz w:val="20"/>
                <w:szCs w:val="20"/>
              </w:rPr>
              <w:t>1,9%</w:t>
            </w:r>
          </w:p>
        </w:tc>
      </w:tr>
      <w:tr w:rsidR="008414D9" w:rsidRPr="00C8330C" w14:paraId="29C4F569" w14:textId="77777777" w:rsidTr="00785DBD">
        <w:trPr>
          <w:trHeight w:val="300"/>
          <w:jc w:val="center"/>
        </w:trPr>
        <w:tc>
          <w:tcPr>
            <w:tcW w:w="2127" w:type="dxa"/>
            <w:shd w:val="clear" w:color="auto" w:fill="auto"/>
            <w:noWrap/>
            <w:vAlign w:val="bottom"/>
            <w:hideMark/>
          </w:tcPr>
          <w:p w14:paraId="563F8E63"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Norte de Santander </w:t>
            </w:r>
          </w:p>
        </w:tc>
        <w:tc>
          <w:tcPr>
            <w:tcW w:w="1239" w:type="dxa"/>
            <w:shd w:val="clear" w:color="auto" w:fill="auto"/>
            <w:noWrap/>
            <w:vAlign w:val="bottom"/>
            <w:hideMark/>
          </w:tcPr>
          <w:p w14:paraId="5F465F5A" w14:textId="77777777" w:rsidR="008414D9" w:rsidRPr="00C8330C" w:rsidRDefault="008414D9" w:rsidP="00785DBD">
            <w:pPr>
              <w:rPr>
                <w:rFonts w:ascii="Arial" w:hAnsi="Arial" w:cs="Arial"/>
                <w:sz w:val="20"/>
                <w:szCs w:val="20"/>
              </w:rPr>
            </w:pPr>
            <w:r w:rsidRPr="00C8330C">
              <w:rPr>
                <w:rFonts w:ascii="Arial" w:hAnsi="Arial" w:cs="Arial"/>
                <w:sz w:val="20"/>
                <w:szCs w:val="20"/>
              </w:rPr>
              <w:t>1,4%</w:t>
            </w:r>
          </w:p>
        </w:tc>
      </w:tr>
      <w:tr w:rsidR="008414D9" w:rsidRPr="00C8330C" w14:paraId="73C80EB4" w14:textId="77777777" w:rsidTr="00785DBD">
        <w:trPr>
          <w:trHeight w:val="300"/>
          <w:jc w:val="center"/>
        </w:trPr>
        <w:tc>
          <w:tcPr>
            <w:tcW w:w="2127" w:type="dxa"/>
            <w:shd w:val="clear" w:color="auto" w:fill="auto"/>
            <w:noWrap/>
            <w:vAlign w:val="bottom"/>
            <w:hideMark/>
          </w:tcPr>
          <w:p w14:paraId="04077E56"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Córdoba </w:t>
            </w:r>
          </w:p>
        </w:tc>
        <w:tc>
          <w:tcPr>
            <w:tcW w:w="1239" w:type="dxa"/>
            <w:shd w:val="clear" w:color="auto" w:fill="auto"/>
            <w:noWrap/>
            <w:vAlign w:val="bottom"/>
            <w:hideMark/>
          </w:tcPr>
          <w:p w14:paraId="2E865DC5" w14:textId="77777777" w:rsidR="008414D9" w:rsidRPr="00C8330C" w:rsidRDefault="008414D9" w:rsidP="00785DBD">
            <w:pPr>
              <w:rPr>
                <w:rFonts w:ascii="Arial" w:hAnsi="Arial" w:cs="Arial"/>
                <w:sz w:val="20"/>
                <w:szCs w:val="20"/>
              </w:rPr>
            </w:pPr>
            <w:r w:rsidRPr="00C8330C">
              <w:rPr>
                <w:rFonts w:ascii="Arial" w:hAnsi="Arial" w:cs="Arial"/>
                <w:sz w:val="20"/>
                <w:szCs w:val="20"/>
              </w:rPr>
              <w:t>1,4%</w:t>
            </w:r>
          </w:p>
        </w:tc>
      </w:tr>
      <w:tr w:rsidR="008414D9" w:rsidRPr="00C8330C" w14:paraId="3B22AFF4" w14:textId="77777777" w:rsidTr="00785DBD">
        <w:trPr>
          <w:trHeight w:val="300"/>
          <w:jc w:val="center"/>
        </w:trPr>
        <w:tc>
          <w:tcPr>
            <w:tcW w:w="2127" w:type="dxa"/>
            <w:shd w:val="clear" w:color="auto" w:fill="auto"/>
            <w:noWrap/>
            <w:vAlign w:val="bottom"/>
            <w:hideMark/>
          </w:tcPr>
          <w:p w14:paraId="5CE8FBCF"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Boyacá </w:t>
            </w:r>
          </w:p>
        </w:tc>
        <w:tc>
          <w:tcPr>
            <w:tcW w:w="1239" w:type="dxa"/>
            <w:shd w:val="clear" w:color="auto" w:fill="auto"/>
            <w:noWrap/>
            <w:vAlign w:val="bottom"/>
            <w:hideMark/>
          </w:tcPr>
          <w:p w14:paraId="71112E1B" w14:textId="77777777" w:rsidR="008414D9" w:rsidRPr="00C8330C" w:rsidRDefault="008414D9" w:rsidP="00785DBD">
            <w:pPr>
              <w:rPr>
                <w:rFonts w:ascii="Arial" w:hAnsi="Arial" w:cs="Arial"/>
                <w:sz w:val="20"/>
                <w:szCs w:val="20"/>
              </w:rPr>
            </w:pPr>
            <w:r w:rsidRPr="00C8330C">
              <w:rPr>
                <w:rFonts w:ascii="Arial" w:hAnsi="Arial" w:cs="Arial"/>
                <w:sz w:val="20"/>
                <w:szCs w:val="20"/>
              </w:rPr>
              <w:t>1,1%</w:t>
            </w:r>
          </w:p>
        </w:tc>
      </w:tr>
      <w:tr w:rsidR="008414D9" w:rsidRPr="00C8330C" w14:paraId="739BB092" w14:textId="77777777" w:rsidTr="00785DBD">
        <w:trPr>
          <w:trHeight w:val="300"/>
          <w:jc w:val="center"/>
        </w:trPr>
        <w:tc>
          <w:tcPr>
            <w:tcW w:w="2127" w:type="dxa"/>
            <w:shd w:val="clear" w:color="auto" w:fill="auto"/>
            <w:noWrap/>
            <w:vAlign w:val="bottom"/>
            <w:hideMark/>
          </w:tcPr>
          <w:p w14:paraId="3CC4FE14"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Meta </w:t>
            </w:r>
          </w:p>
        </w:tc>
        <w:tc>
          <w:tcPr>
            <w:tcW w:w="1239" w:type="dxa"/>
            <w:shd w:val="clear" w:color="auto" w:fill="auto"/>
            <w:noWrap/>
            <w:vAlign w:val="bottom"/>
            <w:hideMark/>
          </w:tcPr>
          <w:p w14:paraId="6C542852" w14:textId="77777777" w:rsidR="008414D9" w:rsidRPr="00C8330C" w:rsidRDefault="008414D9" w:rsidP="00785DBD">
            <w:pPr>
              <w:rPr>
                <w:rFonts w:ascii="Arial" w:hAnsi="Arial" w:cs="Arial"/>
                <w:sz w:val="20"/>
                <w:szCs w:val="20"/>
              </w:rPr>
            </w:pPr>
            <w:r w:rsidRPr="00C8330C">
              <w:rPr>
                <w:rFonts w:ascii="Arial" w:hAnsi="Arial" w:cs="Arial"/>
                <w:sz w:val="20"/>
                <w:szCs w:val="20"/>
              </w:rPr>
              <w:t>1,1%</w:t>
            </w:r>
          </w:p>
        </w:tc>
      </w:tr>
      <w:tr w:rsidR="008414D9" w:rsidRPr="00C8330C" w14:paraId="7FF654E3" w14:textId="77777777" w:rsidTr="00785DBD">
        <w:trPr>
          <w:trHeight w:val="300"/>
          <w:jc w:val="center"/>
        </w:trPr>
        <w:tc>
          <w:tcPr>
            <w:tcW w:w="2127" w:type="dxa"/>
            <w:shd w:val="clear" w:color="auto" w:fill="auto"/>
            <w:noWrap/>
            <w:vAlign w:val="bottom"/>
            <w:hideMark/>
          </w:tcPr>
          <w:p w14:paraId="36D1C8B3" w14:textId="77777777" w:rsidR="008414D9" w:rsidRPr="00C8330C" w:rsidRDefault="008414D9" w:rsidP="00785DBD">
            <w:pPr>
              <w:rPr>
                <w:rFonts w:ascii="Arial" w:hAnsi="Arial" w:cs="Arial"/>
                <w:sz w:val="20"/>
                <w:szCs w:val="20"/>
              </w:rPr>
            </w:pPr>
            <w:r w:rsidRPr="00C8330C">
              <w:rPr>
                <w:rFonts w:ascii="Arial" w:hAnsi="Arial" w:cs="Arial"/>
                <w:sz w:val="20"/>
                <w:szCs w:val="20"/>
              </w:rPr>
              <w:t xml:space="preserve">Sucre </w:t>
            </w:r>
          </w:p>
        </w:tc>
        <w:tc>
          <w:tcPr>
            <w:tcW w:w="1239" w:type="dxa"/>
            <w:shd w:val="clear" w:color="auto" w:fill="auto"/>
            <w:noWrap/>
            <w:vAlign w:val="bottom"/>
            <w:hideMark/>
          </w:tcPr>
          <w:p w14:paraId="290D5804" w14:textId="77777777" w:rsidR="008414D9" w:rsidRPr="00C8330C" w:rsidRDefault="008414D9" w:rsidP="00785DBD">
            <w:pPr>
              <w:rPr>
                <w:rFonts w:ascii="Arial" w:hAnsi="Arial" w:cs="Arial"/>
                <w:sz w:val="20"/>
                <w:szCs w:val="20"/>
              </w:rPr>
            </w:pPr>
            <w:r w:rsidRPr="00C8330C">
              <w:rPr>
                <w:rFonts w:ascii="Arial" w:hAnsi="Arial" w:cs="Arial"/>
                <w:sz w:val="20"/>
                <w:szCs w:val="20"/>
              </w:rPr>
              <w:t>6,2%</w:t>
            </w:r>
          </w:p>
        </w:tc>
      </w:tr>
      <w:tr w:rsidR="008414D9" w:rsidRPr="00C8330C" w14:paraId="72821F4E" w14:textId="77777777" w:rsidTr="00785DBD">
        <w:trPr>
          <w:trHeight w:val="300"/>
          <w:jc w:val="center"/>
        </w:trPr>
        <w:tc>
          <w:tcPr>
            <w:tcW w:w="2127" w:type="dxa"/>
            <w:shd w:val="clear" w:color="auto" w:fill="auto"/>
            <w:noWrap/>
            <w:vAlign w:val="bottom"/>
            <w:hideMark/>
          </w:tcPr>
          <w:p w14:paraId="28237497" w14:textId="77777777" w:rsidR="008414D9" w:rsidRPr="00C8330C" w:rsidRDefault="008414D9" w:rsidP="00785DBD">
            <w:pPr>
              <w:rPr>
                <w:rFonts w:ascii="Arial" w:hAnsi="Arial" w:cs="Arial"/>
                <w:b/>
                <w:bCs/>
                <w:sz w:val="20"/>
                <w:szCs w:val="20"/>
              </w:rPr>
            </w:pPr>
            <w:r w:rsidRPr="00C8330C">
              <w:rPr>
                <w:rFonts w:ascii="Arial" w:hAnsi="Arial" w:cs="Arial"/>
                <w:b/>
                <w:bCs/>
                <w:sz w:val="20"/>
                <w:szCs w:val="20"/>
              </w:rPr>
              <w:t>Total</w:t>
            </w:r>
          </w:p>
        </w:tc>
        <w:tc>
          <w:tcPr>
            <w:tcW w:w="1239" w:type="dxa"/>
            <w:shd w:val="clear" w:color="auto" w:fill="auto"/>
            <w:noWrap/>
            <w:vAlign w:val="bottom"/>
            <w:hideMark/>
          </w:tcPr>
          <w:p w14:paraId="733C7C86" w14:textId="77777777" w:rsidR="008414D9" w:rsidRPr="00C8330C" w:rsidRDefault="008414D9" w:rsidP="00785DBD">
            <w:pPr>
              <w:rPr>
                <w:rFonts w:ascii="Arial" w:hAnsi="Arial" w:cs="Arial"/>
                <w:b/>
                <w:bCs/>
                <w:sz w:val="20"/>
                <w:szCs w:val="20"/>
              </w:rPr>
            </w:pPr>
            <w:r w:rsidRPr="00C8330C">
              <w:rPr>
                <w:rFonts w:ascii="Arial" w:hAnsi="Arial" w:cs="Arial"/>
                <w:b/>
                <w:bCs/>
                <w:sz w:val="20"/>
                <w:szCs w:val="20"/>
              </w:rPr>
              <w:t>100,0%</w:t>
            </w:r>
          </w:p>
        </w:tc>
      </w:tr>
    </w:tbl>
    <w:p w14:paraId="04F7F2A5" w14:textId="77777777" w:rsidR="008414D9" w:rsidRPr="00C8330C" w:rsidRDefault="008414D9" w:rsidP="008414D9">
      <w:pPr>
        <w:rPr>
          <w:rStyle w:val="Referenciasutil"/>
          <w:rFonts w:ascii="Arial" w:hAnsi="Arial" w:cs="Arial"/>
          <w:sz w:val="16"/>
          <w:szCs w:val="16"/>
        </w:rPr>
      </w:pPr>
    </w:p>
    <w:p w14:paraId="3724486F" w14:textId="77777777" w:rsidR="008414D9" w:rsidRDefault="008414D9" w:rsidP="008414D9">
      <w:pPr>
        <w:jc w:val="both"/>
        <w:rPr>
          <w:rStyle w:val="Referenciasutil"/>
          <w:rFonts w:ascii="Arial" w:hAnsi="Arial" w:cs="Arial"/>
          <w:sz w:val="16"/>
          <w:szCs w:val="16"/>
        </w:rPr>
      </w:pPr>
      <w:r>
        <w:rPr>
          <w:rStyle w:val="Referenciasutil"/>
          <w:rFonts w:ascii="Arial" w:hAnsi="Arial" w:cs="Arial"/>
          <w:sz w:val="16"/>
          <w:szCs w:val="16"/>
        </w:rPr>
        <w:t xml:space="preserve">Fuente: </w:t>
      </w:r>
      <w:r w:rsidRPr="00C8330C">
        <w:rPr>
          <w:rStyle w:val="Referenciasutil"/>
          <w:rFonts w:ascii="Arial" w:hAnsi="Arial" w:cs="Arial"/>
          <w:sz w:val="16"/>
          <w:szCs w:val="16"/>
        </w:rPr>
        <w:t>Cálculos MCV con base en información de las Oficinas de Registro Académico y de Planeación de las universidades de la ciudad</w:t>
      </w:r>
    </w:p>
    <w:p w14:paraId="153D7787" w14:textId="77777777" w:rsidR="008414D9" w:rsidRDefault="008414D9" w:rsidP="008414D9">
      <w:pPr>
        <w:rPr>
          <w:rStyle w:val="Referenciasutil"/>
          <w:rFonts w:ascii="Arial" w:hAnsi="Arial" w:cs="Arial"/>
          <w:sz w:val="16"/>
          <w:szCs w:val="16"/>
        </w:rPr>
      </w:pPr>
    </w:p>
    <w:p w14:paraId="75C46557" w14:textId="77777777" w:rsidR="00166561" w:rsidRDefault="00166561" w:rsidP="008414D9">
      <w:pPr>
        <w:rPr>
          <w:rStyle w:val="Referenciasutil"/>
          <w:rFonts w:ascii="Arial" w:hAnsi="Arial" w:cs="Arial"/>
          <w:sz w:val="16"/>
          <w:szCs w:val="16"/>
        </w:rPr>
      </w:pPr>
    </w:p>
    <w:p w14:paraId="22D7FC38" w14:textId="77777777" w:rsidR="00166561" w:rsidRDefault="00166561" w:rsidP="008414D9">
      <w:pPr>
        <w:rPr>
          <w:rStyle w:val="Referenciasutil"/>
          <w:rFonts w:ascii="Arial" w:hAnsi="Arial" w:cs="Arial"/>
          <w:sz w:val="16"/>
          <w:szCs w:val="16"/>
        </w:rPr>
      </w:pPr>
    </w:p>
    <w:p w14:paraId="6BFF717F" w14:textId="77777777" w:rsidR="00166561" w:rsidRDefault="00166561" w:rsidP="008414D9">
      <w:pPr>
        <w:rPr>
          <w:rStyle w:val="Referenciasutil"/>
          <w:rFonts w:ascii="Arial" w:hAnsi="Arial" w:cs="Arial"/>
          <w:sz w:val="16"/>
          <w:szCs w:val="16"/>
        </w:rPr>
      </w:pPr>
    </w:p>
    <w:p w14:paraId="6568791D" w14:textId="77777777" w:rsidR="00166561" w:rsidRDefault="00166561" w:rsidP="008414D9">
      <w:pPr>
        <w:rPr>
          <w:rStyle w:val="Referenciasutil"/>
          <w:rFonts w:ascii="Arial" w:hAnsi="Arial" w:cs="Arial"/>
          <w:sz w:val="16"/>
          <w:szCs w:val="16"/>
        </w:rPr>
      </w:pPr>
    </w:p>
    <w:p w14:paraId="0A8EC116" w14:textId="77777777" w:rsidR="00166561" w:rsidRDefault="00166561" w:rsidP="008414D9">
      <w:pPr>
        <w:rPr>
          <w:rStyle w:val="Referenciasutil"/>
          <w:rFonts w:ascii="Arial" w:hAnsi="Arial" w:cs="Arial"/>
          <w:sz w:val="16"/>
          <w:szCs w:val="16"/>
        </w:rPr>
      </w:pPr>
    </w:p>
    <w:p w14:paraId="7DF63247" w14:textId="77777777" w:rsidR="00166561" w:rsidRDefault="00166561" w:rsidP="008414D9">
      <w:pPr>
        <w:rPr>
          <w:rStyle w:val="Referenciasutil"/>
          <w:rFonts w:ascii="Arial" w:hAnsi="Arial" w:cs="Arial"/>
          <w:sz w:val="16"/>
          <w:szCs w:val="16"/>
        </w:rPr>
      </w:pPr>
    </w:p>
    <w:p w14:paraId="6D4674F7" w14:textId="77777777" w:rsidR="00166561" w:rsidRDefault="00166561" w:rsidP="008414D9">
      <w:pPr>
        <w:rPr>
          <w:rStyle w:val="Referenciasutil"/>
          <w:rFonts w:ascii="Arial" w:hAnsi="Arial" w:cs="Arial"/>
          <w:sz w:val="16"/>
          <w:szCs w:val="16"/>
        </w:rPr>
      </w:pPr>
    </w:p>
    <w:p w14:paraId="43F0F716" w14:textId="77777777" w:rsidR="00166561" w:rsidRDefault="00166561" w:rsidP="008414D9">
      <w:pPr>
        <w:rPr>
          <w:rStyle w:val="Referenciasutil"/>
          <w:rFonts w:ascii="Arial" w:hAnsi="Arial" w:cs="Arial"/>
          <w:sz w:val="16"/>
          <w:szCs w:val="16"/>
        </w:rPr>
      </w:pPr>
    </w:p>
    <w:p w14:paraId="5E31B03F" w14:textId="77777777" w:rsidR="00166561" w:rsidRDefault="00166561" w:rsidP="008414D9">
      <w:pPr>
        <w:rPr>
          <w:rStyle w:val="Referenciasutil"/>
          <w:rFonts w:ascii="Arial" w:hAnsi="Arial" w:cs="Arial"/>
          <w:sz w:val="16"/>
          <w:szCs w:val="16"/>
        </w:rPr>
      </w:pPr>
    </w:p>
    <w:p w14:paraId="37390BD6" w14:textId="77777777" w:rsidR="00166561" w:rsidRDefault="00166561" w:rsidP="008414D9">
      <w:pPr>
        <w:rPr>
          <w:rStyle w:val="Referenciasutil"/>
          <w:rFonts w:ascii="Arial" w:hAnsi="Arial" w:cs="Arial"/>
          <w:sz w:val="16"/>
          <w:szCs w:val="16"/>
        </w:rPr>
      </w:pPr>
    </w:p>
    <w:p w14:paraId="50A165EF" w14:textId="77777777" w:rsidR="00166561" w:rsidRDefault="00166561" w:rsidP="008414D9">
      <w:pPr>
        <w:rPr>
          <w:rStyle w:val="Referenciasutil"/>
          <w:rFonts w:ascii="Arial" w:hAnsi="Arial" w:cs="Arial"/>
          <w:sz w:val="16"/>
          <w:szCs w:val="16"/>
        </w:rPr>
      </w:pPr>
    </w:p>
    <w:p w14:paraId="06733945" w14:textId="77777777" w:rsidR="00166561" w:rsidRDefault="00166561" w:rsidP="008414D9">
      <w:pPr>
        <w:rPr>
          <w:rStyle w:val="Referenciasutil"/>
          <w:rFonts w:ascii="Arial" w:hAnsi="Arial" w:cs="Arial"/>
          <w:sz w:val="16"/>
          <w:szCs w:val="16"/>
        </w:rPr>
      </w:pPr>
    </w:p>
    <w:p w14:paraId="06A8A7C0" w14:textId="77777777" w:rsidR="00166561" w:rsidRDefault="00166561" w:rsidP="008414D9">
      <w:pPr>
        <w:rPr>
          <w:rStyle w:val="Referenciasutil"/>
          <w:rFonts w:ascii="Arial" w:hAnsi="Arial" w:cs="Arial"/>
          <w:sz w:val="16"/>
          <w:szCs w:val="16"/>
        </w:rPr>
      </w:pPr>
    </w:p>
    <w:p w14:paraId="76B6038B" w14:textId="77777777" w:rsidR="00166561" w:rsidRDefault="00166561" w:rsidP="008414D9">
      <w:pPr>
        <w:rPr>
          <w:rStyle w:val="Referenciasutil"/>
          <w:rFonts w:ascii="Arial" w:hAnsi="Arial" w:cs="Arial"/>
          <w:sz w:val="16"/>
          <w:szCs w:val="16"/>
        </w:rPr>
      </w:pPr>
    </w:p>
    <w:p w14:paraId="4BDE3CCF" w14:textId="77777777" w:rsidR="00166561" w:rsidRDefault="00166561" w:rsidP="008414D9">
      <w:pPr>
        <w:rPr>
          <w:rStyle w:val="Referenciasutil"/>
          <w:rFonts w:ascii="Arial" w:hAnsi="Arial" w:cs="Arial"/>
          <w:sz w:val="16"/>
          <w:szCs w:val="16"/>
        </w:rPr>
      </w:pPr>
    </w:p>
    <w:p w14:paraId="655D0ABE" w14:textId="77777777" w:rsidR="00166561" w:rsidRDefault="00166561" w:rsidP="008414D9">
      <w:pPr>
        <w:rPr>
          <w:rStyle w:val="Referenciasutil"/>
          <w:rFonts w:ascii="Arial" w:hAnsi="Arial" w:cs="Arial"/>
          <w:sz w:val="16"/>
          <w:szCs w:val="16"/>
        </w:rPr>
      </w:pPr>
    </w:p>
    <w:p w14:paraId="59EADB83" w14:textId="77777777" w:rsidR="00166561" w:rsidRDefault="00166561" w:rsidP="008414D9">
      <w:pPr>
        <w:rPr>
          <w:rStyle w:val="Referenciasutil"/>
          <w:rFonts w:ascii="Arial" w:hAnsi="Arial" w:cs="Arial"/>
          <w:sz w:val="16"/>
          <w:szCs w:val="16"/>
        </w:rPr>
      </w:pPr>
    </w:p>
    <w:p w14:paraId="2E31E23E" w14:textId="77777777" w:rsidR="00166561" w:rsidRDefault="00166561" w:rsidP="008414D9">
      <w:pPr>
        <w:rPr>
          <w:rStyle w:val="Referenciasutil"/>
          <w:rFonts w:ascii="Arial" w:hAnsi="Arial" w:cs="Arial"/>
          <w:sz w:val="16"/>
          <w:szCs w:val="16"/>
        </w:rPr>
      </w:pPr>
    </w:p>
    <w:p w14:paraId="721F2A44" w14:textId="3EB9A384" w:rsidR="008414D9" w:rsidRPr="0004210A" w:rsidRDefault="008414D9" w:rsidP="008414D9">
      <w:pPr>
        <w:pStyle w:val="Descripcin"/>
        <w:jc w:val="center"/>
        <w:rPr>
          <w:rFonts w:ascii="Arial" w:hAnsi="Arial" w:cs="Arial"/>
          <w:b/>
          <w:szCs w:val="22"/>
        </w:rPr>
      </w:pPr>
      <w:r>
        <w:lastRenderedPageBreak/>
        <w:t xml:space="preserve">Ilustración </w:t>
      </w:r>
      <w:fldSimple w:instr=" SEQ Ilustración \* ARABIC ">
        <w:r w:rsidR="007A7AF3">
          <w:rPr>
            <w:noProof/>
          </w:rPr>
          <w:t>1</w:t>
        </w:r>
      </w:fldSimple>
      <w:r>
        <w:t xml:space="preserve">. </w:t>
      </w:r>
      <w:r w:rsidRPr="001243E2">
        <w:t>Procedencia de los estudiantes de posgrado en Manizales (2020)</w:t>
      </w:r>
    </w:p>
    <w:p w14:paraId="30A563B2" w14:textId="77777777" w:rsidR="008414D9" w:rsidRPr="00985A2D" w:rsidRDefault="008414D9" w:rsidP="008414D9">
      <w:pPr>
        <w:jc w:val="center"/>
        <w:rPr>
          <w:rFonts w:ascii="Arial" w:hAnsi="Arial" w:cs="Arial"/>
          <w:szCs w:val="22"/>
        </w:rPr>
      </w:pPr>
      <w:r w:rsidRPr="00985A2D">
        <w:rPr>
          <w:rFonts w:ascii="Arial" w:hAnsi="Arial" w:cs="Arial"/>
          <w:noProof/>
          <w:szCs w:val="22"/>
          <w:lang w:eastAsia="es-CO"/>
        </w:rPr>
        <w:drawing>
          <wp:inline distT="0" distB="0" distL="0" distR="0" wp14:anchorId="7981373A" wp14:editId="6D3096D7">
            <wp:extent cx="4572000" cy="27432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EE7A35" w14:textId="77777777" w:rsidR="008414D9" w:rsidRPr="00C8330C" w:rsidRDefault="008414D9" w:rsidP="008414D9">
      <w:pPr>
        <w:rPr>
          <w:rFonts w:ascii="Arial" w:hAnsi="Arial" w:cs="Arial"/>
          <w:i/>
          <w:iCs/>
          <w:smallCaps/>
          <w:color w:val="5A5A5A" w:themeColor="text1" w:themeTint="A5"/>
          <w:sz w:val="16"/>
          <w:szCs w:val="16"/>
        </w:rPr>
      </w:pPr>
      <w:r w:rsidRPr="00C8330C">
        <w:rPr>
          <w:rStyle w:val="Referenciasutil"/>
          <w:rFonts w:ascii="Arial" w:hAnsi="Arial" w:cs="Arial"/>
          <w:sz w:val="16"/>
          <w:szCs w:val="16"/>
        </w:rPr>
        <w:t>Fuente: Cálculos MCV con base en información de las Oficinas de Registro Académico y de Planeación de las universidades de la ciudad</w:t>
      </w:r>
    </w:p>
    <w:p w14:paraId="7ED31539" w14:textId="77777777" w:rsidR="008414D9" w:rsidRDefault="008414D9" w:rsidP="008414D9">
      <w:pPr>
        <w:jc w:val="both"/>
        <w:rPr>
          <w:rFonts w:ascii="Bookman Old Style" w:hAnsi="Bookman Old Style"/>
          <w:color w:val="000000" w:themeColor="text1"/>
        </w:rPr>
      </w:pPr>
    </w:p>
    <w:p w14:paraId="02E220F9" w14:textId="77777777" w:rsidR="008414D9" w:rsidRDefault="008414D9" w:rsidP="008414D9">
      <w:pPr>
        <w:jc w:val="both"/>
        <w:rPr>
          <w:rFonts w:ascii="Bookman Old Style" w:hAnsi="Bookman Old Style"/>
          <w:color w:val="000000" w:themeColor="text1"/>
        </w:rPr>
      </w:pPr>
      <w:r w:rsidRPr="0004210A">
        <w:rPr>
          <w:rFonts w:ascii="Bookman Old Style" w:hAnsi="Bookman Old Style"/>
          <w:color w:val="000000" w:themeColor="text1"/>
        </w:rPr>
        <w:t xml:space="preserve">Dada la </w:t>
      </w:r>
      <w:proofErr w:type="spellStart"/>
      <w:r w:rsidRPr="0004210A">
        <w:rPr>
          <w:rFonts w:ascii="Bookman Old Style" w:hAnsi="Bookman Old Style"/>
          <w:color w:val="000000" w:themeColor="text1"/>
        </w:rPr>
        <w:t>vocación</w:t>
      </w:r>
      <w:proofErr w:type="spellEnd"/>
      <w:r w:rsidRPr="0004210A">
        <w:rPr>
          <w:rFonts w:ascii="Bookman Old Style" w:hAnsi="Bookman Old Style"/>
          <w:color w:val="000000" w:themeColor="text1"/>
        </w:rPr>
        <w:t xml:space="preserve"> universitaria, la </w:t>
      </w:r>
      <w:proofErr w:type="spellStart"/>
      <w:r w:rsidRPr="0004210A">
        <w:rPr>
          <w:rFonts w:ascii="Bookman Old Style" w:hAnsi="Bookman Old Style"/>
          <w:color w:val="000000" w:themeColor="text1"/>
        </w:rPr>
        <w:t>economía</w:t>
      </w:r>
      <w:proofErr w:type="spellEnd"/>
      <w:r w:rsidRPr="0004210A">
        <w:rPr>
          <w:rFonts w:ascii="Bookman Old Style" w:hAnsi="Bookman Old Style"/>
          <w:color w:val="000000" w:themeColor="text1"/>
        </w:rPr>
        <w:t xml:space="preserve"> de la ciudad está asociada al sector universitario. Los diferentes informes de Manizales </w:t>
      </w:r>
      <w:proofErr w:type="spellStart"/>
      <w:r w:rsidRPr="0004210A">
        <w:rPr>
          <w:rFonts w:ascii="Bookman Old Style" w:hAnsi="Bookman Old Style"/>
          <w:color w:val="000000" w:themeColor="text1"/>
        </w:rPr>
        <w:t>Cómo</w:t>
      </w:r>
      <w:proofErr w:type="spellEnd"/>
      <w:r w:rsidRPr="0004210A">
        <w:rPr>
          <w:rFonts w:ascii="Bookman Old Style" w:hAnsi="Bookman Old Style"/>
          <w:color w:val="000000" w:themeColor="text1"/>
        </w:rPr>
        <w:t xml:space="preserve"> Vamos revelan que se han generado alrededor de $200 mil millones por concepto de arrendamiento de vivienda, alimentación, transporte, ocio y recreación, entre otros. </w:t>
      </w:r>
    </w:p>
    <w:p w14:paraId="3817AE46" w14:textId="77777777" w:rsidR="008414D9" w:rsidRPr="0004210A" w:rsidRDefault="008414D9" w:rsidP="008414D9">
      <w:pPr>
        <w:jc w:val="both"/>
        <w:rPr>
          <w:rFonts w:ascii="Bookman Old Style" w:hAnsi="Bookman Old Style"/>
          <w:color w:val="000000" w:themeColor="text1"/>
        </w:rPr>
      </w:pPr>
    </w:p>
    <w:p w14:paraId="52855FC7" w14:textId="64D97941" w:rsidR="008414D9" w:rsidRDefault="008414D9" w:rsidP="008414D9">
      <w:pPr>
        <w:jc w:val="both"/>
        <w:rPr>
          <w:rFonts w:ascii="Bookman Old Style" w:hAnsi="Bookman Old Style"/>
          <w:color w:val="000000" w:themeColor="text1"/>
        </w:rPr>
      </w:pPr>
      <w:r w:rsidRPr="0004210A">
        <w:rPr>
          <w:rFonts w:ascii="Bookman Old Style" w:hAnsi="Bookman Old Style"/>
          <w:color w:val="000000" w:themeColor="text1"/>
        </w:rPr>
        <w:t xml:space="preserve">Ahora bien, el nivel educativo de la población de Manizales ha aumentado. En el año 2010 más de la mitad de la población no culminó secundaria, pero en 2020 el porcentaje se redujo al 35,5%, y la </w:t>
      </w:r>
      <w:proofErr w:type="spellStart"/>
      <w:r w:rsidRPr="0004210A">
        <w:rPr>
          <w:rFonts w:ascii="Bookman Old Style" w:hAnsi="Bookman Old Style"/>
          <w:color w:val="000000" w:themeColor="text1"/>
        </w:rPr>
        <w:t>proporción</w:t>
      </w:r>
      <w:proofErr w:type="spellEnd"/>
      <w:r w:rsidRPr="0004210A">
        <w:rPr>
          <w:rFonts w:ascii="Bookman Old Style" w:hAnsi="Bookman Old Style"/>
          <w:color w:val="000000" w:themeColor="text1"/>
        </w:rPr>
        <w:t xml:space="preserve"> de la </w:t>
      </w:r>
      <w:proofErr w:type="spellStart"/>
      <w:r w:rsidRPr="0004210A">
        <w:rPr>
          <w:rFonts w:ascii="Bookman Old Style" w:hAnsi="Bookman Old Style"/>
          <w:color w:val="000000" w:themeColor="text1"/>
        </w:rPr>
        <w:t>población</w:t>
      </w:r>
      <w:proofErr w:type="spellEnd"/>
      <w:r w:rsidRPr="0004210A">
        <w:rPr>
          <w:rFonts w:ascii="Bookman Old Style" w:hAnsi="Bookman Old Style"/>
          <w:color w:val="000000" w:themeColor="text1"/>
        </w:rPr>
        <w:t xml:space="preserve"> con niveles más elevados de educación pasó del 21,8% al 34,4%, así: </w:t>
      </w:r>
    </w:p>
    <w:p w14:paraId="61B843BC" w14:textId="77777777" w:rsidR="008414D9" w:rsidRDefault="008414D9" w:rsidP="008414D9">
      <w:pPr>
        <w:rPr>
          <w:rFonts w:ascii="Bookman Old Style" w:hAnsi="Bookman Old Style"/>
          <w:color w:val="000000" w:themeColor="text1"/>
        </w:rPr>
      </w:pPr>
    </w:p>
    <w:p w14:paraId="6E6356EB" w14:textId="77777777" w:rsidR="00166561" w:rsidRDefault="00166561" w:rsidP="008414D9">
      <w:pPr>
        <w:rPr>
          <w:rFonts w:ascii="Bookman Old Style" w:hAnsi="Bookman Old Style"/>
          <w:color w:val="000000" w:themeColor="text1"/>
        </w:rPr>
      </w:pPr>
    </w:p>
    <w:p w14:paraId="4CEC2127" w14:textId="77777777" w:rsidR="00166561" w:rsidRDefault="00166561" w:rsidP="008414D9">
      <w:pPr>
        <w:rPr>
          <w:rFonts w:ascii="Bookman Old Style" w:hAnsi="Bookman Old Style"/>
          <w:color w:val="000000" w:themeColor="text1"/>
        </w:rPr>
      </w:pPr>
    </w:p>
    <w:p w14:paraId="0E3AC618" w14:textId="77777777" w:rsidR="00166561" w:rsidRDefault="00166561" w:rsidP="008414D9">
      <w:pPr>
        <w:rPr>
          <w:rFonts w:ascii="Bookman Old Style" w:hAnsi="Bookman Old Style"/>
          <w:color w:val="000000" w:themeColor="text1"/>
        </w:rPr>
      </w:pPr>
    </w:p>
    <w:p w14:paraId="269E1633" w14:textId="77777777" w:rsidR="00166561" w:rsidRDefault="00166561" w:rsidP="008414D9">
      <w:pPr>
        <w:rPr>
          <w:rFonts w:ascii="Bookman Old Style" w:hAnsi="Bookman Old Style"/>
          <w:color w:val="000000" w:themeColor="text1"/>
        </w:rPr>
      </w:pPr>
    </w:p>
    <w:p w14:paraId="6AB5A0D3" w14:textId="77777777" w:rsidR="00166561" w:rsidRDefault="00166561" w:rsidP="008414D9">
      <w:pPr>
        <w:rPr>
          <w:rFonts w:ascii="Bookman Old Style" w:hAnsi="Bookman Old Style"/>
          <w:color w:val="000000" w:themeColor="text1"/>
        </w:rPr>
      </w:pPr>
    </w:p>
    <w:p w14:paraId="55F412DF" w14:textId="77777777" w:rsidR="00166561" w:rsidRDefault="00166561" w:rsidP="008414D9">
      <w:pPr>
        <w:rPr>
          <w:rFonts w:ascii="Bookman Old Style" w:hAnsi="Bookman Old Style"/>
          <w:color w:val="000000" w:themeColor="text1"/>
        </w:rPr>
      </w:pPr>
    </w:p>
    <w:p w14:paraId="78532C95" w14:textId="77777777" w:rsidR="00166561" w:rsidRDefault="00166561" w:rsidP="008414D9">
      <w:pPr>
        <w:rPr>
          <w:rFonts w:ascii="Bookman Old Style" w:hAnsi="Bookman Old Style"/>
          <w:color w:val="000000" w:themeColor="text1"/>
        </w:rPr>
      </w:pPr>
    </w:p>
    <w:p w14:paraId="6B4A51F3" w14:textId="77777777" w:rsidR="00166561" w:rsidRDefault="00166561" w:rsidP="008414D9">
      <w:pPr>
        <w:rPr>
          <w:rFonts w:ascii="Bookman Old Style" w:hAnsi="Bookman Old Style"/>
          <w:color w:val="000000" w:themeColor="text1"/>
        </w:rPr>
      </w:pPr>
    </w:p>
    <w:p w14:paraId="59E75305" w14:textId="77777777" w:rsidR="00166561" w:rsidRDefault="00166561" w:rsidP="008414D9">
      <w:pPr>
        <w:rPr>
          <w:rFonts w:ascii="Bookman Old Style" w:hAnsi="Bookman Old Style"/>
          <w:color w:val="000000" w:themeColor="text1"/>
        </w:rPr>
      </w:pPr>
    </w:p>
    <w:p w14:paraId="436B33E5" w14:textId="77777777" w:rsidR="00166561" w:rsidRDefault="00166561" w:rsidP="008414D9">
      <w:pPr>
        <w:rPr>
          <w:rFonts w:ascii="Bookman Old Style" w:hAnsi="Bookman Old Style"/>
          <w:color w:val="000000" w:themeColor="text1"/>
        </w:rPr>
      </w:pPr>
    </w:p>
    <w:p w14:paraId="1EDFF200" w14:textId="77777777" w:rsidR="00166561" w:rsidRDefault="00166561" w:rsidP="008414D9">
      <w:pPr>
        <w:rPr>
          <w:rFonts w:ascii="Bookman Old Style" w:hAnsi="Bookman Old Style"/>
          <w:color w:val="000000" w:themeColor="text1"/>
        </w:rPr>
      </w:pPr>
    </w:p>
    <w:p w14:paraId="743A4991" w14:textId="77777777" w:rsidR="00166561" w:rsidRDefault="00166561" w:rsidP="008414D9">
      <w:pPr>
        <w:rPr>
          <w:rFonts w:ascii="Bookman Old Style" w:hAnsi="Bookman Old Style"/>
          <w:color w:val="000000" w:themeColor="text1"/>
        </w:rPr>
      </w:pPr>
    </w:p>
    <w:p w14:paraId="750B7975" w14:textId="591D0CDF" w:rsidR="008414D9" w:rsidRPr="00985A2D" w:rsidRDefault="008414D9" w:rsidP="008414D9">
      <w:pPr>
        <w:pStyle w:val="Descripcin"/>
        <w:jc w:val="center"/>
        <w:rPr>
          <w:rFonts w:ascii="Arial" w:hAnsi="Arial" w:cs="Arial"/>
          <w:b/>
          <w:bCs/>
          <w:szCs w:val="22"/>
        </w:rPr>
      </w:pPr>
      <w:r>
        <w:lastRenderedPageBreak/>
        <w:t xml:space="preserve">Ilustración </w:t>
      </w:r>
      <w:fldSimple w:instr=" SEQ Ilustración \* ARABIC ">
        <w:r w:rsidR="007A7AF3">
          <w:rPr>
            <w:noProof/>
          </w:rPr>
          <w:t>2</w:t>
        </w:r>
      </w:fldSimple>
      <w:r>
        <w:t xml:space="preserve">. </w:t>
      </w:r>
      <w:r w:rsidRPr="0013238B">
        <w:t>Nivel educativo alcanzado en Manizales en población de 25 años o más</w:t>
      </w:r>
    </w:p>
    <w:p w14:paraId="543F6880" w14:textId="77777777" w:rsidR="008414D9" w:rsidRPr="00985A2D" w:rsidRDefault="008414D9" w:rsidP="008414D9">
      <w:pPr>
        <w:jc w:val="center"/>
        <w:rPr>
          <w:rFonts w:ascii="Arial" w:hAnsi="Arial" w:cs="Arial"/>
          <w:szCs w:val="22"/>
        </w:rPr>
      </w:pPr>
      <w:r w:rsidRPr="00985A2D">
        <w:rPr>
          <w:rFonts w:ascii="Arial" w:hAnsi="Arial" w:cs="Arial"/>
          <w:noProof/>
          <w:color w:val="000000"/>
          <w:szCs w:val="22"/>
          <w:lang w:eastAsia="es-CO"/>
        </w:rPr>
        <w:drawing>
          <wp:inline distT="0" distB="0" distL="0" distR="0" wp14:anchorId="7C17B029" wp14:editId="33CE110D">
            <wp:extent cx="4704713" cy="2416236"/>
            <wp:effectExtent l="0" t="0" r="1270" b="317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0398" cy="2424292"/>
                    </a:xfrm>
                    <a:prstGeom prst="rect">
                      <a:avLst/>
                    </a:prstGeom>
                    <a:noFill/>
                    <a:ln>
                      <a:noFill/>
                    </a:ln>
                  </pic:spPr>
                </pic:pic>
              </a:graphicData>
            </a:graphic>
          </wp:inline>
        </w:drawing>
      </w:r>
    </w:p>
    <w:p w14:paraId="1F98DF07" w14:textId="77777777" w:rsidR="008414D9" w:rsidRPr="00C8330C" w:rsidRDefault="008414D9" w:rsidP="008414D9">
      <w:pPr>
        <w:jc w:val="center"/>
        <w:rPr>
          <w:rStyle w:val="Referenciasutil"/>
          <w:rFonts w:ascii="Arial" w:hAnsi="Arial" w:cs="Arial"/>
          <w:sz w:val="16"/>
          <w:szCs w:val="16"/>
        </w:rPr>
      </w:pPr>
      <w:r w:rsidRPr="00C8330C">
        <w:rPr>
          <w:rStyle w:val="Referenciasutil"/>
          <w:rFonts w:ascii="Arial" w:hAnsi="Arial" w:cs="Arial"/>
          <w:sz w:val="16"/>
          <w:szCs w:val="16"/>
        </w:rPr>
        <w:t>Fuente: Cálculos MCV con base en Ministerio de Educación Nacional y DANE</w:t>
      </w:r>
    </w:p>
    <w:p w14:paraId="46B0D1EE" w14:textId="77777777" w:rsidR="008414D9" w:rsidRDefault="008414D9" w:rsidP="008414D9">
      <w:pPr>
        <w:jc w:val="both"/>
        <w:rPr>
          <w:rFonts w:ascii="Bookman Old Style" w:hAnsi="Bookman Old Style"/>
          <w:color w:val="000000" w:themeColor="text1"/>
        </w:rPr>
      </w:pPr>
    </w:p>
    <w:p w14:paraId="08726EC2" w14:textId="77777777" w:rsidR="008414D9" w:rsidRDefault="008414D9" w:rsidP="008414D9">
      <w:pPr>
        <w:jc w:val="both"/>
        <w:rPr>
          <w:rFonts w:ascii="Bookman Old Style" w:hAnsi="Bookman Old Style"/>
          <w:color w:val="000000" w:themeColor="text1"/>
        </w:rPr>
      </w:pPr>
      <w:proofErr w:type="spellStart"/>
      <w:r w:rsidRPr="0004210A">
        <w:rPr>
          <w:rFonts w:ascii="Bookman Old Style" w:hAnsi="Bookman Old Style"/>
          <w:color w:val="000000" w:themeColor="text1"/>
        </w:rPr>
        <w:t>Además</w:t>
      </w:r>
      <w:proofErr w:type="spellEnd"/>
      <w:r w:rsidRPr="0004210A">
        <w:rPr>
          <w:rFonts w:ascii="Bookman Old Style" w:hAnsi="Bookman Old Style"/>
          <w:color w:val="000000" w:themeColor="text1"/>
        </w:rPr>
        <w:t xml:space="preserve">, la </w:t>
      </w:r>
      <w:proofErr w:type="spellStart"/>
      <w:r w:rsidRPr="0004210A">
        <w:rPr>
          <w:rFonts w:ascii="Bookman Old Style" w:hAnsi="Bookman Old Style"/>
          <w:color w:val="000000" w:themeColor="text1"/>
        </w:rPr>
        <w:t>población</w:t>
      </w:r>
      <w:proofErr w:type="spellEnd"/>
      <w:r w:rsidRPr="0004210A">
        <w:rPr>
          <w:rFonts w:ascii="Bookman Old Style" w:hAnsi="Bookman Old Style"/>
          <w:color w:val="000000" w:themeColor="text1"/>
        </w:rPr>
        <w:t xml:space="preserve"> con formación técnica y tecnológica pasó del 6,5% al 14,1%, la población con título universitario pasó del 9,0% al 12,3% y la población con título de posgrado incrementó del 3,4% al 5,3%. </w:t>
      </w:r>
    </w:p>
    <w:p w14:paraId="290FAD0B" w14:textId="77777777" w:rsidR="008414D9" w:rsidRPr="0004210A" w:rsidRDefault="008414D9" w:rsidP="008414D9">
      <w:pPr>
        <w:jc w:val="both"/>
        <w:rPr>
          <w:rFonts w:ascii="Bookman Old Style" w:hAnsi="Bookman Old Style"/>
          <w:color w:val="000000" w:themeColor="text1"/>
        </w:rPr>
      </w:pPr>
    </w:p>
    <w:p w14:paraId="596E4B0C" w14:textId="77777777" w:rsidR="008414D9" w:rsidRPr="0004210A" w:rsidRDefault="008414D9" w:rsidP="008414D9">
      <w:pPr>
        <w:jc w:val="both"/>
        <w:rPr>
          <w:rFonts w:ascii="Bookman Old Style" w:hAnsi="Bookman Old Style"/>
          <w:color w:val="000000" w:themeColor="text1"/>
        </w:rPr>
      </w:pPr>
      <w:r w:rsidRPr="0004210A">
        <w:rPr>
          <w:rFonts w:ascii="Bookman Old Style" w:hAnsi="Bookman Old Style"/>
          <w:color w:val="000000" w:themeColor="text1"/>
        </w:rPr>
        <w:t xml:space="preserve">En lo que hace a las instituciones de educación superior privadas, se reportan 17.904 estudiantes matriculados. La Universidad de Manizales recoge el 39%. </w:t>
      </w:r>
      <w:proofErr w:type="spellStart"/>
      <w:r w:rsidRPr="0004210A">
        <w:rPr>
          <w:rFonts w:ascii="Bookman Old Style" w:hAnsi="Bookman Old Style"/>
          <w:color w:val="000000" w:themeColor="text1"/>
        </w:rPr>
        <w:t>Además</w:t>
      </w:r>
      <w:proofErr w:type="spellEnd"/>
      <w:r w:rsidRPr="0004210A">
        <w:rPr>
          <w:rFonts w:ascii="Bookman Old Style" w:hAnsi="Bookman Old Style"/>
          <w:color w:val="000000" w:themeColor="text1"/>
        </w:rPr>
        <w:t xml:space="preserve">, entre las Instituciones de educación superior con oferta en Manizales pero con domicilio por fuera de la ciudad se destacan el SENA con 4.535 estudiantes, la Universidad </w:t>
      </w:r>
      <w:proofErr w:type="spellStart"/>
      <w:r w:rsidRPr="0004210A">
        <w:rPr>
          <w:rFonts w:ascii="Bookman Old Style" w:hAnsi="Bookman Old Style"/>
          <w:color w:val="000000" w:themeColor="text1"/>
        </w:rPr>
        <w:t>Católica</w:t>
      </w:r>
      <w:proofErr w:type="spellEnd"/>
      <w:r w:rsidRPr="0004210A">
        <w:rPr>
          <w:rFonts w:ascii="Bookman Old Style" w:hAnsi="Bookman Old Style"/>
          <w:color w:val="000000" w:themeColor="text1"/>
        </w:rPr>
        <w:t xml:space="preserve"> Luis Amigó con 1.865 y la Universidad Nacional Abierta y a Distancia con 1.332 estudiantes: </w:t>
      </w:r>
    </w:p>
    <w:p w14:paraId="7741F335" w14:textId="77777777" w:rsidR="008414D9" w:rsidRDefault="008414D9" w:rsidP="008414D9">
      <w:pPr>
        <w:jc w:val="both"/>
        <w:rPr>
          <w:rFonts w:ascii="Bookman Old Style" w:hAnsi="Bookman Old Style"/>
          <w:color w:val="000000" w:themeColor="text1"/>
        </w:rPr>
      </w:pPr>
    </w:p>
    <w:p w14:paraId="381C2F04" w14:textId="596305CB" w:rsidR="008414D9" w:rsidRPr="00985A2D" w:rsidRDefault="008414D9" w:rsidP="008414D9">
      <w:pPr>
        <w:pStyle w:val="Descripcin"/>
        <w:jc w:val="center"/>
        <w:rPr>
          <w:rFonts w:ascii="Arial" w:hAnsi="Arial" w:cs="Arial"/>
          <w:b/>
          <w:iCs w:val="0"/>
          <w:szCs w:val="22"/>
        </w:rPr>
      </w:pPr>
      <w:r>
        <w:t xml:space="preserve">Tabla </w:t>
      </w:r>
      <w:fldSimple w:instr=" SEQ Tabla \* ARABIC ">
        <w:r w:rsidR="007A7AF3">
          <w:rPr>
            <w:noProof/>
          </w:rPr>
          <w:t>2</w:t>
        </w:r>
      </w:fldSimple>
      <w:r>
        <w:t xml:space="preserve">. </w:t>
      </w:r>
      <w:r w:rsidRPr="000A44A6">
        <w:t>Instituciones de Educación Superior que reportan estudiantes atendidos en programas ofertados en el departamento</w:t>
      </w:r>
    </w:p>
    <w:tbl>
      <w:tblPr>
        <w:tblW w:w="5728" w:type="dxa"/>
        <w:jc w:val="center"/>
        <w:tblCellMar>
          <w:left w:w="70" w:type="dxa"/>
          <w:right w:w="70" w:type="dxa"/>
        </w:tblCellMar>
        <w:tblLook w:val="04A0" w:firstRow="1" w:lastRow="0" w:firstColumn="1" w:lastColumn="0" w:noHBand="0" w:noVBand="1"/>
      </w:tblPr>
      <w:tblGrid>
        <w:gridCol w:w="3247"/>
        <w:gridCol w:w="1485"/>
        <w:gridCol w:w="1019"/>
      </w:tblGrid>
      <w:tr w:rsidR="008414D9" w:rsidRPr="00C8330C" w14:paraId="4B57C8ED" w14:textId="77777777" w:rsidTr="00785DBD">
        <w:trPr>
          <w:trHeight w:val="315"/>
          <w:tblHeader/>
          <w:jc w:val="center"/>
        </w:trPr>
        <w:tc>
          <w:tcPr>
            <w:tcW w:w="3247" w:type="dxa"/>
            <w:tcBorders>
              <w:top w:val="single" w:sz="8" w:space="0" w:color="3366CC"/>
              <w:left w:val="single" w:sz="8" w:space="0" w:color="3366CC"/>
              <w:bottom w:val="single" w:sz="8" w:space="0" w:color="3366CC"/>
              <w:right w:val="single" w:sz="8" w:space="0" w:color="3366CC"/>
            </w:tcBorders>
            <w:shd w:val="clear" w:color="auto" w:fill="auto"/>
            <w:noWrap/>
            <w:vAlign w:val="center"/>
            <w:hideMark/>
          </w:tcPr>
          <w:p w14:paraId="2C44828C" w14:textId="77777777" w:rsidR="008414D9" w:rsidRPr="00C8330C" w:rsidRDefault="008414D9" w:rsidP="00785DBD">
            <w:pPr>
              <w:jc w:val="center"/>
              <w:rPr>
                <w:rFonts w:ascii="Arial" w:eastAsia="Times New Roman" w:hAnsi="Arial" w:cs="Arial"/>
                <w:b/>
                <w:bCs/>
                <w:color w:val="000000"/>
                <w:sz w:val="20"/>
                <w:szCs w:val="20"/>
                <w:lang w:eastAsia="es-CO"/>
              </w:rPr>
            </w:pPr>
            <w:r w:rsidRPr="00C8330C">
              <w:rPr>
                <w:rFonts w:ascii="Arial" w:eastAsia="Times New Roman" w:hAnsi="Arial" w:cs="Arial"/>
                <w:b/>
                <w:bCs/>
                <w:iCs/>
                <w:color w:val="000000"/>
                <w:sz w:val="20"/>
                <w:szCs w:val="20"/>
                <w:lang w:eastAsia="es-CO"/>
              </w:rPr>
              <w:t>Institución de Educación Superior</w:t>
            </w:r>
          </w:p>
        </w:tc>
        <w:tc>
          <w:tcPr>
            <w:tcW w:w="1471" w:type="dxa"/>
            <w:tcBorders>
              <w:top w:val="single" w:sz="8" w:space="0" w:color="3366CC"/>
              <w:left w:val="nil"/>
              <w:bottom w:val="single" w:sz="8" w:space="0" w:color="3366CC"/>
              <w:right w:val="single" w:sz="8" w:space="0" w:color="3366CC"/>
            </w:tcBorders>
            <w:shd w:val="clear" w:color="auto" w:fill="auto"/>
            <w:noWrap/>
            <w:vAlign w:val="center"/>
            <w:hideMark/>
          </w:tcPr>
          <w:p w14:paraId="5B510362" w14:textId="77777777" w:rsidR="008414D9" w:rsidRPr="00C8330C" w:rsidRDefault="008414D9" w:rsidP="00785DBD">
            <w:pPr>
              <w:jc w:val="center"/>
              <w:rPr>
                <w:rFonts w:ascii="Arial" w:eastAsia="Times New Roman" w:hAnsi="Arial" w:cs="Arial"/>
                <w:b/>
                <w:bCs/>
                <w:color w:val="000000"/>
                <w:sz w:val="20"/>
                <w:szCs w:val="20"/>
                <w:lang w:eastAsia="es-CO"/>
              </w:rPr>
            </w:pPr>
            <w:r w:rsidRPr="00C8330C">
              <w:rPr>
                <w:rFonts w:ascii="Arial" w:eastAsia="Times New Roman" w:hAnsi="Arial" w:cs="Arial"/>
                <w:b/>
                <w:bCs/>
                <w:iCs/>
                <w:color w:val="000000"/>
                <w:sz w:val="20"/>
                <w:szCs w:val="20"/>
                <w:lang w:eastAsia="es-CO"/>
              </w:rPr>
              <w:t>Departamento de domicilio de la IES</w:t>
            </w:r>
          </w:p>
        </w:tc>
        <w:tc>
          <w:tcPr>
            <w:tcW w:w="1010" w:type="dxa"/>
            <w:tcBorders>
              <w:top w:val="single" w:sz="8" w:space="0" w:color="3366CC"/>
              <w:left w:val="nil"/>
              <w:bottom w:val="single" w:sz="8" w:space="0" w:color="3366CC"/>
              <w:right w:val="single" w:sz="8" w:space="0" w:color="3366CC"/>
            </w:tcBorders>
            <w:shd w:val="clear" w:color="auto" w:fill="auto"/>
            <w:noWrap/>
            <w:vAlign w:val="center"/>
            <w:hideMark/>
          </w:tcPr>
          <w:p w14:paraId="4DFBAE3A" w14:textId="77777777" w:rsidR="008414D9" w:rsidRPr="00C8330C" w:rsidRDefault="008414D9" w:rsidP="00785DBD">
            <w:pPr>
              <w:jc w:val="center"/>
              <w:rPr>
                <w:rFonts w:ascii="Arial" w:eastAsia="Times New Roman" w:hAnsi="Arial" w:cs="Arial"/>
                <w:b/>
                <w:bCs/>
                <w:color w:val="000000"/>
                <w:sz w:val="20"/>
                <w:szCs w:val="20"/>
                <w:lang w:eastAsia="es-CO"/>
              </w:rPr>
            </w:pPr>
            <w:r w:rsidRPr="00C8330C">
              <w:rPr>
                <w:rFonts w:ascii="Arial" w:eastAsia="Times New Roman" w:hAnsi="Arial" w:cs="Arial"/>
                <w:b/>
                <w:bCs/>
                <w:iCs/>
                <w:color w:val="000000"/>
                <w:sz w:val="20"/>
                <w:szCs w:val="20"/>
                <w:lang w:eastAsia="es-CO"/>
              </w:rPr>
              <w:t>Matrícula 2021</w:t>
            </w:r>
          </w:p>
        </w:tc>
      </w:tr>
      <w:tr w:rsidR="008414D9" w:rsidRPr="00C8330C" w14:paraId="2070A769"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01C40E7C"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Nacional De Colombia</w:t>
            </w:r>
          </w:p>
        </w:tc>
        <w:tc>
          <w:tcPr>
            <w:tcW w:w="1471" w:type="dxa"/>
            <w:tcBorders>
              <w:top w:val="nil"/>
              <w:left w:val="nil"/>
              <w:bottom w:val="single" w:sz="8" w:space="0" w:color="3366CC"/>
              <w:right w:val="single" w:sz="8" w:space="0" w:color="3366CC"/>
            </w:tcBorders>
            <w:shd w:val="clear" w:color="auto" w:fill="auto"/>
            <w:noWrap/>
            <w:vAlign w:val="center"/>
            <w:hideMark/>
          </w:tcPr>
          <w:p w14:paraId="596C4B1D"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Caldas</w:t>
            </w:r>
          </w:p>
        </w:tc>
        <w:tc>
          <w:tcPr>
            <w:tcW w:w="1010" w:type="dxa"/>
            <w:tcBorders>
              <w:top w:val="nil"/>
              <w:left w:val="nil"/>
              <w:bottom w:val="single" w:sz="8" w:space="0" w:color="3366CC"/>
              <w:right w:val="single" w:sz="8" w:space="0" w:color="3366CC"/>
            </w:tcBorders>
            <w:shd w:val="clear" w:color="auto" w:fill="auto"/>
            <w:noWrap/>
            <w:vAlign w:val="center"/>
            <w:hideMark/>
          </w:tcPr>
          <w:p w14:paraId="2A8A8DDA"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6.007</w:t>
            </w:r>
          </w:p>
        </w:tc>
      </w:tr>
      <w:tr w:rsidR="008414D9" w:rsidRPr="00C8330C" w14:paraId="44B7019C"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1CD31800"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de Caldas</w:t>
            </w:r>
          </w:p>
        </w:tc>
        <w:tc>
          <w:tcPr>
            <w:tcW w:w="1471" w:type="dxa"/>
            <w:tcBorders>
              <w:top w:val="nil"/>
              <w:left w:val="nil"/>
              <w:bottom w:val="single" w:sz="8" w:space="0" w:color="3366CC"/>
              <w:right w:val="single" w:sz="8" w:space="0" w:color="3366CC"/>
            </w:tcBorders>
            <w:shd w:val="clear" w:color="auto" w:fill="auto"/>
            <w:noWrap/>
            <w:vAlign w:val="center"/>
            <w:hideMark/>
          </w:tcPr>
          <w:p w14:paraId="694C7BF5"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Caldas</w:t>
            </w:r>
          </w:p>
        </w:tc>
        <w:tc>
          <w:tcPr>
            <w:tcW w:w="1010" w:type="dxa"/>
            <w:tcBorders>
              <w:top w:val="nil"/>
              <w:left w:val="nil"/>
              <w:bottom w:val="single" w:sz="8" w:space="0" w:color="3366CC"/>
              <w:right w:val="single" w:sz="8" w:space="0" w:color="3366CC"/>
            </w:tcBorders>
            <w:shd w:val="clear" w:color="auto" w:fill="auto"/>
            <w:noWrap/>
            <w:vAlign w:val="center"/>
            <w:hideMark/>
          </w:tcPr>
          <w:p w14:paraId="363C5C8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14.055</w:t>
            </w:r>
          </w:p>
        </w:tc>
      </w:tr>
      <w:tr w:rsidR="008414D9" w:rsidRPr="00C8330C" w14:paraId="5FD3C923"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3BC59198"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de Quindío</w:t>
            </w:r>
          </w:p>
        </w:tc>
        <w:tc>
          <w:tcPr>
            <w:tcW w:w="1471" w:type="dxa"/>
            <w:tcBorders>
              <w:top w:val="nil"/>
              <w:left w:val="nil"/>
              <w:bottom w:val="single" w:sz="8" w:space="0" w:color="3366CC"/>
              <w:right w:val="single" w:sz="8" w:space="0" w:color="3366CC"/>
            </w:tcBorders>
            <w:shd w:val="clear" w:color="auto" w:fill="auto"/>
            <w:noWrap/>
            <w:vAlign w:val="center"/>
            <w:hideMark/>
          </w:tcPr>
          <w:p w14:paraId="256F387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Quindío</w:t>
            </w:r>
          </w:p>
        </w:tc>
        <w:tc>
          <w:tcPr>
            <w:tcW w:w="1010" w:type="dxa"/>
            <w:tcBorders>
              <w:top w:val="nil"/>
              <w:left w:val="nil"/>
              <w:bottom w:val="single" w:sz="8" w:space="0" w:color="3366CC"/>
              <w:right w:val="single" w:sz="8" w:space="0" w:color="3366CC"/>
            </w:tcBorders>
            <w:shd w:val="clear" w:color="auto" w:fill="auto"/>
            <w:noWrap/>
            <w:vAlign w:val="center"/>
            <w:hideMark/>
          </w:tcPr>
          <w:p w14:paraId="36D68C5E"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406</w:t>
            </w:r>
          </w:p>
        </w:tc>
      </w:tr>
      <w:tr w:rsidR="008414D9" w:rsidRPr="00C8330C" w14:paraId="4D90AB3A"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5AD83F7F"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Santo Tomas</w:t>
            </w:r>
          </w:p>
        </w:tc>
        <w:tc>
          <w:tcPr>
            <w:tcW w:w="1471" w:type="dxa"/>
            <w:tcBorders>
              <w:top w:val="nil"/>
              <w:left w:val="nil"/>
              <w:bottom w:val="single" w:sz="8" w:space="0" w:color="3366CC"/>
              <w:right w:val="single" w:sz="8" w:space="0" w:color="3366CC"/>
            </w:tcBorders>
            <w:shd w:val="clear" w:color="auto" w:fill="auto"/>
            <w:noWrap/>
            <w:vAlign w:val="center"/>
            <w:hideMark/>
          </w:tcPr>
          <w:p w14:paraId="3508C7AD"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Bogotá, D.C.</w:t>
            </w:r>
          </w:p>
        </w:tc>
        <w:tc>
          <w:tcPr>
            <w:tcW w:w="1010" w:type="dxa"/>
            <w:tcBorders>
              <w:top w:val="nil"/>
              <w:left w:val="nil"/>
              <w:bottom w:val="single" w:sz="8" w:space="0" w:color="3366CC"/>
              <w:right w:val="single" w:sz="8" w:space="0" w:color="3366CC"/>
            </w:tcBorders>
            <w:shd w:val="clear" w:color="auto" w:fill="auto"/>
            <w:noWrap/>
            <w:vAlign w:val="center"/>
            <w:hideMark/>
          </w:tcPr>
          <w:p w14:paraId="2CE0F7D7"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107</w:t>
            </w:r>
          </w:p>
        </w:tc>
      </w:tr>
      <w:tr w:rsidR="008414D9" w:rsidRPr="00C8330C" w14:paraId="56866A5E"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4205ABC8"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Pontificia Bolivariana</w:t>
            </w:r>
          </w:p>
        </w:tc>
        <w:tc>
          <w:tcPr>
            <w:tcW w:w="1471" w:type="dxa"/>
            <w:tcBorders>
              <w:top w:val="nil"/>
              <w:left w:val="nil"/>
              <w:bottom w:val="single" w:sz="8" w:space="0" w:color="3366CC"/>
              <w:right w:val="single" w:sz="8" w:space="0" w:color="3366CC"/>
            </w:tcBorders>
            <w:shd w:val="clear" w:color="auto" w:fill="auto"/>
            <w:noWrap/>
            <w:vAlign w:val="center"/>
            <w:hideMark/>
          </w:tcPr>
          <w:p w14:paraId="6E9BFE15"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Antioquia</w:t>
            </w:r>
          </w:p>
        </w:tc>
        <w:tc>
          <w:tcPr>
            <w:tcW w:w="1010" w:type="dxa"/>
            <w:tcBorders>
              <w:top w:val="nil"/>
              <w:left w:val="nil"/>
              <w:bottom w:val="single" w:sz="8" w:space="0" w:color="3366CC"/>
              <w:right w:val="single" w:sz="8" w:space="0" w:color="3366CC"/>
            </w:tcBorders>
            <w:shd w:val="clear" w:color="auto" w:fill="auto"/>
            <w:noWrap/>
            <w:vAlign w:val="center"/>
            <w:hideMark/>
          </w:tcPr>
          <w:p w14:paraId="716F5114"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7</w:t>
            </w:r>
          </w:p>
        </w:tc>
      </w:tr>
      <w:tr w:rsidR="008414D9" w:rsidRPr="00C8330C" w14:paraId="2E71A648"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7DAB8CF5"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De Manizales</w:t>
            </w:r>
          </w:p>
        </w:tc>
        <w:tc>
          <w:tcPr>
            <w:tcW w:w="1471" w:type="dxa"/>
            <w:tcBorders>
              <w:top w:val="nil"/>
              <w:left w:val="nil"/>
              <w:bottom w:val="single" w:sz="8" w:space="0" w:color="3366CC"/>
              <w:right w:val="single" w:sz="8" w:space="0" w:color="3366CC"/>
            </w:tcBorders>
            <w:shd w:val="clear" w:color="auto" w:fill="auto"/>
            <w:noWrap/>
            <w:vAlign w:val="center"/>
            <w:hideMark/>
          </w:tcPr>
          <w:p w14:paraId="394B9A07"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Caldas</w:t>
            </w:r>
          </w:p>
        </w:tc>
        <w:tc>
          <w:tcPr>
            <w:tcW w:w="1010" w:type="dxa"/>
            <w:tcBorders>
              <w:top w:val="nil"/>
              <w:left w:val="nil"/>
              <w:bottom w:val="single" w:sz="8" w:space="0" w:color="3366CC"/>
              <w:right w:val="single" w:sz="8" w:space="0" w:color="3366CC"/>
            </w:tcBorders>
            <w:shd w:val="clear" w:color="auto" w:fill="auto"/>
            <w:noWrap/>
            <w:vAlign w:val="center"/>
            <w:hideMark/>
          </w:tcPr>
          <w:p w14:paraId="2460BE4F"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6.931</w:t>
            </w:r>
          </w:p>
        </w:tc>
      </w:tr>
      <w:tr w:rsidR="008414D9" w:rsidRPr="00C8330C" w14:paraId="33854C4A"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5904D9DE"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Autónoma de Manizales</w:t>
            </w:r>
          </w:p>
        </w:tc>
        <w:tc>
          <w:tcPr>
            <w:tcW w:w="1471" w:type="dxa"/>
            <w:tcBorders>
              <w:top w:val="nil"/>
              <w:left w:val="nil"/>
              <w:bottom w:val="single" w:sz="8" w:space="0" w:color="3366CC"/>
              <w:right w:val="single" w:sz="8" w:space="0" w:color="3366CC"/>
            </w:tcBorders>
            <w:shd w:val="clear" w:color="auto" w:fill="auto"/>
            <w:noWrap/>
            <w:vAlign w:val="center"/>
            <w:hideMark/>
          </w:tcPr>
          <w:p w14:paraId="2A26FEF4"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Caldas</w:t>
            </w:r>
          </w:p>
        </w:tc>
        <w:tc>
          <w:tcPr>
            <w:tcW w:w="1010" w:type="dxa"/>
            <w:tcBorders>
              <w:top w:val="nil"/>
              <w:left w:val="nil"/>
              <w:bottom w:val="single" w:sz="8" w:space="0" w:color="3366CC"/>
              <w:right w:val="single" w:sz="8" w:space="0" w:color="3366CC"/>
            </w:tcBorders>
            <w:shd w:val="clear" w:color="auto" w:fill="auto"/>
            <w:noWrap/>
            <w:vAlign w:val="center"/>
            <w:hideMark/>
          </w:tcPr>
          <w:p w14:paraId="350FA04C"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4.729</w:t>
            </w:r>
          </w:p>
        </w:tc>
      </w:tr>
      <w:tr w:rsidR="008414D9" w:rsidRPr="00C8330C" w14:paraId="1ACE3716"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1BCC9411"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lastRenderedPageBreak/>
              <w:t>Universidad Antonio Nariño</w:t>
            </w:r>
          </w:p>
        </w:tc>
        <w:tc>
          <w:tcPr>
            <w:tcW w:w="1471" w:type="dxa"/>
            <w:tcBorders>
              <w:top w:val="nil"/>
              <w:left w:val="nil"/>
              <w:bottom w:val="single" w:sz="8" w:space="0" w:color="3366CC"/>
              <w:right w:val="single" w:sz="8" w:space="0" w:color="3366CC"/>
            </w:tcBorders>
            <w:shd w:val="clear" w:color="auto" w:fill="auto"/>
            <w:noWrap/>
            <w:vAlign w:val="center"/>
            <w:hideMark/>
          </w:tcPr>
          <w:p w14:paraId="12591A35"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Bogotá, D.C.</w:t>
            </w:r>
          </w:p>
        </w:tc>
        <w:tc>
          <w:tcPr>
            <w:tcW w:w="1010" w:type="dxa"/>
            <w:tcBorders>
              <w:top w:val="nil"/>
              <w:left w:val="nil"/>
              <w:bottom w:val="single" w:sz="8" w:space="0" w:color="3366CC"/>
              <w:right w:val="single" w:sz="8" w:space="0" w:color="3366CC"/>
            </w:tcBorders>
            <w:shd w:val="clear" w:color="auto" w:fill="auto"/>
            <w:noWrap/>
            <w:vAlign w:val="center"/>
            <w:hideMark/>
          </w:tcPr>
          <w:p w14:paraId="7F4F2869"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41</w:t>
            </w:r>
          </w:p>
        </w:tc>
      </w:tr>
      <w:tr w:rsidR="008414D9" w:rsidRPr="00C8330C" w14:paraId="01436232"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7424130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Católica de Manizales</w:t>
            </w:r>
          </w:p>
        </w:tc>
        <w:tc>
          <w:tcPr>
            <w:tcW w:w="1471" w:type="dxa"/>
            <w:tcBorders>
              <w:top w:val="nil"/>
              <w:left w:val="nil"/>
              <w:bottom w:val="single" w:sz="8" w:space="0" w:color="3366CC"/>
              <w:right w:val="single" w:sz="8" w:space="0" w:color="3366CC"/>
            </w:tcBorders>
            <w:shd w:val="clear" w:color="auto" w:fill="auto"/>
            <w:noWrap/>
            <w:vAlign w:val="center"/>
            <w:hideMark/>
          </w:tcPr>
          <w:p w14:paraId="26FB74D9"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Caldas</w:t>
            </w:r>
          </w:p>
        </w:tc>
        <w:tc>
          <w:tcPr>
            <w:tcW w:w="1010" w:type="dxa"/>
            <w:tcBorders>
              <w:top w:val="nil"/>
              <w:left w:val="nil"/>
              <w:bottom w:val="single" w:sz="8" w:space="0" w:color="3366CC"/>
              <w:right w:val="single" w:sz="8" w:space="0" w:color="3366CC"/>
            </w:tcBorders>
            <w:shd w:val="clear" w:color="auto" w:fill="auto"/>
            <w:noWrap/>
            <w:vAlign w:val="center"/>
            <w:hideMark/>
          </w:tcPr>
          <w:p w14:paraId="17BE7962"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2.671</w:t>
            </w:r>
          </w:p>
        </w:tc>
      </w:tr>
      <w:tr w:rsidR="008414D9" w:rsidRPr="00C8330C" w14:paraId="2DCA1207"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111AD77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 xml:space="preserve">Universidad Nacional Abierta Y A Distancia </w:t>
            </w:r>
            <w:proofErr w:type="spellStart"/>
            <w:r w:rsidRPr="00C8330C">
              <w:rPr>
                <w:rFonts w:ascii="Arial" w:eastAsia="Times New Roman" w:hAnsi="Arial" w:cs="Arial"/>
                <w:color w:val="000000"/>
                <w:sz w:val="20"/>
                <w:szCs w:val="20"/>
                <w:lang w:eastAsia="es-CO"/>
              </w:rPr>
              <w:t>Unad</w:t>
            </w:r>
            <w:proofErr w:type="spellEnd"/>
          </w:p>
        </w:tc>
        <w:tc>
          <w:tcPr>
            <w:tcW w:w="1471" w:type="dxa"/>
            <w:tcBorders>
              <w:top w:val="nil"/>
              <w:left w:val="nil"/>
              <w:bottom w:val="single" w:sz="8" w:space="0" w:color="3366CC"/>
              <w:right w:val="single" w:sz="8" w:space="0" w:color="3366CC"/>
            </w:tcBorders>
            <w:shd w:val="clear" w:color="auto" w:fill="auto"/>
            <w:noWrap/>
            <w:vAlign w:val="center"/>
            <w:hideMark/>
          </w:tcPr>
          <w:p w14:paraId="4DC94FD1"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Bogotá, D.C.</w:t>
            </w:r>
          </w:p>
        </w:tc>
        <w:tc>
          <w:tcPr>
            <w:tcW w:w="1010" w:type="dxa"/>
            <w:tcBorders>
              <w:top w:val="nil"/>
              <w:left w:val="nil"/>
              <w:bottom w:val="single" w:sz="8" w:space="0" w:color="3366CC"/>
              <w:right w:val="single" w:sz="8" w:space="0" w:color="3366CC"/>
            </w:tcBorders>
            <w:shd w:val="clear" w:color="auto" w:fill="auto"/>
            <w:noWrap/>
            <w:vAlign w:val="center"/>
            <w:hideMark/>
          </w:tcPr>
          <w:p w14:paraId="3F07EADE"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1.332</w:t>
            </w:r>
          </w:p>
        </w:tc>
      </w:tr>
      <w:tr w:rsidR="008414D9" w:rsidRPr="00C8330C" w14:paraId="5C48C188"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3C22660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 xml:space="preserve">Escuela Superior De Administración </w:t>
            </w:r>
            <w:proofErr w:type="spellStart"/>
            <w:r w:rsidRPr="00C8330C">
              <w:rPr>
                <w:rFonts w:ascii="Arial" w:eastAsia="Times New Roman" w:hAnsi="Arial" w:cs="Arial"/>
                <w:color w:val="000000"/>
                <w:sz w:val="20"/>
                <w:szCs w:val="20"/>
                <w:lang w:eastAsia="es-CO"/>
              </w:rPr>
              <w:t>Publica</w:t>
            </w:r>
            <w:proofErr w:type="spellEnd"/>
            <w:r w:rsidRPr="00C8330C">
              <w:rPr>
                <w:rFonts w:ascii="Arial" w:eastAsia="Times New Roman" w:hAnsi="Arial" w:cs="Arial"/>
                <w:color w:val="000000"/>
                <w:sz w:val="20"/>
                <w:szCs w:val="20"/>
                <w:lang w:eastAsia="es-CO"/>
              </w:rPr>
              <w:t>-</w:t>
            </w:r>
            <w:proofErr w:type="spellStart"/>
            <w:r w:rsidRPr="00C8330C">
              <w:rPr>
                <w:rFonts w:ascii="Arial" w:eastAsia="Times New Roman" w:hAnsi="Arial" w:cs="Arial"/>
                <w:color w:val="000000"/>
                <w:sz w:val="20"/>
                <w:szCs w:val="20"/>
                <w:lang w:eastAsia="es-CO"/>
              </w:rPr>
              <w:t>Esap</w:t>
            </w:r>
            <w:proofErr w:type="spellEnd"/>
            <w:r w:rsidRPr="00C8330C">
              <w:rPr>
                <w:rFonts w:ascii="Arial" w:eastAsia="Times New Roman" w:hAnsi="Arial" w:cs="Arial"/>
                <w:color w:val="000000"/>
                <w:sz w:val="20"/>
                <w:szCs w:val="20"/>
                <w:lang w:eastAsia="es-CO"/>
              </w:rPr>
              <w:t>-</w:t>
            </w:r>
          </w:p>
        </w:tc>
        <w:tc>
          <w:tcPr>
            <w:tcW w:w="1471" w:type="dxa"/>
            <w:tcBorders>
              <w:top w:val="nil"/>
              <w:left w:val="nil"/>
              <w:bottom w:val="single" w:sz="8" w:space="0" w:color="3366CC"/>
              <w:right w:val="single" w:sz="8" w:space="0" w:color="3366CC"/>
            </w:tcBorders>
            <w:shd w:val="clear" w:color="auto" w:fill="auto"/>
            <w:noWrap/>
            <w:vAlign w:val="center"/>
            <w:hideMark/>
          </w:tcPr>
          <w:p w14:paraId="0EB18320"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Bogotá, D.C.</w:t>
            </w:r>
          </w:p>
        </w:tc>
        <w:tc>
          <w:tcPr>
            <w:tcW w:w="1010" w:type="dxa"/>
            <w:tcBorders>
              <w:top w:val="nil"/>
              <w:left w:val="nil"/>
              <w:bottom w:val="single" w:sz="8" w:space="0" w:color="3366CC"/>
              <w:right w:val="single" w:sz="8" w:space="0" w:color="3366CC"/>
            </w:tcBorders>
            <w:shd w:val="clear" w:color="auto" w:fill="auto"/>
            <w:noWrap/>
            <w:vAlign w:val="center"/>
            <w:hideMark/>
          </w:tcPr>
          <w:p w14:paraId="4B000EE8"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806</w:t>
            </w:r>
          </w:p>
        </w:tc>
      </w:tr>
      <w:tr w:rsidR="008414D9" w:rsidRPr="00C8330C" w14:paraId="55FE6C0E"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6E3563C8"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Dirección Nacional De Escuelas</w:t>
            </w:r>
          </w:p>
        </w:tc>
        <w:tc>
          <w:tcPr>
            <w:tcW w:w="1471" w:type="dxa"/>
            <w:tcBorders>
              <w:top w:val="nil"/>
              <w:left w:val="nil"/>
              <w:bottom w:val="single" w:sz="8" w:space="0" w:color="3366CC"/>
              <w:right w:val="single" w:sz="8" w:space="0" w:color="3366CC"/>
            </w:tcBorders>
            <w:shd w:val="clear" w:color="auto" w:fill="auto"/>
            <w:noWrap/>
            <w:vAlign w:val="center"/>
            <w:hideMark/>
          </w:tcPr>
          <w:p w14:paraId="1141E6A5"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Bogotá, D.C.</w:t>
            </w:r>
          </w:p>
        </w:tc>
        <w:tc>
          <w:tcPr>
            <w:tcW w:w="1010" w:type="dxa"/>
            <w:tcBorders>
              <w:top w:val="nil"/>
              <w:left w:val="nil"/>
              <w:bottom w:val="single" w:sz="8" w:space="0" w:color="3366CC"/>
              <w:right w:val="single" w:sz="8" w:space="0" w:color="3366CC"/>
            </w:tcBorders>
            <w:shd w:val="clear" w:color="auto" w:fill="auto"/>
            <w:noWrap/>
            <w:vAlign w:val="center"/>
            <w:hideMark/>
          </w:tcPr>
          <w:p w14:paraId="283A0C81"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810</w:t>
            </w:r>
          </w:p>
        </w:tc>
      </w:tr>
      <w:tr w:rsidR="008414D9" w:rsidRPr="00C8330C" w14:paraId="3879E1BC"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1C8441F6"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Universidad Católica Luis Amigó</w:t>
            </w:r>
          </w:p>
        </w:tc>
        <w:tc>
          <w:tcPr>
            <w:tcW w:w="1471" w:type="dxa"/>
            <w:tcBorders>
              <w:top w:val="nil"/>
              <w:left w:val="nil"/>
              <w:bottom w:val="single" w:sz="8" w:space="0" w:color="3366CC"/>
              <w:right w:val="single" w:sz="8" w:space="0" w:color="3366CC"/>
            </w:tcBorders>
            <w:shd w:val="clear" w:color="auto" w:fill="auto"/>
            <w:noWrap/>
            <w:vAlign w:val="center"/>
            <w:hideMark/>
          </w:tcPr>
          <w:p w14:paraId="18E32AEC"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Antioquia</w:t>
            </w:r>
          </w:p>
        </w:tc>
        <w:tc>
          <w:tcPr>
            <w:tcW w:w="1010" w:type="dxa"/>
            <w:tcBorders>
              <w:top w:val="nil"/>
              <w:left w:val="nil"/>
              <w:bottom w:val="single" w:sz="8" w:space="0" w:color="3366CC"/>
              <w:right w:val="single" w:sz="8" w:space="0" w:color="3366CC"/>
            </w:tcBorders>
            <w:shd w:val="clear" w:color="auto" w:fill="auto"/>
            <w:noWrap/>
            <w:vAlign w:val="center"/>
            <w:hideMark/>
          </w:tcPr>
          <w:p w14:paraId="5DF26E2F"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1.865</w:t>
            </w:r>
          </w:p>
        </w:tc>
      </w:tr>
      <w:tr w:rsidR="008414D9" w:rsidRPr="00C8330C" w14:paraId="6050BC50"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36D5A8E9"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Corporación Universitaria Minuto De Dios -</w:t>
            </w:r>
            <w:proofErr w:type="spellStart"/>
            <w:r w:rsidRPr="00C8330C">
              <w:rPr>
                <w:rFonts w:ascii="Arial" w:eastAsia="Times New Roman" w:hAnsi="Arial" w:cs="Arial"/>
                <w:color w:val="000000"/>
                <w:sz w:val="20"/>
                <w:szCs w:val="20"/>
                <w:lang w:eastAsia="es-CO"/>
              </w:rPr>
              <w:t>Uniminuto</w:t>
            </w:r>
            <w:proofErr w:type="spellEnd"/>
            <w:r w:rsidRPr="00C8330C">
              <w:rPr>
                <w:rFonts w:ascii="Arial" w:eastAsia="Times New Roman" w:hAnsi="Arial" w:cs="Arial"/>
                <w:color w:val="000000"/>
                <w:sz w:val="20"/>
                <w:szCs w:val="20"/>
                <w:lang w:eastAsia="es-CO"/>
              </w:rPr>
              <w:t>-</w:t>
            </w:r>
          </w:p>
        </w:tc>
        <w:tc>
          <w:tcPr>
            <w:tcW w:w="1471" w:type="dxa"/>
            <w:tcBorders>
              <w:top w:val="nil"/>
              <w:left w:val="nil"/>
              <w:bottom w:val="single" w:sz="8" w:space="0" w:color="3366CC"/>
              <w:right w:val="single" w:sz="8" w:space="0" w:color="3366CC"/>
            </w:tcBorders>
            <w:shd w:val="clear" w:color="auto" w:fill="auto"/>
            <w:noWrap/>
            <w:vAlign w:val="center"/>
            <w:hideMark/>
          </w:tcPr>
          <w:p w14:paraId="3DBDD4A7"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Bogotá, D.C.</w:t>
            </w:r>
          </w:p>
        </w:tc>
        <w:tc>
          <w:tcPr>
            <w:tcW w:w="1010" w:type="dxa"/>
            <w:tcBorders>
              <w:top w:val="nil"/>
              <w:left w:val="nil"/>
              <w:bottom w:val="single" w:sz="8" w:space="0" w:color="3366CC"/>
              <w:right w:val="single" w:sz="8" w:space="0" w:color="3366CC"/>
            </w:tcBorders>
            <w:shd w:val="clear" w:color="auto" w:fill="auto"/>
            <w:noWrap/>
            <w:vAlign w:val="center"/>
            <w:hideMark/>
          </w:tcPr>
          <w:p w14:paraId="3693D4A0"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686</w:t>
            </w:r>
          </w:p>
        </w:tc>
      </w:tr>
      <w:tr w:rsidR="008414D9" w:rsidRPr="00C8330C" w14:paraId="5DC29130"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14554020"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Corporación Universitaria Remington</w:t>
            </w:r>
          </w:p>
        </w:tc>
        <w:tc>
          <w:tcPr>
            <w:tcW w:w="1471" w:type="dxa"/>
            <w:tcBorders>
              <w:top w:val="nil"/>
              <w:left w:val="nil"/>
              <w:bottom w:val="single" w:sz="8" w:space="0" w:color="3366CC"/>
              <w:right w:val="single" w:sz="8" w:space="0" w:color="3366CC"/>
            </w:tcBorders>
            <w:shd w:val="clear" w:color="auto" w:fill="auto"/>
            <w:noWrap/>
            <w:vAlign w:val="center"/>
            <w:hideMark/>
          </w:tcPr>
          <w:p w14:paraId="2589D728"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Antioquia</w:t>
            </w:r>
          </w:p>
        </w:tc>
        <w:tc>
          <w:tcPr>
            <w:tcW w:w="1010" w:type="dxa"/>
            <w:tcBorders>
              <w:top w:val="nil"/>
              <w:left w:val="nil"/>
              <w:bottom w:val="single" w:sz="8" w:space="0" w:color="3366CC"/>
              <w:right w:val="single" w:sz="8" w:space="0" w:color="3366CC"/>
            </w:tcBorders>
            <w:shd w:val="clear" w:color="auto" w:fill="auto"/>
            <w:noWrap/>
            <w:vAlign w:val="center"/>
            <w:hideMark/>
          </w:tcPr>
          <w:p w14:paraId="340FD09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866</w:t>
            </w:r>
          </w:p>
        </w:tc>
      </w:tr>
      <w:tr w:rsidR="008414D9" w:rsidRPr="00C8330C" w14:paraId="1712C35E"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0C48D833"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 xml:space="preserve">Corporación de Educación Del Norte Del Tolima - </w:t>
            </w:r>
            <w:proofErr w:type="spellStart"/>
            <w:r w:rsidRPr="00C8330C">
              <w:rPr>
                <w:rFonts w:ascii="Arial" w:eastAsia="Times New Roman" w:hAnsi="Arial" w:cs="Arial"/>
                <w:color w:val="000000"/>
                <w:sz w:val="20"/>
                <w:szCs w:val="20"/>
                <w:lang w:eastAsia="es-CO"/>
              </w:rPr>
              <w:t>Coreducacion</w:t>
            </w:r>
            <w:proofErr w:type="spellEnd"/>
          </w:p>
        </w:tc>
        <w:tc>
          <w:tcPr>
            <w:tcW w:w="1471" w:type="dxa"/>
            <w:tcBorders>
              <w:top w:val="nil"/>
              <w:left w:val="nil"/>
              <w:bottom w:val="single" w:sz="8" w:space="0" w:color="3366CC"/>
              <w:right w:val="single" w:sz="8" w:space="0" w:color="3366CC"/>
            </w:tcBorders>
            <w:shd w:val="clear" w:color="auto" w:fill="auto"/>
            <w:noWrap/>
            <w:vAlign w:val="center"/>
            <w:hideMark/>
          </w:tcPr>
          <w:p w14:paraId="619AD65F"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Tolima</w:t>
            </w:r>
          </w:p>
        </w:tc>
        <w:tc>
          <w:tcPr>
            <w:tcW w:w="1010" w:type="dxa"/>
            <w:tcBorders>
              <w:top w:val="nil"/>
              <w:left w:val="nil"/>
              <w:bottom w:val="single" w:sz="8" w:space="0" w:color="3366CC"/>
              <w:right w:val="single" w:sz="8" w:space="0" w:color="3366CC"/>
            </w:tcBorders>
            <w:shd w:val="clear" w:color="auto" w:fill="auto"/>
            <w:noWrap/>
            <w:vAlign w:val="center"/>
            <w:hideMark/>
          </w:tcPr>
          <w:p w14:paraId="0C1EDD0C"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1</w:t>
            </w:r>
          </w:p>
        </w:tc>
      </w:tr>
      <w:tr w:rsidR="008414D9" w:rsidRPr="00C8330C" w14:paraId="375AF579"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45DDB4D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 xml:space="preserve">Colegio Integrado Nacional Oriente de Caldas - </w:t>
            </w:r>
            <w:proofErr w:type="spellStart"/>
            <w:r w:rsidRPr="00C8330C">
              <w:rPr>
                <w:rFonts w:ascii="Arial" w:eastAsia="Times New Roman" w:hAnsi="Arial" w:cs="Arial"/>
                <w:color w:val="000000"/>
                <w:sz w:val="20"/>
                <w:szCs w:val="20"/>
                <w:lang w:eastAsia="es-CO"/>
              </w:rPr>
              <w:t>Ies</w:t>
            </w:r>
            <w:proofErr w:type="spellEnd"/>
            <w:r w:rsidRPr="00C8330C">
              <w:rPr>
                <w:rFonts w:ascii="Arial" w:eastAsia="Times New Roman" w:hAnsi="Arial" w:cs="Arial"/>
                <w:color w:val="000000"/>
                <w:sz w:val="20"/>
                <w:szCs w:val="20"/>
                <w:lang w:eastAsia="es-CO"/>
              </w:rPr>
              <w:t xml:space="preserve"> </w:t>
            </w:r>
            <w:proofErr w:type="spellStart"/>
            <w:r w:rsidRPr="00C8330C">
              <w:rPr>
                <w:rFonts w:ascii="Arial" w:eastAsia="Times New Roman" w:hAnsi="Arial" w:cs="Arial"/>
                <w:color w:val="000000"/>
                <w:sz w:val="20"/>
                <w:szCs w:val="20"/>
                <w:lang w:eastAsia="es-CO"/>
              </w:rPr>
              <w:t>Cinoc</w:t>
            </w:r>
            <w:proofErr w:type="spellEnd"/>
          </w:p>
        </w:tc>
        <w:tc>
          <w:tcPr>
            <w:tcW w:w="1471" w:type="dxa"/>
            <w:tcBorders>
              <w:top w:val="nil"/>
              <w:left w:val="nil"/>
              <w:bottom w:val="single" w:sz="8" w:space="0" w:color="3366CC"/>
              <w:right w:val="single" w:sz="8" w:space="0" w:color="3366CC"/>
            </w:tcBorders>
            <w:shd w:val="clear" w:color="auto" w:fill="auto"/>
            <w:noWrap/>
            <w:vAlign w:val="center"/>
            <w:hideMark/>
          </w:tcPr>
          <w:p w14:paraId="657008E0"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Caldas</w:t>
            </w:r>
          </w:p>
        </w:tc>
        <w:tc>
          <w:tcPr>
            <w:tcW w:w="1010" w:type="dxa"/>
            <w:tcBorders>
              <w:top w:val="nil"/>
              <w:left w:val="nil"/>
              <w:bottom w:val="single" w:sz="8" w:space="0" w:color="3366CC"/>
              <w:right w:val="single" w:sz="8" w:space="0" w:color="3366CC"/>
            </w:tcBorders>
            <w:shd w:val="clear" w:color="auto" w:fill="auto"/>
            <w:noWrap/>
            <w:vAlign w:val="center"/>
            <w:hideMark/>
          </w:tcPr>
          <w:p w14:paraId="161178FB"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615</w:t>
            </w:r>
          </w:p>
        </w:tc>
      </w:tr>
      <w:tr w:rsidR="008414D9" w:rsidRPr="00C8330C" w14:paraId="14381BD9"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3787F6F4"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Servicio Nacional de Aprendizaje-Sena-</w:t>
            </w:r>
          </w:p>
        </w:tc>
        <w:tc>
          <w:tcPr>
            <w:tcW w:w="1471" w:type="dxa"/>
            <w:tcBorders>
              <w:top w:val="nil"/>
              <w:left w:val="nil"/>
              <w:bottom w:val="single" w:sz="8" w:space="0" w:color="3366CC"/>
              <w:right w:val="single" w:sz="8" w:space="0" w:color="3366CC"/>
            </w:tcBorders>
            <w:shd w:val="clear" w:color="auto" w:fill="auto"/>
            <w:noWrap/>
            <w:vAlign w:val="center"/>
            <w:hideMark/>
          </w:tcPr>
          <w:p w14:paraId="7619B9DE"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Bogotá, D.C.</w:t>
            </w:r>
          </w:p>
        </w:tc>
        <w:tc>
          <w:tcPr>
            <w:tcW w:w="1010" w:type="dxa"/>
            <w:tcBorders>
              <w:top w:val="nil"/>
              <w:left w:val="nil"/>
              <w:bottom w:val="single" w:sz="8" w:space="0" w:color="3366CC"/>
              <w:right w:val="single" w:sz="8" w:space="0" w:color="3366CC"/>
            </w:tcBorders>
            <w:shd w:val="clear" w:color="auto" w:fill="auto"/>
            <w:noWrap/>
            <w:vAlign w:val="center"/>
            <w:hideMark/>
          </w:tcPr>
          <w:p w14:paraId="53FC6193"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4.535</w:t>
            </w:r>
          </w:p>
        </w:tc>
      </w:tr>
      <w:tr w:rsidR="008414D9" w:rsidRPr="00C8330C" w14:paraId="18F50583" w14:textId="77777777" w:rsidTr="00785DBD">
        <w:trPr>
          <w:trHeight w:val="315"/>
          <w:jc w:val="center"/>
        </w:trPr>
        <w:tc>
          <w:tcPr>
            <w:tcW w:w="3247" w:type="dxa"/>
            <w:tcBorders>
              <w:top w:val="nil"/>
              <w:left w:val="single" w:sz="8" w:space="0" w:color="3366CC"/>
              <w:bottom w:val="single" w:sz="8" w:space="0" w:color="3366CC"/>
              <w:right w:val="single" w:sz="8" w:space="0" w:color="3366CC"/>
            </w:tcBorders>
            <w:shd w:val="clear" w:color="auto" w:fill="auto"/>
            <w:noWrap/>
            <w:vAlign w:val="center"/>
            <w:hideMark/>
          </w:tcPr>
          <w:p w14:paraId="47910655"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 xml:space="preserve">Universidad Autónoma Indígena Intercultural - </w:t>
            </w:r>
            <w:proofErr w:type="spellStart"/>
            <w:r w:rsidRPr="00C8330C">
              <w:rPr>
                <w:rFonts w:ascii="Arial" w:eastAsia="Times New Roman" w:hAnsi="Arial" w:cs="Arial"/>
                <w:color w:val="000000"/>
                <w:sz w:val="20"/>
                <w:szCs w:val="20"/>
                <w:lang w:eastAsia="es-CO"/>
              </w:rPr>
              <w:t>Uaiin</w:t>
            </w:r>
            <w:proofErr w:type="spellEnd"/>
          </w:p>
        </w:tc>
        <w:tc>
          <w:tcPr>
            <w:tcW w:w="1471" w:type="dxa"/>
            <w:tcBorders>
              <w:top w:val="nil"/>
              <w:left w:val="nil"/>
              <w:bottom w:val="single" w:sz="8" w:space="0" w:color="3366CC"/>
              <w:right w:val="single" w:sz="8" w:space="0" w:color="3366CC"/>
            </w:tcBorders>
            <w:shd w:val="clear" w:color="auto" w:fill="auto"/>
            <w:noWrap/>
            <w:vAlign w:val="center"/>
            <w:hideMark/>
          </w:tcPr>
          <w:p w14:paraId="21ACD50E"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Cauca</w:t>
            </w:r>
          </w:p>
        </w:tc>
        <w:tc>
          <w:tcPr>
            <w:tcW w:w="1010" w:type="dxa"/>
            <w:tcBorders>
              <w:top w:val="nil"/>
              <w:left w:val="nil"/>
              <w:bottom w:val="single" w:sz="8" w:space="0" w:color="3366CC"/>
              <w:right w:val="single" w:sz="8" w:space="0" w:color="3366CC"/>
            </w:tcBorders>
            <w:shd w:val="clear" w:color="auto" w:fill="auto"/>
            <w:noWrap/>
            <w:vAlign w:val="center"/>
            <w:hideMark/>
          </w:tcPr>
          <w:p w14:paraId="7E763C52" w14:textId="77777777" w:rsidR="008414D9" w:rsidRPr="00C8330C" w:rsidRDefault="008414D9" w:rsidP="00785DBD">
            <w:pPr>
              <w:jc w:val="center"/>
              <w:rPr>
                <w:rFonts w:ascii="Arial" w:eastAsia="Times New Roman" w:hAnsi="Arial" w:cs="Arial"/>
                <w:color w:val="000000"/>
                <w:sz w:val="20"/>
                <w:szCs w:val="20"/>
                <w:lang w:eastAsia="es-CO"/>
              </w:rPr>
            </w:pPr>
            <w:r w:rsidRPr="00C8330C">
              <w:rPr>
                <w:rFonts w:ascii="Arial" w:eastAsia="Times New Roman" w:hAnsi="Arial" w:cs="Arial"/>
                <w:color w:val="000000"/>
                <w:sz w:val="20"/>
                <w:szCs w:val="20"/>
                <w:lang w:eastAsia="es-CO"/>
              </w:rPr>
              <w:t>1</w:t>
            </w:r>
          </w:p>
        </w:tc>
      </w:tr>
    </w:tbl>
    <w:p w14:paraId="0AE11F7A" w14:textId="77777777" w:rsidR="008414D9" w:rsidRPr="00985A2D" w:rsidRDefault="008414D9" w:rsidP="008414D9">
      <w:pPr>
        <w:jc w:val="center"/>
        <w:rPr>
          <w:rFonts w:ascii="Arial" w:hAnsi="Arial" w:cs="Arial"/>
          <w:b/>
          <w:iCs/>
          <w:szCs w:val="22"/>
        </w:rPr>
      </w:pPr>
      <w:r w:rsidRPr="00985A2D">
        <w:rPr>
          <w:rStyle w:val="Referenciasutil"/>
          <w:rFonts w:ascii="Arial" w:hAnsi="Arial" w:cs="Arial"/>
          <w:sz w:val="22"/>
          <w:szCs w:val="22"/>
        </w:rPr>
        <w:t>Fuente: Cálculos MCV</w:t>
      </w:r>
    </w:p>
    <w:p w14:paraId="03B942D8" w14:textId="77777777" w:rsidR="00932E1A" w:rsidRPr="00932E1A" w:rsidRDefault="00932E1A" w:rsidP="00932E1A">
      <w:pPr>
        <w:jc w:val="both"/>
        <w:rPr>
          <w:rFonts w:ascii="Bookman Old Style" w:hAnsi="Bookman Old Style"/>
          <w:lang w:val="es-MX"/>
        </w:rPr>
      </w:pPr>
    </w:p>
    <w:p w14:paraId="19E562B0" w14:textId="1007AE04" w:rsidR="00932E1A" w:rsidRDefault="00932E1A" w:rsidP="00932E1A">
      <w:pPr>
        <w:jc w:val="both"/>
        <w:rPr>
          <w:rFonts w:ascii="Bookman Old Style" w:hAnsi="Bookman Old Style"/>
          <w:lang w:val="es-MX"/>
        </w:rPr>
      </w:pPr>
      <w:r w:rsidRPr="00932E1A">
        <w:rPr>
          <w:rFonts w:ascii="Bookman Old Style" w:hAnsi="Bookman Old Style"/>
          <w:lang w:val="es-MX"/>
        </w:rPr>
        <w:t>El departamento de Caldas no solo resalta por su vocación universitaria, sino también por brindar diversas oportunidades de formación a la población que opta por continuar con educación terciaria. La distribución muestra que de cada 100 estudiantes de educación superior en 2021: 69 fueron universitarios, 21 cursaron educación técnica y tecnológica y 10 cursaron un posgrado:</w:t>
      </w:r>
    </w:p>
    <w:p w14:paraId="681A2502" w14:textId="77777777" w:rsidR="00932E1A" w:rsidRDefault="00932E1A" w:rsidP="00932E1A">
      <w:pPr>
        <w:jc w:val="both"/>
        <w:rPr>
          <w:rFonts w:ascii="Bookman Old Style" w:hAnsi="Bookman Old Style"/>
          <w:lang w:val="es-MX"/>
        </w:rPr>
      </w:pPr>
    </w:p>
    <w:p w14:paraId="099E8DBF" w14:textId="77777777" w:rsidR="00932E1A" w:rsidRDefault="00932E1A" w:rsidP="00932E1A">
      <w:pPr>
        <w:jc w:val="both"/>
        <w:rPr>
          <w:rFonts w:ascii="Bookman Old Style" w:hAnsi="Bookman Old Style"/>
          <w:lang w:val="es-MX"/>
        </w:rPr>
      </w:pPr>
    </w:p>
    <w:p w14:paraId="30C2EEC9" w14:textId="6AA952E8" w:rsidR="00932E1A" w:rsidRPr="00985A2D" w:rsidRDefault="00932E1A" w:rsidP="00932E1A">
      <w:pPr>
        <w:pStyle w:val="Descripcin"/>
        <w:jc w:val="center"/>
        <w:rPr>
          <w:rFonts w:ascii="Arial" w:hAnsi="Arial" w:cs="Arial"/>
          <w:b/>
          <w:iCs w:val="0"/>
          <w:szCs w:val="22"/>
        </w:rPr>
      </w:pPr>
      <w:r>
        <w:t xml:space="preserve">Tabla </w:t>
      </w:r>
      <w:fldSimple w:instr=" SEQ Tabla \* ARABIC ">
        <w:r w:rsidR="007A7AF3">
          <w:rPr>
            <w:noProof/>
          </w:rPr>
          <w:t>3</w:t>
        </w:r>
      </w:fldSimple>
      <w:r>
        <w:t xml:space="preserve">. </w:t>
      </w:r>
      <w:r w:rsidRPr="004C5141">
        <w:t>Matrícula por nivel de formación (2015 – 2021)</w:t>
      </w:r>
      <w:r>
        <w:t xml:space="preserve"> </w:t>
      </w:r>
    </w:p>
    <w:tbl>
      <w:tblPr>
        <w:tblW w:w="5225" w:type="pct"/>
        <w:tblInd w:w="132" w:type="dxa"/>
        <w:tblCellMar>
          <w:left w:w="70" w:type="dxa"/>
          <w:right w:w="70" w:type="dxa"/>
        </w:tblCellMar>
        <w:tblLook w:val="04A0" w:firstRow="1" w:lastRow="0" w:firstColumn="1" w:lastColumn="0" w:noHBand="0" w:noVBand="1"/>
      </w:tblPr>
      <w:tblGrid>
        <w:gridCol w:w="2317"/>
        <w:gridCol w:w="942"/>
        <w:gridCol w:w="1012"/>
        <w:gridCol w:w="877"/>
        <w:gridCol w:w="877"/>
        <w:gridCol w:w="927"/>
        <w:gridCol w:w="910"/>
        <w:gridCol w:w="1353"/>
      </w:tblGrid>
      <w:tr w:rsidR="00932E1A" w:rsidRPr="00C8330C" w14:paraId="43AB0847" w14:textId="77777777" w:rsidTr="00932E1A">
        <w:trPr>
          <w:trHeight w:val="390"/>
        </w:trPr>
        <w:tc>
          <w:tcPr>
            <w:tcW w:w="1257" w:type="pct"/>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414F64AB"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Nivel de formación</w:t>
            </w:r>
          </w:p>
        </w:tc>
        <w:tc>
          <w:tcPr>
            <w:tcW w:w="511" w:type="pct"/>
            <w:tcBorders>
              <w:top w:val="single" w:sz="8" w:space="0" w:color="3366CC"/>
              <w:left w:val="nil"/>
              <w:bottom w:val="single" w:sz="8" w:space="0" w:color="3366CC"/>
              <w:right w:val="nil"/>
            </w:tcBorders>
            <w:shd w:val="clear" w:color="000000" w:fill="DDEBF7"/>
            <w:noWrap/>
            <w:vAlign w:val="center"/>
            <w:hideMark/>
          </w:tcPr>
          <w:p w14:paraId="1DD5D12F"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2015</w:t>
            </w:r>
          </w:p>
        </w:tc>
        <w:tc>
          <w:tcPr>
            <w:tcW w:w="549" w:type="pct"/>
            <w:tcBorders>
              <w:top w:val="single" w:sz="8" w:space="0" w:color="3366CC"/>
              <w:left w:val="nil"/>
              <w:bottom w:val="single" w:sz="8" w:space="0" w:color="3366CC"/>
              <w:right w:val="nil"/>
            </w:tcBorders>
            <w:shd w:val="clear" w:color="000000" w:fill="DDEBF7"/>
            <w:vAlign w:val="center"/>
            <w:hideMark/>
          </w:tcPr>
          <w:p w14:paraId="2EC6C27B"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2016</w:t>
            </w:r>
          </w:p>
        </w:tc>
        <w:tc>
          <w:tcPr>
            <w:tcW w:w="476" w:type="pct"/>
            <w:tcBorders>
              <w:top w:val="single" w:sz="8" w:space="0" w:color="3366CC"/>
              <w:left w:val="nil"/>
              <w:bottom w:val="single" w:sz="8" w:space="0" w:color="3366CC"/>
              <w:right w:val="nil"/>
            </w:tcBorders>
            <w:shd w:val="clear" w:color="000000" w:fill="DDEBF7"/>
            <w:vAlign w:val="center"/>
            <w:hideMark/>
          </w:tcPr>
          <w:p w14:paraId="1A1FAA53"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2017</w:t>
            </w:r>
          </w:p>
        </w:tc>
        <w:tc>
          <w:tcPr>
            <w:tcW w:w="476" w:type="pct"/>
            <w:tcBorders>
              <w:top w:val="single" w:sz="8" w:space="0" w:color="3366CC"/>
              <w:left w:val="nil"/>
              <w:bottom w:val="single" w:sz="8" w:space="0" w:color="3366CC"/>
              <w:right w:val="nil"/>
            </w:tcBorders>
            <w:shd w:val="clear" w:color="000000" w:fill="DDEBF7"/>
            <w:vAlign w:val="center"/>
            <w:hideMark/>
          </w:tcPr>
          <w:p w14:paraId="4BD5EA20"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2018</w:t>
            </w:r>
          </w:p>
        </w:tc>
        <w:tc>
          <w:tcPr>
            <w:tcW w:w="503" w:type="pct"/>
            <w:tcBorders>
              <w:top w:val="single" w:sz="8" w:space="0" w:color="3366CC"/>
              <w:left w:val="single" w:sz="4" w:space="0" w:color="808080"/>
              <w:bottom w:val="single" w:sz="8" w:space="0" w:color="3366CC"/>
              <w:right w:val="single" w:sz="4" w:space="0" w:color="808080"/>
            </w:tcBorders>
            <w:shd w:val="clear" w:color="000000" w:fill="DDEBF7"/>
            <w:vAlign w:val="center"/>
            <w:hideMark/>
          </w:tcPr>
          <w:p w14:paraId="68839B66"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2019</w:t>
            </w:r>
          </w:p>
        </w:tc>
        <w:tc>
          <w:tcPr>
            <w:tcW w:w="494" w:type="pct"/>
            <w:tcBorders>
              <w:top w:val="single" w:sz="8" w:space="0" w:color="3366CC"/>
              <w:left w:val="nil"/>
              <w:bottom w:val="single" w:sz="8" w:space="0" w:color="3366CC"/>
              <w:right w:val="single" w:sz="4" w:space="0" w:color="808080"/>
            </w:tcBorders>
            <w:shd w:val="clear" w:color="000000" w:fill="DDEBF7"/>
            <w:vAlign w:val="center"/>
            <w:hideMark/>
          </w:tcPr>
          <w:p w14:paraId="1BED86BA"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2020</w:t>
            </w:r>
          </w:p>
        </w:tc>
        <w:tc>
          <w:tcPr>
            <w:tcW w:w="735" w:type="pct"/>
            <w:tcBorders>
              <w:top w:val="single" w:sz="8" w:space="0" w:color="3366CC"/>
              <w:left w:val="nil"/>
              <w:bottom w:val="single" w:sz="8" w:space="0" w:color="3366CC"/>
              <w:right w:val="single" w:sz="8" w:space="0" w:color="3366CC"/>
            </w:tcBorders>
            <w:shd w:val="clear" w:color="000000" w:fill="DDEBF7"/>
            <w:vAlign w:val="center"/>
            <w:hideMark/>
          </w:tcPr>
          <w:p w14:paraId="02564BEA"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2021</w:t>
            </w:r>
          </w:p>
        </w:tc>
      </w:tr>
      <w:tr w:rsidR="00932E1A" w:rsidRPr="00C8330C" w14:paraId="1E7D6228" w14:textId="77777777" w:rsidTr="00932E1A">
        <w:trPr>
          <w:trHeight w:val="375"/>
        </w:trPr>
        <w:tc>
          <w:tcPr>
            <w:tcW w:w="1257" w:type="pct"/>
            <w:tcBorders>
              <w:top w:val="single" w:sz="8" w:space="0" w:color="3366CC"/>
              <w:left w:val="single" w:sz="8" w:space="0" w:color="3366CC"/>
              <w:bottom w:val="single" w:sz="4" w:space="0" w:color="A6A6A6"/>
              <w:right w:val="single" w:sz="8" w:space="0" w:color="3366CC"/>
            </w:tcBorders>
            <w:shd w:val="clear" w:color="auto" w:fill="auto"/>
            <w:noWrap/>
            <w:vAlign w:val="center"/>
            <w:hideMark/>
          </w:tcPr>
          <w:p w14:paraId="13697572" w14:textId="77777777" w:rsidR="00932E1A" w:rsidRPr="00C8330C" w:rsidRDefault="00932E1A" w:rsidP="00785DBD">
            <w:pPr>
              <w:rPr>
                <w:rFonts w:ascii="Arial" w:hAnsi="Arial" w:cs="Arial"/>
                <w:sz w:val="20"/>
                <w:szCs w:val="20"/>
              </w:rPr>
            </w:pPr>
            <w:r w:rsidRPr="00C8330C">
              <w:rPr>
                <w:rFonts w:ascii="Arial" w:hAnsi="Arial" w:cs="Arial"/>
                <w:sz w:val="20"/>
                <w:szCs w:val="20"/>
              </w:rPr>
              <w:t>Técnica Profesional</w:t>
            </w:r>
          </w:p>
        </w:tc>
        <w:tc>
          <w:tcPr>
            <w:tcW w:w="511" w:type="pct"/>
            <w:tcBorders>
              <w:top w:val="nil"/>
              <w:left w:val="nil"/>
              <w:bottom w:val="single" w:sz="4" w:space="0" w:color="A6A6A6"/>
              <w:right w:val="single" w:sz="4" w:space="0" w:color="A6A6A6"/>
            </w:tcBorders>
            <w:shd w:val="clear" w:color="auto" w:fill="auto"/>
            <w:noWrap/>
            <w:vAlign w:val="center"/>
            <w:hideMark/>
          </w:tcPr>
          <w:p w14:paraId="4FCB653D" w14:textId="77777777" w:rsidR="00932E1A" w:rsidRPr="00C8330C" w:rsidRDefault="00932E1A" w:rsidP="00785DBD">
            <w:pPr>
              <w:rPr>
                <w:rFonts w:ascii="Arial" w:hAnsi="Arial" w:cs="Arial"/>
                <w:sz w:val="20"/>
                <w:szCs w:val="20"/>
              </w:rPr>
            </w:pPr>
            <w:r w:rsidRPr="00C8330C">
              <w:rPr>
                <w:rFonts w:ascii="Arial" w:hAnsi="Arial" w:cs="Arial"/>
                <w:sz w:val="20"/>
                <w:szCs w:val="20"/>
              </w:rPr>
              <w:t>2.298</w:t>
            </w:r>
          </w:p>
        </w:tc>
        <w:tc>
          <w:tcPr>
            <w:tcW w:w="549" w:type="pct"/>
            <w:tcBorders>
              <w:top w:val="nil"/>
              <w:left w:val="nil"/>
              <w:bottom w:val="single" w:sz="4" w:space="0" w:color="A6A6A6"/>
              <w:right w:val="single" w:sz="4" w:space="0" w:color="A6A6A6"/>
            </w:tcBorders>
            <w:shd w:val="clear" w:color="auto" w:fill="auto"/>
            <w:noWrap/>
            <w:vAlign w:val="center"/>
            <w:hideMark/>
          </w:tcPr>
          <w:p w14:paraId="48F7B24C" w14:textId="77777777" w:rsidR="00932E1A" w:rsidRPr="00C8330C" w:rsidRDefault="00932E1A" w:rsidP="00785DBD">
            <w:pPr>
              <w:rPr>
                <w:rFonts w:ascii="Arial" w:hAnsi="Arial" w:cs="Arial"/>
                <w:sz w:val="20"/>
                <w:szCs w:val="20"/>
              </w:rPr>
            </w:pPr>
            <w:r w:rsidRPr="00C8330C">
              <w:rPr>
                <w:rFonts w:ascii="Arial" w:hAnsi="Arial" w:cs="Arial"/>
                <w:sz w:val="20"/>
                <w:szCs w:val="20"/>
              </w:rPr>
              <w:t>2.954</w:t>
            </w:r>
          </w:p>
        </w:tc>
        <w:tc>
          <w:tcPr>
            <w:tcW w:w="476" w:type="pct"/>
            <w:tcBorders>
              <w:top w:val="nil"/>
              <w:left w:val="nil"/>
              <w:bottom w:val="single" w:sz="4" w:space="0" w:color="A6A6A6"/>
              <w:right w:val="single" w:sz="4" w:space="0" w:color="A6A6A6"/>
            </w:tcBorders>
            <w:shd w:val="clear" w:color="auto" w:fill="auto"/>
            <w:noWrap/>
            <w:vAlign w:val="center"/>
            <w:hideMark/>
          </w:tcPr>
          <w:p w14:paraId="617FDEFB" w14:textId="77777777" w:rsidR="00932E1A" w:rsidRPr="00C8330C" w:rsidRDefault="00932E1A" w:rsidP="00785DBD">
            <w:pPr>
              <w:rPr>
                <w:rFonts w:ascii="Arial" w:hAnsi="Arial" w:cs="Arial"/>
                <w:sz w:val="20"/>
                <w:szCs w:val="20"/>
              </w:rPr>
            </w:pPr>
            <w:r w:rsidRPr="00C8330C">
              <w:rPr>
                <w:rFonts w:ascii="Arial" w:hAnsi="Arial" w:cs="Arial"/>
                <w:sz w:val="20"/>
                <w:szCs w:val="20"/>
              </w:rPr>
              <w:t>2.185</w:t>
            </w:r>
          </w:p>
        </w:tc>
        <w:tc>
          <w:tcPr>
            <w:tcW w:w="476" w:type="pct"/>
            <w:tcBorders>
              <w:top w:val="nil"/>
              <w:left w:val="nil"/>
              <w:bottom w:val="single" w:sz="4" w:space="0" w:color="A6A6A6"/>
              <w:right w:val="nil"/>
            </w:tcBorders>
            <w:shd w:val="clear" w:color="auto" w:fill="auto"/>
            <w:noWrap/>
            <w:vAlign w:val="center"/>
            <w:hideMark/>
          </w:tcPr>
          <w:p w14:paraId="019A2711" w14:textId="77777777" w:rsidR="00932E1A" w:rsidRPr="00C8330C" w:rsidRDefault="00932E1A" w:rsidP="00785DBD">
            <w:pPr>
              <w:rPr>
                <w:rFonts w:ascii="Arial" w:hAnsi="Arial" w:cs="Arial"/>
                <w:sz w:val="20"/>
                <w:szCs w:val="20"/>
              </w:rPr>
            </w:pPr>
            <w:r w:rsidRPr="00C8330C">
              <w:rPr>
                <w:rFonts w:ascii="Arial" w:hAnsi="Arial" w:cs="Arial"/>
                <w:sz w:val="20"/>
                <w:szCs w:val="20"/>
              </w:rPr>
              <w:t>3.294</w:t>
            </w:r>
          </w:p>
        </w:tc>
        <w:tc>
          <w:tcPr>
            <w:tcW w:w="503" w:type="pct"/>
            <w:tcBorders>
              <w:top w:val="nil"/>
              <w:left w:val="single" w:sz="4" w:space="0" w:color="808080"/>
              <w:bottom w:val="single" w:sz="4" w:space="0" w:color="808080"/>
              <w:right w:val="nil"/>
            </w:tcBorders>
            <w:shd w:val="clear" w:color="auto" w:fill="auto"/>
            <w:noWrap/>
            <w:vAlign w:val="center"/>
            <w:hideMark/>
          </w:tcPr>
          <w:p w14:paraId="11D96F86" w14:textId="77777777" w:rsidR="00932E1A" w:rsidRPr="00C8330C" w:rsidRDefault="00932E1A" w:rsidP="00785DBD">
            <w:pPr>
              <w:rPr>
                <w:rFonts w:ascii="Arial" w:hAnsi="Arial" w:cs="Arial"/>
                <w:sz w:val="20"/>
                <w:szCs w:val="20"/>
              </w:rPr>
            </w:pPr>
            <w:r w:rsidRPr="00C8330C">
              <w:rPr>
                <w:rFonts w:ascii="Arial" w:hAnsi="Arial" w:cs="Arial"/>
                <w:sz w:val="20"/>
                <w:szCs w:val="20"/>
              </w:rPr>
              <w:t>3.694</w:t>
            </w:r>
          </w:p>
        </w:tc>
        <w:tc>
          <w:tcPr>
            <w:tcW w:w="494" w:type="pct"/>
            <w:tcBorders>
              <w:top w:val="nil"/>
              <w:left w:val="single" w:sz="4" w:space="0" w:color="808080"/>
              <w:bottom w:val="single" w:sz="4" w:space="0" w:color="808080"/>
              <w:right w:val="nil"/>
            </w:tcBorders>
            <w:shd w:val="clear" w:color="auto" w:fill="auto"/>
            <w:noWrap/>
            <w:vAlign w:val="center"/>
            <w:hideMark/>
          </w:tcPr>
          <w:p w14:paraId="5D9831EF" w14:textId="77777777" w:rsidR="00932E1A" w:rsidRPr="00C8330C" w:rsidRDefault="00932E1A" w:rsidP="00785DBD">
            <w:pPr>
              <w:rPr>
                <w:rFonts w:ascii="Arial" w:hAnsi="Arial" w:cs="Arial"/>
                <w:sz w:val="20"/>
                <w:szCs w:val="20"/>
              </w:rPr>
            </w:pPr>
            <w:r w:rsidRPr="00C8330C">
              <w:rPr>
                <w:rFonts w:ascii="Arial" w:hAnsi="Arial" w:cs="Arial"/>
                <w:sz w:val="20"/>
                <w:szCs w:val="20"/>
              </w:rPr>
              <w:t>3.011</w:t>
            </w:r>
          </w:p>
        </w:tc>
        <w:tc>
          <w:tcPr>
            <w:tcW w:w="735" w:type="pct"/>
            <w:tcBorders>
              <w:top w:val="nil"/>
              <w:left w:val="single" w:sz="4" w:space="0" w:color="808080"/>
              <w:bottom w:val="single" w:sz="4" w:space="0" w:color="808080"/>
              <w:right w:val="single" w:sz="8" w:space="0" w:color="3366CC"/>
            </w:tcBorders>
            <w:shd w:val="clear" w:color="auto" w:fill="auto"/>
            <w:noWrap/>
            <w:vAlign w:val="center"/>
            <w:hideMark/>
          </w:tcPr>
          <w:p w14:paraId="32C08364" w14:textId="77777777" w:rsidR="00932E1A" w:rsidRPr="00C8330C" w:rsidRDefault="00932E1A" w:rsidP="00785DBD">
            <w:pPr>
              <w:rPr>
                <w:rFonts w:ascii="Arial" w:hAnsi="Arial" w:cs="Arial"/>
                <w:sz w:val="20"/>
                <w:szCs w:val="20"/>
              </w:rPr>
            </w:pPr>
            <w:r w:rsidRPr="00C8330C">
              <w:rPr>
                <w:rFonts w:ascii="Arial" w:hAnsi="Arial" w:cs="Arial"/>
                <w:sz w:val="20"/>
                <w:szCs w:val="20"/>
              </w:rPr>
              <w:t>2.961</w:t>
            </w:r>
          </w:p>
        </w:tc>
      </w:tr>
      <w:tr w:rsidR="00932E1A" w:rsidRPr="00C8330C" w14:paraId="1A5D1111" w14:textId="77777777" w:rsidTr="00932E1A">
        <w:trPr>
          <w:trHeight w:val="375"/>
        </w:trPr>
        <w:tc>
          <w:tcPr>
            <w:tcW w:w="1257"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4B2B4F4E" w14:textId="77777777" w:rsidR="00932E1A" w:rsidRPr="00C8330C" w:rsidRDefault="00932E1A" w:rsidP="00785DBD">
            <w:pPr>
              <w:rPr>
                <w:rFonts w:ascii="Arial" w:hAnsi="Arial" w:cs="Arial"/>
                <w:sz w:val="20"/>
                <w:szCs w:val="20"/>
              </w:rPr>
            </w:pPr>
            <w:r w:rsidRPr="00C8330C">
              <w:rPr>
                <w:rFonts w:ascii="Arial" w:hAnsi="Arial" w:cs="Arial"/>
                <w:sz w:val="20"/>
                <w:szCs w:val="20"/>
              </w:rPr>
              <w:t>Tecnológica</w:t>
            </w:r>
          </w:p>
        </w:tc>
        <w:tc>
          <w:tcPr>
            <w:tcW w:w="511" w:type="pct"/>
            <w:tcBorders>
              <w:top w:val="nil"/>
              <w:left w:val="nil"/>
              <w:bottom w:val="single" w:sz="4" w:space="0" w:color="A6A6A6"/>
              <w:right w:val="single" w:sz="4" w:space="0" w:color="A6A6A6"/>
            </w:tcBorders>
            <w:shd w:val="clear" w:color="auto" w:fill="auto"/>
            <w:noWrap/>
            <w:vAlign w:val="center"/>
            <w:hideMark/>
          </w:tcPr>
          <w:p w14:paraId="578E34B5" w14:textId="77777777" w:rsidR="00932E1A" w:rsidRPr="00C8330C" w:rsidRDefault="00932E1A" w:rsidP="00785DBD">
            <w:pPr>
              <w:rPr>
                <w:rFonts w:ascii="Arial" w:hAnsi="Arial" w:cs="Arial"/>
                <w:sz w:val="20"/>
                <w:szCs w:val="20"/>
              </w:rPr>
            </w:pPr>
            <w:r w:rsidRPr="00C8330C">
              <w:rPr>
                <w:rFonts w:ascii="Arial" w:hAnsi="Arial" w:cs="Arial"/>
                <w:sz w:val="20"/>
                <w:szCs w:val="20"/>
              </w:rPr>
              <w:t>10.999</w:t>
            </w:r>
          </w:p>
        </w:tc>
        <w:tc>
          <w:tcPr>
            <w:tcW w:w="549" w:type="pct"/>
            <w:tcBorders>
              <w:top w:val="nil"/>
              <w:left w:val="nil"/>
              <w:bottom w:val="single" w:sz="4" w:space="0" w:color="A6A6A6"/>
              <w:right w:val="single" w:sz="4" w:space="0" w:color="A6A6A6"/>
            </w:tcBorders>
            <w:shd w:val="clear" w:color="auto" w:fill="auto"/>
            <w:noWrap/>
            <w:vAlign w:val="center"/>
            <w:hideMark/>
          </w:tcPr>
          <w:p w14:paraId="0588E7A3" w14:textId="77777777" w:rsidR="00932E1A" w:rsidRPr="00C8330C" w:rsidRDefault="00932E1A" w:rsidP="00785DBD">
            <w:pPr>
              <w:rPr>
                <w:rFonts w:ascii="Arial" w:hAnsi="Arial" w:cs="Arial"/>
                <w:sz w:val="20"/>
                <w:szCs w:val="20"/>
              </w:rPr>
            </w:pPr>
            <w:r w:rsidRPr="00C8330C">
              <w:rPr>
                <w:rFonts w:ascii="Arial" w:hAnsi="Arial" w:cs="Arial"/>
                <w:sz w:val="20"/>
                <w:szCs w:val="20"/>
              </w:rPr>
              <w:t>11.063</w:t>
            </w:r>
          </w:p>
        </w:tc>
        <w:tc>
          <w:tcPr>
            <w:tcW w:w="476" w:type="pct"/>
            <w:tcBorders>
              <w:top w:val="nil"/>
              <w:left w:val="nil"/>
              <w:bottom w:val="single" w:sz="4" w:space="0" w:color="A6A6A6"/>
              <w:right w:val="single" w:sz="4" w:space="0" w:color="A6A6A6"/>
            </w:tcBorders>
            <w:shd w:val="clear" w:color="auto" w:fill="auto"/>
            <w:noWrap/>
            <w:vAlign w:val="center"/>
            <w:hideMark/>
          </w:tcPr>
          <w:p w14:paraId="702B108F" w14:textId="77777777" w:rsidR="00932E1A" w:rsidRPr="00C8330C" w:rsidRDefault="00932E1A" w:rsidP="00785DBD">
            <w:pPr>
              <w:rPr>
                <w:rFonts w:ascii="Arial" w:hAnsi="Arial" w:cs="Arial"/>
                <w:sz w:val="20"/>
                <w:szCs w:val="20"/>
              </w:rPr>
            </w:pPr>
            <w:r w:rsidRPr="00C8330C">
              <w:rPr>
                <w:rFonts w:ascii="Arial" w:hAnsi="Arial" w:cs="Arial"/>
                <w:sz w:val="20"/>
                <w:szCs w:val="20"/>
              </w:rPr>
              <w:t>10.729</w:t>
            </w:r>
          </w:p>
        </w:tc>
        <w:tc>
          <w:tcPr>
            <w:tcW w:w="476" w:type="pct"/>
            <w:tcBorders>
              <w:top w:val="nil"/>
              <w:left w:val="nil"/>
              <w:bottom w:val="single" w:sz="4" w:space="0" w:color="A6A6A6"/>
              <w:right w:val="nil"/>
            </w:tcBorders>
            <w:shd w:val="clear" w:color="auto" w:fill="auto"/>
            <w:noWrap/>
            <w:vAlign w:val="center"/>
            <w:hideMark/>
          </w:tcPr>
          <w:p w14:paraId="3F272E91" w14:textId="77777777" w:rsidR="00932E1A" w:rsidRPr="00C8330C" w:rsidRDefault="00932E1A" w:rsidP="00785DBD">
            <w:pPr>
              <w:rPr>
                <w:rFonts w:ascii="Arial" w:hAnsi="Arial" w:cs="Arial"/>
                <w:sz w:val="20"/>
                <w:szCs w:val="20"/>
              </w:rPr>
            </w:pPr>
            <w:r w:rsidRPr="00C8330C">
              <w:rPr>
                <w:rFonts w:ascii="Arial" w:hAnsi="Arial" w:cs="Arial"/>
                <w:sz w:val="20"/>
                <w:szCs w:val="20"/>
              </w:rPr>
              <w:t>10.341</w:t>
            </w:r>
          </w:p>
        </w:tc>
        <w:tc>
          <w:tcPr>
            <w:tcW w:w="503" w:type="pct"/>
            <w:tcBorders>
              <w:top w:val="nil"/>
              <w:left w:val="single" w:sz="4" w:space="0" w:color="808080"/>
              <w:bottom w:val="single" w:sz="4" w:space="0" w:color="808080"/>
              <w:right w:val="nil"/>
            </w:tcBorders>
            <w:shd w:val="clear" w:color="auto" w:fill="auto"/>
            <w:noWrap/>
            <w:vAlign w:val="center"/>
            <w:hideMark/>
          </w:tcPr>
          <w:p w14:paraId="5D324AD0" w14:textId="77777777" w:rsidR="00932E1A" w:rsidRPr="00C8330C" w:rsidRDefault="00932E1A" w:rsidP="00785DBD">
            <w:pPr>
              <w:rPr>
                <w:rFonts w:ascii="Arial" w:hAnsi="Arial" w:cs="Arial"/>
                <w:sz w:val="20"/>
                <w:szCs w:val="20"/>
              </w:rPr>
            </w:pPr>
            <w:r w:rsidRPr="00C8330C">
              <w:rPr>
                <w:rFonts w:ascii="Arial" w:hAnsi="Arial" w:cs="Arial"/>
                <w:sz w:val="20"/>
                <w:szCs w:val="20"/>
              </w:rPr>
              <w:t>9.069</w:t>
            </w:r>
          </w:p>
        </w:tc>
        <w:tc>
          <w:tcPr>
            <w:tcW w:w="494" w:type="pct"/>
            <w:tcBorders>
              <w:top w:val="nil"/>
              <w:left w:val="single" w:sz="4" w:space="0" w:color="808080"/>
              <w:bottom w:val="single" w:sz="4" w:space="0" w:color="808080"/>
              <w:right w:val="nil"/>
            </w:tcBorders>
            <w:shd w:val="clear" w:color="auto" w:fill="auto"/>
            <w:noWrap/>
            <w:vAlign w:val="center"/>
            <w:hideMark/>
          </w:tcPr>
          <w:p w14:paraId="6D6CFB1B" w14:textId="77777777" w:rsidR="00932E1A" w:rsidRPr="00C8330C" w:rsidRDefault="00932E1A" w:rsidP="00785DBD">
            <w:pPr>
              <w:rPr>
                <w:rFonts w:ascii="Arial" w:hAnsi="Arial" w:cs="Arial"/>
                <w:sz w:val="20"/>
                <w:szCs w:val="20"/>
              </w:rPr>
            </w:pPr>
            <w:r w:rsidRPr="00C8330C">
              <w:rPr>
                <w:rFonts w:ascii="Arial" w:hAnsi="Arial" w:cs="Arial"/>
                <w:sz w:val="20"/>
                <w:szCs w:val="20"/>
              </w:rPr>
              <w:t>9.038</w:t>
            </w:r>
          </w:p>
        </w:tc>
        <w:tc>
          <w:tcPr>
            <w:tcW w:w="735" w:type="pct"/>
            <w:tcBorders>
              <w:top w:val="nil"/>
              <w:left w:val="single" w:sz="4" w:space="0" w:color="808080"/>
              <w:bottom w:val="single" w:sz="4" w:space="0" w:color="808080"/>
              <w:right w:val="single" w:sz="8" w:space="0" w:color="3366CC"/>
            </w:tcBorders>
            <w:shd w:val="clear" w:color="auto" w:fill="auto"/>
            <w:noWrap/>
            <w:vAlign w:val="center"/>
            <w:hideMark/>
          </w:tcPr>
          <w:p w14:paraId="08EA2A15" w14:textId="77777777" w:rsidR="00932E1A" w:rsidRPr="00C8330C" w:rsidRDefault="00932E1A" w:rsidP="00785DBD">
            <w:pPr>
              <w:rPr>
                <w:rFonts w:ascii="Arial" w:hAnsi="Arial" w:cs="Arial"/>
                <w:sz w:val="20"/>
                <w:szCs w:val="20"/>
              </w:rPr>
            </w:pPr>
            <w:r w:rsidRPr="00C8330C">
              <w:rPr>
                <w:rFonts w:ascii="Arial" w:hAnsi="Arial" w:cs="Arial"/>
                <w:sz w:val="20"/>
                <w:szCs w:val="20"/>
              </w:rPr>
              <w:t>6.866</w:t>
            </w:r>
          </w:p>
        </w:tc>
      </w:tr>
      <w:tr w:rsidR="00932E1A" w:rsidRPr="00C8330C" w14:paraId="76EBD3D3" w14:textId="77777777" w:rsidTr="00932E1A">
        <w:trPr>
          <w:trHeight w:val="375"/>
        </w:trPr>
        <w:tc>
          <w:tcPr>
            <w:tcW w:w="1257"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7F647DCE" w14:textId="77777777" w:rsidR="00932E1A" w:rsidRPr="00C8330C" w:rsidRDefault="00932E1A" w:rsidP="00785DBD">
            <w:pPr>
              <w:rPr>
                <w:rFonts w:ascii="Arial" w:hAnsi="Arial" w:cs="Arial"/>
                <w:sz w:val="20"/>
                <w:szCs w:val="20"/>
              </w:rPr>
            </w:pPr>
            <w:r w:rsidRPr="00C8330C">
              <w:rPr>
                <w:rFonts w:ascii="Arial" w:hAnsi="Arial" w:cs="Arial"/>
                <w:sz w:val="20"/>
                <w:szCs w:val="20"/>
              </w:rPr>
              <w:t>Universitaria</w:t>
            </w:r>
          </w:p>
        </w:tc>
        <w:tc>
          <w:tcPr>
            <w:tcW w:w="511" w:type="pct"/>
            <w:tcBorders>
              <w:top w:val="nil"/>
              <w:left w:val="nil"/>
              <w:bottom w:val="single" w:sz="4" w:space="0" w:color="A6A6A6"/>
              <w:right w:val="single" w:sz="4" w:space="0" w:color="A6A6A6"/>
            </w:tcBorders>
            <w:shd w:val="clear" w:color="auto" w:fill="auto"/>
            <w:noWrap/>
            <w:vAlign w:val="center"/>
            <w:hideMark/>
          </w:tcPr>
          <w:p w14:paraId="4D3B56B9" w14:textId="77777777" w:rsidR="00932E1A" w:rsidRPr="00C8330C" w:rsidRDefault="00932E1A" w:rsidP="00785DBD">
            <w:pPr>
              <w:rPr>
                <w:rFonts w:ascii="Arial" w:hAnsi="Arial" w:cs="Arial"/>
                <w:sz w:val="20"/>
                <w:szCs w:val="20"/>
              </w:rPr>
            </w:pPr>
            <w:r w:rsidRPr="00C8330C">
              <w:rPr>
                <w:rFonts w:ascii="Arial" w:hAnsi="Arial" w:cs="Arial"/>
                <w:sz w:val="20"/>
                <w:szCs w:val="20"/>
              </w:rPr>
              <w:t>28.430</w:t>
            </w:r>
          </w:p>
        </w:tc>
        <w:tc>
          <w:tcPr>
            <w:tcW w:w="549" w:type="pct"/>
            <w:tcBorders>
              <w:top w:val="nil"/>
              <w:left w:val="nil"/>
              <w:bottom w:val="single" w:sz="4" w:space="0" w:color="A6A6A6"/>
              <w:right w:val="single" w:sz="4" w:space="0" w:color="A6A6A6"/>
            </w:tcBorders>
            <w:shd w:val="clear" w:color="auto" w:fill="auto"/>
            <w:noWrap/>
            <w:vAlign w:val="center"/>
            <w:hideMark/>
          </w:tcPr>
          <w:p w14:paraId="787AE007" w14:textId="77777777" w:rsidR="00932E1A" w:rsidRPr="00C8330C" w:rsidRDefault="00932E1A" w:rsidP="00785DBD">
            <w:pPr>
              <w:rPr>
                <w:rFonts w:ascii="Arial" w:hAnsi="Arial" w:cs="Arial"/>
                <w:sz w:val="20"/>
                <w:szCs w:val="20"/>
              </w:rPr>
            </w:pPr>
            <w:r w:rsidRPr="00C8330C">
              <w:rPr>
                <w:rFonts w:ascii="Arial" w:hAnsi="Arial" w:cs="Arial"/>
                <w:sz w:val="20"/>
                <w:szCs w:val="20"/>
              </w:rPr>
              <w:t>30.309</w:t>
            </w:r>
          </w:p>
        </w:tc>
        <w:tc>
          <w:tcPr>
            <w:tcW w:w="476" w:type="pct"/>
            <w:tcBorders>
              <w:top w:val="nil"/>
              <w:left w:val="nil"/>
              <w:bottom w:val="single" w:sz="4" w:space="0" w:color="A6A6A6"/>
              <w:right w:val="single" w:sz="4" w:space="0" w:color="A6A6A6"/>
            </w:tcBorders>
            <w:shd w:val="clear" w:color="auto" w:fill="auto"/>
            <w:noWrap/>
            <w:vAlign w:val="center"/>
            <w:hideMark/>
          </w:tcPr>
          <w:p w14:paraId="1CF1712B" w14:textId="77777777" w:rsidR="00932E1A" w:rsidRPr="00C8330C" w:rsidRDefault="00932E1A" w:rsidP="00785DBD">
            <w:pPr>
              <w:rPr>
                <w:rFonts w:ascii="Arial" w:hAnsi="Arial" w:cs="Arial"/>
                <w:sz w:val="20"/>
                <w:szCs w:val="20"/>
              </w:rPr>
            </w:pPr>
            <w:r w:rsidRPr="00C8330C">
              <w:rPr>
                <w:rFonts w:ascii="Arial" w:hAnsi="Arial" w:cs="Arial"/>
                <w:sz w:val="20"/>
                <w:szCs w:val="20"/>
              </w:rPr>
              <w:t>31.550</w:t>
            </w:r>
          </w:p>
        </w:tc>
        <w:tc>
          <w:tcPr>
            <w:tcW w:w="476" w:type="pct"/>
            <w:tcBorders>
              <w:top w:val="nil"/>
              <w:left w:val="nil"/>
              <w:bottom w:val="single" w:sz="4" w:space="0" w:color="A6A6A6"/>
              <w:right w:val="nil"/>
            </w:tcBorders>
            <w:shd w:val="clear" w:color="auto" w:fill="auto"/>
            <w:noWrap/>
            <w:vAlign w:val="center"/>
            <w:hideMark/>
          </w:tcPr>
          <w:p w14:paraId="758F4593" w14:textId="77777777" w:rsidR="00932E1A" w:rsidRPr="00C8330C" w:rsidRDefault="00932E1A" w:rsidP="00785DBD">
            <w:pPr>
              <w:rPr>
                <w:rFonts w:ascii="Arial" w:hAnsi="Arial" w:cs="Arial"/>
                <w:sz w:val="20"/>
                <w:szCs w:val="20"/>
              </w:rPr>
            </w:pPr>
            <w:r w:rsidRPr="00C8330C">
              <w:rPr>
                <w:rFonts w:ascii="Arial" w:hAnsi="Arial" w:cs="Arial"/>
                <w:sz w:val="20"/>
                <w:szCs w:val="20"/>
              </w:rPr>
              <w:t>31.772</w:t>
            </w:r>
          </w:p>
        </w:tc>
        <w:tc>
          <w:tcPr>
            <w:tcW w:w="503" w:type="pct"/>
            <w:tcBorders>
              <w:top w:val="nil"/>
              <w:left w:val="single" w:sz="4" w:space="0" w:color="808080"/>
              <w:bottom w:val="single" w:sz="4" w:space="0" w:color="808080"/>
              <w:right w:val="nil"/>
            </w:tcBorders>
            <w:shd w:val="clear" w:color="auto" w:fill="auto"/>
            <w:noWrap/>
            <w:vAlign w:val="center"/>
            <w:hideMark/>
          </w:tcPr>
          <w:p w14:paraId="146D1922" w14:textId="77777777" w:rsidR="00932E1A" w:rsidRPr="00C8330C" w:rsidRDefault="00932E1A" w:rsidP="00785DBD">
            <w:pPr>
              <w:rPr>
                <w:rFonts w:ascii="Arial" w:hAnsi="Arial" w:cs="Arial"/>
                <w:sz w:val="20"/>
                <w:szCs w:val="20"/>
              </w:rPr>
            </w:pPr>
            <w:r w:rsidRPr="00C8330C">
              <w:rPr>
                <w:rFonts w:ascii="Arial" w:hAnsi="Arial" w:cs="Arial"/>
                <w:sz w:val="20"/>
                <w:szCs w:val="20"/>
              </w:rPr>
              <w:t>31.779</w:t>
            </w:r>
          </w:p>
        </w:tc>
        <w:tc>
          <w:tcPr>
            <w:tcW w:w="494" w:type="pct"/>
            <w:tcBorders>
              <w:top w:val="nil"/>
              <w:left w:val="single" w:sz="4" w:space="0" w:color="808080"/>
              <w:bottom w:val="single" w:sz="4" w:space="0" w:color="808080"/>
              <w:right w:val="nil"/>
            </w:tcBorders>
            <w:shd w:val="clear" w:color="auto" w:fill="auto"/>
            <w:noWrap/>
            <w:vAlign w:val="center"/>
            <w:hideMark/>
          </w:tcPr>
          <w:p w14:paraId="3869E33A" w14:textId="77777777" w:rsidR="00932E1A" w:rsidRPr="00C8330C" w:rsidRDefault="00932E1A" w:rsidP="00785DBD">
            <w:pPr>
              <w:rPr>
                <w:rFonts w:ascii="Arial" w:hAnsi="Arial" w:cs="Arial"/>
                <w:sz w:val="20"/>
                <w:szCs w:val="20"/>
              </w:rPr>
            </w:pPr>
            <w:r w:rsidRPr="00C8330C">
              <w:rPr>
                <w:rFonts w:ascii="Arial" w:hAnsi="Arial" w:cs="Arial"/>
                <w:sz w:val="20"/>
                <w:szCs w:val="20"/>
              </w:rPr>
              <w:t>32.098</w:t>
            </w:r>
          </w:p>
        </w:tc>
        <w:tc>
          <w:tcPr>
            <w:tcW w:w="735" w:type="pct"/>
            <w:tcBorders>
              <w:top w:val="nil"/>
              <w:left w:val="single" w:sz="4" w:space="0" w:color="808080"/>
              <w:bottom w:val="single" w:sz="4" w:space="0" w:color="808080"/>
              <w:right w:val="single" w:sz="8" w:space="0" w:color="3366CC"/>
            </w:tcBorders>
            <w:shd w:val="clear" w:color="auto" w:fill="auto"/>
            <w:noWrap/>
            <w:vAlign w:val="center"/>
            <w:hideMark/>
          </w:tcPr>
          <w:p w14:paraId="513EF28C" w14:textId="77777777" w:rsidR="00932E1A" w:rsidRPr="00C8330C" w:rsidRDefault="00932E1A" w:rsidP="00785DBD">
            <w:pPr>
              <w:rPr>
                <w:rFonts w:ascii="Arial" w:hAnsi="Arial" w:cs="Arial"/>
                <w:sz w:val="20"/>
                <w:szCs w:val="20"/>
              </w:rPr>
            </w:pPr>
            <w:r w:rsidRPr="00C8330C">
              <w:rPr>
                <w:rFonts w:ascii="Arial" w:hAnsi="Arial" w:cs="Arial"/>
                <w:sz w:val="20"/>
                <w:szCs w:val="20"/>
              </w:rPr>
              <w:t>31.937</w:t>
            </w:r>
          </w:p>
        </w:tc>
      </w:tr>
      <w:tr w:rsidR="00932E1A" w:rsidRPr="00C8330C" w14:paraId="034FF330" w14:textId="77777777" w:rsidTr="00932E1A">
        <w:trPr>
          <w:trHeight w:val="375"/>
        </w:trPr>
        <w:tc>
          <w:tcPr>
            <w:tcW w:w="1257"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502A463B" w14:textId="77777777" w:rsidR="00932E1A" w:rsidRPr="00C8330C" w:rsidRDefault="00932E1A" w:rsidP="00785DBD">
            <w:pPr>
              <w:rPr>
                <w:rFonts w:ascii="Arial" w:hAnsi="Arial" w:cs="Arial"/>
                <w:sz w:val="20"/>
                <w:szCs w:val="20"/>
              </w:rPr>
            </w:pPr>
            <w:r w:rsidRPr="00C8330C">
              <w:rPr>
                <w:rFonts w:ascii="Arial" w:hAnsi="Arial" w:cs="Arial"/>
                <w:sz w:val="20"/>
                <w:szCs w:val="20"/>
              </w:rPr>
              <w:t>Especialización</w:t>
            </w:r>
          </w:p>
        </w:tc>
        <w:tc>
          <w:tcPr>
            <w:tcW w:w="511" w:type="pct"/>
            <w:tcBorders>
              <w:top w:val="nil"/>
              <w:left w:val="nil"/>
              <w:bottom w:val="single" w:sz="4" w:space="0" w:color="A6A6A6"/>
              <w:right w:val="single" w:sz="4" w:space="0" w:color="A6A6A6"/>
            </w:tcBorders>
            <w:shd w:val="clear" w:color="auto" w:fill="auto"/>
            <w:noWrap/>
            <w:vAlign w:val="center"/>
            <w:hideMark/>
          </w:tcPr>
          <w:p w14:paraId="00D51397" w14:textId="77777777" w:rsidR="00932E1A" w:rsidRPr="00C8330C" w:rsidRDefault="00932E1A" w:rsidP="00785DBD">
            <w:pPr>
              <w:rPr>
                <w:rFonts w:ascii="Arial" w:hAnsi="Arial" w:cs="Arial"/>
                <w:sz w:val="20"/>
                <w:szCs w:val="20"/>
              </w:rPr>
            </w:pPr>
            <w:r w:rsidRPr="00C8330C">
              <w:rPr>
                <w:rFonts w:ascii="Arial" w:hAnsi="Arial" w:cs="Arial"/>
                <w:sz w:val="20"/>
                <w:szCs w:val="20"/>
              </w:rPr>
              <w:t>1.575</w:t>
            </w:r>
          </w:p>
        </w:tc>
        <w:tc>
          <w:tcPr>
            <w:tcW w:w="549" w:type="pct"/>
            <w:tcBorders>
              <w:top w:val="nil"/>
              <w:left w:val="nil"/>
              <w:bottom w:val="single" w:sz="4" w:space="0" w:color="A6A6A6"/>
              <w:right w:val="single" w:sz="4" w:space="0" w:color="A6A6A6"/>
            </w:tcBorders>
            <w:shd w:val="clear" w:color="auto" w:fill="auto"/>
            <w:noWrap/>
            <w:vAlign w:val="center"/>
            <w:hideMark/>
          </w:tcPr>
          <w:p w14:paraId="095D2648" w14:textId="77777777" w:rsidR="00932E1A" w:rsidRPr="00C8330C" w:rsidRDefault="00932E1A" w:rsidP="00785DBD">
            <w:pPr>
              <w:rPr>
                <w:rFonts w:ascii="Arial" w:hAnsi="Arial" w:cs="Arial"/>
                <w:sz w:val="20"/>
                <w:szCs w:val="20"/>
              </w:rPr>
            </w:pPr>
            <w:r w:rsidRPr="00C8330C">
              <w:rPr>
                <w:rFonts w:ascii="Arial" w:hAnsi="Arial" w:cs="Arial"/>
                <w:sz w:val="20"/>
                <w:szCs w:val="20"/>
              </w:rPr>
              <w:t>1.532</w:t>
            </w:r>
          </w:p>
        </w:tc>
        <w:tc>
          <w:tcPr>
            <w:tcW w:w="476" w:type="pct"/>
            <w:tcBorders>
              <w:top w:val="nil"/>
              <w:left w:val="nil"/>
              <w:bottom w:val="single" w:sz="4" w:space="0" w:color="A6A6A6"/>
              <w:right w:val="single" w:sz="4" w:space="0" w:color="A6A6A6"/>
            </w:tcBorders>
            <w:shd w:val="clear" w:color="auto" w:fill="auto"/>
            <w:noWrap/>
            <w:vAlign w:val="center"/>
            <w:hideMark/>
          </w:tcPr>
          <w:p w14:paraId="559241E4" w14:textId="77777777" w:rsidR="00932E1A" w:rsidRPr="00C8330C" w:rsidRDefault="00932E1A" w:rsidP="00785DBD">
            <w:pPr>
              <w:rPr>
                <w:rFonts w:ascii="Arial" w:hAnsi="Arial" w:cs="Arial"/>
                <w:sz w:val="20"/>
                <w:szCs w:val="20"/>
              </w:rPr>
            </w:pPr>
            <w:r w:rsidRPr="00C8330C">
              <w:rPr>
                <w:rFonts w:ascii="Arial" w:hAnsi="Arial" w:cs="Arial"/>
                <w:sz w:val="20"/>
                <w:szCs w:val="20"/>
              </w:rPr>
              <w:t>1.758</w:t>
            </w:r>
          </w:p>
        </w:tc>
        <w:tc>
          <w:tcPr>
            <w:tcW w:w="476" w:type="pct"/>
            <w:tcBorders>
              <w:top w:val="nil"/>
              <w:left w:val="nil"/>
              <w:bottom w:val="single" w:sz="4" w:space="0" w:color="A6A6A6"/>
              <w:right w:val="nil"/>
            </w:tcBorders>
            <w:shd w:val="clear" w:color="auto" w:fill="auto"/>
            <w:noWrap/>
            <w:vAlign w:val="center"/>
            <w:hideMark/>
          </w:tcPr>
          <w:p w14:paraId="66F6B3D6" w14:textId="77777777" w:rsidR="00932E1A" w:rsidRPr="00C8330C" w:rsidRDefault="00932E1A" w:rsidP="00785DBD">
            <w:pPr>
              <w:rPr>
                <w:rFonts w:ascii="Arial" w:hAnsi="Arial" w:cs="Arial"/>
                <w:sz w:val="20"/>
                <w:szCs w:val="20"/>
              </w:rPr>
            </w:pPr>
            <w:r w:rsidRPr="00C8330C">
              <w:rPr>
                <w:rFonts w:ascii="Arial" w:hAnsi="Arial" w:cs="Arial"/>
                <w:sz w:val="20"/>
                <w:szCs w:val="20"/>
              </w:rPr>
              <w:t>2.265</w:t>
            </w:r>
          </w:p>
        </w:tc>
        <w:tc>
          <w:tcPr>
            <w:tcW w:w="503" w:type="pct"/>
            <w:tcBorders>
              <w:top w:val="nil"/>
              <w:left w:val="single" w:sz="4" w:space="0" w:color="808080"/>
              <w:bottom w:val="single" w:sz="4" w:space="0" w:color="808080"/>
              <w:right w:val="nil"/>
            </w:tcBorders>
            <w:shd w:val="clear" w:color="auto" w:fill="auto"/>
            <w:noWrap/>
            <w:vAlign w:val="center"/>
            <w:hideMark/>
          </w:tcPr>
          <w:p w14:paraId="215DFF65" w14:textId="77777777" w:rsidR="00932E1A" w:rsidRPr="00C8330C" w:rsidRDefault="00932E1A" w:rsidP="00785DBD">
            <w:pPr>
              <w:rPr>
                <w:rFonts w:ascii="Arial" w:hAnsi="Arial" w:cs="Arial"/>
                <w:sz w:val="20"/>
                <w:szCs w:val="20"/>
              </w:rPr>
            </w:pPr>
            <w:r w:rsidRPr="00C8330C">
              <w:rPr>
                <w:rFonts w:ascii="Arial" w:hAnsi="Arial" w:cs="Arial"/>
                <w:sz w:val="20"/>
                <w:szCs w:val="20"/>
              </w:rPr>
              <w:t>2.684</w:t>
            </w:r>
          </w:p>
        </w:tc>
        <w:tc>
          <w:tcPr>
            <w:tcW w:w="494" w:type="pct"/>
            <w:tcBorders>
              <w:top w:val="nil"/>
              <w:left w:val="single" w:sz="4" w:space="0" w:color="808080"/>
              <w:bottom w:val="single" w:sz="4" w:space="0" w:color="808080"/>
              <w:right w:val="nil"/>
            </w:tcBorders>
            <w:shd w:val="clear" w:color="auto" w:fill="auto"/>
            <w:noWrap/>
            <w:vAlign w:val="center"/>
            <w:hideMark/>
          </w:tcPr>
          <w:p w14:paraId="2E1B99B0" w14:textId="77777777" w:rsidR="00932E1A" w:rsidRPr="00C8330C" w:rsidRDefault="00932E1A" w:rsidP="00785DBD">
            <w:pPr>
              <w:rPr>
                <w:rFonts w:ascii="Arial" w:hAnsi="Arial" w:cs="Arial"/>
                <w:sz w:val="20"/>
                <w:szCs w:val="20"/>
              </w:rPr>
            </w:pPr>
            <w:r w:rsidRPr="00C8330C">
              <w:rPr>
                <w:rFonts w:ascii="Arial" w:hAnsi="Arial" w:cs="Arial"/>
                <w:sz w:val="20"/>
                <w:szCs w:val="20"/>
              </w:rPr>
              <w:t>2.233</w:t>
            </w:r>
          </w:p>
        </w:tc>
        <w:tc>
          <w:tcPr>
            <w:tcW w:w="735" w:type="pct"/>
            <w:tcBorders>
              <w:top w:val="nil"/>
              <w:left w:val="single" w:sz="4" w:space="0" w:color="808080"/>
              <w:bottom w:val="single" w:sz="4" w:space="0" w:color="808080"/>
              <w:right w:val="single" w:sz="8" w:space="0" w:color="3366CC"/>
            </w:tcBorders>
            <w:shd w:val="clear" w:color="auto" w:fill="auto"/>
            <w:noWrap/>
            <w:vAlign w:val="center"/>
            <w:hideMark/>
          </w:tcPr>
          <w:p w14:paraId="73E3C02A" w14:textId="77777777" w:rsidR="00932E1A" w:rsidRPr="00C8330C" w:rsidRDefault="00932E1A" w:rsidP="00785DBD">
            <w:pPr>
              <w:rPr>
                <w:rFonts w:ascii="Arial" w:hAnsi="Arial" w:cs="Arial"/>
                <w:sz w:val="20"/>
                <w:szCs w:val="20"/>
              </w:rPr>
            </w:pPr>
            <w:r w:rsidRPr="00C8330C">
              <w:rPr>
                <w:rFonts w:ascii="Arial" w:hAnsi="Arial" w:cs="Arial"/>
                <w:sz w:val="20"/>
                <w:szCs w:val="20"/>
              </w:rPr>
              <w:t>1.841</w:t>
            </w:r>
          </w:p>
        </w:tc>
      </w:tr>
      <w:tr w:rsidR="00932E1A" w:rsidRPr="00C8330C" w14:paraId="7FA48879" w14:textId="77777777" w:rsidTr="00932E1A">
        <w:trPr>
          <w:trHeight w:val="375"/>
        </w:trPr>
        <w:tc>
          <w:tcPr>
            <w:tcW w:w="1257"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2D312984" w14:textId="77777777" w:rsidR="00932E1A" w:rsidRPr="00C8330C" w:rsidRDefault="00932E1A" w:rsidP="00785DBD">
            <w:pPr>
              <w:rPr>
                <w:rFonts w:ascii="Arial" w:hAnsi="Arial" w:cs="Arial"/>
                <w:sz w:val="20"/>
                <w:szCs w:val="20"/>
              </w:rPr>
            </w:pPr>
            <w:r w:rsidRPr="00C8330C">
              <w:rPr>
                <w:rFonts w:ascii="Arial" w:hAnsi="Arial" w:cs="Arial"/>
                <w:sz w:val="20"/>
                <w:szCs w:val="20"/>
              </w:rPr>
              <w:t>Maestría</w:t>
            </w:r>
          </w:p>
        </w:tc>
        <w:tc>
          <w:tcPr>
            <w:tcW w:w="511" w:type="pct"/>
            <w:tcBorders>
              <w:top w:val="nil"/>
              <w:left w:val="nil"/>
              <w:bottom w:val="single" w:sz="4" w:space="0" w:color="A6A6A6"/>
              <w:right w:val="single" w:sz="4" w:space="0" w:color="A6A6A6"/>
            </w:tcBorders>
            <w:shd w:val="clear" w:color="auto" w:fill="auto"/>
            <w:noWrap/>
            <w:vAlign w:val="center"/>
            <w:hideMark/>
          </w:tcPr>
          <w:p w14:paraId="521285D2" w14:textId="77777777" w:rsidR="00932E1A" w:rsidRPr="00C8330C" w:rsidRDefault="00932E1A" w:rsidP="00785DBD">
            <w:pPr>
              <w:rPr>
                <w:rFonts w:ascii="Arial" w:hAnsi="Arial" w:cs="Arial"/>
                <w:sz w:val="20"/>
                <w:szCs w:val="20"/>
              </w:rPr>
            </w:pPr>
            <w:r w:rsidRPr="00C8330C">
              <w:rPr>
                <w:rFonts w:ascii="Arial" w:hAnsi="Arial" w:cs="Arial"/>
                <w:sz w:val="20"/>
                <w:szCs w:val="20"/>
              </w:rPr>
              <w:t>2.915</w:t>
            </w:r>
          </w:p>
        </w:tc>
        <w:tc>
          <w:tcPr>
            <w:tcW w:w="549" w:type="pct"/>
            <w:tcBorders>
              <w:top w:val="nil"/>
              <w:left w:val="nil"/>
              <w:bottom w:val="single" w:sz="4" w:space="0" w:color="A6A6A6"/>
              <w:right w:val="single" w:sz="4" w:space="0" w:color="A6A6A6"/>
            </w:tcBorders>
            <w:shd w:val="clear" w:color="auto" w:fill="auto"/>
            <w:noWrap/>
            <w:vAlign w:val="center"/>
            <w:hideMark/>
          </w:tcPr>
          <w:p w14:paraId="2BA4A41B" w14:textId="77777777" w:rsidR="00932E1A" w:rsidRPr="00C8330C" w:rsidRDefault="00932E1A" w:rsidP="00785DBD">
            <w:pPr>
              <w:rPr>
                <w:rFonts w:ascii="Arial" w:hAnsi="Arial" w:cs="Arial"/>
                <w:sz w:val="20"/>
                <w:szCs w:val="20"/>
              </w:rPr>
            </w:pPr>
            <w:r w:rsidRPr="00C8330C">
              <w:rPr>
                <w:rFonts w:ascii="Arial" w:hAnsi="Arial" w:cs="Arial"/>
                <w:sz w:val="20"/>
                <w:szCs w:val="20"/>
              </w:rPr>
              <w:t>3.250</w:t>
            </w:r>
          </w:p>
        </w:tc>
        <w:tc>
          <w:tcPr>
            <w:tcW w:w="476" w:type="pct"/>
            <w:tcBorders>
              <w:top w:val="nil"/>
              <w:left w:val="nil"/>
              <w:bottom w:val="single" w:sz="4" w:space="0" w:color="A6A6A6"/>
              <w:right w:val="single" w:sz="4" w:space="0" w:color="A6A6A6"/>
            </w:tcBorders>
            <w:shd w:val="clear" w:color="auto" w:fill="auto"/>
            <w:noWrap/>
            <w:vAlign w:val="center"/>
            <w:hideMark/>
          </w:tcPr>
          <w:p w14:paraId="663858FA" w14:textId="77777777" w:rsidR="00932E1A" w:rsidRPr="00C8330C" w:rsidRDefault="00932E1A" w:rsidP="00785DBD">
            <w:pPr>
              <w:rPr>
                <w:rFonts w:ascii="Arial" w:hAnsi="Arial" w:cs="Arial"/>
                <w:sz w:val="20"/>
                <w:szCs w:val="20"/>
              </w:rPr>
            </w:pPr>
            <w:r w:rsidRPr="00C8330C">
              <w:rPr>
                <w:rFonts w:ascii="Arial" w:hAnsi="Arial" w:cs="Arial"/>
                <w:sz w:val="20"/>
                <w:szCs w:val="20"/>
              </w:rPr>
              <w:t>3.497</w:t>
            </w:r>
          </w:p>
        </w:tc>
        <w:tc>
          <w:tcPr>
            <w:tcW w:w="476" w:type="pct"/>
            <w:tcBorders>
              <w:top w:val="nil"/>
              <w:left w:val="nil"/>
              <w:bottom w:val="single" w:sz="4" w:space="0" w:color="A6A6A6"/>
              <w:right w:val="nil"/>
            </w:tcBorders>
            <w:shd w:val="clear" w:color="auto" w:fill="auto"/>
            <w:noWrap/>
            <w:vAlign w:val="center"/>
            <w:hideMark/>
          </w:tcPr>
          <w:p w14:paraId="1ABA5F5D" w14:textId="77777777" w:rsidR="00932E1A" w:rsidRPr="00C8330C" w:rsidRDefault="00932E1A" w:rsidP="00785DBD">
            <w:pPr>
              <w:rPr>
                <w:rFonts w:ascii="Arial" w:hAnsi="Arial" w:cs="Arial"/>
                <w:sz w:val="20"/>
                <w:szCs w:val="20"/>
              </w:rPr>
            </w:pPr>
            <w:r w:rsidRPr="00C8330C">
              <w:rPr>
                <w:rFonts w:ascii="Arial" w:hAnsi="Arial" w:cs="Arial"/>
                <w:sz w:val="20"/>
                <w:szCs w:val="20"/>
              </w:rPr>
              <w:t>3.121</w:t>
            </w:r>
          </w:p>
        </w:tc>
        <w:tc>
          <w:tcPr>
            <w:tcW w:w="503" w:type="pct"/>
            <w:tcBorders>
              <w:top w:val="nil"/>
              <w:left w:val="single" w:sz="4" w:space="0" w:color="808080"/>
              <w:bottom w:val="single" w:sz="4" w:space="0" w:color="808080"/>
              <w:right w:val="nil"/>
            </w:tcBorders>
            <w:shd w:val="clear" w:color="auto" w:fill="auto"/>
            <w:noWrap/>
            <w:vAlign w:val="center"/>
            <w:hideMark/>
          </w:tcPr>
          <w:p w14:paraId="7AE945E1" w14:textId="77777777" w:rsidR="00932E1A" w:rsidRPr="00C8330C" w:rsidRDefault="00932E1A" w:rsidP="00785DBD">
            <w:pPr>
              <w:rPr>
                <w:rFonts w:ascii="Arial" w:hAnsi="Arial" w:cs="Arial"/>
                <w:sz w:val="20"/>
                <w:szCs w:val="20"/>
              </w:rPr>
            </w:pPr>
            <w:r w:rsidRPr="00C8330C">
              <w:rPr>
                <w:rFonts w:ascii="Arial" w:hAnsi="Arial" w:cs="Arial"/>
                <w:sz w:val="20"/>
                <w:szCs w:val="20"/>
              </w:rPr>
              <w:t>2.867</w:t>
            </w:r>
          </w:p>
        </w:tc>
        <w:tc>
          <w:tcPr>
            <w:tcW w:w="494" w:type="pct"/>
            <w:tcBorders>
              <w:top w:val="nil"/>
              <w:left w:val="single" w:sz="4" w:space="0" w:color="808080"/>
              <w:bottom w:val="single" w:sz="4" w:space="0" w:color="808080"/>
              <w:right w:val="nil"/>
            </w:tcBorders>
            <w:shd w:val="clear" w:color="auto" w:fill="auto"/>
            <w:noWrap/>
            <w:vAlign w:val="center"/>
            <w:hideMark/>
          </w:tcPr>
          <w:p w14:paraId="622AB36F" w14:textId="77777777" w:rsidR="00932E1A" w:rsidRPr="00C8330C" w:rsidRDefault="00932E1A" w:rsidP="00785DBD">
            <w:pPr>
              <w:rPr>
                <w:rFonts w:ascii="Arial" w:hAnsi="Arial" w:cs="Arial"/>
                <w:sz w:val="20"/>
                <w:szCs w:val="20"/>
              </w:rPr>
            </w:pPr>
            <w:r w:rsidRPr="00C8330C">
              <w:rPr>
                <w:rFonts w:ascii="Arial" w:hAnsi="Arial" w:cs="Arial"/>
                <w:sz w:val="20"/>
                <w:szCs w:val="20"/>
              </w:rPr>
              <w:t>2.731</w:t>
            </w:r>
          </w:p>
        </w:tc>
        <w:tc>
          <w:tcPr>
            <w:tcW w:w="735" w:type="pct"/>
            <w:tcBorders>
              <w:top w:val="nil"/>
              <w:left w:val="single" w:sz="4" w:space="0" w:color="808080"/>
              <w:bottom w:val="single" w:sz="4" w:space="0" w:color="808080"/>
              <w:right w:val="single" w:sz="8" w:space="0" w:color="3366CC"/>
            </w:tcBorders>
            <w:shd w:val="clear" w:color="auto" w:fill="auto"/>
            <w:noWrap/>
            <w:vAlign w:val="center"/>
            <w:hideMark/>
          </w:tcPr>
          <w:p w14:paraId="1B329C57" w14:textId="77777777" w:rsidR="00932E1A" w:rsidRPr="00C8330C" w:rsidRDefault="00932E1A" w:rsidP="00785DBD">
            <w:pPr>
              <w:rPr>
                <w:rFonts w:ascii="Arial" w:hAnsi="Arial" w:cs="Arial"/>
                <w:sz w:val="20"/>
                <w:szCs w:val="20"/>
              </w:rPr>
            </w:pPr>
            <w:r w:rsidRPr="00C8330C">
              <w:rPr>
                <w:rFonts w:ascii="Arial" w:hAnsi="Arial" w:cs="Arial"/>
                <w:sz w:val="20"/>
                <w:szCs w:val="20"/>
              </w:rPr>
              <w:t>2.357</w:t>
            </w:r>
          </w:p>
        </w:tc>
      </w:tr>
      <w:tr w:rsidR="00932E1A" w:rsidRPr="00C8330C" w14:paraId="1C40740D" w14:textId="77777777" w:rsidTr="00932E1A">
        <w:trPr>
          <w:trHeight w:val="375"/>
        </w:trPr>
        <w:tc>
          <w:tcPr>
            <w:tcW w:w="1257"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6614861C" w14:textId="77777777" w:rsidR="00932E1A" w:rsidRPr="00C8330C" w:rsidRDefault="00932E1A" w:rsidP="00785DBD">
            <w:pPr>
              <w:rPr>
                <w:rFonts w:ascii="Arial" w:hAnsi="Arial" w:cs="Arial"/>
                <w:sz w:val="20"/>
                <w:szCs w:val="20"/>
              </w:rPr>
            </w:pPr>
            <w:r w:rsidRPr="00C8330C">
              <w:rPr>
                <w:rFonts w:ascii="Arial" w:hAnsi="Arial" w:cs="Arial"/>
                <w:sz w:val="20"/>
                <w:szCs w:val="20"/>
              </w:rPr>
              <w:t>Doctorado</w:t>
            </w:r>
          </w:p>
        </w:tc>
        <w:tc>
          <w:tcPr>
            <w:tcW w:w="511" w:type="pct"/>
            <w:tcBorders>
              <w:top w:val="nil"/>
              <w:left w:val="nil"/>
              <w:bottom w:val="single" w:sz="4" w:space="0" w:color="A6A6A6"/>
              <w:right w:val="single" w:sz="4" w:space="0" w:color="A6A6A6"/>
            </w:tcBorders>
            <w:shd w:val="clear" w:color="auto" w:fill="auto"/>
            <w:noWrap/>
            <w:vAlign w:val="center"/>
            <w:hideMark/>
          </w:tcPr>
          <w:p w14:paraId="3C69DFA0" w14:textId="77777777" w:rsidR="00932E1A" w:rsidRPr="00C8330C" w:rsidRDefault="00932E1A" w:rsidP="00785DBD">
            <w:pPr>
              <w:rPr>
                <w:rFonts w:ascii="Arial" w:hAnsi="Arial" w:cs="Arial"/>
                <w:sz w:val="20"/>
                <w:szCs w:val="20"/>
              </w:rPr>
            </w:pPr>
            <w:r w:rsidRPr="00C8330C">
              <w:rPr>
                <w:rFonts w:ascii="Arial" w:hAnsi="Arial" w:cs="Arial"/>
                <w:sz w:val="20"/>
                <w:szCs w:val="20"/>
              </w:rPr>
              <w:t>374</w:t>
            </w:r>
          </w:p>
        </w:tc>
        <w:tc>
          <w:tcPr>
            <w:tcW w:w="549" w:type="pct"/>
            <w:tcBorders>
              <w:top w:val="nil"/>
              <w:left w:val="nil"/>
              <w:bottom w:val="single" w:sz="4" w:space="0" w:color="A6A6A6"/>
              <w:right w:val="single" w:sz="4" w:space="0" w:color="A6A6A6"/>
            </w:tcBorders>
            <w:shd w:val="clear" w:color="auto" w:fill="auto"/>
            <w:noWrap/>
            <w:vAlign w:val="center"/>
            <w:hideMark/>
          </w:tcPr>
          <w:p w14:paraId="44B4D5D7" w14:textId="77777777" w:rsidR="00932E1A" w:rsidRPr="00C8330C" w:rsidRDefault="00932E1A" w:rsidP="00785DBD">
            <w:pPr>
              <w:rPr>
                <w:rFonts w:ascii="Arial" w:hAnsi="Arial" w:cs="Arial"/>
                <w:sz w:val="20"/>
                <w:szCs w:val="20"/>
              </w:rPr>
            </w:pPr>
            <w:r w:rsidRPr="00C8330C">
              <w:rPr>
                <w:rFonts w:ascii="Arial" w:hAnsi="Arial" w:cs="Arial"/>
                <w:sz w:val="20"/>
                <w:szCs w:val="20"/>
              </w:rPr>
              <w:t>377</w:t>
            </w:r>
          </w:p>
        </w:tc>
        <w:tc>
          <w:tcPr>
            <w:tcW w:w="476" w:type="pct"/>
            <w:tcBorders>
              <w:top w:val="nil"/>
              <w:left w:val="nil"/>
              <w:bottom w:val="single" w:sz="4" w:space="0" w:color="A6A6A6"/>
              <w:right w:val="single" w:sz="4" w:space="0" w:color="A6A6A6"/>
            </w:tcBorders>
            <w:shd w:val="clear" w:color="auto" w:fill="auto"/>
            <w:noWrap/>
            <w:vAlign w:val="center"/>
            <w:hideMark/>
          </w:tcPr>
          <w:p w14:paraId="687C7557" w14:textId="77777777" w:rsidR="00932E1A" w:rsidRPr="00C8330C" w:rsidRDefault="00932E1A" w:rsidP="00785DBD">
            <w:pPr>
              <w:rPr>
                <w:rFonts w:ascii="Arial" w:hAnsi="Arial" w:cs="Arial"/>
                <w:sz w:val="20"/>
                <w:szCs w:val="20"/>
              </w:rPr>
            </w:pPr>
            <w:r w:rsidRPr="00C8330C">
              <w:rPr>
                <w:rFonts w:ascii="Arial" w:hAnsi="Arial" w:cs="Arial"/>
                <w:sz w:val="20"/>
                <w:szCs w:val="20"/>
              </w:rPr>
              <w:t>438</w:t>
            </w:r>
          </w:p>
        </w:tc>
        <w:tc>
          <w:tcPr>
            <w:tcW w:w="476" w:type="pct"/>
            <w:tcBorders>
              <w:top w:val="nil"/>
              <w:left w:val="nil"/>
              <w:bottom w:val="single" w:sz="4" w:space="0" w:color="A6A6A6"/>
              <w:right w:val="nil"/>
            </w:tcBorders>
            <w:shd w:val="clear" w:color="auto" w:fill="auto"/>
            <w:noWrap/>
            <w:vAlign w:val="center"/>
            <w:hideMark/>
          </w:tcPr>
          <w:p w14:paraId="09AE7B73" w14:textId="77777777" w:rsidR="00932E1A" w:rsidRPr="00C8330C" w:rsidRDefault="00932E1A" w:rsidP="00785DBD">
            <w:pPr>
              <w:rPr>
                <w:rFonts w:ascii="Arial" w:hAnsi="Arial" w:cs="Arial"/>
                <w:sz w:val="20"/>
                <w:szCs w:val="20"/>
              </w:rPr>
            </w:pPr>
            <w:r w:rsidRPr="00C8330C">
              <w:rPr>
                <w:rFonts w:ascii="Arial" w:hAnsi="Arial" w:cs="Arial"/>
                <w:sz w:val="20"/>
                <w:szCs w:val="20"/>
              </w:rPr>
              <w:t>477</w:t>
            </w:r>
          </w:p>
        </w:tc>
        <w:tc>
          <w:tcPr>
            <w:tcW w:w="503" w:type="pct"/>
            <w:tcBorders>
              <w:top w:val="nil"/>
              <w:left w:val="single" w:sz="4" w:space="0" w:color="808080"/>
              <w:bottom w:val="single" w:sz="4" w:space="0" w:color="808080"/>
              <w:right w:val="nil"/>
            </w:tcBorders>
            <w:shd w:val="clear" w:color="auto" w:fill="auto"/>
            <w:noWrap/>
            <w:vAlign w:val="center"/>
            <w:hideMark/>
          </w:tcPr>
          <w:p w14:paraId="05C2B363" w14:textId="77777777" w:rsidR="00932E1A" w:rsidRPr="00C8330C" w:rsidRDefault="00932E1A" w:rsidP="00785DBD">
            <w:pPr>
              <w:rPr>
                <w:rFonts w:ascii="Arial" w:hAnsi="Arial" w:cs="Arial"/>
                <w:sz w:val="20"/>
                <w:szCs w:val="20"/>
              </w:rPr>
            </w:pPr>
            <w:r w:rsidRPr="00C8330C">
              <w:rPr>
                <w:rFonts w:ascii="Arial" w:hAnsi="Arial" w:cs="Arial"/>
                <w:sz w:val="20"/>
                <w:szCs w:val="20"/>
              </w:rPr>
              <w:t>487</w:t>
            </w:r>
          </w:p>
        </w:tc>
        <w:tc>
          <w:tcPr>
            <w:tcW w:w="494" w:type="pct"/>
            <w:tcBorders>
              <w:top w:val="nil"/>
              <w:left w:val="single" w:sz="4" w:space="0" w:color="808080"/>
              <w:bottom w:val="single" w:sz="4" w:space="0" w:color="808080"/>
              <w:right w:val="nil"/>
            </w:tcBorders>
            <w:shd w:val="clear" w:color="auto" w:fill="auto"/>
            <w:noWrap/>
            <w:vAlign w:val="center"/>
            <w:hideMark/>
          </w:tcPr>
          <w:p w14:paraId="196890D1" w14:textId="77777777" w:rsidR="00932E1A" w:rsidRPr="00C8330C" w:rsidRDefault="00932E1A" w:rsidP="00785DBD">
            <w:pPr>
              <w:rPr>
                <w:rFonts w:ascii="Arial" w:hAnsi="Arial" w:cs="Arial"/>
                <w:sz w:val="20"/>
                <w:szCs w:val="20"/>
              </w:rPr>
            </w:pPr>
            <w:r w:rsidRPr="00C8330C">
              <w:rPr>
                <w:rFonts w:ascii="Arial" w:hAnsi="Arial" w:cs="Arial"/>
                <w:sz w:val="20"/>
                <w:szCs w:val="20"/>
              </w:rPr>
              <w:t>499</w:t>
            </w:r>
          </w:p>
        </w:tc>
        <w:tc>
          <w:tcPr>
            <w:tcW w:w="735" w:type="pct"/>
            <w:tcBorders>
              <w:top w:val="nil"/>
              <w:left w:val="single" w:sz="4" w:space="0" w:color="808080"/>
              <w:bottom w:val="single" w:sz="4" w:space="0" w:color="808080"/>
              <w:right w:val="single" w:sz="8" w:space="0" w:color="3366CC"/>
            </w:tcBorders>
            <w:shd w:val="clear" w:color="auto" w:fill="auto"/>
            <w:noWrap/>
            <w:vAlign w:val="center"/>
            <w:hideMark/>
          </w:tcPr>
          <w:p w14:paraId="5B887013" w14:textId="77777777" w:rsidR="00932E1A" w:rsidRPr="00C8330C" w:rsidRDefault="00932E1A" w:rsidP="00785DBD">
            <w:pPr>
              <w:rPr>
                <w:rFonts w:ascii="Arial" w:hAnsi="Arial" w:cs="Arial"/>
                <w:sz w:val="20"/>
                <w:szCs w:val="20"/>
              </w:rPr>
            </w:pPr>
            <w:r w:rsidRPr="00C8330C">
              <w:rPr>
                <w:rFonts w:ascii="Arial" w:hAnsi="Arial" w:cs="Arial"/>
                <w:sz w:val="20"/>
                <w:szCs w:val="20"/>
              </w:rPr>
              <w:t>509</w:t>
            </w:r>
          </w:p>
        </w:tc>
      </w:tr>
      <w:tr w:rsidR="00932E1A" w:rsidRPr="00C8330C" w14:paraId="55C5AB32" w14:textId="77777777" w:rsidTr="00932E1A">
        <w:trPr>
          <w:trHeight w:val="390"/>
        </w:trPr>
        <w:tc>
          <w:tcPr>
            <w:tcW w:w="1257" w:type="pct"/>
            <w:tcBorders>
              <w:top w:val="single" w:sz="4" w:space="0" w:color="A6A6A6"/>
              <w:left w:val="single" w:sz="8" w:space="0" w:color="3366CC"/>
              <w:bottom w:val="single" w:sz="8" w:space="0" w:color="3366CC"/>
              <w:right w:val="single" w:sz="8" w:space="0" w:color="3366CC"/>
            </w:tcBorders>
            <w:shd w:val="clear" w:color="000000" w:fill="DDEBF7"/>
            <w:noWrap/>
            <w:vAlign w:val="center"/>
            <w:hideMark/>
          </w:tcPr>
          <w:p w14:paraId="6FB0E6D2"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lastRenderedPageBreak/>
              <w:t>Total General</w:t>
            </w:r>
          </w:p>
        </w:tc>
        <w:tc>
          <w:tcPr>
            <w:tcW w:w="511" w:type="pct"/>
            <w:tcBorders>
              <w:top w:val="nil"/>
              <w:left w:val="nil"/>
              <w:bottom w:val="single" w:sz="8" w:space="0" w:color="3366CC"/>
              <w:right w:val="single" w:sz="4" w:space="0" w:color="A6A6A6"/>
            </w:tcBorders>
            <w:shd w:val="clear" w:color="000000" w:fill="DDEBF7"/>
            <w:noWrap/>
            <w:vAlign w:val="center"/>
            <w:hideMark/>
          </w:tcPr>
          <w:p w14:paraId="7093E6CB"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46.591</w:t>
            </w:r>
          </w:p>
        </w:tc>
        <w:tc>
          <w:tcPr>
            <w:tcW w:w="549" w:type="pct"/>
            <w:tcBorders>
              <w:top w:val="nil"/>
              <w:left w:val="nil"/>
              <w:bottom w:val="single" w:sz="8" w:space="0" w:color="3366CC"/>
              <w:right w:val="single" w:sz="4" w:space="0" w:color="A6A6A6"/>
            </w:tcBorders>
            <w:shd w:val="clear" w:color="000000" w:fill="DDEBF7"/>
            <w:noWrap/>
            <w:vAlign w:val="center"/>
            <w:hideMark/>
          </w:tcPr>
          <w:p w14:paraId="7509F826"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49.485</w:t>
            </w:r>
          </w:p>
        </w:tc>
        <w:tc>
          <w:tcPr>
            <w:tcW w:w="476" w:type="pct"/>
            <w:tcBorders>
              <w:top w:val="nil"/>
              <w:left w:val="nil"/>
              <w:bottom w:val="single" w:sz="8" w:space="0" w:color="3366CC"/>
              <w:right w:val="single" w:sz="4" w:space="0" w:color="A6A6A6"/>
            </w:tcBorders>
            <w:shd w:val="clear" w:color="000000" w:fill="DDEBF7"/>
            <w:noWrap/>
            <w:vAlign w:val="center"/>
            <w:hideMark/>
          </w:tcPr>
          <w:p w14:paraId="1A81B421"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50.157</w:t>
            </w:r>
          </w:p>
        </w:tc>
        <w:tc>
          <w:tcPr>
            <w:tcW w:w="476" w:type="pct"/>
            <w:tcBorders>
              <w:top w:val="nil"/>
              <w:left w:val="nil"/>
              <w:bottom w:val="single" w:sz="8" w:space="0" w:color="3366CC"/>
              <w:right w:val="nil"/>
            </w:tcBorders>
            <w:shd w:val="clear" w:color="000000" w:fill="DDEBF7"/>
            <w:noWrap/>
            <w:vAlign w:val="center"/>
            <w:hideMark/>
          </w:tcPr>
          <w:p w14:paraId="7CE8263C"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51.270</w:t>
            </w:r>
          </w:p>
        </w:tc>
        <w:tc>
          <w:tcPr>
            <w:tcW w:w="503" w:type="pct"/>
            <w:tcBorders>
              <w:top w:val="nil"/>
              <w:left w:val="single" w:sz="4" w:space="0" w:color="808080"/>
              <w:bottom w:val="single" w:sz="8" w:space="0" w:color="3366CC"/>
              <w:right w:val="nil"/>
            </w:tcBorders>
            <w:shd w:val="clear" w:color="000000" w:fill="DDEBF7"/>
            <w:noWrap/>
            <w:vAlign w:val="center"/>
            <w:hideMark/>
          </w:tcPr>
          <w:p w14:paraId="710FBA3D"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50.580</w:t>
            </w:r>
          </w:p>
        </w:tc>
        <w:tc>
          <w:tcPr>
            <w:tcW w:w="494" w:type="pct"/>
            <w:tcBorders>
              <w:top w:val="nil"/>
              <w:left w:val="single" w:sz="4" w:space="0" w:color="808080"/>
              <w:bottom w:val="single" w:sz="8" w:space="0" w:color="3366CC"/>
              <w:right w:val="nil"/>
            </w:tcBorders>
            <w:shd w:val="clear" w:color="000000" w:fill="DDEBF7"/>
            <w:noWrap/>
            <w:vAlign w:val="center"/>
            <w:hideMark/>
          </w:tcPr>
          <w:p w14:paraId="0368AC7A"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49.610</w:t>
            </w:r>
          </w:p>
        </w:tc>
        <w:tc>
          <w:tcPr>
            <w:tcW w:w="735" w:type="pct"/>
            <w:tcBorders>
              <w:top w:val="nil"/>
              <w:left w:val="single" w:sz="4" w:space="0" w:color="808080"/>
              <w:bottom w:val="single" w:sz="8" w:space="0" w:color="3366CC"/>
              <w:right w:val="single" w:sz="8" w:space="0" w:color="3366CC"/>
            </w:tcBorders>
            <w:shd w:val="clear" w:color="000000" w:fill="DDEBF7"/>
            <w:noWrap/>
            <w:vAlign w:val="center"/>
            <w:hideMark/>
          </w:tcPr>
          <w:p w14:paraId="61AD709A" w14:textId="77777777" w:rsidR="00932E1A" w:rsidRPr="00C8330C" w:rsidRDefault="00932E1A" w:rsidP="00785DBD">
            <w:pPr>
              <w:rPr>
                <w:rFonts w:ascii="Arial" w:hAnsi="Arial" w:cs="Arial"/>
                <w:b/>
                <w:bCs/>
                <w:sz w:val="20"/>
                <w:szCs w:val="20"/>
              </w:rPr>
            </w:pPr>
            <w:r w:rsidRPr="00C8330C">
              <w:rPr>
                <w:rFonts w:ascii="Arial" w:hAnsi="Arial" w:cs="Arial"/>
                <w:b/>
                <w:bCs/>
                <w:sz w:val="20"/>
                <w:szCs w:val="20"/>
              </w:rPr>
              <w:t>46.471</w:t>
            </w:r>
          </w:p>
        </w:tc>
      </w:tr>
    </w:tbl>
    <w:p w14:paraId="22B08113" w14:textId="528F7B56" w:rsidR="00932E1A" w:rsidRPr="00C8330C" w:rsidRDefault="00932E1A" w:rsidP="00932E1A">
      <w:pPr>
        <w:jc w:val="center"/>
        <w:rPr>
          <w:rStyle w:val="Referenciasutil"/>
          <w:rFonts w:ascii="Arial" w:hAnsi="Arial" w:cs="Arial"/>
          <w:sz w:val="16"/>
          <w:szCs w:val="16"/>
        </w:rPr>
      </w:pPr>
      <w:r w:rsidRPr="00C8330C">
        <w:rPr>
          <w:rStyle w:val="Referenciasutil"/>
          <w:rFonts w:ascii="Arial" w:hAnsi="Arial" w:cs="Arial"/>
          <w:sz w:val="16"/>
          <w:szCs w:val="16"/>
        </w:rPr>
        <w:t>Fuente: MEN (SNIES)</w:t>
      </w:r>
    </w:p>
    <w:p w14:paraId="549314E3" w14:textId="77777777" w:rsidR="00932E1A" w:rsidRDefault="00932E1A" w:rsidP="00932E1A">
      <w:pPr>
        <w:jc w:val="both"/>
        <w:rPr>
          <w:rFonts w:ascii="Bookman Old Style" w:hAnsi="Bookman Old Style"/>
        </w:rPr>
      </w:pPr>
    </w:p>
    <w:p w14:paraId="6B234060" w14:textId="77777777" w:rsidR="00932E1A" w:rsidRPr="00932E1A" w:rsidRDefault="00932E1A" w:rsidP="00932E1A">
      <w:pPr>
        <w:jc w:val="both"/>
        <w:rPr>
          <w:rFonts w:ascii="Bookman Old Style" w:hAnsi="Bookman Old Style"/>
          <w:lang w:val="es-MX"/>
        </w:rPr>
      </w:pPr>
      <w:r w:rsidRPr="00932E1A">
        <w:rPr>
          <w:rFonts w:ascii="Bookman Old Style" w:hAnsi="Bookman Old Style"/>
          <w:lang w:val="es-MX"/>
        </w:rPr>
        <w:t xml:space="preserve">A continuación, se describe la oferta educativa de las principales instituciones del departamento, su participación en los procesos de formación, el número de programas ofertados y la distribución por áreas de conocimiento: </w:t>
      </w:r>
    </w:p>
    <w:p w14:paraId="42698CAD" w14:textId="77777777" w:rsidR="00932E1A" w:rsidRPr="00932E1A" w:rsidRDefault="00932E1A" w:rsidP="00932E1A">
      <w:pPr>
        <w:jc w:val="both"/>
        <w:rPr>
          <w:rFonts w:ascii="Bookman Old Style" w:hAnsi="Bookman Old Style"/>
          <w:lang w:val="es-MX"/>
        </w:rPr>
      </w:pPr>
    </w:p>
    <w:p w14:paraId="66468E9B" w14:textId="77777777" w:rsidR="00932E1A" w:rsidRPr="00932E1A" w:rsidRDefault="00932E1A" w:rsidP="00932E1A">
      <w:pPr>
        <w:numPr>
          <w:ilvl w:val="0"/>
          <w:numId w:val="1"/>
        </w:numPr>
        <w:jc w:val="both"/>
        <w:rPr>
          <w:rFonts w:ascii="Bookman Old Style" w:hAnsi="Bookman Old Style"/>
          <w:lang w:val="es-MX"/>
        </w:rPr>
      </w:pPr>
      <w:r w:rsidRPr="00932E1A">
        <w:rPr>
          <w:rFonts w:ascii="Bookman Old Style" w:hAnsi="Bookman Old Style"/>
          <w:u w:val="single"/>
          <w:lang w:val="es-MX"/>
        </w:rPr>
        <w:t>Técnica profesional</w:t>
      </w:r>
      <w:r w:rsidRPr="00932E1A">
        <w:rPr>
          <w:rFonts w:ascii="Bookman Old Style" w:hAnsi="Bookman Old Style"/>
          <w:lang w:val="es-MX"/>
        </w:rPr>
        <w:t xml:space="preserve">: existen 62 programas de formación técnica superior, los cuales se distribuyen en los núcleos del conocimiento de ingeniería, arquitectura, urbanismo y afines; economía, administración, contaduría y afines; y agronomía, veterinaria y afines. Las instituciones que ofrecen dichos programas son: Universidad de Manizales, Universidad de Caldas, Universidad Católica de Manizales, Institución Universitaria Marco Fidel Suárez, Dirección Nacional de Escuelas y Colegio Integrado Nacional de Oriente de Caldas. </w:t>
      </w:r>
      <w:r w:rsidRPr="00932E1A">
        <w:rPr>
          <w:rFonts w:ascii="MS Mincho" w:eastAsia="MS Mincho" w:hAnsi="MS Mincho" w:cs="MS Mincho" w:hint="eastAsia"/>
          <w:lang w:val="es-MX"/>
        </w:rPr>
        <w:t> </w:t>
      </w:r>
    </w:p>
    <w:p w14:paraId="423F4B68" w14:textId="77777777" w:rsidR="00932E1A" w:rsidRPr="00932E1A" w:rsidRDefault="00932E1A" w:rsidP="00932E1A">
      <w:pPr>
        <w:ind w:left="720"/>
        <w:jc w:val="both"/>
        <w:rPr>
          <w:rFonts w:ascii="Bookman Old Style" w:hAnsi="Bookman Old Style"/>
          <w:lang w:val="es-MX"/>
        </w:rPr>
      </w:pPr>
    </w:p>
    <w:p w14:paraId="3BD9AE45" w14:textId="77777777" w:rsidR="00932E1A" w:rsidRPr="00932E1A" w:rsidRDefault="00932E1A" w:rsidP="00932E1A">
      <w:pPr>
        <w:numPr>
          <w:ilvl w:val="0"/>
          <w:numId w:val="1"/>
        </w:numPr>
        <w:jc w:val="both"/>
        <w:rPr>
          <w:rFonts w:ascii="Bookman Old Style" w:hAnsi="Bookman Old Style"/>
          <w:lang w:val="es-MX"/>
        </w:rPr>
      </w:pPr>
      <w:r w:rsidRPr="00932E1A">
        <w:rPr>
          <w:rFonts w:ascii="Bookman Old Style" w:hAnsi="Bookman Old Style"/>
          <w:u w:val="single"/>
          <w:lang w:val="es-MX"/>
        </w:rPr>
        <w:t>Tecnóloga:</w:t>
      </w:r>
      <w:r w:rsidRPr="00932E1A">
        <w:rPr>
          <w:rFonts w:ascii="Bookman Old Style" w:hAnsi="Bookman Old Style"/>
          <w:lang w:val="es-MX"/>
        </w:rPr>
        <w:t xml:space="preserve"> existen 139 programas que en su mayoría está relacionados con ingeniería, arquitectura, urbanismo y afines; economía, administración, contaduría y afines; y agronomía, veterinaria y afines. </w:t>
      </w:r>
      <w:r w:rsidRPr="00932E1A">
        <w:rPr>
          <w:rFonts w:ascii="MS Mincho" w:eastAsia="MS Mincho" w:hAnsi="MS Mincho" w:cs="MS Mincho" w:hint="eastAsia"/>
          <w:lang w:val="es-MX"/>
        </w:rPr>
        <w:t> </w:t>
      </w:r>
    </w:p>
    <w:p w14:paraId="07F15FBF" w14:textId="77777777" w:rsidR="00932E1A" w:rsidRPr="00932E1A" w:rsidRDefault="00932E1A" w:rsidP="00932E1A">
      <w:pPr>
        <w:jc w:val="both"/>
        <w:rPr>
          <w:rFonts w:ascii="Bookman Old Style" w:hAnsi="Bookman Old Style"/>
          <w:lang w:val="es-MX"/>
        </w:rPr>
      </w:pPr>
    </w:p>
    <w:p w14:paraId="28FF5E5E" w14:textId="77777777" w:rsidR="00932E1A" w:rsidRPr="00932E1A" w:rsidRDefault="00932E1A" w:rsidP="00932E1A">
      <w:pPr>
        <w:numPr>
          <w:ilvl w:val="0"/>
          <w:numId w:val="1"/>
        </w:numPr>
        <w:jc w:val="both"/>
        <w:rPr>
          <w:rFonts w:ascii="Bookman Old Style" w:hAnsi="Bookman Old Style"/>
          <w:lang w:val="es-MX"/>
        </w:rPr>
      </w:pPr>
      <w:r w:rsidRPr="00932E1A">
        <w:rPr>
          <w:rFonts w:ascii="Bookman Old Style" w:hAnsi="Bookman Old Style"/>
          <w:u w:val="single"/>
          <w:lang w:val="es-MX"/>
        </w:rPr>
        <w:t>Pregrado:</w:t>
      </w:r>
      <w:r w:rsidRPr="00932E1A">
        <w:rPr>
          <w:rFonts w:ascii="Bookman Old Style" w:hAnsi="Bookman Old Style"/>
          <w:lang w:val="es-MX"/>
        </w:rPr>
        <w:t xml:space="preserve"> se ofrecen 169 programas de pregrado, distribuidos así: (i) 43 en el núcleo del conocimiento de ingeniería, arquitectura, urbanismo y afines; (ii) 37 en ciencias de la educación; (iii) 35 en economía, administración, contaduría y afines; (iv) 25 en ciencias sociales y humanas; (v) 15 en ciencias de la salud; (vi) 7 en bellas artes; (vii) 4 en matemáticas y ciencias naturales; y (vii) 3 en agronomía, veterinaria y afines. </w:t>
      </w:r>
      <w:r w:rsidRPr="00932E1A">
        <w:rPr>
          <w:rFonts w:ascii="MS Mincho" w:eastAsia="MS Mincho" w:hAnsi="MS Mincho" w:cs="MS Mincho" w:hint="eastAsia"/>
          <w:lang w:val="es-MX"/>
        </w:rPr>
        <w:t> </w:t>
      </w:r>
    </w:p>
    <w:p w14:paraId="163051DB" w14:textId="77777777" w:rsidR="00932E1A" w:rsidRPr="00932E1A" w:rsidRDefault="00932E1A" w:rsidP="00932E1A">
      <w:pPr>
        <w:jc w:val="both"/>
        <w:rPr>
          <w:rFonts w:ascii="Bookman Old Style" w:hAnsi="Bookman Old Style"/>
          <w:lang w:val="es-MX"/>
        </w:rPr>
      </w:pPr>
    </w:p>
    <w:p w14:paraId="67D3F2B2" w14:textId="77777777" w:rsidR="00932E1A" w:rsidRDefault="00932E1A" w:rsidP="00932E1A">
      <w:pPr>
        <w:numPr>
          <w:ilvl w:val="0"/>
          <w:numId w:val="1"/>
        </w:numPr>
        <w:jc w:val="both"/>
        <w:rPr>
          <w:rFonts w:ascii="Bookman Old Style" w:hAnsi="Bookman Old Style"/>
          <w:lang w:val="es-MX"/>
        </w:rPr>
      </w:pPr>
      <w:r w:rsidRPr="00932E1A">
        <w:rPr>
          <w:rFonts w:ascii="Bookman Old Style" w:hAnsi="Bookman Old Style"/>
          <w:u w:val="single"/>
          <w:lang w:val="es-MX"/>
        </w:rPr>
        <w:t>Posgrados:</w:t>
      </w:r>
      <w:r w:rsidRPr="00932E1A">
        <w:rPr>
          <w:rFonts w:ascii="Bookman Old Style" w:hAnsi="Bookman Old Style"/>
          <w:lang w:val="es-MX"/>
        </w:rPr>
        <w:t xml:space="preserve"> existen 313 ofertas de programas de posgrados, con la distribución por núcleos que se expone enseguida: </w:t>
      </w:r>
    </w:p>
    <w:p w14:paraId="0ABBA3E4" w14:textId="77777777" w:rsidR="00932E1A" w:rsidRDefault="00932E1A" w:rsidP="00932E1A">
      <w:pPr>
        <w:pStyle w:val="Prrafodelista"/>
        <w:rPr>
          <w:rFonts w:ascii="Bookman Old Style" w:hAnsi="Bookman Old Style"/>
          <w:lang w:val="es-MX"/>
        </w:rPr>
      </w:pPr>
    </w:p>
    <w:p w14:paraId="1D2AB703" w14:textId="77777777" w:rsidR="00932E1A" w:rsidRDefault="00932E1A" w:rsidP="00932E1A">
      <w:pPr>
        <w:ind w:left="720"/>
        <w:jc w:val="both"/>
        <w:rPr>
          <w:rFonts w:ascii="Bookman Old Style" w:hAnsi="Bookman Old Style"/>
          <w:lang w:val="es-MX"/>
        </w:rPr>
      </w:pPr>
    </w:p>
    <w:p w14:paraId="5FB1653E" w14:textId="77777777" w:rsidR="00166561" w:rsidRDefault="00166561" w:rsidP="00932E1A">
      <w:pPr>
        <w:ind w:left="720"/>
        <w:jc w:val="both"/>
        <w:rPr>
          <w:rFonts w:ascii="Bookman Old Style" w:hAnsi="Bookman Old Style"/>
          <w:lang w:val="es-MX"/>
        </w:rPr>
      </w:pPr>
    </w:p>
    <w:p w14:paraId="313D181D" w14:textId="77777777" w:rsidR="00166561" w:rsidRDefault="00166561" w:rsidP="00932E1A">
      <w:pPr>
        <w:ind w:left="720"/>
        <w:jc w:val="both"/>
        <w:rPr>
          <w:rFonts w:ascii="Bookman Old Style" w:hAnsi="Bookman Old Style"/>
          <w:lang w:val="es-MX"/>
        </w:rPr>
      </w:pPr>
    </w:p>
    <w:p w14:paraId="25FB1EA4" w14:textId="77777777" w:rsidR="00166561" w:rsidRDefault="00166561" w:rsidP="00932E1A">
      <w:pPr>
        <w:ind w:left="720"/>
        <w:jc w:val="both"/>
        <w:rPr>
          <w:rFonts w:ascii="Bookman Old Style" w:hAnsi="Bookman Old Style"/>
          <w:lang w:val="es-MX"/>
        </w:rPr>
      </w:pPr>
    </w:p>
    <w:p w14:paraId="1B1DB09F" w14:textId="77777777" w:rsidR="00166561" w:rsidRDefault="00166561" w:rsidP="00932E1A">
      <w:pPr>
        <w:ind w:left="720"/>
        <w:jc w:val="both"/>
        <w:rPr>
          <w:rFonts w:ascii="Bookman Old Style" w:hAnsi="Bookman Old Style"/>
          <w:lang w:val="es-MX"/>
        </w:rPr>
      </w:pPr>
    </w:p>
    <w:p w14:paraId="69286AE1" w14:textId="77777777" w:rsidR="00166561" w:rsidRDefault="00166561" w:rsidP="00932E1A">
      <w:pPr>
        <w:ind w:left="720"/>
        <w:jc w:val="both"/>
        <w:rPr>
          <w:rFonts w:ascii="Bookman Old Style" w:hAnsi="Bookman Old Style"/>
          <w:lang w:val="es-MX"/>
        </w:rPr>
      </w:pPr>
    </w:p>
    <w:p w14:paraId="6795A11E" w14:textId="77777777" w:rsidR="00166561" w:rsidRDefault="00166561" w:rsidP="00932E1A">
      <w:pPr>
        <w:ind w:left="720"/>
        <w:jc w:val="both"/>
        <w:rPr>
          <w:rFonts w:ascii="Bookman Old Style" w:hAnsi="Bookman Old Style"/>
          <w:lang w:val="es-MX"/>
        </w:rPr>
      </w:pPr>
    </w:p>
    <w:p w14:paraId="713A2A2C" w14:textId="77777777" w:rsidR="00166561" w:rsidRDefault="00166561" w:rsidP="00932E1A">
      <w:pPr>
        <w:ind w:left="720"/>
        <w:jc w:val="both"/>
        <w:rPr>
          <w:rFonts w:ascii="Bookman Old Style" w:hAnsi="Bookman Old Style"/>
          <w:lang w:val="es-MX"/>
        </w:rPr>
      </w:pPr>
    </w:p>
    <w:p w14:paraId="0427DAF4" w14:textId="77777777" w:rsidR="00166561" w:rsidRPr="00932E1A" w:rsidRDefault="00166561" w:rsidP="00932E1A">
      <w:pPr>
        <w:ind w:left="720"/>
        <w:jc w:val="both"/>
        <w:rPr>
          <w:rFonts w:ascii="Bookman Old Style" w:hAnsi="Bookman Old Style"/>
          <w:lang w:val="es-MX"/>
        </w:rPr>
      </w:pPr>
    </w:p>
    <w:p w14:paraId="0CFBF624" w14:textId="07D45692" w:rsidR="00932E1A" w:rsidRDefault="00932E1A" w:rsidP="00932E1A">
      <w:pPr>
        <w:pStyle w:val="Descripcin"/>
        <w:jc w:val="center"/>
        <w:rPr>
          <w:rFonts w:ascii="Bookman Old Style" w:hAnsi="Bookman Old Style"/>
        </w:rPr>
      </w:pPr>
      <w:r>
        <w:t xml:space="preserve">Ilustración </w:t>
      </w:r>
      <w:fldSimple w:instr=" SEQ Ilustración \* ARABIC ">
        <w:r w:rsidR="007A7AF3">
          <w:rPr>
            <w:noProof/>
          </w:rPr>
          <w:t>3</w:t>
        </w:r>
      </w:fldSimple>
      <w:r>
        <w:t xml:space="preserve">. </w:t>
      </w:r>
      <w:r w:rsidRPr="00A81831">
        <w:t>Programas de Posgrado por Núcleo del Conocimiento</w:t>
      </w:r>
    </w:p>
    <w:p w14:paraId="077D8CB9" w14:textId="2855645F" w:rsidR="00932E1A" w:rsidRPr="00985A2D" w:rsidRDefault="00932E1A" w:rsidP="00932E1A">
      <w:pPr>
        <w:rPr>
          <w:rFonts w:ascii="Arial" w:hAnsi="Arial" w:cs="Arial"/>
          <w:szCs w:val="22"/>
        </w:rPr>
      </w:pPr>
      <w:r w:rsidRPr="00932E1A">
        <w:rPr>
          <w:rFonts w:ascii="Arial" w:hAnsi="Arial" w:cs="Arial"/>
          <w:noProof/>
          <w:szCs w:val="22"/>
        </w:rPr>
        <w:drawing>
          <wp:inline distT="0" distB="0" distL="0" distR="0" wp14:anchorId="6EF84F60" wp14:editId="7130190A">
            <wp:extent cx="5425440" cy="1524000"/>
            <wp:effectExtent l="0" t="0" r="0" b="0"/>
            <wp:docPr id="836648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48965" name=""/>
                    <pic:cNvPicPr/>
                  </pic:nvPicPr>
                  <pic:blipFill>
                    <a:blip r:embed="rId10"/>
                    <a:stretch>
                      <a:fillRect/>
                    </a:stretch>
                  </pic:blipFill>
                  <pic:spPr>
                    <a:xfrm>
                      <a:off x="0" y="0"/>
                      <a:ext cx="5425440" cy="1524000"/>
                    </a:xfrm>
                    <a:prstGeom prst="rect">
                      <a:avLst/>
                    </a:prstGeom>
                  </pic:spPr>
                </pic:pic>
              </a:graphicData>
            </a:graphic>
          </wp:inline>
        </w:drawing>
      </w:r>
    </w:p>
    <w:p w14:paraId="20621297" w14:textId="77777777" w:rsidR="00A91E8F" w:rsidRDefault="00A91E8F" w:rsidP="000F28E2">
      <w:pPr>
        <w:jc w:val="both"/>
        <w:rPr>
          <w:rFonts w:ascii="Bookman Old Style" w:hAnsi="Bookman Old Style"/>
          <w:lang w:val="es-MX"/>
        </w:rPr>
      </w:pPr>
      <w:r w:rsidRPr="00A91E8F">
        <w:rPr>
          <w:rFonts w:ascii="Bookman Old Style" w:hAnsi="Bookman Old Style"/>
          <w:lang w:val="es-MX"/>
        </w:rPr>
        <w:t xml:space="preserve">También se advierte que continúa predominando la metodología presencial con el 81% de los estudiantes, seguido de la metodología virtual con el 7% de los matriculados y la metodología a distancia tradicional con el 12% restante. </w:t>
      </w:r>
    </w:p>
    <w:p w14:paraId="0676F704" w14:textId="77777777" w:rsidR="000F28E2" w:rsidRPr="00A91E8F" w:rsidRDefault="000F28E2" w:rsidP="000F28E2">
      <w:pPr>
        <w:jc w:val="both"/>
        <w:rPr>
          <w:rFonts w:ascii="Bookman Old Style" w:hAnsi="Bookman Old Style"/>
          <w:lang w:val="es-MX"/>
        </w:rPr>
      </w:pPr>
    </w:p>
    <w:p w14:paraId="6D6FE78C" w14:textId="77777777" w:rsidR="00A91E8F" w:rsidRDefault="00A91E8F" w:rsidP="000F28E2">
      <w:pPr>
        <w:jc w:val="both"/>
        <w:rPr>
          <w:rFonts w:ascii="Bookman Old Style" w:hAnsi="Bookman Old Style"/>
          <w:lang w:val="es-MX"/>
        </w:rPr>
      </w:pPr>
      <w:r w:rsidRPr="00A91E8F">
        <w:rPr>
          <w:rFonts w:ascii="Bookman Old Style" w:hAnsi="Bookman Old Style"/>
          <w:lang w:val="es-MX"/>
        </w:rPr>
        <w:t xml:space="preserve">De acuerdo con Manizales Cómo Vamos, Manizales es la ciudad con mayor proporción de estudiantes matriculados en instituciones de educación superior con acreditación de alta calidad (92.7%): </w:t>
      </w:r>
    </w:p>
    <w:p w14:paraId="1A073C03" w14:textId="77777777" w:rsidR="000F28E2" w:rsidRDefault="000F28E2" w:rsidP="000F28E2">
      <w:pPr>
        <w:jc w:val="both"/>
        <w:rPr>
          <w:rFonts w:ascii="Bookman Old Style" w:hAnsi="Bookman Old Style"/>
          <w:lang w:val="es-MX"/>
        </w:rPr>
      </w:pPr>
    </w:p>
    <w:p w14:paraId="594DDCAA" w14:textId="2E9C9A35" w:rsidR="000F28E2" w:rsidRDefault="000F28E2" w:rsidP="000F28E2">
      <w:pPr>
        <w:pStyle w:val="Descripcin"/>
        <w:jc w:val="center"/>
        <w:rPr>
          <w:rFonts w:ascii="Bookman Old Style" w:hAnsi="Bookman Old Style"/>
          <w:lang w:val="es-MX"/>
        </w:rPr>
      </w:pPr>
      <w:r>
        <w:t xml:space="preserve">Ilustración </w:t>
      </w:r>
      <w:fldSimple w:instr=" SEQ Ilustración \* ARABIC ">
        <w:r w:rsidR="007A7AF3">
          <w:rPr>
            <w:noProof/>
          </w:rPr>
          <w:t>4</w:t>
        </w:r>
      </w:fldSimple>
      <w:r>
        <w:t xml:space="preserve">. </w:t>
      </w:r>
      <w:r w:rsidRPr="00515BA9">
        <w:t>Proporción de estudiantes del nivel universitario presencial matriculados en IES con acreditación institucional por ciudad (2016 y el</w:t>
      </w:r>
      <w:r>
        <w:t xml:space="preserve"> </w:t>
      </w:r>
      <w:r w:rsidRPr="00515BA9">
        <w:t>2019)</w:t>
      </w:r>
    </w:p>
    <w:p w14:paraId="6A2A9EE3" w14:textId="77777777" w:rsidR="000F28E2" w:rsidRPr="00985A2D" w:rsidRDefault="000F28E2" w:rsidP="000F28E2">
      <w:pPr>
        <w:rPr>
          <w:rFonts w:ascii="Arial" w:hAnsi="Arial" w:cs="Arial"/>
          <w:szCs w:val="22"/>
        </w:rPr>
      </w:pPr>
      <w:r w:rsidRPr="00985A2D">
        <w:rPr>
          <w:rFonts w:ascii="Arial" w:hAnsi="Arial" w:cs="Arial"/>
          <w:noProof/>
          <w:szCs w:val="22"/>
          <w:lang w:eastAsia="es-CO"/>
        </w:rPr>
        <w:drawing>
          <wp:inline distT="0" distB="0" distL="0" distR="0" wp14:anchorId="26909A98" wp14:editId="148774F1">
            <wp:extent cx="5612130" cy="3371850"/>
            <wp:effectExtent l="0" t="0" r="762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D744AF" w14:textId="1EA1ED39" w:rsidR="000F28E2" w:rsidRPr="00A91E8F" w:rsidRDefault="000F28E2" w:rsidP="00166561">
      <w:pPr>
        <w:jc w:val="center"/>
        <w:rPr>
          <w:rFonts w:ascii="Arial" w:hAnsi="Arial" w:cs="Arial"/>
          <w:i/>
          <w:iCs/>
          <w:smallCaps/>
          <w:color w:val="5A5A5A" w:themeColor="text1" w:themeTint="A5"/>
          <w:sz w:val="16"/>
          <w:szCs w:val="16"/>
        </w:rPr>
      </w:pPr>
      <w:r w:rsidRPr="00C8330C">
        <w:rPr>
          <w:rStyle w:val="Referenciasutil"/>
          <w:rFonts w:ascii="Arial" w:hAnsi="Arial" w:cs="Arial"/>
          <w:sz w:val="16"/>
          <w:szCs w:val="16"/>
        </w:rPr>
        <w:t>Fuente: Cálculos MCV con base en MEN-SNIES</w:t>
      </w:r>
    </w:p>
    <w:p w14:paraId="2E31ABCF" w14:textId="77777777" w:rsidR="000F28E2" w:rsidRPr="000F28E2" w:rsidRDefault="000F28E2" w:rsidP="000F28E2">
      <w:pPr>
        <w:jc w:val="both"/>
        <w:rPr>
          <w:rFonts w:ascii="Bookman Old Style" w:hAnsi="Bookman Old Style"/>
        </w:rPr>
      </w:pPr>
      <w:r w:rsidRPr="000F28E2">
        <w:rPr>
          <w:rFonts w:ascii="Bookman Old Style" w:hAnsi="Bookman Old Style"/>
        </w:rPr>
        <w:lastRenderedPageBreak/>
        <w:t xml:space="preserve">En el departamento de Caldas se </w:t>
      </w:r>
      <w:proofErr w:type="spellStart"/>
      <w:r w:rsidRPr="000F28E2">
        <w:rPr>
          <w:rFonts w:ascii="Bookman Old Style" w:hAnsi="Bookman Old Style"/>
        </w:rPr>
        <w:t>gradúan</w:t>
      </w:r>
      <w:proofErr w:type="spellEnd"/>
      <w:r w:rsidRPr="000F28E2">
        <w:rPr>
          <w:rFonts w:ascii="Bookman Old Style" w:hAnsi="Bookman Old Style"/>
        </w:rPr>
        <w:t xml:space="preserve"> un promedio anual de 10.500 estudiantes en todos los niveles de formación. El 75.5% de los graduados lo hicieron en pregrado y el 24.5% corresponde a graduados de posgrado. Si se compara con al año 2015, en el que el </w:t>
      </w:r>
      <w:proofErr w:type="spellStart"/>
      <w:r w:rsidRPr="000F28E2">
        <w:rPr>
          <w:rFonts w:ascii="Bookman Old Style" w:hAnsi="Bookman Old Style"/>
        </w:rPr>
        <w:t>número</w:t>
      </w:r>
      <w:proofErr w:type="spellEnd"/>
      <w:r w:rsidRPr="000F28E2">
        <w:rPr>
          <w:rFonts w:ascii="Bookman Old Style" w:hAnsi="Bookman Old Style"/>
        </w:rPr>
        <w:t xml:space="preserve"> de graduados alcanzó 8.576, la diferencia de 2.252 graduados adicionales representa un incremento en el nivel educativo de la población en general. </w:t>
      </w:r>
    </w:p>
    <w:p w14:paraId="23E62365" w14:textId="5100961A" w:rsidR="00932E1A" w:rsidRDefault="00932E1A" w:rsidP="00932E1A">
      <w:pPr>
        <w:rPr>
          <w:rFonts w:ascii="Bookman Old Style" w:hAnsi="Bookman Old Style"/>
        </w:rPr>
      </w:pPr>
    </w:p>
    <w:p w14:paraId="51707C58" w14:textId="0F51EF78" w:rsidR="009D481E" w:rsidRPr="00985A2D" w:rsidRDefault="009D481E" w:rsidP="009D481E">
      <w:pPr>
        <w:pStyle w:val="Descripcin"/>
        <w:jc w:val="center"/>
        <w:rPr>
          <w:rFonts w:ascii="Arial" w:hAnsi="Arial" w:cs="Arial"/>
          <w:b/>
          <w:iCs w:val="0"/>
          <w:szCs w:val="22"/>
        </w:rPr>
      </w:pPr>
      <w:r>
        <w:t xml:space="preserve">Tabla </w:t>
      </w:r>
      <w:fldSimple w:instr=" SEQ Tabla \* ARABIC ">
        <w:r w:rsidR="007A7AF3">
          <w:rPr>
            <w:noProof/>
          </w:rPr>
          <w:t>4</w:t>
        </w:r>
      </w:fldSimple>
      <w:r>
        <w:t xml:space="preserve">. </w:t>
      </w:r>
      <w:r w:rsidRPr="009E72C3">
        <w:t>Graduados por nivel de formación (2015 – 2021)</w:t>
      </w:r>
    </w:p>
    <w:tbl>
      <w:tblPr>
        <w:tblW w:w="5000" w:type="pct"/>
        <w:tblCellMar>
          <w:left w:w="70" w:type="dxa"/>
          <w:right w:w="70" w:type="dxa"/>
        </w:tblCellMar>
        <w:tblLook w:val="04A0" w:firstRow="1" w:lastRow="0" w:firstColumn="1" w:lastColumn="0" w:noHBand="0" w:noVBand="1"/>
      </w:tblPr>
      <w:tblGrid>
        <w:gridCol w:w="2447"/>
        <w:gridCol w:w="942"/>
        <w:gridCol w:w="1012"/>
        <w:gridCol w:w="882"/>
        <w:gridCol w:w="882"/>
        <w:gridCol w:w="891"/>
        <w:gridCol w:w="891"/>
        <w:gridCol w:w="871"/>
      </w:tblGrid>
      <w:tr w:rsidR="009D481E" w:rsidRPr="00C8330C" w14:paraId="098BA8BD" w14:textId="77777777" w:rsidTr="00785DBD">
        <w:trPr>
          <w:trHeight w:val="390"/>
          <w:tblHeader/>
        </w:trPr>
        <w:tc>
          <w:tcPr>
            <w:tcW w:w="1388" w:type="pct"/>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635F185A"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Nivel de Formación</w:t>
            </w:r>
          </w:p>
        </w:tc>
        <w:tc>
          <w:tcPr>
            <w:tcW w:w="534" w:type="pct"/>
            <w:tcBorders>
              <w:top w:val="single" w:sz="8" w:space="0" w:color="3366CC"/>
              <w:left w:val="nil"/>
              <w:bottom w:val="single" w:sz="8" w:space="0" w:color="3366CC"/>
              <w:right w:val="single" w:sz="4" w:space="0" w:color="A6A6A6"/>
            </w:tcBorders>
            <w:shd w:val="clear" w:color="000000" w:fill="DDEBF7"/>
            <w:vAlign w:val="center"/>
            <w:hideMark/>
          </w:tcPr>
          <w:p w14:paraId="52363379"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2015</w:t>
            </w:r>
          </w:p>
        </w:tc>
        <w:tc>
          <w:tcPr>
            <w:tcW w:w="574" w:type="pct"/>
            <w:tcBorders>
              <w:top w:val="single" w:sz="8" w:space="0" w:color="3366CC"/>
              <w:left w:val="nil"/>
              <w:bottom w:val="single" w:sz="8" w:space="0" w:color="3366CC"/>
              <w:right w:val="single" w:sz="4" w:space="0" w:color="A6A6A6"/>
            </w:tcBorders>
            <w:shd w:val="clear" w:color="000000" w:fill="DDEBF7"/>
            <w:vAlign w:val="center"/>
            <w:hideMark/>
          </w:tcPr>
          <w:p w14:paraId="04618FB0"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2016</w:t>
            </w:r>
          </w:p>
        </w:tc>
        <w:tc>
          <w:tcPr>
            <w:tcW w:w="500" w:type="pct"/>
            <w:tcBorders>
              <w:top w:val="single" w:sz="8" w:space="0" w:color="3366CC"/>
              <w:left w:val="nil"/>
              <w:bottom w:val="single" w:sz="8" w:space="0" w:color="3366CC"/>
              <w:right w:val="nil"/>
            </w:tcBorders>
            <w:shd w:val="clear" w:color="000000" w:fill="DDEBF7"/>
            <w:vAlign w:val="center"/>
            <w:hideMark/>
          </w:tcPr>
          <w:p w14:paraId="2DD2078A"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2017</w:t>
            </w:r>
          </w:p>
        </w:tc>
        <w:tc>
          <w:tcPr>
            <w:tcW w:w="500" w:type="pct"/>
            <w:tcBorders>
              <w:top w:val="single" w:sz="8" w:space="0" w:color="3366CC"/>
              <w:left w:val="nil"/>
              <w:bottom w:val="single" w:sz="8" w:space="0" w:color="3366CC"/>
              <w:right w:val="single" w:sz="4" w:space="0" w:color="A6A6A6"/>
            </w:tcBorders>
            <w:shd w:val="clear" w:color="000000" w:fill="DDEBF7"/>
            <w:vAlign w:val="center"/>
            <w:hideMark/>
          </w:tcPr>
          <w:p w14:paraId="6D78003D"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2018</w:t>
            </w:r>
          </w:p>
        </w:tc>
        <w:tc>
          <w:tcPr>
            <w:tcW w:w="505" w:type="pct"/>
            <w:tcBorders>
              <w:top w:val="single" w:sz="8" w:space="0" w:color="3366CC"/>
              <w:left w:val="nil"/>
              <w:bottom w:val="single" w:sz="8" w:space="0" w:color="3366CC"/>
              <w:right w:val="single" w:sz="4" w:space="0" w:color="A6A6A6"/>
            </w:tcBorders>
            <w:shd w:val="clear" w:color="000000" w:fill="DDEBF7"/>
            <w:vAlign w:val="center"/>
            <w:hideMark/>
          </w:tcPr>
          <w:p w14:paraId="2FAE0C76"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2019</w:t>
            </w:r>
          </w:p>
        </w:tc>
        <w:tc>
          <w:tcPr>
            <w:tcW w:w="505" w:type="pct"/>
            <w:tcBorders>
              <w:top w:val="single" w:sz="8" w:space="0" w:color="3366CC"/>
              <w:left w:val="nil"/>
              <w:bottom w:val="single" w:sz="8" w:space="0" w:color="3366CC"/>
              <w:right w:val="single" w:sz="4" w:space="0" w:color="A6A6A6"/>
            </w:tcBorders>
            <w:shd w:val="clear" w:color="000000" w:fill="DDEBF7"/>
            <w:vAlign w:val="center"/>
            <w:hideMark/>
          </w:tcPr>
          <w:p w14:paraId="4320DEB6"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2020</w:t>
            </w:r>
          </w:p>
        </w:tc>
        <w:tc>
          <w:tcPr>
            <w:tcW w:w="494" w:type="pct"/>
            <w:tcBorders>
              <w:top w:val="single" w:sz="8" w:space="0" w:color="3366CC"/>
              <w:left w:val="nil"/>
              <w:bottom w:val="single" w:sz="8" w:space="0" w:color="3366CC"/>
              <w:right w:val="single" w:sz="8" w:space="0" w:color="3366CC"/>
            </w:tcBorders>
            <w:shd w:val="clear" w:color="000000" w:fill="DDEBF7"/>
            <w:vAlign w:val="center"/>
            <w:hideMark/>
          </w:tcPr>
          <w:p w14:paraId="5F0CCFC5"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2021</w:t>
            </w:r>
          </w:p>
        </w:tc>
      </w:tr>
      <w:tr w:rsidR="009D481E" w:rsidRPr="00C8330C" w14:paraId="37E8FD53" w14:textId="77777777" w:rsidTr="00785DBD">
        <w:trPr>
          <w:trHeight w:val="375"/>
        </w:trPr>
        <w:tc>
          <w:tcPr>
            <w:tcW w:w="1388" w:type="pct"/>
            <w:tcBorders>
              <w:top w:val="single" w:sz="8" w:space="0" w:color="3366CC"/>
              <w:left w:val="single" w:sz="8" w:space="0" w:color="3366CC"/>
              <w:bottom w:val="single" w:sz="4" w:space="0" w:color="A6A6A6"/>
              <w:right w:val="single" w:sz="8" w:space="0" w:color="3366CC"/>
            </w:tcBorders>
            <w:shd w:val="clear" w:color="auto" w:fill="auto"/>
            <w:noWrap/>
            <w:vAlign w:val="center"/>
            <w:hideMark/>
          </w:tcPr>
          <w:p w14:paraId="4DD50AEA" w14:textId="77777777" w:rsidR="009D481E" w:rsidRPr="00C8330C" w:rsidRDefault="009D481E" w:rsidP="00785DBD">
            <w:pPr>
              <w:rPr>
                <w:rFonts w:ascii="Arial" w:hAnsi="Arial" w:cs="Arial"/>
                <w:sz w:val="20"/>
                <w:szCs w:val="20"/>
              </w:rPr>
            </w:pPr>
            <w:r w:rsidRPr="00C8330C">
              <w:rPr>
                <w:rFonts w:ascii="Arial" w:hAnsi="Arial" w:cs="Arial"/>
                <w:sz w:val="20"/>
                <w:szCs w:val="20"/>
              </w:rPr>
              <w:t>Técnica Profesional</w:t>
            </w:r>
          </w:p>
        </w:tc>
        <w:tc>
          <w:tcPr>
            <w:tcW w:w="534" w:type="pct"/>
            <w:tcBorders>
              <w:top w:val="nil"/>
              <w:left w:val="nil"/>
              <w:bottom w:val="single" w:sz="4" w:space="0" w:color="A6A6A6"/>
              <w:right w:val="single" w:sz="4" w:space="0" w:color="A6A6A6"/>
            </w:tcBorders>
            <w:shd w:val="clear" w:color="auto" w:fill="auto"/>
            <w:noWrap/>
            <w:vAlign w:val="center"/>
            <w:hideMark/>
          </w:tcPr>
          <w:p w14:paraId="01108BF4" w14:textId="77777777" w:rsidR="009D481E" w:rsidRPr="00C8330C" w:rsidRDefault="009D481E" w:rsidP="00785DBD">
            <w:pPr>
              <w:rPr>
                <w:rFonts w:ascii="Arial" w:hAnsi="Arial" w:cs="Arial"/>
                <w:sz w:val="20"/>
                <w:szCs w:val="20"/>
              </w:rPr>
            </w:pPr>
            <w:r w:rsidRPr="00C8330C">
              <w:rPr>
                <w:rFonts w:ascii="Arial" w:hAnsi="Arial" w:cs="Arial"/>
                <w:sz w:val="20"/>
                <w:szCs w:val="20"/>
              </w:rPr>
              <w:t>211</w:t>
            </w:r>
          </w:p>
        </w:tc>
        <w:tc>
          <w:tcPr>
            <w:tcW w:w="574" w:type="pct"/>
            <w:tcBorders>
              <w:top w:val="nil"/>
              <w:left w:val="nil"/>
              <w:bottom w:val="single" w:sz="4" w:space="0" w:color="A6A6A6"/>
              <w:right w:val="single" w:sz="4" w:space="0" w:color="A6A6A6"/>
            </w:tcBorders>
            <w:shd w:val="clear" w:color="auto" w:fill="auto"/>
            <w:noWrap/>
            <w:vAlign w:val="center"/>
            <w:hideMark/>
          </w:tcPr>
          <w:p w14:paraId="72D5B40E" w14:textId="77777777" w:rsidR="009D481E" w:rsidRPr="00C8330C" w:rsidRDefault="009D481E" w:rsidP="00785DBD">
            <w:pPr>
              <w:rPr>
                <w:rFonts w:ascii="Arial" w:hAnsi="Arial" w:cs="Arial"/>
                <w:sz w:val="20"/>
                <w:szCs w:val="20"/>
              </w:rPr>
            </w:pPr>
            <w:r w:rsidRPr="00C8330C">
              <w:rPr>
                <w:rFonts w:ascii="Arial" w:hAnsi="Arial" w:cs="Arial"/>
                <w:sz w:val="20"/>
                <w:szCs w:val="20"/>
              </w:rPr>
              <w:t>664</w:t>
            </w:r>
          </w:p>
        </w:tc>
        <w:tc>
          <w:tcPr>
            <w:tcW w:w="500" w:type="pct"/>
            <w:tcBorders>
              <w:top w:val="nil"/>
              <w:left w:val="nil"/>
              <w:bottom w:val="single" w:sz="4" w:space="0" w:color="A6A6A6"/>
              <w:right w:val="nil"/>
            </w:tcBorders>
            <w:shd w:val="clear" w:color="auto" w:fill="auto"/>
            <w:noWrap/>
            <w:vAlign w:val="center"/>
            <w:hideMark/>
          </w:tcPr>
          <w:p w14:paraId="0B696192" w14:textId="77777777" w:rsidR="009D481E" w:rsidRPr="00C8330C" w:rsidRDefault="009D481E" w:rsidP="00785DBD">
            <w:pPr>
              <w:rPr>
                <w:rFonts w:ascii="Arial" w:hAnsi="Arial" w:cs="Arial"/>
                <w:sz w:val="20"/>
                <w:szCs w:val="20"/>
              </w:rPr>
            </w:pPr>
            <w:r w:rsidRPr="00C8330C">
              <w:rPr>
                <w:rFonts w:ascii="Arial" w:hAnsi="Arial" w:cs="Arial"/>
                <w:sz w:val="20"/>
                <w:szCs w:val="20"/>
              </w:rPr>
              <w:t>1.144</w:t>
            </w:r>
          </w:p>
        </w:tc>
        <w:tc>
          <w:tcPr>
            <w:tcW w:w="500" w:type="pct"/>
            <w:tcBorders>
              <w:top w:val="nil"/>
              <w:left w:val="single" w:sz="4" w:space="0" w:color="A6A6A6"/>
              <w:bottom w:val="single" w:sz="4" w:space="0" w:color="A6A6A6"/>
              <w:right w:val="single" w:sz="4" w:space="0" w:color="A6A6A6"/>
            </w:tcBorders>
            <w:shd w:val="clear" w:color="auto" w:fill="auto"/>
            <w:noWrap/>
            <w:vAlign w:val="center"/>
            <w:hideMark/>
          </w:tcPr>
          <w:p w14:paraId="64D0CD04" w14:textId="77777777" w:rsidR="009D481E" w:rsidRPr="00C8330C" w:rsidRDefault="009D481E" w:rsidP="00785DBD">
            <w:pPr>
              <w:rPr>
                <w:rFonts w:ascii="Arial" w:hAnsi="Arial" w:cs="Arial"/>
                <w:sz w:val="20"/>
                <w:szCs w:val="20"/>
              </w:rPr>
            </w:pPr>
            <w:r w:rsidRPr="00C8330C">
              <w:rPr>
                <w:rFonts w:ascii="Arial" w:hAnsi="Arial" w:cs="Arial"/>
                <w:sz w:val="20"/>
                <w:szCs w:val="20"/>
              </w:rPr>
              <w:t>1.398</w:t>
            </w:r>
          </w:p>
        </w:tc>
        <w:tc>
          <w:tcPr>
            <w:tcW w:w="505" w:type="pct"/>
            <w:tcBorders>
              <w:top w:val="nil"/>
              <w:left w:val="nil"/>
              <w:bottom w:val="single" w:sz="4" w:space="0" w:color="A6A6A6"/>
              <w:right w:val="single" w:sz="4" w:space="0" w:color="A6A6A6"/>
            </w:tcBorders>
            <w:shd w:val="clear" w:color="auto" w:fill="auto"/>
            <w:noWrap/>
            <w:vAlign w:val="center"/>
            <w:hideMark/>
          </w:tcPr>
          <w:p w14:paraId="39560E63" w14:textId="77777777" w:rsidR="009D481E" w:rsidRPr="00C8330C" w:rsidRDefault="009D481E" w:rsidP="00785DBD">
            <w:pPr>
              <w:rPr>
                <w:rFonts w:ascii="Arial" w:hAnsi="Arial" w:cs="Arial"/>
                <w:sz w:val="20"/>
                <w:szCs w:val="20"/>
              </w:rPr>
            </w:pPr>
            <w:r w:rsidRPr="00C8330C">
              <w:rPr>
                <w:rFonts w:ascii="Arial" w:hAnsi="Arial" w:cs="Arial"/>
                <w:sz w:val="20"/>
                <w:szCs w:val="20"/>
              </w:rPr>
              <w:t>1.412</w:t>
            </w:r>
          </w:p>
        </w:tc>
        <w:tc>
          <w:tcPr>
            <w:tcW w:w="505" w:type="pct"/>
            <w:tcBorders>
              <w:top w:val="nil"/>
              <w:left w:val="nil"/>
              <w:bottom w:val="single" w:sz="4" w:space="0" w:color="A6A6A6"/>
              <w:right w:val="single" w:sz="4" w:space="0" w:color="A6A6A6"/>
            </w:tcBorders>
            <w:shd w:val="clear" w:color="auto" w:fill="auto"/>
            <w:noWrap/>
            <w:vAlign w:val="center"/>
            <w:hideMark/>
          </w:tcPr>
          <w:p w14:paraId="3572B013" w14:textId="77777777" w:rsidR="009D481E" w:rsidRPr="00C8330C" w:rsidRDefault="009D481E" w:rsidP="00785DBD">
            <w:pPr>
              <w:rPr>
                <w:rFonts w:ascii="Arial" w:hAnsi="Arial" w:cs="Arial"/>
                <w:sz w:val="20"/>
                <w:szCs w:val="20"/>
              </w:rPr>
            </w:pPr>
            <w:r w:rsidRPr="00C8330C">
              <w:rPr>
                <w:rFonts w:ascii="Arial" w:hAnsi="Arial" w:cs="Arial"/>
                <w:sz w:val="20"/>
                <w:szCs w:val="20"/>
              </w:rPr>
              <w:t>1.573</w:t>
            </w:r>
          </w:p>
        </w:tc>
        <w:tc>
          <w:tcPr>
            <w:tcW w:w="494" w:type="pct"/>
            <w:tcBorders>
              <w:top w:val="nil"/>
              <w:left w:val="nil"/>
              <w:bottom w:val="single" w:sz="4" w:space="0" w:color="A6A6A6"/>
              <w:right w:val="single" w:sz="8" w:space="0" w:color="3366CC"/>
            </w:tcBorders>
            <w:shd w:val="clear" w:color="auto" w:fill="auto"/>
            <w:noWrap/>
            <w:vAlign w:val="center"/>
            <w:hideMark/>
          </w:tcPr>
          <w:p w14:paraId="0BD9A704" w14:textId="77777777" w:rsidR="009D481E" w:rsidRPr="00C8330C" w:rsidRDefault="009D481E" w:rsidP="00785DBD">
            <w:pPr>
              <w:rPr>
                <w:rFonts w:ascii="Arial" w:hAnsi="Arial" w:cs="Arial"/>
                <w:sz w:val="20"/>
                <w:szCs w:val="20"/>
              </w:rPr>
            </w:pPr>
            <w:r w:rsidRPr="00C8330C">
              <w:rPr>
                <w:rFonts w:ascii="Arial" w:hAnsi="Arial" w:cs="Arial"/>
                <w:sz w:val="20"/>
                <w:szCs w:val="20"/>
              </w:rPr>
              <w:t>1.113</w:t>
            </w:r>
          </w:p>
        </w:tc>
      </w:tr>
      <w:tr w:rsidR="009D481E" w:rsidRPr="00C8330C" w14:paraId="4852643A" w14:textId="77777777" w:rsidTr="00785DBD">
        <w:trPr>
          <w:trHeight w:val="375"/>
        </w:trPr>
        <w:tc>
          <w:tcPr>
            <w:tcW w:w="1388"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004B2DD3" w14:textId="77777777" w:rsidR="009D481E" w:rsidRPr="00C8330C" w:rsidRDefault="009D481E" w:rsidP="00785DBD">
            <w:pPr>
              <w:rPr>
                <w:rFonts w:ascii="Arial" w:hAnsi="Arial" w:cs="Arial"/>
                <w:sz w:val="20"/>
                <w:szCs w:val="20"/>
              </w:rPr>
            </w:pPr>
            <w:r w:rsidRPr="00C8330C">
              <w:rPr>
                <w:rFonts w:ascii="Arial" w:hAnsi="Arial" w:cs="Arial"/>
                <w:sz w:val="20"/>
                <w:szCs w:val="20"/>
              </w:rPr>
              <w:t>Tecnológica</w:t>
            </w:r>
          </w:p>
        </w:tc>
        <w:tc>
          <w:tcPr>
            <w:tcW w:w="534" w:type="pct"/>
            <w:tcBorders>
              <w:top w:val="nil"/>
              <w:left w:val="nil"/>
              <w:bottom w:val="single" w:sz="4" w:space="0" w:color="A6A6A6"/>
              <w:right w:val="single" w:sz="4" w:space="0" w:color="A6A6A6"/>
            </w:tcBorders>
            <w:shd w:val="clear" w:color="auto" w:fill="auto"/>
            <w:noWrap/>
            <w:vAlign w:val="center"/>
            <w:hideMark/>
          </w:tcPr>
          <w:p w14:paraId="5F29B4DE" w14:textId="77777777" w:rsidR="009D481E" w:rsidRPr="00C8330C" w:rsidRDefault="009D481E" w:rsidP="00785DBD">
            <w:pPr>
              <w:rPr>
                <w:rFonts w:ascii="Arial" w:hAnsi="Arial" w:cs="Arial"/>
                <w:sz w:val="20"/>
                <w:szCs w:val="20"/>
              </w:rPr>
            </w:pPr>
            <w:r w:rsidRPr="00C8330C">
              <w:rPr>
                <w:rFonts w:ascii="Arial" w:hAnsi="Arial" w:cs="Arial"/>
                <w:sz w:val="20"/>
                <w:szCs w:val="20"/>
              </w:rPr>
              <w:t>2.631</w:t>
            </w:r>
          </w:p>
        </w:tc>
        <w:tc>
          <w:tcPr>
            <w:tcW w:w="574" w:type="pct"/>
            <w:tcBorders>
              <w:top w:val="nil"/>
              <w:left w:val="nil"/>
              <w:bottom w:val="single" w:sz="4" w:space="0" w:color="A6A6A6"/>
              <w:right w:val="single" w:sz="4" w:space="0" w:color="A6A6A6"/>
            </w:tcBorders>
            <w:shd w:val="clear" w:color="auto" w:fill="auto"/>
            <w:noWrap/>
            <w:vAlign w:val="center"/>
            <w:hideMark/>
          </w:tcPr>
          <w:p w14:paraId="5E0C91D9" w14:textId="77777777" w:rsidR="009D481E" w:rsidRPr="00C8330C" w:rsidRDefault="009D481E" w:rsidP="00785DBD">
            <w:pPr>
              <w:rPr>
                <w:rFonts w:ascii="Arial" w:hAnsi="Arial" w:cs="Arial"/>
                <w:sz w:val="20"/>
                <w:szCs w:val="20"/>
              </w:rPr>
            </w:pPr>
            <w:r w:rsidRPr="00C8330C">
              <w:rPr>
                <w:rFonts w:ascii="Arial" w:hAnsi="Arial" w:cs="Arial"/>
                <w:sz w:val="20"/>
                <w:szCs w:val="20"/>
              </w:rPr>
              <w:t>2.478</w:t>
            </w:r>
          </w:p>
        </w:tc>
        <w:tc>
          <w:tcPr>
            <w:tcW w:w="500" w:type="pct"/>
            <w:tcBorders>
              <w:top w:val="nil"/>
              <w:left w:val="nil"/>
              <w:bottom w:val="single" w:sz="4" w:space="0" w:color="A6A6A6"/>
              <w:right w:val="nil"/>
            </w:tcBorders>
            <w:shd w:val="clear" w:color="auto" w:fill="auto"/>
            <w:noWrap/>
            <w:vAlign w:val="center"/>
            <w:hideMark/>
          </w:tcPr>
          <w:p w14:paraId="23441AF5" w14:textId="77777777" w:rsidR="009D481E" w:rsidRPr="00C8330C" w:rsidRDefault="009D481E" w:rsidP="00785DBD">
            <w:pPr>
              <w:rPr>
                <w:rFonts w:ascii="Arial" w:hAnsi="Arial" w:cs="Arial"/>
                <w:sz w:val="20"/>
                <w:szCs w:val="20"/>
              </w:rPr>
            </w:pPr>
            <w:r w:rsidRPr="00C8330C">
              <w:rPr>
                <w:rFonts w:ascii="Arial" w:hAnsi="Arial" w:cs="Arial"/>
                <w:sz w:val="20"/>
                <w:szCs w:val="20"/>
              </w:rPr>
              <w:t>2.478</w:t>
            </w:r>
          </w:p>
        </w:tc>
        <w:tc>
          <w:tcPr>
            <w:tcW w:w="500" w:type="pct"/>
            <w:tcBorders>
              <w:top w:val="nil"/>
              <w:left w:val="single" w:sz="4" w:space="0" w:color="A6A6A6"/>
              <w:bottom w:val="single" w:sz="4" w:space="0" w:color="A6A6A6"/>
              <w:right w:val="single" w:sz="4" w:space="0" w:color="A6A6A6"/>
            </w:tcBorders>
            <w:shd w:val="clear" w:color="auto" w:fill="auto"/>
            <w:noWrap/>
            <w:vAlign w:val="center"/>
            <w:hideMark/>
          </w:tcPr>
          <w:p w14:paraId="06CAFCC7" w14:textId="77777777" w:rsidR="009D481E" w:rsidRPr="00C8330C" w:rsidRDefault="009D481E" w:rsidP="00785DBD">
            <w:pPr>
              <w:rPr>
                <w:rFonts w:ascii="Arial" w:hAnsi="Arial" w:cs="Arial"/>
                <w:sz w:val="20"/>
                <w:szCs w:val="20"/>
              </w:rPr>
            </w:pPr>
            <w:r w:rsidRPr="00C8330C">
              <w:rPr>
                <w:rFonts w:ascii="Arial" w:hAnsi="Arial" w:cs="Arial"/>
                <w:sz w:val="20"/>
                <w:szCs w:val="20"/>
              </w:rPr>
              <w:t>2.667</w:t>
            </w:r>
          </w:p>
        </w:tc>
        <w:tc>
          <w:tcPr>
            <w:tcW w:w="505" w:type="pct"/>
            <w:tcBorders>
              <w:top w:val="nil"/>
              <w:left w:val="nil"/>
              <w:bottom w:val="single" w:sz="4" w:space="0" w:color="A6A6A6"/>
              <w:right w:val="single" w:sz="4" w:space="0" w:color="A6A6A6"/>
            </w:tcBorders>
            <w:shd w:val="clear" w:color="auto" w:fill="auto"/>
            <w:noWrap/>
            <w:vAlign w:val="center"/>
            <w:hideMark/>
          </w:tcPr>
          <w:p w14:paraId="3450149E" w14:textId="77777777" w:rsidR="009D481E" w:rsidRPr="00C8330C" w:rsidRDefault="009D481E" w:rsidP="00785DBD">
            <w:pPr>
              <w:rPr>
                <w:rFonts w:ascii="Arial" w:hAnsi="Arial" w:cs="Arial"/>
                <w:sz w:val="20"/>
                <w:szCs w:val="20"/>
              </w:rPr>
            </w:pPr>
            <w:r w:rsidRPr="00C8330C">
              <w:rPr>
                <w:rFonts w:ascii="Arial" w:hAnsi="Arial" w:cs="Arial"/>
                <w:sz w:val="20"/>
                <w:szCs w:val="20"/>
              </w:rPr>
              <w:t>2.540</w:t>
            </w:r>
          </w:p>
        </w:tc>
        <w:tc>
          <w:tcPr>
            <w:tcW w:w="505" w:type="pct"/>
            <w:tcBorders>
              <w:top w:val="nil"/>
              <w:left w:val="nil"/>
              <w:bottom w:val="single" w:sz="4" w:space="0" w:color="A6A6A6"/>
              <w:right w:val="single" w:sz="4" w:space="0" w:color="A6A6A6"/>
            </w:tcBorders>
            <w:shd w:val="clear" w:color="auto" w:fill="auto"/>
            <w:noWrap/>
            <w:vAlign w:val="center"/>
            <w:hideMark/>
          </w:tcPr>
          <w:p w14:paraId="7F33BF52" w14:textId="77777777" w:rsidR="009D481E" w:rsidRPr="00C8330C" w:rsidRDefault="009D481E" w:rsidP="00785DBD">
            <w:pPr>
              <w:rPr>
                <w:rFonts w:ascii="Arial" w:hAnsi="Arial" w:cs="Arial"/>
                <w:sz w:val="20"/>
                <w:szCs w:val="20"/>
              </w:rPr>
            </w:pPr>
            <w:r w:rsidRPr="00C8330C">
              <w:rPr>
                <w:rFonts w:ascii="Arial" w:hAnsi="Arial" w:cs="Arial"/>
                <w:sz w:val="20"/>
                <w:szCs w:val="20"/>
              </w:rPr>
              <w:t>1.579</w:t>
            </w:r>
          </w:p>
        </w:tc>
        <w:tc>
          <w:tcPr>
            <w:tcW w:w="494" w:type="pct"/>
            <w:tcBorders>
              <w:top w:val="nil"/>
              <w:left w:val="nil"/>
              <w:bottom w:val="single" w:sz="4" w:space="0" w:color="A6A6A6"/>
              <w:right w:val="single" w:sz="8" w:space="0" w:color="3366CC"/>
            </w:tcBorders>
            <w:shd w:val="clear" w:color="auto" w:fill="auto"/>
            <w:noWrap/>
            <w:vAlign w:val="center"/>
            <w:hideMark/>
          </w:tcPr>
          <w:p w14:paraId="7F3FA964" w14:textId="77777777" w:rsidR="009D481E" w:rsidRPr="00C8330C" w:rsidRDefault="009D481E" w:rsidP="00785DBD">
            <w:pPr>
              <w:rPr>
                <w:rFonts w:ascii="Arial" w:hAnsi="Arial" w:cs="Arial"/>
                <w:sz w:val="20"/>
                <w:szCs w:val="20"/>
              </w:rPr>
            </w:pPr>
            <w:r w:rsidRPr="00C8330C">
              <w:rPr>
                <w:rFonts w:ascii="Arial" w:hAnsi="Arial" w:cs="Arial"/>
                <w:sz w:val="20"/>
                <w:szCs w:val="20"/>
              </w:rPr>
              <w:t>2.492</w:t>
            </w:r>
          </w:p>
        </w:tc>
      </w:tr>
      <w:tr w:rsidR="009D481E" w:rsidRPr="00C8330C" w14:paraId="2DAAAB33" w14:textId="77777777" w:rsidTr="00785DBD">
        <w:trPr>
          <w:trHeight w:val="375"/>
        </w:trPr>
        <w:tc>
          <w:tcPr>
            <w:tcW w:w="1388"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1BDBEB80" w14:textId="77777777" w:rsidR="009D481E" w:rsidRPr="00C8330C" w:rsidRDefault="009D481E" w:rsidP="00785DBD">
            <w:pPr>
              <w:rPr>
                <w:rFonts w:ascii="Arial" w:hAnsi="Arial" w:cs="Arial"/>
                <w:sz w:val="20"/>
                <w:szCs w:val="20"/>
              </w:rPr>
            </w:pPr>
            <w:r w:rsidRPr="00C8330C">
              <w:rPr>
                <w:rFonts w:ascii="Arial" w:hAnsi="Arial" w:cs="Arial"/>
                <w:sz w:val="20"/>
                <w:szCs w:val="20"/>
              </w:rPr>
              <w:t>Universitaria</w:t>
            </w:r>
          </w:p>
        </w:tc>
        <w:tc>
          <w:tcPr>
            <w:tcW w:w="534" w:type="pct"/>
            <w:tcBorders>
              <w:top w:val="nil"/>
              <w:left w:val="nil"/>
              <w:bottom w:val="single" w:sz="4" w:space="0" w:color="A6A6A6"/>
              <w:right w:val="single" w:sz="4" w:space="0" w:color="A6A6A6"/>
            </w:tcBorders>
            <w:shd w:val="clear" w:color="auto" w:fill="auto"/>
            <w:noWrap/>
            <w:vAlign w:val="center"/>
            <w:hideMark/>
          </w:tcPr>
          <w:p w14:paraId="5EE64C97" w14:textId="77777777" w:rsidR="009D481E" w:rsidRPr="00C8330C" w:rsidRDefault="009D481E" w:rsidP="00785DBD">
            <w:pPr>
              <w:rPr>
                <w:rFonts w:ascii="Arial" w:hAnsi="Arial" w:cs="Arial"/>
                <w:sz w:val="20"/>
                <w:szCs w:val="20"/>
              </w:rPr>
            </w:pPr>
            <w:r w:rsidRPr="00C8330C">
              <w:rPr>
                <w:rFonts w:ascii="Arial" w:hAnsi="Arial" w:cs="Arial"/>
                <w:sz w:val="20"/>
                <w:szCs w:val="20"/>
              </w:rPr>
              <w:t>3.432</w:t>
            </w:r>
          </w:p>
        </w:tc>
        <w:tc>
          <w:tcPr>
            <w:tcW w:w="574" w:type="pct"/>
            <w:tcBorders>
              <w:top w:val="nil"/>
              <w:left w:val="nil"/>
              <w:bottom w:val="single" w:sz="4" w:space="0" w:color="A6A6A6"/>
              <w:right w:val="single" w:sz="4" w:space="0" w:color="A6A6A6"/>
            </w:tcBorders>
            <w:shd w:val="clear" w:color="auto" w:fill="auto"/>
            <w:noWrap/>
            <w:vAlign w:val="center"/>
            <w:hideMark/>
          </w:tcPr>
          <w:p w14:paraId="44151472" w14:textId="77777777" w:rsidR="009D481E" w:rsidRPr="00C8330C" w:rsidRDefault="009D481E" w:rsidP="00785DBD">
            <w:pPr>
              <w:rPr>
                <w:rFonts w:ascii="Arial" w:hAnsi="Arial" w:cs="Arial"/>
                <w:sz w:val="20"/>
                <w:szCs w:val="20"/>
              </w:rPr>
            </w:pPr>
            <w:r w:rsidRPr="00C8330C">
              <w:rPr>
                <w:rFonts w:ascii="Arial" w:hAnsi="Arial" w:cs="Arial"/>
                <w:sz w:val="20"/>
                <w:szCs w:val="20"/>
              </w:rPr>
              <w:t>4.302</w:t>
            </w:r>
          </w:p>
        </w:tc>
        <w:tc>
          <w:tcPr>
            <w:tcW w:w="500" w:type="pct"/>
            <w:tcBorders>
              <w:top w:val="nil"/>
              <w:left w:val="nil"/>
              <w:bottom w:val="single" w:sz="4" w:space="0" w:color="A6A6A6"/>
              <w:right w:val="nil"/>
            </w:tcBorders>
            <w:shd w:val="clear" w:color="auto" w:fill="auto"/>
            <w:noWrap/>
            <w:vAlign w:val="center"/>
            <w:hideMark/>
          </w:tcPr>
          <w:p w14:paraId="77BE4036" w14:textId="77777777" w:rsidR="009D481E" w:rsidRPr="00C8330C" w:rsidRDefault="009D481E" w:rsidP="00785DBD">
            <w:pPr>
              <w:rPr>
                <w:rFonts w:ascii="Arial" w:hAnsi="Arial" w:cs="Arial"/>
                <w:sz w:val="20"/>
                <w:szCs w:val="20"/>
              </w:rPr>
            </w:pPr>
            <w:r w:rsidRPr="00C8330C">
              <w:rPr>
                <w:rFonts w:ascii="Arial" w:hAnsi="Arial" w:cs="Arial"/>
                <w:sz w:val="20"/>
                <w:szCs w:val="20"/>
              </w:rPr>
              <w:t>4.322</w:t>
            </w:r>
          </w:p>
        </w:tc>
        <w:tc>
          <w:tcPr>
            <w:tcW w:w="500" w:type="pct"/>
            <w:tcBorders>
              <w:top w:val="nil"/>
              <w:left w:val="single" w:sz="4" w:space="0" w:color="A6A6A6"/>
              <w:bottom w:val="single" w:sz="4" w:space="0" w:color="A6A6A6"/>
              <w:right w:val="single" w:sz="4" w:space="0" w:color="A6A6A6"/>
            </w:tcBorders>
            <w:shd w:val="clear" w:color="auto" w:fill="auto"/>
            <w:noWrap/>
            <w:vAlign w:val="center"/>
            <w:hideMark/>
          </w:tcPr>
          <w:p w14:paraId="58B25FE9" w14:textId="77777777" w:rsidR="009D481E" w:rsidRPr="00C8330C" w:rsidRDefault="009D481E" w:rsidP="00785DBD">
            <w:pPr>
              <w:rPr>
                <w:rFonts w:ascii="Arial" w:hAnsi="Arial" w:cs="Arial"/>
                <w:sz w:val="20"/>
                <w:szCs w:val="20"/>
              </w:rPr>
            </w:pPr>
            <w:r w:rsidRPr="00C8330C">
              <w:rPr>
                <w:rFonts w:ascii="Arial" w:hAnsi="Arial" w:cs="Arial"/>
                <w:sz w:val="20"/>
                <w:szCs w:val="20"/>
              </w:rPr>
              <w:t>4.697</w:t>
            </w:r>
          </w:p>
        </w:tc>
        <w:tc>
          <w:tcPr>
            <w:tcW w:w="505" w:type="pct"/>
            <w:tcBorders>
              <w:top w:val="nil"/>
              <w:left w:val="nil"/>
              <w:bottom w:val="single" w:sz="4" w:space="0" w:color="A6A6A6"/>
              <w:right w:val="single" w:sz="4" w:space="0" w:color="A6A6A6"/>
            </w:tcBorders>
            <w:shd w:val="clear" w:color="auto" w:fill="auto"/>
            <w:noWrap/>
            <w:vAlign w:val="center"/>
            <w:hideMark/>
          </w:tcPr>
          <w:p w14:paraId="4E165711" w14:textId="77777777" w:rsidR="009D481E" w:rsidRPr="00C8330C" w:rsidRDefault="009D481E" w:rsidP="00785DBD">
            <w:pPr>
              <w:rPr>
                <w:rFonts w:ascii="Arial" w:hAnsi="Arial" w:cs="Arial"/>
                <w:sz w:val="20"/>
                <w:szCs w:val="20"/>
              </w:rPr>
            </w:pPr>
            <w:r w:rsidRPr="00C8330C">
              <w:rPr>
                <w:rFonts w:ascii="Arial" w:hAnsi="Arial" w:cs="Arial"/>
                <w:sz w:val="20"/>
                <w:szCs w:val="20"/>
              </w:rPr>
              <w:t>4.482</w:t>
            </w:r>
          </w:p>
        </w:tc>
        <w:tc>
          <w:tcPr>
            <w:tcW w:w="505" w:type="pct"/>
            <w:tcBorders>
              <w:top w:val="nil"/>
              <w:left w:val="nil"/>
              <w:bottom w:val="single" w:sz="4" w:space="0" w:color="A6A6A6"/>
              <w:right w:val="single" w:sz="4" w:space="0" w:color="A6A6A6"/>
            </w:tcBorders>
            <w:shd w:val="clear" w:color="auto" w:fill="auto"/>
            <w:noWrap/>
            <w:vAlign w:val="center"/>
            <w:hideMark/>
          </w:tcPr>
          <w:p w14:paraId="4A1716D2" w14:textId="77777777" w:rsidR="009D481E" w:rsidRPr="00C8330C" w:rsidRDefault="009D481E" w:rsidP="00785DBD">
            <w:pPr>
              <w:rPr>
                <w:rFonts w:ascii="Arial" w:hAnsi="Arial" w:cs="Arial"/>
                <w:sz w:val="20"/>
                <w:szCs w:val="20"/>
              </w:rPr>
            </w:pPr>
            <w:r w:rsidRPr="00C8330C">
              <w:rPr>
                <w:rFonts w:ascii="Arial" w:hAnsi="Arial" w:cs="Arial"/>
                <w:sz w:val="20"/>
                <w:szCs w:val="20"/>
              </w:rPr>
              <w:t>4.472</w:t>
            </w:r>
          </w:p>
        </w:tc>
        <w:tc>
          <w:tcPr>
            <w:tcW w:w="494" w:type="pct"/>
            <w:tcBorders>
              <w:top w:val="nil"/>
              <w:left w:val="nil"/>
              <w:bottom w:val="single" w:sz="4" w:space="0" w:color="A6A6A6"/>
              <w:right w:val="single" w:sz="8" w:space="0" w:color="3366CC"/>
            </w:tcBorders>
            <w:shd w:val="clear" w:color="auto" w:fill="auto"/>
            <w:noWrap/>
            <w:vAlign w:val="center"/>
            <w:hideMark/>
          </w:tcPr>
          <w:p w14:paraId="72D3427D" w14:textId="77777777" w:rsidR="009D481E" w:rsidRPr="00C8330C" w:rsidRDefault="009D481E" w:rsidP="00785DBD">
            <w:pPr>
              <w:rPr>
                <w:rFonts w:ascii="Arial" w:hAnsi="Arial" w:cs="Arial"/>
                <w:sz w:val="20"/>
                <w:szCs w:val="20"/>
              </w:rPr>
            </w:pPr>
            <w:r w:rsidRPr="00C8330C">
              <w:rPr>
                <w:rFonts w:ascii="Arial" w:hAnsi="Arial" w:cs="Arial"/>
                <w:sz w:val="20"/>
                <w:szCs w:val="20"/>
              </w:rPr>
              <w:t>4.840</w:t>
            </w:r>
          </w:p>
        </w:tc>
      </w:tr>
      <w:tr w:rsidR="009D481E" w:rsidRPr="00C8330C" w14:paraId="3304E7FB" w14:textId="77777777" w:rsidTr="00785DBD">
        <w:trPr>
          <w:trHeight w:val="375"/>
        </w:trPr>
        <w:tc>
          <w:tcPr>
            <w:tcW w:w="1388"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07768BB0" w14:textId="77777777" w:rsidR="009D481E" w:rsidRPr="00C8330C" w:rsidRDefault="009D481E" w:rsidP="00785DBD">
            <w:pPr>
              <w:rPr>
                <w:rFonts w:ascii="Arial" w:hAnsi="Arial" w:cs="Arial"/>
                <w:sz w:val="20"/>
                <w:szCs w:val="20"/>
              </w:rPr>
            </w:pPr>
            <w:r w:rsidRPr="00C8330C">
              <w:rPr>
                <w:rFonts w:ascii="Arial" w:hAnsi="Arial" w:cs="Arial"/>
                <w:sz w:val="20"/>
                <w:szCs w:val="20"/>
              </w:rPr>
              <w:t>Especialización</w:t>
            </w:r>
          </w:p>
        </w:tc>
        <w:tc>
          <w:tcPr>
            <w:tcW w:w="534" w:type="pct"/>
            <w:tcBorders>
              <w:top w:val="nil"/>
              <w:left w:val="nil"/>
              <w:bottom w:val="single" w:sz="4" w:space="0" w:color="A6A6A6"/>
              <w:right w:val="single" w:sz="4" w:space="0" w:color="A6A6A6"/>
            </w:tcBorders>
            <w:shd w:val="clear" w:color="auto" w:fill="auto"/>
            <w:noWrap/>
            <w:vAlign w:val="center"/>
            <w:hideMark/>
          </w:tcPr>
          <w:p w14:paraId="69D98F57" w14:textId="77777777" w:rsidR="009D481E" w:rsidRPr="00C8330C" w:rsidRDefault="009D481E" w:rsidP="00785DBD">
            <w:pPr>
              <w:rPr>
                <w:rFonts w:ascii="Arial" w:hAnsi="Arial" w:cs="Arial"/>
                <w:sz w:val="20"/>
                <w:szCs w:val="20"/>
              </w:rPr>
            </w:pPr>
            <w:r w:rsidRPr="00C8330C">
              <w:rPr>
                <w:rFonts w:ascii="Arial" w:hAnsi="Arial" w:cs="Arial"/>
                <w:sz w:val="20"/>
                <w:szCs w:val="20"/>
              </w:rPr>
              <w:t>1.391</w:t>
            </w:r>
          </w:p>
        </w:tc>
        <w:tc>
          <w:tcPr>
            <w:tcW w:w="574" w:type="pct"/>
            <w:tcBorders>
              <w:top w:val="nil"/>
              <w:left w:val="nil"/>
              <w:bottom w:val="single" w:sz="4" w:space="0" w:color="A6A6A6"/>
              <w:right w:val="single" w:sz="4" w:space="0" w:color="A6A6A6"/>
            </w:tcBorders>
            <w:shd w:val="clear" w:color="auto" w:fill="auto"/>
            <w:noWrap/>
            <w:vAlign w:val="center"/>
            <w:hideMark/>
          </w:tcPr>
          <w:p w14:paraId="5A5CE37B" w14:textId="77777777" w:rsidR="009D481E" w:rsidRPr="00C8330C" w:rsidRDefault="009D481E" w:rsidP="00785DBD">
            <w:pPr>
              <w:rPr>
                <w:rFonts w:ascii="Arial" w:hAnsi="Arial" w:cs="Arial"/>
                <w:sz w:val="20"/>
                <w:szCs w:val="20"/>
              </w:rPr>
            </w:pPr>
            <w:r w:rsidRPr="00C8330C">
              <w:rPr>
                <w:rFonts w:ascii="Arial" w:hAnsi="Arial" w:cs="Arial"/>
                <w:sz w:val="20"/>
                <w:szCs w:val="20"/>
              </w:rPr>
              <w:t>1.455</w:t>
            </w:r>
          </w:p>
        </w:tc>
        <w:tc>
          <w:tcPr>
            <w:tcW w:w="500" w:type="pct"/>
            <w:tcBorders>
              <w:top w:val="nil"/>
              <w:left w:val="nil"/>
              <w:bottom w:val="single" w:sz="4" w:space="0" w:color="A6A6A6"/>
              <w:right w:val="nil"/>
            </w:tcBorders>
            <w:shd w:val="clear" w:color="auto" w:fill="auto"/>
            <w:noWrap/>
            <w:vAlign w:val="center"/>
            <w:hideMark/>
          </w:tcPr>
          <w:p w14:paraId="388FCE95" w14:textId="77777777" w:rsidR="009D481E" w:rsidRPr="00C8330C" w:rsidRDefault="009D481E" w:rsidP="00785DBD">
            <w:pPr>
              <w:rPr>
                <w:rFonts w:ascii="Arial" w:hAnsi="Arial" w:cs="Arial"/>
                <w:sz w:val="20"/>
                <w:szCs w:val="20"/>
              </w:rPr>
            </w:pPr>
            <w:r w:rsidRPr="00C8330C">
              <w:rPr>
                <w:rFonts w:ascii="Arial" w:hAnsi="Arial" w:cs="Arial"/>
                <w:sz w:val="20"/>
                <w:szCs w:val="20"/>
              </w:rPr>
              <w:t>1.410</w:t>
            </w:r>
          </w:p>
        </w:tc>
        <w:tc>
          <w:tcPr>
            <w:tcW w:w="500" w:type="pct"/>
            <w:tcBorders>
              <w:top w:val="nil"/>
              <w:left w:val="single" w:sz="4" w:space="0" w:color="A6A6A6"/>
              <w:bottom w:val="single" w:sz="4" w:space="0" w:color="A6A6A6"/>
              <w:right w:val="single" w:sz="4" w:space="0" w:color="A6A6A6"/>
            </w:tcBorders>
            <w:shd w:val="clear" w:color="auto" w:fill="auto"/>
            <w:noWrap/>
            <w:vAlign w:val="center"/>
            <w:hideMark/>
          </w:tcPr>
          <w:p w14:paraId="7FF50F5A" w14:textId="77777777" w:rsidR="009D481E" w:rsidRPr="00C8330C" w:rsidRDefault="009D481E" w:rsidP="00785DBD">
            <w:pPr>
              <w:rPr>
                <w:rFonts w:ascii="Arial" w:hAnsi="Arial" w:cs="Arial"/>
                <w:sz w:val="20"/>
                <w:szCs w:val="20"/>
              </w:rPr>
            </w:pPr>
            <w:r w:rsidRPr="00C8330C">
              <w:rPr>
                <w:rFonts w:ascii="Arial" w:hAnsi="Arial" w:cs="Arial"/>
                <w:sz w:val="20"/>
                <w:szCs w:val="20"/>
              </w:rPr>
              <w:t>1.902</w:t>
            </w:r>
          </w:p>
        </w:tc>
        <w:tc>
          <w:tcPr>
            <w:tcW w:w="505" w:type="pct"/>
            <w:tcBorders>
              <w:top w:val="nil"/>
              <w:left w:val="nil"/>
              <w:bottom w:val="single" w:sz="4" w:space="0" w:color="A6A6A6"/>
              <w:right w:val="single" w:sz="4" w:space="0" w:color="A6A6A6"/>
            </w:tcBorders>
            <w:shd w:val="clear" w:color="auto" w:fill="auto"/>
            <w:noWrap/>
            <w:vAlign w:val="center"/>
            <w:hideMark/>
          </w:tcPr>
          <w:p w14:paraId="775AFF1B" w14:textId="77777777" w:rsidR="009D481E" w:rsidRPr="00C8330C" w:rsidRDefault="009D481E" w:rsidP="00785DBD">
            <w:pPr>
              <w:rPr>
                <w:rFonts w:ascii="Arial" w:hAnsi="Arial" w:cs="Arial"/>
                <w:sz w:val="20"/>
                <w:szCs w:val="20"/>
              </w:rPr>
            </w:pPr>
            <w:r w:rsidRPr="00C8330C">
              <w:rPr>
                <w:rFonts w:ascii="Arial" w:hAnsi="Arial" w:cs="Arial"/>
                <w:sz w:val="20"/>
                <w:szCs w:val="20"/>
              </w:rPr>
              <w:t>1.848</w:t>
            </w:r>
          </w:p>
        </w:tc>
        <w:tc>
          <w:tcPr>
            <w:tcW w:w="505" w:type="pct"/>
            <w:tcBorders>
              <w:top w:val="nil"/>
              <w:left w:val="nil"/>
              <w:bottom w:val="single" w:sz="4" w:space="0" w:color="A6A6A6"/>
              <w:right w:val="single" w:sz="4" w:space="0" w:color="A6A6A6"/>
            </w:tcBorders>
            <w:shd w:val="clear" w:color="auto" w:fill="auto"/>
            <w:noWrap/>
            <w:vAlign w:val="center"/>
            <w:hideMark/>
          </w:tcPr>
          <w:p w14:paraId="78F9A21F" w14:textId="77777777" w:rsidR="009D481E" w:rsidRPr="00C8330C" w:rsidRDefault="009D481E" w:rsidP="00785DBD">
            <w:pPr>
              <w:rPr>
                <w:rFonts w:ascii="Arial" w:hAnsi="Arial" w:cs="Arial"/>
                <w:sz w:val="20"/>
                <w:szCs w:val="20"/>
              </w:rPr>
            </w:pPr>
            <w:r w:rsidRPr="00C8330C">
              <w:rPr>
                <w:rFonts w:ascii="Arial" w:hAnsi="Arial" w:cs="Arial"/>
                <w:sz w:val="20"/>
                <w:szCs w:val="20"/>
              </w:rPr>
              <w:t>1.737</w:t>
            </w:r>
          </w:p>
        </w:tc>
        <w:tc>
          <w:tcPr>
            <w:tcW w:w="494" w:type="pct"/>
            <w:tcBorders>
              <w:top w:val="nil"/>
              <w:left w:val="nil"/>
              <w:bottom w:val="single" w:sz="4" w:space="0" w:color="A6A6A6"/>
              <w:right w:val="single" w:sz="8" w:space="0" w:color="3366CC"/>
            </w:tcBorders>
            <w:shd w:val="clear" w:color="auto" w:fill="auto"/>
            <w:noWrap/>
            <w:vAlign w:val="center"/>
            <w:hideMark/>
          </w:tcPr>
          <w:p w14:paraId="1BCD6E15" w14:textId="77777777" w:rsidR="009D481E" w:rsidRPr="00C8330C" w:rsidRDefault="009D481E" w:rsidP="00785DBD">
            <w:pPr>
              <w:rPr>
                <w:rFonts w:ascii="Arial" w:hAnsi="Arial" w:cs="Arial"/>
                <w:sz w:val="20"/>
                <w:szCs w:val="20"/>
              </w:rPr>
            </w:pPr>
            <w:r w:rsidRPr="00C8330C">
              <w:rPr>
                <w:rFonts w:ascii="Arial" w:hAnsi="Arial" w:cs="Arial"/>
                <w:sz w:val="20"/>
                <w:szCs w:val="20"/>
              </w:rPr>
              <w:t>1.546</w:t>
            </w:r>
          </w:p>
        </w:tc>
      </w:tr>
      <w:tr w:rsidR="009D481E" w:rsidRPr="00C8330C" w14:paraId="27066227" w14:textId="77777777" w:rsidTr="00785DBD">
        <w:trPr>
          <w:trHeight w:val="375"/>
        </w:trPr>
        <w:tc>
          <w:tcPr>
            <w:tcW w:w="1388"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5E44658B" w14:textId="77777777" w:rsidR="009D481E" w:rsidRPr="00C8330C" w:rsidRDefault="009D481E" w:rsidP="00785DBD">
            <w:pPr>
              <w:rPr>
                <w:rFonts w:ascii="Arial" w:hAnsi="Arial" w:cs="Arial"/>
                <w:sz w:val="20"/>
                <w:szCs w:val="20"/>
              </w:rPr>
            </w:pPr>
            <w:r w:rsidRPr="00C8330C">
              <w:rPr>
                <w:rFonts w:ascii="Arial" w:hAnsi="Arial" w:cs="Arial"/>
                <w:sz w:val="20"/>
                <w:szCs w:val="20"/>
              </w:rPr>
              <w:t>Maestría</w:t>
            </w:r>
          </w:p>
        </w:tc>
        <w:tc>
          <w:tcPr>
            <w:tcW w:w="534" w:type="pct"/>
            <w:tcBorders>
              <w:top w:val="nil"/>
              <w:left w:val="nil"/>
              <w:bottom w:val="single" w:sz="4" w:space="0" w:color="A6A6A6"/>
              <w:right w:val="single" w:sz="4" w:space="0" w:color="A6A6A6"/>
            </w:tcBorders>
            <w:shd w:val="clear" w:color="auto" w:fill="auto"/>
            <w:noWrap/>
            <w:vAlign w:val="center"/>
            <w:hideMark/>
          </w:tcPr>
          <w:p w14:paraId="00F86BC7" w14:textId="77777777" w:rsidR="009D481E" w:rsidRPr="00C8330C" w:rsidRDefault="009D481E" w:rsidP="00785DBD">
            <w:pPr>
              <w:rPr>
                <w:rFonts w:ascii="Arial" w:hAnsi="Arial" w:cs="Arial"/>
                <w:sz w:val="20"/>
                <w:szCs w:val="20"/>
              </w:rPr>
            </w:pPr>
            <w:r w:rsidRPr="00C8330C">
              <w:rPr>
                <w:rFonts w:ascii="Arial" w:hAnsi="Arial" w:cs="Arial"/>
                <w:sz w:val="20"/>
                <w:szCs w:val="20"/>
              </w:rPr>
              <w:t>887</w:t>
            </w:r>
          </w:p>
        </w:tc>
        <w:tc>
          <w:tcPr>
            <w:tcW w:w="574" w:type="pct"/>
            <w:tcBorders>
              <w:top w:val="nil"/>
              <w:left w:val="nil"/>
              <w:bottom w:val="single" w:sz="4" w:space="0" w:color="A6A6A6"/>
              <w:right w:val="single" w:sz="4" w:space="0" w:color="A6A6A6"/>
            </w:tcBorders>
            <w:shd w:val="clear" w:color="auto" w:fill="auto"/>
            <w:noWrap/>
            <w:vAlign w:val="center"/>
            <w:hideMark/>
          </w:tcPr>
          <w:p w14:paraId="554B6272" w14:textId="77777777" w:rsidR="009D481E" w:rsidRPr="00C8330C" w:rsidRDefault="009D481E" w:rsidP="00785DBD">
            <w:pPr>
              <w:rPr>
                <w:rFonts w:ascii="Arial" w:hAnsi="Arial" w:cs="Arial"/>
                <w:sz w:val="20"/>
                <w:szCs w:val="20"/>
              </w:rPr>
            </w:pPr>
            <w:r w:rsidRPr="00C8330C">
              <w:rPr>
                <w:rFonts w:ascii="Arial" w:hAnsi="Arial" w:cs="Arial"/>
                <w:sz w:val="20"/>
                <w:szCs w:val="20"/>
              </w:rPr>
              <w:t>897</w:t>
            </w:r>
          </w:p>
        </w:tc>
        <w:tc>
          <w:tcPr>
            <w:tcW w:w="500" w:type="pct"/>
            <w:tcBorders>
              <w:top w:val="nil"/>
              <w:left w:val="nil"/>
              <w:bottom w:val="single" w:sz="4" w:space="0" w:color="A6A6A6"/>
              <w:right w:val="nil"/>
            </w:tcBorders>
            <w:shd w:val="clear" w:color="auto" w:fill="auto"/>
            <w:noWrap/>
            <w:vAlign w:val="center"/>
            <w:hideMark/>
          </w:tcPr>
          <w:p w14:paraId="480C8F40" w14:textId="77777777" w:rsidR="009D481E" w:rsidRPr="00C8330C" w:rsidRDefault="009D481E" w:rsidP="00785DBD">
            <w:pPr>
              <w:rPr>
                <w:rFonts w:ascii="Arial" w:hAnsi="Arial" w:cs="Arial"/>
                <w:sz w:val="20"/>
                <w:szCs w:val="20"/>
              </w:rPr>
            </w:pPr>
            <w:r w:rsidRPr="00C8330C">
              <w:rPr>
                <w:rFonts w:ascii="Arial" w:hAnsi="Arial" w:cs="Arial"/>
                <w:sz w:val="20"/>
                <w:szCs w:val="20"/>
              </w:rPr>
              <w:t>1.120</w:t>
            </w:r>
          </w:p>
        </w:tc>
        <w:tc>
          <w:tcPr>
            <w:tcW w:w="500" w:type="pct"/>
            <w:tcBorders>
              <w:top w:val="nil"/>
              <w:left w:val="single" w:sz="4" w:space="0" w:color="A6A6A6"/>
              <w:bottom w:val="single" w:sz="4" w:space="0" w:color="A6A6A6"/>
              <w:right w:val="single" w:sz="4" w:space="0" w:color="A6A6A6"/>
            </w:tcBorders>
            <w:shd w:val="clear" w:color="auto" w:fill="auto"/>
            <w:noWrap/>
            <w:vAlign w:val="center"/>
            <w:hideMark/>
          </w:tcPr>
          <w:p w14:paraId="24E05568" w14:textId="77777777" w:rsidR="009D481E" w:rsidRPr="00C8330C" w:rsidRDefault="009D481E" w:rsidP="00785DBD">
            <w:pPr>
              <w:rPr>
                <w:rFonts w:ascii="Arial" w:hAnsi="Arial" w:cs="Arial"/>
                <w:sz w:val="20"/>
                <w:szCs w:val="20"/>
              </w:rPr>
            </w:pPr>
            <w:r w:rsidRPr="00C8330C">
              <w:rPr>
                <w:rFonts w:ascii="Arial" w:hAnsi="Arial" w:cs="Arial"/>
                <w:sz w:val="20"/>
                <w:szCs w:val="20"/>
              </w:rPr>
              <w:t>1.403</w:t>
            </w:r>
          </w:p>
        </w:tc>
        <w:tc>
          <w:tcPr>
            <w:tcW w:w="505" w:type="pct"/>
            <w:tcBorders>
              <w:top w:val="nil"/>
              <w:left w:val="nil"/>
              <w:bottom w:val="single" w:sz="4" w:space="0" w:color="A6A6A6"/>
              <w:right w:val="single" w:sz="4" w:space="0" w:color="A6A6A6"/>
            </w:tcBorders>
            <w:shd w:val="clear" w:color="auto" w:fill="auto"/>
            <w:noWrap/>
            <w:vAlign w:val="center"/>
            <w:hideMark/>
          </w:tcPr>
          <w:p w14:paraId="4D393160" w14:textId="77777777" w:rsidR="009D481E" w:rsidRPr="00C8330C" w:rsidRDefault="009D481E" w:rsidP="00785DBD">
            <w:pPr>
              <w:rPr>
                <w:rFonts w:ascii="Arial" w:hAnsi="Arial" w:cs="Arial"/>
                <w:sz w:val="20"/>
                <w:szCs w:val="20"/>
              </w:rPr>
            </w:pPr>
            <w:r w:rsidRPr="00C8330C">
              <w:rPr>
                <w:rFonts w:ascii="Arial" w:hAnsi="Arial" w:cs="Arial"/>
                <w:sz w:val="20"/>
                <w:szCs w:val="20"/>
              </w:rPr>
              <w:t>1.064</w:t>
            </w:r>
          </w:p>
        </w:tc>
        <w:tc>
          <w:tcPr>
            <w:tcW w:w="505" w:type="pct"/>
            <w:tcBorders>
              <w:top w:val="nil"/>
              <w:left w:val="nil"/>
              <w:bottom w:val="single" w:sz="4" w:space="0" w:color="A6A6A6"/>
              <w:right w:val="single" w:sz="4" w:space="0" w:color="A6A6A6"/>
            </w:tcBorders>
            <w:shd w:val="clear" w:color="auto" w:fill="auto"/>
            <w:noWrap/>
            <w:vAlign w:val="center"/>
            <w:hideMark/>
          </w:tcPr>
          <w:p w14:paraId="26280B5D" w14:textId="77777777" w:rsidR="009D481E" w:rsidRPr="00C8330C" w:rsidRDefault="009D481E" w:rsidP="00785DBD">
            <w:pPr>
              <w:rPr>
                <w:rFonts w:ascii="Arial" w:hAnsi="Arial" w:cs="Arial"/>
                <w:sz w:val="20"/>
                <w:szCs w:val="20"/>
              </w:rPr>
            </w:pPr>
            <w:r w:rsidRPr="00C8330C">
              <w:rPr>
                <w:rFonts w:ascii="Arial" w:hAnsi="Arial" w:cs="Arial"/>
                <w:sz w:val="20"/>
                <w:szCs w:val="20"/>
              </w:rPr>
              <w:t>922</w:t>
            </w:r>
          </w:p>
        </w:tc>
        <w:tc>
          <w:tcPr>
            <w:tcW w:w="494" w:type="pct"/>
            <w:tcBorders>
              <w:top w:val="nil"/>
              <w:left w:val="nil"/>
              <w:bottom w:val="single" w:sz="4" w:space="0" w:color="A6A6A6"/>
              <w:right w:val="single" w:sz="8" w:space="0" w:color="3366CC"/>
            </w:tcBorders>
            <w:shd w:val="clear" w:color="auto" w:fill="auto"/>
            <w:noWrap/>
            <w:vAlign w:val="center"/>
            <w:hideMark/>
          </w:tcPr>
          <w:p w14:paraId="6948C04E" w14:textId="77777777" w:rsidR="009D481E" w:rsidRPr="00C8330C" w:rsidRDefault="009D481E" w:rsidP="00785DBD">
            <w:pPr>
              <w:rPr>
                <w:rFonts w:ascii="Arial" w:hAnsi="Arial" w:cs="Arial"/>
                <w:sz w:val="20"/>
                <w:szCs w:val="20"/>
              </w:rPr>
            </w:pPr>
            <w:r w:rsidRPr="00C8330C">
              <w:rPr>
                <w:rFonts w:ascii="Arial" w:hAnsi="Arial" w:cs="Arial"/>
                <w:sz w:val="20"/>
                <w:szCs w:val="20"/>
              </w:rPr>
              <w:t>765</w:t>
            </w:r>
          </w:p>
        </w:tc>
      </w:tr>
      <w:tr w:rsidR="009D481E" w:rsidRPr="00C8330C" w14:paraId="0FF046AC" w14:textId="77777777" w:rsidTr="00785DBD">
        <w:trPr>
          <w:trHeight w:val="375"/>
        </w:trPr>
        <w:tc>
          <w:tcPr>
            <w:tcW w:w="1388"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3AF048A3" w14:textId="77777777" w:rsidR="009D481E" w:rsidRPr="00C8330C" w:rsidRDefault="009D481E" w:rsidP="00785DBD">
            <w:pPr>
              <w:rPr>
                <w:rFonts w:ascii="Arial" w:hAnsi="Arial" w:cs="Arial"/>
                <w:sz w:val="20"/>
                <w:szCs w:val="20"/>
              </w:rPr>
            </w:pPr>
            <w:r w:rsidRPr="00C8330C">
              <w:rPr>
                <w:rFonts w:ascii="Arial" w:hAnsi="Arial" w:cs="Arial"/>
                <w:sz w:val="20"/>
                <w:szCs w:val="20"/>
              </w:rPr>
              <w:t>Doctorado</w:t>
            </w:r>
          </w:p>
        </w:tc>
        <w:tc>
          <w:tcPr>
            <w:tcW w:w="534" w:type="pct"/>
            <w:tcBorders>
              <w:top w:val="nil"/>
              <w:left w:val="nil"/>
              <w:bottom w:val="single" w:sz="4" w:space="0" w:color="A6A6A6"/>
              <w:right w:val="single" w:sz="4" w:space="0" w:color="A6A6A6"/>
            </w:tcBorders>
            <w:shd w:val="clear" w:color="auto" w:fill="auto"/>
            <w:noWrap/>
            <w:vAlign w:val="center"/>
            <w:hideMark/>
          </w:tcPr>
          <w:p w14:paraId="2F1F6038" w14:textId="77777777" w:rsidR="009D481E" w:rsidRPr="00C8330C" w:rsidRDefault="009D481E" w:rsidP="00785DBD">
            <w:pPr>
              <w:rPr>
                <w:rFonts w:ascii="Arial" w:hAnsi="Arial" w:cs="Arial"/>
                <w:sz w:val="20"/>
                <w:szCs w:val="20"/>
              </w:rPr>
            </w:pPr>
            <w:r w:rsidRPr="00C8330C">
              <w:rPr>
                <w:rFonts w:ascii="Arial" w:hAnsi="Arial" w:cs="Arial"/>
                <w:sz w:val="20"/>
                <w:szCs w:val="20"/>
              </w:rPr>
              <w:t>24</w:t>
            </w:r>
          </w:p>
        </w:tc>
        <w:tc>
          <w:tcPr>
            <w:tcW w:w="574" w:type="pct"/>
            <w:tcBorders>
              <w:top w:val="nil"/>
              <w:left w:val="nil"/>
              <w:bottom w:val="single" w:sz="4" w:space="0" w:color="A6A6A6"/>
              <w:right w:val="single" w:sz="4" w:space="0" w:color="A6A6A6"/>
            </w:tcBorders>
            <w:shd w:val="clear" w:color="auto" w:fill="auto"/>
            <w:noWrap/>
            <w:vAlign w:val="center"/>
            <w:hideMark/>
          </w:tcPr>
          <w:p w14:paraId="61BB175D" w14:textId="77777777" w:rsidR="009D481E" w:rsidRPr="00C8330C" w:rsidRDefault="009D481E" w:rsidP="00785DBD">
            <w:pPr>
              <w:rPr>
                <w:rFonts w:ascii="Arial" w:hAnsi="Arial" w:cs="Arial"/>
                <w:sz w:val="20"/>
                <w:szCs w:val="20"/>
              </w:rPr>
            </w:pPr>
            <w:r w:rsidRPr="00C8330C">
              <w:rPr>
                <w:rFonts w:ascii="Arial" w:hAnsi="Arial" w:cs="Arial"/>
                <w:sz w:val="20"/>
                <w:szCs w:val="20"/>
              </w:rPr>
              <w:t>49</w:t>
            </w:r>
          </w:p>
        </w:tc>
        <w:tc>
          <w:tcPr>
            <w:tcW w:w="500" w:type="pct"/>
            <w:tcBorders>
              <w:top w:val="nil"/>
              <w:left w:val="nil"/>
              <w:bottom w:val="single" w:sz="4" w:space="0" w:color="A6A6A6"/>
              <w:right w:val="nil"/>
            </w:tcBorders>
            <w:shd w:val="clear" w:color="auto" w:fill="auto"/>
            <w:noWrap/>
            <w:vAlign w:val="center"/>
            <w:hideMark/>
          </w:tcPr>
          <w:p w14:paraId="617C2E83" w14:textId="77777777" w:rsidR="009D481E" w:rsidRPr="00C8330C" w:rsidRDefault="009D481E" w:rsidP="00785DBD">
            <w:pPr>
              <w:rPr>
                <w:rFonts w:ascii="Arial" w:hAnsi="Arial" w:cs="Arial"/>
                <w:sz w:val="20"/>
                <w:szCs w:val="20"/>
              </w:rPr>
            </w:pPr>
            <w:r w:rsidRPr="00C8330C">
              <w:rPr>
                <w:rFonts w:ascii="Arial" w:hAnsi="Arial" w:cs="Arial"/>
                <w:sz w:val="20"/>
                <w:szCs w:val="20"/>
              </w:rPr>
              <w:t>42</w:t>
            </w:r>
          </w:p>
        </w:tc>
        <w:tc>
          <w:tcPr>
            <w:tcW w:w="500" w:type="pct"/>
            <w:tcBorders>
              <w:top w:val="nil"/>
              <w:left w:val="single" w:sz="4" w:space="0" w:color="A6A6A6"/>
              <w:bottom w:val="single" w:sz="4" w:space="0" w:color="A6A6A6"/>
              <w:right w:val="single" w:sz="4" w:space="0" w:color="A6A6A6"/>
            </w:tcBorders>
            <w:shd w:val="clear" w:color="auto" w:fill="auto"/>
            <w:noWrap/>
            <w:vAlign w:val="center"/>
            <w:hideMark/>
          </w:tcPr>
          <w:p w14:paraId="74114EB9" w14:textId="77777777" w:rsidR="009D481E" w:rsidRPr="00C8330C" w:rsidRDefault="009D481E" w:rsidP="00785DBD">
            <w:pPr>
              <w:rPr>
                <w:rFonts w:ascii="Arial" w:hAnsi="Arial" w:cs="Arial"/>
                <w:sz w:val="20"/>
                <w:szCs w:val="20"/>
              </w:rPr>
            </w:pPr>
            <w:r w:rsidRPr="00C8330C">
              <w:rPr>
                <w:rFonts w:ascii="Arial" w:hAnsi="Arial" w:cs="Arial"/>
                <w:sz w:val="20"/>
                <w:szCs w:val="20"/>
              </w:rPr>
              <w:t>64</w:t>
            </w:r>
          </w:p>
        </w:tc>
        <w:tc>
          <w:tcPr>
            <w:tcW w:w="505" w:type="pct"/>
            <w:tcBorders>
              <w:top w:val="nil"/>
              <w:left w:val="nil"/>
              <w:bottom w:val="single" w:sz="4" w:space="0" w:color="A6A6A6"/>
              <w:right w:val="single" w:sz="4" w:space="0" w:color="A6A6A6"/>
            </w:tcBorders>
            <w:shd w:val="clear" w:color="auto" w:fill="auto"/>
            <w:noWrap/>
            <w:vAlign w:val="center"/>
            <w:hideMark/>
          </w:tcPr>
          <w:p w14:paraId="57060811" w14:textId="77777777" w:rsidR="009D481E" w:rsidRPr="00C8330C" w:rsidRDefault="009D481E" w:rsidP="00785DBD">
            <w:pPr>
              <w:rPr>
                <w:rFonts w:ascii="Arial" w:hAnsi="Arial" w:cs="Arial"/>
                <w:sz w:val="20"/>
                <w:szCs w:val="20"/>
              </w:rPr>
            </w:pPr>
            <w:r w:rsidRPr="00C8330C">
              <w:rPr>
                <w:rFonts w:ascii="Arial" w:hAnsi="Arial" w:cs="Arial"/>
                <w:sz w:val="20"/>
                <w:szCs w:val="20"/>
              </w:rPr>
              <w:t>60</w:t>
            </w:r>
          </w:p>
        </w:tc>
        <w:tc>
          <w:tcPr>
            <w:tcW w:w="505" w:type="pct"/>
            <w:tcBorders>
              <w:top w:val="nil"/>
              <w:left w:val="nil"/>
              <w:bottom w:val="single" w:sz="4" w:space="0" w:color="A6A6A6"/>
              <w:right w:val="single" w:sz="4" w:space="0" w:color="A6A6A6"/>
            </w:tcBorders>
            <w:shd w:val="clear" w:color="auto" w:fill="auto"/>
            <w:noWrap/>
            <w:vAlign w:val="center"/>
            <w:hideMark/>
          </w:tcPr>
          <w:p w14:paraId="1D704D91" w14:textId="77777777" w:rsidR="009D481E" w:rsidRPr="00C8330C" w:rsidRDefault="009D481E" w:rsidP="00785DBD">
            <w:pPr>
              <w:rPr>
                <w:rFonts w:ascii="Arial" w:hAnsi="Arial" w:cs="Arial"/>
                <w:sz w:val="20"/>
                <w:szCs w:val="20"/>
              </w:rPr>
            </w:pPr>
            <w:r w:rsidRPr="00C8330C">
              <w:rPr>
                <w:rFonts w:ascii="Arial" w:hAnsi="Arial" w:cs="Arial"/>
                <w:sz w:val="20"/>
                <w:szCs w:val="20"/>
              </w:rPr>
              <w:t>75</w:t>
            </w:r>
          </w:p>
        </w:tc>
        <w:tc>
          <w:tcPr>
            <w:tcW w:w="494" w:type="pct"/>
            <w:tcBorders>
              <w:top w:val="nil"/>
              <w:left w:val="nil"/>
              <w:bottom w:val="single" w:sz="4" w:space="0" w:color="A6A6A6"/>
              <w:right w:val="single" w:sz="8" w:space="0" w:color="3366CC"/>
            </w:tcBorders>
            <w:shd w:val="clear" w:color="auto" w:fill="auto"/>
            <w:noWrap/>
            <w:vAlign w:val="center"/>
            <w:hideMark/>
          </w:tcPr>
          <w:p w14:paraId="785C81E6" w14:textId="77777777" w:rsidR="009D481E" w:rsidRPr="00C8330C" w:rsidRDefault="009D481E" w:rsidP="00785DBD">
            <w:pPr>
              <w:rPr>
                <w:rFonts w:ascii="Arial" w:hAnsi="Arial" w:cs="Arial"/>
                <w:sz w:val="20"/>
                <w:szCs w:val="20"/>
              </w:rPr>
            </w:pPr>
            <w:r w:rsidRPr="00C8330C">
              <w:rPr>
                <w:rFonts w:ascii="Arial" w:hAnsi="Arial" w:cs="Arial"/>
                <w:sz w:val="20"/>
                <w:szCs w:val="20"/>
              </w:rPr>
              <w:t>72</w:t>
            </w:r>
          </w:p>
        </w:tc>
      </w:tr>
      <w:tr w:rsidR="009D481E" w:rsidRPr="00C8330C" w14:paraId="5393A3D2" w14:textId="77777777" w:rsidTr="00785DBD">
        <w:trPr>
          <w:trHeight w:val="390"/>
        </w:trPr>
        <w:tc>
          <w:tcPr>
            <w:tcW w:w="1388" w:type="pct"/>
            <w:tcBorders>
              <w:top w:val="single" w:sz="4" w:space="0" w:color="A6A6A6"/>
              <w:left w:val="single" w:sz="8" w:space="0" w:color="3366CC"/>
              <w:bottom w:val="single" w:sz="8" w:space="0" w:color="3366CC"/>
              <w:right w:val="single" w:sz="8" w:space="0" w:color="3366CC"/>
            </w:tcBorders>
            <w:shd w:val="clear" w:color="000000" w:fill="DDEBF7"/>
            <w:noWrap/>
            <w:vAlign w:val="center"/>
            <w:hideMark/>
          </w:tcPr>
          <w:p w14:paraId="0FD4008A"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Total General</w:t>
            </w:r>
          </w:p>
        </w:tc>
        <w:tc>
          <w:tcPr>
            <w:tcW w:w="534" w:type="pct"/>
            <w:tcBorders>
              <w:top w:val="nil"/>
              <w:left w:val="nil"/>
              <w:bottom w:val="single" w:sz="8" w:space="0" w:color="3366CC"/>
              <w:right w:val="single" w:sz="4" w:space="0" w:color="A6A6A6"/>
            </w:tcBorders>
            <w:shd w:val="clear" w:color="000000" w:fill="DDEBF7"/>
            <w:noWrap/>
            <w:vAlign w:val="center"/>
            <w:hideMark/>
          </w:tcPr>
          <w:p w14:paraId="53256F9F"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8.576</w:t>
            </w:r>
          </w:p>
        </w:tc>
        <w:tc>
          <w:tcPr>
            <w:tcW w:w="574" w:type="pct"/>
            <w:tcBorders>
              <w:top w:val="nil"/>
              <w:left w:val="nil"/>
              <w:bottom w:val="single" w:sz="8" w:space="0" w:color="3366CC"/>
              <w:right w:val="single" w:sz="4" w:space="0" w:color="A6A6A6"/>
            </w:tcBorders>
            <w:shd w:val="clear" w:color="000000" w:fill="DDEBF7"/>
            <w:noWrap/>
            <w:vAlign w:val="center"/>
            <w:hideMark/>
          </w:tcPr>
          <w:p w14:paraId="5E37F729"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9.845</w:t>
            </w:r>
          </w:p>
        </w:tc>
        <w:tc>
          <w:tcPr>
            <w:tcW w:w="500" w:type="pct"/>
            <w:tcBorders>
              <w:top w:val="nil"/>
              <w:left w:val="nil"/>
              <w:bottom w:val="single" w:sz="8" w:space="0" w:color="3366CC"/>
              <w:right w:val="nil"/>
            </w:tcBorders>
            <w:shd w:val="clear" w:color="000000" w:fill="DDEBF7"/>
            <w:noWrap/>
            <w:vAlign w:val="center"/>
            <w:hideMark/>
          </w:tcPr>
          <w:p w14:paraId="2411B5EA"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10.516</w:t>
            </w:r>
          </w:p>
        </w:tc>
        <w:tc>
          <w:tcPr>
            <w:tcW w:w="500" w:type="pct"/>
            <w:tcBorders>
              <w:top w:val="nil"/>
              <w:left w:val="single" w:sz="4" w:space="0" w:color="A6A6A6"/>
              <w:bottom w:val="single" w:sz="8" w:space="0" w:color="3366CC"/>
              <w:right w:val="single" w:sz="4" w:space="0" w:color="A6A6A6"/>
            </w:tcBorders>
            <w:shd w:val="clear" w:color="000000" w:fill="DDEBF7"/>
            <w:noWrap/>
            <w:vAlign w:val="center"/>
            <w:hideMark/>
          </w:tcPr>
          <w:p w14:paraId="567C9990"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12.131</w:t>
            </w:r>
          </w:p>
        </w:tc>
        <w:tc>
          <w:tcPr>
            <w:tcW w:w="505" w:type="pct"/>
            <w:tcBorders>
              <w:top w:val="nil"/>
              <w:left w:val="nil"/>
              <w:bottom w:val="single" w:sz="8" w:space="0" w:color="3366CC"/>
              <w:right w:val="single" w:sz="4" w:space="0" w:color="A6A6A6"/>
            </w:tcBorders>
            <w:shd w:val="clear" w:color="000000" w:fill="DDEBF7"/>
            <w:noWrap/>
            <w:vAlign w:val="center"/>
            <w:hideMark/>
          </w:tcPr>
          <w:p w14:paraId="051C1510"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11.406</w:t>
            </w:r>
          </w:p>
        </w:tc>
        <w:tc>
          <w:tcPr>
            <w:tcW w:w="505" w:type="pct"/>
            <w:tcBorders>
              <w:top w:val="nil"/>
              <w:left w:val="nil"/>
              <w:bottom w:val="single" w:sz="8" w:space="0" w:color="3366CC"/>
              <w:right w:val="single" w:sz="4" w:space="0" w:color="A6A6A6"/>
            </w:tcBorders>
            <w:shd w:val="clear" w:color="000000" w:fill="DDEBF7"/>
            <w:noWrap/>
            <w:vAlign w:val="center"/>
            <w:hideMark/>
          </w:tcPr>
          <w:p w14:paraId="2160C1EF"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10.358</w:t>
            </w:r>
          </w:p>
        </w:tc>
        <w:tc>
          <w:tcPr>
            <w:tcW w:w="494" w:type="pct"/>
            <w:tcBorders>
              <w:top w:val="nil"/>
              <w:left w:val="nil"/>
              <w:bottom w:val="single" w:sz="8" w:space="0" w:color="3366CC"/>
              <w:right w:val="single" w:sz="8" w:space="0" w:color="3366CC"/>
            </w:tcBorders>
            <w:shd w:val="clear" w:color="000000" w:fill="DDEBF7"/>
            <w:noWrap/>
            <w:vAlign w:val="center"/>
            <w:hideMark/>
          </w:tcPr>
          <w:p w14:paraId="17FCAD5E" w14:textId="77777777" w:rsidR="009D481E" w:rsidRPr="00C8330C" w:rsidRDefault="009D481E" w:rsidP="00785DBD">
            <w:pPr>
              <w:rPr>
                <w:rFonts w:ascii="Arial" w:hAnsi="Arial" w:cs="Arial"/>
                <w:b/>
                <w:bCs/>
                <w:sz w:val="20"/>
                <w:szCs w:val="20"/>
              </w:rPr>
            </w:pPr>
            <w:r w:rsidRPr="00C8330C">
              <w:rPr>
                <w:rFonts w:ascii="Arial" w:hAnsi="Arial" w:cs="Arial"/>
                <w:b/>
                <w:bCs/>
                <w:sz w:val="20"/>
                <w:szCs w:val="20"/>
              </w:rPr>
              <w:t>10.828</w:t>
            </w:r>
          </w:p>
        </w:tc>
      </w:tr>
    </w:tbl>
    <w:p w14:paraId="6200A3BA" w14:textId="77777777" w:rsidR="009D481E" w:rsidRPr="00C8330C" w:rsidRDefault="009D481E" w:rsidP="009D481E">
      <w:pPr>
        <w:jc w:val="center"/>
        <w:rPr>
          <w:rStyle w:val="Referenciasutil"/>
          <w:rFonts w:ascii="Arial" w:hAnsi="Arial" w:cs="Arial"/>
          <w:sz w:val="16"/>
          <w:szCs w:val="16"/>
        </w:rPr>
      </w:pPr>
      <w:r w:rsidRPr="00C8330C">
        <w:rPr>
          <w:rStyle w:val="Referenciasutil"/>
          <w:rFonts w:ascii="Arial" w:hAnsi="Arial" w:cs="Arial"/>
          <w:sz w:val="16"/>
          <w:szCs w:val="16"/>
        </w:rPr>
        <w:t>Fuente: MEN - Observatorio Laboral de la Educación - OLE</w:t>
      </w:r>
    </w:p>
    <w:p w14:paraId="525A6D0C" w14:textId="77777777" w:rsidR="009D481E" w:rsidRDefault="009D481E" w:rsidP="00932E1A">
      <w:pPr>
        <w:rPr>
          <w:rFonts w:ascii="Bookman Old Style" w:hAnsi="Bookman Old Style"/>
        </w:rPr>
      </w:pPr>
    </w:p>
    <w:p w14:paraId="035CD934" w14:textId="21B4850C" w:rsidR="009D481E" w:rsidRPr="009D481E" w:rsidRDefault="009D481E" w:rsidP="00676F0E">
      <w:pPr>
        <w:jc w:val="both"/>
        <w:rPr>
          <w:rFonts w:ascii="Bookman Old Style" w:hAnsi="Bookman Old Style"/>
        </w:rPr>
      </w:pPr>
      <w:r w:rsidRPr="009D481E">
        <w:rPr>
          <w:rFonts w:ascii="Bookman Old Style" w:hAnsi="Bookman Old Style"/>
        </w:rPr>
        <w:t xml:space="preserve">En </w:t>
      </w:r>
      <w:proofErr w:type="spellStart"/>
      <w:r w:rsidRPr="009D481E">
        <w:rPr>
          <w:rFonts w:ascii="Bookman Old Style" w:hAnsi="Bookman Old Style"/>
        </w:rPr>
        <w:t>relación</w:t>
      </w:r>
      <w:proofErr w:type="spellEnd"/>
      <w:r w:rsidRPr="009D481E">
        <w:rPr>
          <w:rFonts w:ascii="Bookman Old Style" w:hAnsi="Bookman Old Style"/>
        </w:rPr>
        <w:t xml:space="preserve"> con lo anterior y en lo que hace al mercado laboral, la tasa de </w:t>
      </w:r>
      <w:proofErr w:type="spellStart"/>
      <w:r w:rsidRPr="009D481E">
        <w:rPr>
          <w:rFonts w:ascii="Bookman Old Style" w:hAnsi="Bookman Old Style"/>
        </w:rPr>
        <w:t>ocupación</w:t>
      </w:r>
      <w:proofErr w:type="spellEnd"/>
      <w:r w:rsidRPr="009D481E">
        <w:rPr>
          <w:rFonts w:ascii="Bookman Old Style" w:hAnsi="Bookman Old Style"/>
        </w:rPr>
        <w:t xml:space="preserve"> de la </w:t>
      </w:r>
      <w:proofErr w:type="spellStart"/>
      <w:r w:rsidRPr="009D481E">
        <w:rPr>
          <w:rFonts w:ascii="Bookman Old Style" w:hAnsi="Bookman Old Style"/>
        </w:rPr>
        <w:t>población</w:t>
      </w:r>
      <w:proofErr w:type="spellEnd"/>
      <w:r w:rsidRPr="009D481E">
        <w:rPr>
          <w:rFonts w:ascii="Bookman Old Style" w:hAnsi="Bookman Old Style"/>
        </w:rPr>
        <w:t xml:space="preserve"> con título de educación superior del</w:t>
      </w:r>
      <w:r w:rsidR="00676F0E">
        <w:rPr>
          <w:rFonts w:ascii="Bookman Old Style" w:hAnsi="Bookman Old Style"/>
        </w:rPr>
        <w:t xml:space="preserve"> </w:t>
      </w:r>
      <w:r w:rsidRPr="009D481E">
        <w:rPr>
          <w:rFonts w:ascii="Bookman Old Style" w:hAnsi="Bookman Old Style"/>
        </w:rPr>
        <w:t xml:space="preserve">departamento puede catalogarse como alta, desde del nivel de formación tecnológica: </w:t>
      </w:r>
    </w:p>
    <w:p w14:paraId="5157863A" w14:textId="77777777" w:rsidR="009D481E" w:rsidRDefault="009D481E" w:rsidP="00932E1A">
      <w:pPr>
        <w:rPr>
          <w:rFonts w:ascii="Bookman Old Style" w:hAnsi="Bookman Old Style"/>
        </w:rPr>
      </w:pPr>
    </w:p>
    <w:p w14:paraId="5D93E7C7" w14:textId="0ECD799B" w:rsidR="00676F0E" w:rsidRPr="00985A2D" w:rsidRDefault="00676F0E" w:rsidP="00676F0E">
      <w:pPr>
        <w:pStyle w:val="Descripcin"/>
        <w:jc w:val="center"/>
        <w:rPr>
          <w:rFonts w:ascii="Arial" w:hAnsi="Arial" w:cs="Arial"/>
          <w:b/>
          <w:iCs w:val="0"/>
          <w:szCs w:val="22"/>
        </w:rPr>
      </w:pPr>
      <w:r>
        <w:t xml:space="preserve">Tabla </w:t>
      </w:r>
      <w:fldSimple w:instr=" SEQ Tabla \* ARABIC ">
        <w:r w:rsidR="007A7AF3">
          <w:rPr>
            <w:noProof/>
          </w:rPr>
          <w:t>5</w:t>
        </w:r>
      </w:fldSimple>
      <w:r>
        <w:t xml:space="preserve">. </w:t>
      </w:r>
      <w:r w:rsidRPr="001071C8">
        <w:t>Vinculación al mercado laboral de recién graduados (2015 – 2021)</w:t>
      </w:r>
    </w:p>
    <w:tbl>
      <w:tblPr>
        <w:tblW w:w="5000" w:type="pct"/>
        <w:tblCellMar>
          <w:left w:w="70" w:type="dxa"/>
          <w:right w:w="70" w:type="dxa"/>
        </w:tblCellMar>
        <w:tblLook w:val="04A0" w:firstRow="1" w:lastRow="0" w:firstColumn="1" w:lastColumn="0" w:noHBand="0" w:noVBand="1"/>
      </w:tblPr>
      <w:tblGrid>
        <w:gridCol w:w="1824"/>
        <w:gridCol w:w="1165"/>
        <w:gridCol w:w="1165"/>
        <w:gridCol w:w="1166"/>
        <w:gridCol w:w="1166"/>
        <w:gridCol w:w="1166"/>
        <w:gridCol w:w="1166"/>
      </w:tblGrid>
      <w:tr w:rsidR="00676F0E" w:rsidRPr="00C8330C" w14:paraId="255297C2" w14:textId="77777777" w:rsidTr="00785DBD">
        <w:trPr>
          <w:trHeight w:val="765"/>
        </w:trPr>
        <w:tc>
          <w:tcPr>
            <w:tcW w:w="1009" w:type="pct"/>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0E2F9EC7" w14:textId="77777777" w:rsidR="00676F0E" w:rsidRPr="00C8330C" w:rsidRDefault="00676F0E" w:rsidP="00785DBD">
            <w:pPr>
              <w:jc w:val="center"/>
              <w:rPr>
                <w:rFonts w:ascii="Arial" w:hAnsi="Arial" w:cs="Arial"/>
                <w:b/>
                <w:bCs/>
                <w:sz w:val="20"/>
                <w:szCs w:val="20"/>
              </w:rPr>
            </w:pPr>
            <w:r w:rsidRPr="00C8330C">
              <w:rPr>
                <w:rFonts w:ascii="Arial" w:hAnsi="Arial" w:cs="Arial"/>
                <w:b/>
                <w:bCs/>
                <w:sz w:val="20"/>
                <w:szCs w:val="20"/>
              </w:rPr>
              <w:t>Nivel de Formación</w:t>
            </w:r>
          </w:p>
        </w:tc>
        <w:tc>
          <w:tcPr>
            <w:tcW w:w="665" w:type="pct"/>
            <w:tcBorders>
              <w:top w:val="single" w:sz="8" w:space="0" w:color="3366CC"/>
              <w:left w:val="nil"/>
              <w:bottom w:val="single" w:sz="8" w:space="0" w:color="3366CC"/>
              <w:right w:val="nil"/>
            </w:tcBorders>
            <w:shd w:val="clear" w:color="000000" w:fill="DDEBF7"/>
            <w:vAlign w:val="center"/>
            <w:hideMark/>
          </w:tcPr>
          <w:p w14:paraId="53EAF7D5" w14:textId="77777777" w:rsidR="00676F0E" w:rsidRPr="00C8330C" w:rsidRDefault="00676F0E" w:rsidP="00785DBD">
            <w:pPr>
              <w:jc w:val="center"/>
              <w:rPr>
                <w:rFonts w:ascii="Arial" w:hAnsi="Arial" w:cs="Arial"/>
                <w:b/>
                <w:bCs/>
                <w:sz w:val="20"/>
                <w:szCs w:val="20"/>
              </w:rPr>
            </w:pPr>
            <w:r w:rsidRPr="00C8330C">
              <w:rPr>
                <w:rFonts w:ascii="Arial" w:hAnsi="Arial" w:cs="Arial"/>
                <w:b/>
                <w:bCs/>
                <w:sz w:val="20"/>
                <w:szCs w:val="20"/>
              </w:rPr>
              <w:t>Vinculación 2015</w:t>
            </w:r>
            <w:r w:rsidRPr="00C8330C">
              <w:rPr>
                <w:rFonts w:ascii="Arial" w:hAnsi="Arial" w:cs="Arial"/>
                <w:b/>
                <w:bCs/>
                <w:sz w:val="20"/>
                <w:szCs w:val="20"/>
              </w:rPr>
              <w:br/>
              <w:t>(Graduados 2014)</w:t>
            </w:r>
          </w:p>
        </w:tc>
        <w:tc>
          <w:tcPr>
            <w:tcW w:w="665" w:type="pct"/>
            <w:tcBorders>
              <w:top w:val="single" w:sz="8" w:space="0" w:color="3366CC"/>
              <w:left w:val="nil"/>
              <w:bottom w:val="single" w:sz="8" w:space="0" w:color="3366CC"/>
              <w:right w:val="nil"/>
            </w:tcBorders>
            <w:shd w:val="clear" w:color="000000" w:fill="DDEBF7"/>
            <w:vAlign w:val="center"/>
            <w:hideMark/>
          </w:tcPr>
          <w:p w14:paraId="7832816A" w14:textId="77777777" w:rsidR="00676F0E" w:rsidRPr="00C8330C" w:rsidRDefault="00676F0E" w:rsidP="00785DBD">
            <w:pPr>
              <w:jc w:val="center"/>
              <w:rPr>
                <w:rFonts w:ascii="Arial" w:hAnsi="Arial" w:cs="Arial"/>
                <w:b/>
                <w:bCs/>
                <w:sz w:val="20"/>
                <w:szCs w:val="20"/>
              </w:rPr>
            </w:pPr>
            <w:r w:rsidRPr="00C8330C">
              <w:rPr>
                <w:rFonts w:ascii="Arial" w:hAnsi="Arial" w:cs="Arial"/>
                <w:b/>
                <w:bCs/>
                <w:sz w:val="20"/>
                <w:szCs w:val="20"/>
              </w:rPr>
              <w:t>Vinculación 2016</w:t>
            </w:r>
            <w:r w:rsidRPr="00C8330C">
              <w:rPr>
                <w:rFonts w:ascii="Arial" w:hAnsi="Arial" w:cs="Arial"/>
                <w:b/>
                <w:bCs/>
                <w:sz w:val="20"/>
                <w:szCs w:val="20"/>
              </w:rPr>
              <w:br/>
              <w:t>(Graduados 2015)</w:t>
            </w:r>
          </w:p>
        </w:tc>
        <w:tc>
          <w:tcPr>
            <w:tcW w:w="665" w:type="pct"/>
            <w:tcBorders>
              <w:top w:val="single" w:sz="8" w:space="0" w:color="3366CC"/>
              <w:left w:val="nil"/>
              <w:bottom w:val="single" w:sz="8" w:space="0" w:color="3366CC"/>
              <w:right w:val="nil"/>
            </w:tcBorders>
            <w:shd w:val="clear" w:color="000000" w:fill="DDEBF7"/>
            <w:vAlign w:val="center"/>
            <w:hideMark/>
          </w:tcPr>
          <w:p w14:paraId="449BB3F2" w14:textId="77777777" w:rsidR="00676F0E" w:rsidRPr="00C8330C" w:rsidRDefault="00676F0E" w:rsidP="00785DBD">
            <w:pPr>
              <w:jc w:val="center"/>
              <w:rPr>
                <w:rFonts w:ascii="Arial" w:hAnsi="Arial" w:cs="Arial"/>
                <w:b/>
                <w:bCs/>
                <w:sz w:val="20"/>
                <w:szCs w:val="20"/>
              </w:rPr>
            </w:pPr>
            <w:r w:rsidRPr="00C8330C">
              <w:rPr>
                <w:rFonts w:ascii="Arial" w:hAnsi="Arial" w:cs="Arial"/>
                <w:b/>
                <w:bCs/>
                <w:sz w:val="20"/>
                <w:szCs w:val="20"/>
              </w:rPr>
              <w:t>Vinculación 2017</w:t>
            </w:r>
            <w:r w:rsidRPr="00C8330C">
              <w:rPr>
                <w:rFonts w:ascii="Arial" w:hAnsi="Arial" w:cs="Arial"/>
                <w:b/>
                <w:bCs/>
                <w:sz w:val="20"/>
                <w:szCs w:val="20"/>
              </w:rPr>
              <w:br/>
              <w:t>(Graduados 2016)</w:t>
            </w:r>
          </w:p>
        </w:tc>
        <w:tc>
          <w:tcPr>
            <w:tcW w:w="665" w:type="pct"/>
            <w:tcBorders>
              <w:top w:val="single" w:sz="8" w:space="0" w:color="3366CC"/>
              <w:left w:val="nil"/>
              <w:bottom w:val="single" w:sz="8" w:space="0" w:color="3366CC"/>
              <w:right w:val="nil"/>
            </w:tcBorders>
            <w:shd w:val="clear" w:color="000000" w:fill="DDEBF7"/>
            <w:vAlign w:val="center"/>
            <w:hideMark/>
          </w:tcPr>
          <w:p w14:paraId="24532F3F" w14:textId="77777777" w:rsidR="00676F0E" w:rsidRPr="00C8330C" w:rsidRDefault="00676F0E" w:rsidP="00785DBD">
            <w:pPr>
              <w:jc w:val="center"/>
              <w:rPr>
                <w:rFonts w:ascii="Arial" w:hAnsi="Arial" w:cs="Arial"/>
                <w:b/>
                <w:bCs/>
                <w:sz w:val="20"/>
                <w:szCs w:val="20"/>
              </w:rPr>
            </w:pPr>
            <w:r w:rsidRPr="00C8330C">
              <w:rPr>
                <w:rFonts w:ascii="Arial" w:hAnsi="Arial" w:cs="Arial"/>
                <w:b/>
                <w:bCs/>
                <w:sz w:val="20"/>
                <w:szCs w:val="20"/>
              </w:rPr>
              <w:t>Vinculación 2018</w:t>
            </w:r>
            <w:r w:rsidRPr="00C8330C">
              <w:rPr>
                <w:rFonts w:ascii="Arial" w:hAnsi="Arial" w:cs="Arial"/>
                <w:b/>
                <w:bCs/>
                <w:sz w:val="20"/>
                <w:szCs w:val="20"/>
              </w:rPr>
              <w:br/>
              <w:t>(Graduados 2017)</w:t>
            </w:r>
          </w:p>
        </w:tc>
        <w:tc>
          <w:tcPr>
            <w:tcW w:w="665" w:type="pct"/>
            <w:tcBorders>
              <w:top w:val="single" w:sz="8" w:space="0" w:color="3366CC"/>
              <w:left w:val="nil"/>
              <w:bottom w:val="single" w:sz="8" w:space="0" w:color="3366CC"/>
              <w:right w:val="nil"/>
            </w:tcBorders>
            <w:shd w:val="clear" w:color="000000" w:fill="DDEBF7"/>
            <w:vAlign w:val="center"/>
            <w:hideMark/>
          </w:tcPr>
          <w:p w14:paraId="26483FAE" w14:textId="77777777" w:rsidR="00676F0E" w:rsidRPr="00C8330C" w:rsidRDefault="00676F0E" w:rsidP="00785DBD">
            <w:pPr>
              <w:jc w:val="center"/>
              <w:rPr>
                <w:rFonts w:ascii="Arial" w:hAnsi="Arial" w:cs="Arial"/>
                <w:b/>
                <w:bCs/>
                <w:sz w:val="20"/>
                <w:szCs w:val="20"/>
              </w:rPr>
            </w:pPr>
            <w:r w:rsidRPr="00C8330C">
              <w:rPr>
                <w:rFonts w:ascii="Arial" w:hAnsi="Arial" w:cs="Arial"/>
                <w:b/>
                <w:bCs/>
                <w:sz w:val="20"/>
                <w:szCs w:val="20"/>
              </w:rPr>
              <w:t>Vinculación 2019</w:t>
            </w:r>
            <w:r w:rsidRPr="00C8330C">
              <w:rPr>
                <w:rFonts w:ascii="Arial" w:hAnsi="Arial" w:cs="Arial"/>
                <w:b/>
                <w:bCs/>
                <w:sz w:val="20"/>
                <w:szCs w:val="20"/>
              </w:rPr>
              <w:br/>
              <w:t>(Graduados 2018)</w:t>
            </w:r>
          </w:p>
        </w:tc>
        <w:tc>
          <w:tcPr>
            <w:tcW w:w="665" w:type="pct"/>
            <w:tcBorders>
              <w:top w:val="single" w:sz="8" w:space="0" w:color="3366CC"/>
              <w:left w:val="nil"/>
              <w:bottom w:val="single" w:sz="8" w:space="0" w:color="3366CC"/>
              <w:right w:val="single" w:sz="8" w:space="0" w:color="3366CC"/>
            </w:tcBorders>
            <w:shd w:val="clear" w:color="000000" w:fill="DDEBF7"/>
            <w:vAlign w:val="center"/>
            <w:hideMark/>
          </w:tcPr>
          <w:p w14:paraId="3CBFCE1A" w14:textId="77777777" w:rsidR="00676F0E" w:rsidRPr="00C8330C" w:rsidRDefault="00676F0E" w:rsidP="00785DBD">
            <w:pPr>
              <w:jc w:val="center"/>
              <w:rPr>
                <w:rFonts w:ascii="Arial" w:hAnsi="Arial" w:cs="Arial"/>
                <w:b/>
                <w:bCs/>
                <w:sz w:val="20"/>
                <w:szCs w:val="20"/>
              </w:rPr>
            </w:pPr>
            <w:r w:rsidRPr="00C8330C">
              <w:rPr>
                <w:rFonts w:ascii="Arial" w:hAnsi="Arial" w:cs="Arial"/>
                <w:b/>
                <w:bCs/>
                <w:sz w:val="20"/>
                <w:szCs w:val="20"/>
              </w:rPr>
              <w:t>Vinculación 2020</w:t>
            </w:r>
            <w:r w:rsidRPr="00C8330C">
              <w:rPr>
                <w:rFonts w:ascii="Arial" w:hAnsi="Arial" w:cs="Arial"/>
                <w:b/>
                <w:bCs/>
                <w:sz w:val="20"/>
                <w:szCs w:val="20"/>
              </w:rPr>
              <w:br/>
              <w:t>(Graduados 2019)</w:t>
            </w:r>
          </w:p>
        </w:tc>
      </w:tr>
      <w:tr w:rsidR="00676F0E" w:rsidRPr="00C8330C" w14:paraId="0DB004E2" w14:textId="77777777" w:rsidTr="00785DBD">
        <w:trPr>
          <w:trHeight w:val="375"/>
        </w:trPr>
        <w:tc>
          <w:tcPr>
            <w:tcW w:w="1009" w:type="pct"/>
            <w:tcBorders>
              <w:top w:val="single" w:sz="8" w:space="0" w:color="3366CC"/>
              <w:left w:val="single" w:sz="8" w:space="0" w:color="3366CC"/>
              <w:bottom w:val="single" w:sz="4" w:space="0" w:color="A6A6A6"/>
              <w:right w:val="single" w:sz="8" w:space="0" w:color="3366CC"/>
            </w:tcBorders>
            <w:shd w:val="clear" w:color="auto" w:fill="auto"/>
            <w:noWrap/>
            <w:vAlign w:val="center"/>
            <w:hideMark/>
          </w:tcPr>
          <w:p w14:paraId="6C94BEEC" w14:textId="77777777" w:rsidR="00676F0E" w:rsidRPr="00C8330C" w:rsidRDefault="00676F0E" w:rsidP="00785DBD">
            <w:pPr>
              <w:rPr>
                <w:rFonts w:ascii="Arial" w:hAnsi="Arial" w:cs="Arial"/>
                <w:sz w:val="20"/>
                <w:szCs w:val="20"/>
              </w:rPr>
            </w:pPr>
            <w:r w:rsidRPr="00C8330C">
              <w:rPr>
                <w:rFonts w:ascii="Arial" w:hAnsi="Arial" w:cs="Arial"/>
                <w:sz w:val="20"/>
                <w:szCs w:val="20"/>
              </w:rPr>
              <w:t>Técnica Profesional</w:t>
            </w:r>
          </w:p>
        </w:tc>
        <w:tc>
          <w:tcPr>
            <w:tcW w:w="665" w:type="pct"/>
            <w:tcBorders>
              <w:top w:val="nil"/>
              <w:left w:val="nil"/>
              <w:bottom w:val="single" w:sz="4" w:space="0" w:color="A6A6A6"/>
              <w:right w:val="single" w:sz="4" w:space="0" w:color="A6A6A6"/>
            </w:tcBorders>
            <w:shd w:val="clear" w:color="auto" w:fill="auto"/>
            <w:noWrap/>
            <w:vAlign w:val="center"/>
            <w:hideMark/>
          </w:tcPr>
          <w:p w14:paraId="216D4E96" w14:textId="77777777" w:rsidR="00676F0E" w:rsidRPr="00C8330C" w:rsidRDefault="00676F0E" w:rsidP="00785DBD">
            <w:pPr>
              <w:rPr>
                <w:rFonts w:ascii="Arial" w:hAnsi="Arial" w:cs="Arial"/>
                <w:sz w:val="20"/>
                <w:szCs w:val="20"/>
              </w:rPr>
            </w:pPr>
            <w:r w:rsidRPr="00C8330C">
              <w:rPr>
                <w:rFonts w:ascii="Arial" w:hAnsi="Arial" w:cs="Arial"/>
                <w:sz w:val="20"/>
                <w:szCs w:val="20"/>
              </w:rPr>
              <w:t>39,7%</w:t>
            </w:r>
          </w:p>
        </w:tc>
        <w:tc>
          <w:tcPr>
            <w:tcW w:w="665" w:type="pct"/>
            <w:tcBorders>
              <w:top w:val="nil"/>
              <w:left w:val="nil"/>
              <w:bottom w:val="single" w:sz="4" w:space="0" w:color="A6A6A6"/>
              <w:right w:val="nil"/>
            </w:tcBorders>
            <w:shd w:val="clear" w:color="auto" w:fill="auto"/>
            <w:noWrap/>
            <w:vAlign w:val="center"/>
            <w:hideMark/>
          </w:tcPr>
          <w:p w14:paraId="796C84DD" w14:textId="77777777" w:rsidR="00676F0E" w:rsidRPr="00C8330C" w:rsidRDefault="00676F0E" w:rsidP="00785DBD">
            <w:pPr>
              <w:rPr>
                <w:rFonts w:ascii="Arial" w:hAnsi="Arial" w:cs="Arial"/>
                <w:sz w:val="20"/>
                <w:szCs w:val="20"/>
              </w:rPr>
            </w:pPr>
            <w:r w:rsidRPr="00C8330C">
              <w:rPr>
                <w:rFonts w:ascii="Arial" w:hAnsi="Arial" w:cs="Arial"/>
                <w:sz w:val="20"/>
                <w:szCs w:val="20"/>
              </w:rPr>
              <w:t>31,7%</w:t>
            </w:r>
          </w:p>
        </w:tc>
        <w:tc>
          <w:tcPr>
            <w:tcW w:w="665" w:type="pct"/>
            <w:tcBorders>
              <w:top w:val="nil"/>
              <w:left w:val="nil"/>
              <w:bottom w:val="single" w:sz="4" w:space="0" w:color="A6A6A6"/>
              <w:right w:val="single" w:sz="4" w:space="0" w:color="A6A6A6"/>
            </w:tcBorders>
            <w:shd w:val="clear" w:color="auto" w:fill="auto"/>
            <w:noWrap/>
            <w:vAlign w:val="center"/>
            <w:hideMark/>
          </w:tcPr>
          <w:p w14:paraId="53321136" w14:textId="77777777" w:rsidR="00676F0E" w:rsidRPr="00C8330C" w:rsidRDefault="00676F0E" w:rsidP="00785DBD">
            <w:pPr>
              <w:rPr>
                <w:rFonts w:ascii="Arial" w:hAnsi="Arial" w:cs="Arial"/>
                <w:sz w:val="20"/>
                <w:szCs w:val="20"/>
              </w:rPr>
            </w:pPr>
            <w:r w:rsidRPr="00C8330C">
              <w:rPr>
                <w:rFonts w:ascii="Arial" w:hAnsi="Arial" w:cs="Arial"/>
                <w:sz w:val="20"/>
                <w:szCs w:val="20"/>
              </w:rPr>
              <w:t>28,1%</w:t>
            </w:r>
          </w:p>
        </w:tc>
        <w:tc>
          <w:tcPr>
            <w:tcW w:w="665" w:type="pct"/>
            <w:tcBorders>
              <w:top w:val="nil"/>
              <w:left w:val="nil"/>
              <w:bottom w:val="single" w:sz="4" w:space="0" w:color="A6A6A6"/>
              <w:right w:val="single" w:sz="4" w:space="0" w:color="A6A6A6"/>
            </w:tcBorders>
            <w:shd w:val="clear" w:color="auto" w:fill="auto"/>
            <w:noWrap/>
            <w:vAlign w:val="center"/>
            <w:hideMark/>
          </w:tcPr>
          <w:p w14:paraId="42CB396E" w14:textId="77777777" w:rsidR="00676F0E" w:rsidRPr="00C8330C" w:rsidRDefault="00676F0E" w:rsidP="00785DBD">
            <w:pPr>
              <w:rPr>
                <w:rFonts w:ascii="Arial" w:hAnsi="Arial" w:cs="Arial"/>
                <w:sz w:val="20"/>
                <w:szCs w:val="20"/>
              </w:rPr>
            </w:pPr>
            <w:r w:rsidRPr="00C8330C">
              <w:rPr>
                <w:rFonts w:ascii="Arial" w:hAnsi="Arial" w:cs="Arial"/>
                <w:sz w:val="20"/>
                <w:szCs w:val="20"/>
              </w:rPr>
              <w:t>28,2%</w:t>
            </w:r>
          </w:p>
        </w:tc>
        <w:tc>
          <w:tcPr>
            <w:tcW w:w="665" w:type="pct"/>
            <w:tcBorders>
              <w:top w:val="nil"/>
              <w:left w:val="nil"/>
              <w:bottom w:val="single" w:sz="4" w:space="0" w:color="A6A6A6"/>
              <w:right w:val="single" w:sz="4" w:space="0" w:color="A6A6A6"/>
            </w:tcBorders>
            <w:shd w:val="clear" w:color="auto" w:fill="auto"/>
            <w:noWrap/>
            <w:vAlign w:val="center"/>
            <w:hideMark/>
          </w:tcPr>
          <w:p w14:paraId="0967119F" w14:textId="77777777" w:rsidR="00676F0E" w:rsidRPr="00C8330C" w:rsidRDefault="00676F0E" w:rsidP="00785DBD">
            <w:pPr>
              <w:rPr>
                <w:rFonts w:ascii="Arial" w:hAnsi="Arial" w:cs="Arial"/>
                <w:sz w:val="20"/>
                <w:szCs w:val="20"/>
              </w:rPr>
            </w:pPr>
            <w:r w:rsidRPr="00C8330C">
              <w:rPr>
                <w:rFonts w:ascii="Arial" w:hAnsi="Arial" w:cs="Arial"/>
                <w:sz w:val="20"/>
                <w:szCs w:val="20"/>
              </w:rPr>
              <w:t>19,5%</w:t>
            </w:r>
          </w:p>
        </w:tc>
        <w:tc>
          <w:tcPr>
            <w:tcW w:w="665" w:type="pct"/>
            <w:tcBorders>
              <w:top w:val="nil"/>
              <w:left w:val="nil"/>
              <w:bottom w:val="single" w:sz="4" w:space="0" w:color="A6A6A6"/>
              <w:right w:val="single" w:sz="8" w:space="0" w:color="3366CC"/>
            </w:tcBorders>
            <w:shd w:val="clear" w:color="auto" w:fill="auto"/>
            <w:noWrap/>
            <w:vAlign w:val="center"/>
            <w:hideMark/>
          </w:tcPr>
          <w:p w14:paraId="521BC060" w14:textId="77777777" w:rsidR="00676F0E" w:rsidRPr="00C8330C" w:rsidRDefault="00676F0E" w:rsidP="00785DBD">
            <w:pPr>
              <w:rPr>
                <w:rFonts w:ascii="Arial" w:hAnsi="Arial" w:cs="Arial"/>
                <w:sz w:val="20"/>
                <w:szCs w:val="20"/>
              </w:rPr>
            </w:pPr>
            <w:r w:rsidRPr="00C8330C">
              <w:rPr>
                <w:rFonts w:ascii="Arial" w:hAnsi="Arial" w:cs="Arial"/>
                <w:sz w:val="20"/>
                <w:szCs w:val="20"/>
              </w:rPr>
              <w:t>16,8%</w:t>
            </w:r>
          </w:p>
        </w:tc>
      </w:tr>
      <w:tr w:rsidR="00676F0E" w:rsidRPr="00C8330C" w14:paraId="6B1FF37A" w14:textId="77777777" w:rsidTr="00785DBD">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34B81C0F" w14:textId="77777777" w:rsidR="00676F0E" w:rsidRPr="00C8330C" w:rsidRDefault="00676F0E" w:rsidP="00785DBD">
            <w:pPr>
              <w:rPr>
                <w:rFonts w:ascii="Arial" w:hAnsi="Arial" w:cs="Arial"/>
                <w:sz w:val="20"/>
                <w:szCs w:val="20"/>
              </w:rPr>
            </w:pPr>
            <w:r w:rsidRPr="00C8330C">
              <w:rPr>
                <w:rFonts w:ascii="Arial" w:hAnsi="Arial" w:cs="Arial"/>
                <w:sz w:val="20"/>
                <w:szCs w:val="20"/>
              </w:rPr>
              <w:t>Tecnológica</w:t>
            </w:r>
          </w:p>
        </w:tc>
        <w:tc>
          <w:tcPr>
            <w:tcW w:w="665" w:type="pct"/>
            <w:tcBorders>
              <w:top w:val="nil"/>
              <w:left w:val="nil"/>
              <w:bottom w:val="single" w:sz="4" w:space="0" w:color="A6A6A6"/>
              <w:right w:val="single" w:sz="4" w:space="0" w:color="A6A6A6"/>
            </w:tcBorders>
            <w:shd w:val="clear" w:color="auto" w:fill="auto"/>
            <w:noWrap/>
            <w:vAlign w:val="center"/>
            <w:hideMark/>
          </w:tcPr>
          <w:p w14:paraId="161929A5" w14:textId="77777777" w:rsidR="00676F0E" w:rsidRPr="00C8330C" w:rsidRDefault="00676F0E" w:rsidP="00785DBD">
            <w:pPr>
              <w:rPr>
                <w:rFonts w:ascii="Arial" w:hAnsi="Arial" w:cs="Arial"/>
                <w:sz w:val="20"/>
                <w:szCs w:val="20"/>
              </w:rPr>
            </w:pPr>
            <w:r w:rsidRPr="00C8330C">
              <w:rPr>
                <w:rFonts w:ascii="Arial" w:hAnsi="Arial" w:cs="Arial"/>
                <w:sz w:val="20"/>
                <w:szCs w:val="20"/>
              </w:rPr>
              <w:t>75,3%</w:t>
            </w:r>
          </w:p>
        </w:tc>
        <w:tc>
          <w:tcPr>
            <w:tcW w:w="665" w:type="pct"/>
            <w:tcBorders>
              <w:top w:val="nil"/>
              <w:left w:val="nil"/>
              <w:bottom w:val="single" w:sz="4" w:space="0" w:color="A6A6A6"/>
              <w:right w:val="nil"/>
            </w:tcBorders>
            <w:shd w:val="clear" w:color="auto" w:fill="auto"/>
            <w:noWrap/>
            <w:vAlign w:val="center"/>
            <w:hideMark/>
          </w:tcPr>
          <w:p w14:paraId="5E5F4946" w14:textId="77777777" w:rsidR="00676F0E" w:rsidRPr="00C8330C" w:rsidRDefault="00676F0E" w:rsidP="00785DBD">
            <w:pPr>
              <w:rPr>
                <w:rFonts w:ascii="Arial" w:hAnsi="Arial" w:cs="Arial"/>
                <w:sz w:val="20"/>
                <w:szCs w:val="20"/>
              </w:rPr>
            </w:pPr>
            <w:r w:rsidRPr="00C8330C">
              <w:rPr>
                <w:rFonts w:ascii="Arial" w:hAnsi="Arial" w:cs="Arial"/>
                <w:sz w:val="20"/>
                <w:szCs w:val="20"/>
              </w:rPr>
              <w:t>72,3%</w:t>
            </w:r>
          </w:p>
        </w:tc>
        <w:tc>
          <w:tcPr>
            <w:tcW w:w="665" w:type="pct"/>
            <w:tcBorders>
              <w:top w:val="nil"/>
              <w:left w:val="nil"/>
              <w:bottom w:val="single" w:sz="4" w:space="0" w:color="A6A6A6"/>
              <w:right w:val="single" w:sz="4" w:space="0" w:color="A6A6A6"/>
            </w:tcBorders>
            <w:shd w:val="clear" w:color="auto" w:fill="auto"/>
            <w:noWrap/>
            <w:vAlign w:val="center"/>
            <w:hideMark/>
          </w:tcPr>
          <w:p w14:paraId="088AF453" w14:textId="77777777" w:rsidR="00676F0E" w:rsidRPr="00C8330C" w:rsidRDefault="00676F0E" w:rsidP="00785DBD">
            <w:pPr>
              <w:rPr>
                <w:rFonts w:ascii="Arial" w:hAnsi="Arial" w:cs="Arial"/>
                <w:sz w:val="20"/>
                <w:szCs w:val="20"/>
              </w:rPr>
            </w:pPr>
            <w:r w:rsidRPr="00C8330C">
              <w:rPr>
                <w:rFonts w:ascii="Arial" w:hAnsi="Arial" w:cs="Arial"/>
                <w:sz w:val="20"/>
                <w:szCs w:val="20"/>
              </w:rPr>
              <w:t>71,5%</w:t>
            </w:r>
          </w:p>
        </w:tc>
        <w:tc>
          <w:tcPr>
            <w:tcW w:w="665" w:type="pct"/>
            <w:tcBorders>
              <w:top w:val="nil"/>
              <w:left w:val="nil"/>
              <w:bottom w:val="single" w:sz="4" w:space="0" w:color="A6A6A6"/>
              <w:right w:val="single" w:sz="4" w:space="0" w:color="A6A6A6"/>
            </w:tcBorders>
            <w:shd w:val="clear" w:color="auto" w:fill="auto"/>
            <w:noWrap/>
            <w:vAlign w:val="center"/>
            <w:hideMark/>
          </w:tcPr>
          <w:p w14:paraId="55CBCB39" w14:textId="77777777" w:rsidR="00676F0E" w:rsidRPr="00C8330C" w:rsidRDefault="00676F0E" w:rsidP="00785DBD">
            <w:pPr>
              <w:rPr>
                <w:rFonts w:ascii="Arial" w:hAnsi="Arial" w:cs="Arial"/>
                <w:sz w:val="20"/>
                <w:szCs w:val="20"/>
              </w:rPr>
            </w:pPr>
            <w:r w:rsidRPr="00C8330C">
              <w:rPr>
                <w:rFonts w:ascii="Arial" w:hAnsi="Arial" w:cs="Arial"/>
                <w:sz w:val="20"/>
                <w:szCs w:val="20"/>
              </w:rPr>
              <w:t>68,9%</w:t>
            </w:r>
          </w:p>
        </w:tc>
        <w:tc>
          <w:tcPr>
            <w:tcW w:w="665" w:type="pct"/>
            <w:tcBorders>
              <w:top w:val="nil"/>
              <w:left w:val="nil"/>
              <w:bottom w:val="single" w:sz="4" w:space="0" w:color="A6A6A6"/>
              <w:right w:val="single" w:sz="4" w:space="0" w:color="A6A6A6"/>
            </w:tcBorders>
            <w:shd w:val="clear" w:color="auto" w:fill="auto"/>
            <w:noWrap/>
            <w:vAlign w:val="center"/>
            <w:hideMark/>
          </w:tcPr>
          <w:p w14:paraId="064036F5" w14:textId="77777777" w:rsidR="00676F0E" w:rsidRPr="00C8330C" w:rsidRDefault="00676F0E" w:rsidP="00785DBD">
            <w:pPr>
              <w:rPr>
                <w:rFonts w:ascii="Arial" w:hAnsi="Arial" w:cs="Arial"/>
                <w:sz w:val="20"/>
                <w:szCs w:val="20"/>
              </w:rPr>
            </w:pPr>
            <w:r w:rsidRPr="00C8330C">
              <w:rPr>
                <w:rFonts w:ascii="Arial" w:hAnsi="Arial" w:cs="Arial"/>
                <w:sz w:val="20"/>
                <w:szCs w:val="20"/>
              </w:rPr>
              <w:t>67,5%</w:t>
            </w:r>
          </w:p>
        </w:tc>
        <w:tc>
          <w:tcPr>
            <w:tcW w:w="665" w:type="pct"/>
            <w:tcBorders>
              <w:top w:val="nil"/>
              <w:left w:val="nil"/>
              <w:bottom w:val="single" w:sz="4" w:space="0" w:color="A6A6A6"/>
              <w:right w:val="single" w:sz="8" w:space="0" w:color="3366CC"/>
            </w:tcBorders>
            <w:shd w:val="clear" w:color="auto" w:fill="auto"/>
            <w:noWrap/>
            <w:vAlign w:val="center"/>
            <w:hideMark/>
          </w:tcPr>
          <w:p w14:paraId="68890209" w14:textId="77777777" w:rsidR="00676F0E" w:rsidRPr="00C8330C" w:rsidRDefault="00676F0E" w:rsidP="00785DBD">
            <w:pPr>
              <w:rPr>
                <w:rFonts w:ascii="Arial" w:hAnsi="Arial" w:cs="Arial"/>
                <w:sz w:val="20"/>
                <w:szCs w:val="20"/>
              </w:rPr>
            </w:pPr>
            <w:r w:rsidRPr="00C8330C">
              <w:rPr>
                <w:rFonts w:ascii="Arial" w:hAnsi="Arial" w:cs="Arial"/>
                <w:sz w:val="20"/>
                <w:szCs w:val="20"/>
              </w:rPr>
              <w:t>56,7%</w:t>
            </w:r>
          </w:p>
        </w:tc>
      </w:tr>
      <w:tr w:rsidR="00676F0E" w:rsidRPr="00C8330C" w14:paraId="21D79028" w14:textId="77777777" w:rsidTr="00785DBD">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43CC71DA" w14:textId="77777777" w:rsidR="00676F0E" w:rsidRPr="00C8330C" w:rsidRDefault="00676F0E" w:rsidP="00785DBD">
            <w:pPr>
              <w:rPr>
                <w:rFonts w:ascii="Arial" w:hAnsi="Arial" w:cs="Arial"/>
                <w:sz w:val="20"/>
                <w:szCs w:val="20"/>
              </w:rPr>
            </w:pPr>
            <w:r w:rsidRPr="00C8330C">
              <w:rPr>
                <w:rFonts w:ascii="Arial" w:hAnsi="Arial" w:cs="Arial"/>
                <w:sz w:val="20"/>
                <w:szCs w:val="20"/>
              </w:rPr>
              <w:t>Universitaria</w:t>
            </w:r>
          </w:p>
        </w:tc>
        <w:tc>
          <w:tcPr>
            <w:tcW w:w="665" w:type="pct"/>
            <w:tcBorders>
              <w:top w:val="nil"/>
              <w:left w:val="nil"/>
              <w:bottom w:val="single" w:sz="4" w:space="0" w:color="A6A6A6"/>
              <w:right w:val="single" w:sz="4" w:space="0" w:color="A6A6A6"/>
            </w:tcBorders>
            <w:shd w:val="clear" w:color="auto" w:fill="auto"/>
            <w:noWrap/>
            <w:vAlign w:val="center"/>
            <w:hideMark/>
          </w:tcPr>
          <w:p w14:paraId="15388CA4" w14:textId="77777777" w:rsidR="00676F0E" w:rsidRPr="00C8330C" w:rsidRDefault="00676F0E" w:rsidP="00785DBD">
            <w:pPr>
              <w:rPr>
                <w:rFonts w:ascii="Arial" w:hAnsi="Arial" w:cs="Arial"/>
                <w:sz w:val="20"/>
                <w:szCs w:val="20"/>
              </w:rPr>
            </w:pPr>
            <w:r w:rsidRPr="00C8330C">
              <w:rPr>
                <w:rFonts w:ascii="Arial" w:hAnsi="Arial" w:cs="Arial"/>
                <w:sz w:val="20"/>
                <w:szCs w:val="20"/>
              </w:rPr>
              <w:t>84,3%</w:t>
            </w:r>
          </w:p>
        </w:tc>
        <w:tc>
          <w:tcPr>
            <w:tcW w:w="665" w:type="pct"/>
            <w:tcBorders>
              <w:top w:val="nil"/>
              <w:left w:val="nil"/>
              <w:bottom w:val="single" w:sz="4" w:space="0" w:color="A6A6A6"/>
              <w:right w:val="nil"/>
            </w:tcBorders>
            <w:shd w:val="clear" w:color="auto" w:fill="auto"/>
            <w:noWrap/>
            <w:vAlign w:val="center"/>
            <w:hideMark/>
          </w:tcPr>
          <w:p w14:paraId="35783E41" w14:textId="77777777" w:rsidR="00676F0E" w:rsidRPr="00C8330C" w:rsidRDefault="00676F0E" w:rsidP="00785DBD">
            <w:pPr>
              <w:rPr>
                <w:rFonts w:ascii="Arial" w:hAnsi="Arial" w:cs="Arial"/>
                <w:sz w:val="20"/>
                <w:szCs w:val="20"/>
              </w:rPr>
            </w:pPr>
            <w:r w:rsidRPr="00C8330C">
              <w:rPr>
                <w:rFonts w:ascii="Arial" w:hAnsi="Arial" w:cs="Arial"/>
                <w:sz w:val="20"/>
                <w:szCs w:val="20"/>
              </w:rPr>
              <w:t>83,5%</w:t>
            </w:r>
          </w:p>
        </w:tc>
        <w:tc>
          <w:tcPr>
            <w:tcW w:w="665" w:type="pct"/>
            <w:tcBorders>
              <w:top w:val="nil"/>
              <w:left w:val="nil"/>
              <w:bottom w:val="single" w:sz="4" w:space="0" w:color="A6A6A6"/>
              <w:right w:val="single" w:sz="4" w:space="0" w:color="A6A6A6"/>
            </w:tcBorders>
            <w:shd w:val="clear" w:color="auto" w:fill="auto"/>
            <w:noWrap/>
            <w:vAlign w:val="center"/>
            <w:hideMark/>
          </w:tcPr>
          <w:p w14:paraId="60F912D0" w14:textId="77777777" w:rsidR="00676F0E" w:rsidRPr="00C8330C" w:rsidRDefault="00676F0E" w:rsidP="00785DBD">
            <w:pPr>
              <w:rPr>
                <w:rFonts w:ascii="Arial" w:hAnsi="Arial" w:cs="Arial"/>
                <w:sz w:val="20"/>
                <w:szCs w:val="20"/>
              </w:rPr>
            </w:pPr>
            <w:r w:rsidRPr="00C8330C">
              <w:rPr>
                <w:rFonts w:ascii="Arial" w:hAnsi="Arial" w:cs="Arial"/>
                <w:sz w:val="20"/>
                <w:szCs w:val="20"/>
              </w:rPr>
              <w:t>81,0%</w:t>
            </w:r>
          </w:p>
        </w:tc>
        <w:tc>
          <w:tcPr>
            <w:tcW w:w="665" w:type="pct"/>
            <w:tcBorders>
              <w:top w:val="nil"/>
              <w:left w:val="nil"/>
              <w:bottom w:val="single" w:sz="4" w:space="0" w:color="A6A6A6"/>
              <w:right w:val="single" w:sz="4" w:space="0" w:color="A6A6A6"/>
            </w:tcBorders>
            <w:shd w:val="clear" w:color="auto" w:fill="auto"/>
            <w:noWrap/>
            <w:vAlign w:val="center"/>
            <w:hideMark/>
          </w:tcPr>
          <w:p w14:paraId="4E538F2D" w14:textId="77777777" w:rsidR="00676F0E" w:rsidRPr="00C8330C" w:rsidRDefault="00676F0E" w:rsidP="00785DBD">
            <w:pPr>
              <w:rPr>
                <w:rFonts w:ascii="Arial" w:hAnsi="Arial" w:cs="Arial"/>
                <w:sz w:val="20"/>
                <w:szCs w:val="20"/>
              </w:rPr>
            </w:pPr>
            <w:r w:rsidRPr="00C8330C">
              <w:rPr>
                <w:rFonts w:ascii="Arial" w:hAnsi="Arial" w:cs="Arial"/>
                <w:sz w:val="20"/>
                <w:szCs w:val="20"/>
              </w:rPr>
              <w:t>80,5%</w:t>
            </w:r>
          </w:p>
        </w:tc>
        <w:tc>
          <w:tcPr>
            <w:tcW w:w="665" w:type="pct"/>
            <w:tcBorders>
              <w:top w:val="nil"/>
              <w:left w:val="nil"/>
              <w:bottom w:val="single" w:sz="4" w:space="0" w:color="A6A6A6"/>
              <w:right w:val="single" w:sz="4" w:space="0" w:color="A6A6A6"/>
            </w:tcBorders>
            <w:shd w:val="clear" w:color="auto" w:fill="auto"/>
            <w:noWrap/>
            <w:vAlign w:val="center"/>
            <w:hideMark/>
          </w:tcPr>
          <w:p w14:paraId="76A8947A" w14:textId="77777777" w:rsidR="00676F0E" w:rsidRPr="00C8330C" w:rsidRDefault="00676F0E" w:rsidP="00785DBD">
            <w:pPr>
              <w:rPr>
                <w:rFonts w:ascii="Arial" w:hAnsi="Arial" w:cs="Arial"/>
                <w:sz w:val="20"/>
                <w:szCs w:val="20"/>
              </w:rPr>
            </w:pPr>
            <w:r w:rsidRPr="00C8330C">
              <w:rPr>
                <w:rFonts w:ascii="Arial" w:hAnsi="Arial" w:cs="Arial"/>
                <w:sz w:val="20"/>
                <w:szCs w:val="20"/>
              </w:rPr>
              <w:t>77,0%</w:t>
            </w:r>
          </w:p>
        </w:tc>
        <w:tc>
          <w:tcPr>
            <w:tcW w:w="665" w:type="pct"/>
            <w:tcBorders>
              <w:top w:val="nil"/>
              <w:left w:val="nil"/>
              <w:bottom w:val="single" w:sz="4" w:space="0" w:color="A6A6A6"/>
              <w:right w:val="single" w:sz="8" w:space="0" w:color="3366CC"/>
            </w:tcBorders>
            <w:shd w:val="clear" w:color="auto" w:fill="auto"/>
            <w:noWrap/>
            <w:vAlign w:val="center"/>
            <w:hideMark/>
          </w:tcPr>
          <w:p w14:paraId="3C54F213" w14:textId="77777777" w:rsidR="00676F0E" w:rsidRPr="00C8330C" w:rsidRDefault="00676F0E" w:rsidP="00785DBD">
            <w:pPr>
              <w:rPr>
                <w:rFonts w:ascii="Arial" w:hAnsi="Arial" w:cs="Arial"/>
                <w:sz w:val="20"/>
                <w:szCs w:val="20"/>
              </w:rPr>
            </w:pPr>
            <w:r w:rsidRPr="00C8330C">
              <w:rPr>
                <w:rFonts w:ascii="Arial" w:hAnsi="Arial" w:cs="Arial"/>
                <w:sz w:val="20"/>
                <w:szCs w:val="20"/>
              </w:rPr>
              <w:t>72,0%</w:t>
            </w:r>
          </w:p>
        </w:tc>
      </w:tr>
      <w:tr w:rsidR="00676F0E" w:rsidRPr="00C8330C" w14:paraId="0288ADAB" w14:textId="77777777" w:rsidTr="00785DBD">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65C20C6C" w14:textId="77777777" w:rsidR="00676F0E" w:rsidRPr="00C8330C" w:rsidRDefault="00676F0E" w:rsidP="00785DBD">
            <w:pPr>
              <w:rPr>
                <w:rFonts w:ascii="Arial" w:hAnsi="Arial" w:cs="Arial"/>
                <w:sz w:val="20"/>
                <w:szCs w:val="20"/>
              </w:rPr>
            </w:pPr>
            <w:r w:rsidRPr="00C8330C">
              <w:rPr>
                <w:rFonts w:ascii="Arial" w:hAnsi="Arial" w:cs="Arial"/>
                <w:sz w:val="20"/>
                <w:szCs w:val="20"/>
              </w:rPr>
              <w:t>Especialización</w:t>
            </w:r>
          </w:p>
        </w:tc>
        <w:tc>
          <w:tcPr>
            <w:tcW w:w="665" w:type="pct"/>
            <w:tcBorders>
              <w:top w:val="nil"/>
              <w:left w:val="nil"/>
              <w:bottom w:val="single" w:sz="4" w:space="0" w:color="A6A6A6"/>
              <w:right w:val="single" w:sz="4" w:space="0" w:color="A6A6A6"/>
            </w:tcBorders>
            <w:shd w:val="clear" w:color="auto" w:fill="auto"/>
            <w:noWrap/>
            <w:vAlign w:val="center"/>
            <w:hideMark/>
          </w:tcPr>
          <w:p w14:paraId="6063666C" w14:textId="77777777" w:rsidR="00676F0E" w:rsidRPr="00C8330C" w:rsidRDefault="00676F0E" w:rsidP="00785DBD">
            <w:pPr>
              <w:rPr>
                <w:rFonts w:ascii="Arial" w:hAnsi="Arial" w:cs="Arial"/>
                <w:sz w:val="20"/>
                <w:szCs w:val="20"/>
              </w:rPr>
            </w:pPr>
            <w:r w:rsidRPr="00C8330C">
              <w:rPr>
                <w:rFonts w:ascii="Arial" w:hAnsi="Arial" w:cs="Arial"/>
                <w:sz w:val="20"/>
                <w:szCs w:val="20"/>
              </w:rPr>
              <w:t>95,6%</w:t>
            </w:r>
          </w:p>
        </w:tc>
        <w:tc>
          <w:tcPr>
            <w:tcW w:w="665" w:type="pct"/>
            <w:tcBorders>
              <w:top w:val="nil"/>
              <w:left w:val="nil"/>
              <w:bottom w:val="single" w:sz="4" w:space="0" w:color="A6A6A6"/>
              <w:right w:val="nil"/>
            </w:tcBorders>
            <w:shd w:val="clear" w:color="auto" w:fill="auto"/>
            <w:noWrap/>
            <w:vAlign w:val="center"/>
            <w:hideMark/>
          </w:tcPr>
          <w:p w14:paraId="605D193F" w14:textId="77777777" w:rsidR="00676F0E" w:rsidRPr="00C8330C" w:rsidRDefault="00676F0E" w:rsidP="00785DBD">
            <w:pPr>
              <w:rPr>
                <w:rFonts w:ascii="Arial" w:hAnsi="Arial" w:cs="Arial"/>
                <w:sz w:val="20"/>
                <w:szCs w:val="20"/>
              </w:rPr>
            </w:pPr>
            <w:r w:rsidRPr="00C8330C">
              <w:rPr>
                <w:rFonts w:ascii="Arial" w:hAnsi="Arial" w:cs="Arial"/>
                <w:sz w:val="20"/>
                <w:szCs w:val="20"/>
              </w:rPr>
              <w:t>94,6%</w:t>
            </w:r>
          </w:p>
        </w:tc>
        <w:tc>
          <w:tcPr>
            <w:tcW w:w="665" w:type="pct"/>
            <w:tcBorders>
              <w:top w:val="nil"/>
              <w:left w:val="nil"/>
              <w:bottom w:val="single" w:sz="4" w:space="0" w:color="A6A6A6"/>
              <w:right w:val="single" w:sz="4" w:space="0" w:color="A6A6A6"/>
            </w:tcBorders>
            <w:shd w:val="clear" w:color="auto" w:fill="auto"/>
            <w:noWrap/>
            <w:vAlign w:val="center"/>
            <w:hideMark/>
          </w:tcPr>
          <w:p w14:paraId="6E9E61D2" w14:textId="77777777" w:rsidR="00676F0E" w:rsidRPr="00C8330C" w:rsidRDefault="00676F0E" w:rsidP="00785DBD">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4" w:space="0" w:color="A6A6A6"/>
              <w:right w:val="single" w:sz="4" w:space="0" w:color="A6A6A6"/>
            </w:tcBorders>
            <w:shd w:val="clear" w:color="auto" w:fill="auto"/>
            <w:noWrap/>
            <w:vAlign w:val="center"/>
            <w:hideMark/>
          </w:tcPr>
          <w:p w14:paraId="4D1BB09F" w14:textId="77777777" w:rsidR="00676F0E" w:rsidRPr="00C8330C" w:rsidRDefault="00676F0E" w:rsidP="00785DBD">
            <w:pPr>
              <w:rPr>
                <w:rFonts w:ascii="Arial" w:hAnsi="Arial" w:cs="Arial"/>
                <w:sz w:val="20"/>
                <w:szCs w:val="20"/>
              </w:rPr>
            </w:pPr>
            <w:r w:rsidRPr="00C8330C">
              <w:rPr>
                <w:rFonts w:ascii="Arial" w:hAnsi="Arial" w:cs="Arial"/>
                <w:sz w:val="20"/>
                <w:szCs w:val="20"/>
              </w:rPr>
              <w:t>93,0%</w:t>
            </w:r>
          </w:p>
        </w:tc>
        <w:tc>
          <w:tcPr>
            <w:tcW w:w="665" w:type="pct"/>
            <w:tcBorders>
              <w:top w:val="nil"/>
              <w:left w:val="nil"/>
              <w:bottom w:val="single" w:sz="4" w:space="0" w:color="A6A6A6"/>
              <w:right w:val="single" w:sz="4" w:space="0" w:color="A6A6A6"/>
            </w:tcBorders>
            <w:shd w:val="clear" w:color="auto" w:fill="auto"/>
            <w:noWrap/>
            <w:vAlign w:val="center"/>
            <w:hideMark/>
          </w:tcPr>
          <w:p w14:paraId="3A539D01" w14:textId="77777777" w:rsidR="00676F0E" w:rsidRPr="00C8330C" w:rsidRDefault="00676F0E" w:rsidP="00785DBD">
            <w:pPr>
              <w:rPr>
                <w:rFonts w:ascii="Arial" w:hAnsi="Arial" w:cs="Arial"/>
                <w:sz w:val="20"/>
                <w:szCs w:val="20"/>
              </w:rPr>
            </w:pPr>
            <w:r w:rsidRPr="00C8330C">
              <w:rPr>
                <w:rFonts w:ascii="Arial" w:hAnsi="Arial" w:cs="Arial"/>
                <w:sz w:val="20"/>
                <w:szCs w:val="20"/>
              </w:rPr>
              <w:t>91,4%</w:t>
            </w:r>
          </w:p>
        </w:tc>
        <w:tc>
          <w:tcPr>
            <w:tcW w:w="665" w:type="pct"/>
            <w:tcBorders>
              <w:top w:val="nil"/>
              <w:left w:val="nil"/>
              <w:bottom w:val="single" w:sz="4" w:space="0" w:color="A6A6A6"/>
              <w:right w:val="single" w:sz="8" w:space="0" w:color="3366CC"/>
            </w:tcBorders>
            <w:shd w:val="clear" w:color="auto" w:fill="auto"/>
            <w:noWrap/>
            <w:vAlign w:val="center"/>
            <w:hideMark/>
          </w:tcPr>
          <w:p w14:paraId="34BAEFA7" w14:textId="77777777" w:rsidR="00676F0E" w:rsidRPr="00C8330C" w:rsidRDefault="00676F0E" w:rsidP="00785DBD">
            <w:pPr>
              <w:rPr>
                <w:rFonts w:ascii="Arial" w:hAnsi="Arial" w:cs="Arial"/>
                <w:sz w:val="20"/>
                <w:szCs w:val="20"/>
              </w:rPr>
            </w:pPr>
            <w:r w:rsidRPr="00C8330C">
              <w:rPr>
                <w:rFonts w:ascii="Arial" w:hAnsi="Arial" w:cs="Arial"/>
                <w:sz w:val="20"/>
                <w:szCs w:val="20"/>
              </w:rPr>
              <w:t>87,6%</w:t>
            </w:r>
          </w:p>
        </w:tc>
      </w:tr>
      <w:tr w:rsidR="00676F0E" w:rsidRPr="00C8330C" w14:paraId="69FF913A" w14:textId="77777777" w:rsidTr="00785DBD">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507B1DFC" w14:textId="77777777" w:rsidR="00676F0E" w:rsidRPr="00C8330C" w:rsidRDefault="00676F0E" w:rsidP="00785DBD">
            <w:pPr>
              <w:rPr>
                <w:rFonts w:ascii="Arial" w:hAnsi="Arial" w:cs="Arial"/>
                <w:sz w:val="20"/>
                <w:szCs w:val="20"/>
              </w:rPr>
            </w:pPr>
            <w:r w:rsidRPr="00C8330C">
              <w:rPr>
                <w:rFonts w:ascii="Arial" w:hAnsi="Arial" w:cs="Arial"/>
                <w:sz w:val="20"/>
                <w:szCs w:val="20"/>
              </w:rPr>
              <w:t>Maestría</w:t>
            </w:r>
          </w:p>
        </w:tc>
        <w:tc>
          <w:tcPr>
            <w:tcW w:w="665" w:type="pct"/>
            <w:tcBorders>
              <w:top w:val="nil"/>
              <w:left w:val="nil"/>
              <w:bottom w:val="single" w:sz="4" w:space="0" w:color="A6A6A6"/>
              <w:right w:val="single" w:sz="4" w:space="0" w:color="A6A6A6"/>
            </w:tcBorders>
            <w:shd w:val="clear" w:color="auto" w:fill="auto"/>
            <w:noWrap/>
            <w:vAlign w:val="center"/>
            <w:hideMark/>
          </w:tcPr>
          <w:p w14:paraId="1E3A347A" w14:textId="77777777" w:rsidR="00676F0E" w:rsidRPr="00C8330C" w:rsidRDefault="00676F0E" w:rsidP="00785DBD">
            <w:pPr>
              <w:rPr>
                <w:rFonts w:ascii="Arial" w:hAnsi="Arial" w:cs="Arial"/>
                <w:sz w:val="20"/>
                <w:szCs w:val="20"/>
              </w:rPr>
            </w:pPr>
            <w:r w:rsidRPr="00C8330C">
              <w:rPr>
                <w:rFonts w:ascii="Arial" w:hAnsi="Arial" w:cs="Arial"/>
                <w:sz w:val="20"/>
                <w:szCs w:val="20"/>
              </w:rPr>
              <w:t>97,8%</w:t>
            </w:r>
          </w:p>
        </w:tc>
        <w:tc>
          <w:tcPr>
            <w:tcW w:w="665" w:type="pct"/>
            <w:tcBorders>
              <w:top w:val="nil"/>
              <w:left w:val="nil"/>
              <w:bottom w:val="single" w:sz="4" w:space="0" w:color="A6A6A6"/>
              <w:right w:val="nil"/>
            </w:tcBorders>
            <w:shd w:val="clear" w:color="auto" w:fill="auto"/>
            <w:noWrap/>
            <w:vAlign w:val="center"/>
            <w:hideMark/>
          </w:tcPr>
          <w:p w14:paraId="39FBF454" w14:textId="77777777" w:rsidR="00676F0E" w:rsidRPr="00C8330C" w:rsidRDefault="00676F0E" w:rsidP="00785DBD">
            <w:pPr>
              <w:rPr>
                <w:rFonts w:ascii="Arial" w:hAnsi="Arial" w:cs="Arial"/>
                <w:sz w:val="20"/>
                <w:szCs w:val="20"/>
              </w:rPr>
            </w:pPr>
            <w:r w:rsidRPr="00C8330C">
              <w:rPr>
                <w:rFonts w:ascii="Arial" w:hAnsi="Arial" w:cs="Arial"/>
                <w:sz w:val="20"/>
                <w:szCs w:val="20"/>
              </w:rPr>
              <w:t>97,4%</w:t>
            </w:r>
          </w:p>
        </w:tc>
        <w:tc>
          <w:tcPr>
            <w:tcW w:w="665" w:type="pct"/>
            <w:tcBorders>
              <w:top w:val="nil"/>
              <w:left w:val="nil"/>
              <w:bottom w:val="single" w:sz="4" w:space="0" w:color="A6A6A6"/>
              <w:right w:val="single" w:sz="4" w:space="0" w:color="A6A6A6"/>
            </w:tcBorders>
            <w:shd w:val="clear" w:color="auto" w:fill="auto"/>
            <w:noWrap/>
            <w:vAlign w:val="center"/>
            <w:hideMark/>
          </w:tcPr>
          <w:p w14:paraId="11D90359" w14:textId="77777777" w:rsidR="00676F0E" w:rsidRPr="00C8330C" w:rsidRDefault="00676F0E" w:rsidP="00785DBD">
            <w:pPr>
              <w:rPr>
                <w:rFonts w:ascii="Arial" w:hAnsi="Arial" w:cs="Arial"/>
                <w:sz w:val="20"/>
                <w:szCs w:val="20"/>
              </w:rPr>
            </w:pPr>
            <w:r w:rsidRPr="00C8330C">
              <w:rPr>
                <w:rFonts w:ascii="Arial" w:hAnsi="Arial" w:cs="Arial"/>
                <w:sz w:val="20"/>
                <w:szCs w:val="20"/>
              </w:rPr>
              <w:t>96,9%</w:t>
            </w:r>
          </w:p>
        </w:tc>
        <w:tc>
          <w:tcPr>
            <w:tcW w:w="665" w:type="pct"/>
            <w:tcBorders>
              <w:top w:val="nil"/>
              <w:left w:val="nil"/>
              <w:bottom w:val="single" w:sz="4" w:space="0" w:color="A6A6A6"/>
              <w:right w:val="single" w:sz="4" w:space="0" w:color="A6A6A6"/>
            </w:tcBorders>
            <w:shd w:val="clear" w:color="auto" w:fill="auto"/>
            <w:noWrap/>
            <w:vAlign w:val="center"/>
            <w:hideMark/>
          </w:tcPr>
          <w:p w14:paraId="4D623616" w14:textId="77777777" w:rsidR="00676F0E" w:rsidRPr="00C8330C" w:rsidRDefault="00676F0E" w:rsidP="00785DBD">
            <w:pPr>
              <w:rPr>
                <w:rFonts w:ascii="Arial" w:hAnsi="Arial" w:cs="Arial"/>
                <w:sz w:val="20"/>
                <w:szCs w:val="20"/>
              </w:rPr>
            </w:pPr>
            <w:r w:rsidRPr="00C8330C">
              <w:rPr>
                <w:rFonts w:ascii="Arial" w:hAnsi="Arial" w:cs="Arial"/>
                <w:sz w:val="20"/>
                <w:szCs w:val="20"/>
              </w:rPr>
              <w:t>97,0%</w:t>
            </w:r>
          </w:p>
        </w:tc>
        <w:tc>
          <w:tcPr>
            <w:tcW w:w="665" w:type="pct"/>
            <w:tcBorders>
              <w:top w:val="nil"/>
              <w:left w:val="nil"/>
              <w:bottom w:val="single" w:sz="4" w:space="0" w:color="A6A6A6"/>
              <w:right w:val="single" w:sz="4" w:space="0" w:color="A6A6A6"/>
            </w:tcBorders>
            <w:shd w:val="clear" w:color="auto" w:fill="auto"/>
            <w:noWrap/>
            <w:vAlign w:val="center"/>
            <w:hideMark/>
          </w:tcPr>
          <w:p w14:paraId="4BC1D224" w14:textId="77777777" w:rsidR="00676F0E" w:rsidRPr="00C8330C" w:rsidRDefault="00676F0E" w:rsidP="00785DBD">
            <w:pPr>
              <w:rPr>
                <w:rFonts w:ascii="Arial" w:hAnsi="Arial" w:cs="Arial"/>
                <w:sz w:val="20"/>
                <w:szCs w:val="20"/>
              </w:rPr>
            </w:pPr>
            <w:r w:rsidRPr="00C8330C">
              <w:rPr>
                <w:rFonts w:ascii="Arial" w:hAnsi="Arial" w:cs="Arial"/>
                <w:sz w:val="20"/>
                <w:szCs w:val="20"/>
              </w:rPr>
              <w:t>95,8%</w:t>
            </w:r>
          </w:p>
        </w:tc>
        <w:tc>
          <w:tcPr>
            <w:tcW w:w="665" w:type="pct"/>
            <w:tcBorders>
              <w:top w:val="nil"/>
              <w:left w:val="nil"/>
              <w:bottom w:val="single" w:sz="4" w:space="0" w:color="A6A6A6"/>
              <w:right w:val="single" w:sz="8" w:space="0" w:color="3366CC"/>
            </w:tcBorders>
            <w:shd w:val="clear" w:color="auto" w:fill="auto"/>
            <w:noWrap/>
            <w:vAlign w:val="center"/>
            <w:hideMark/>
          </w:tcPr>
          <w:p w14:paraId="65A79B59" w14:textId="77777777" w:rsidR="00676F0E" w:rsidRPr="00C8330C" w:rsidRDefault="00676F0E" w:rsidP="00785DBD">
            <w:pPr>
              <w:rPr>
                <w:rFonts w:ascii="Arial" w:hAnsi="Arial" w:cs="Arial"/>
                <w:sz w:val="20"/>
                <w:szCs w:val="20"/>
              </w:rPr>
            </w:pPr>
            <w:r w:rsidRPr="00C8330C">
              <w:rPr>
                <w:rFonts w:ascii="Arial" w:hAnsi="Arial" w:cs="Arial"/>
                <w:sz w:val="20"/>
                <w:szCs w:val="20"/>
              </w:rPr>
              <w:t>93,7%</w:t>
            </w:r>
          </w:p>
        </w:tc>
      </w:tr>
      <w:tr w:rsidR="00676F0E" w:rsidRPr="00C8330C" w14:paraId="24C73460" w14:textId="77777777" w:rsidTr="00785DBD">
        <w:trPr>
          <w:trHeight w:val="390"/>
        </w:trPr>
        <w:tc>
          <w:tcPr>
            <w:tcW w:w="1009" w:type="pct"/>
            <w:tcBorders>
              <w:top w:val="single" w:sz="4" w:space="0" w:color="A6A6A6"/>
              <w:left w:val="single" w:sz="8" w:space="0" w:color="3366CC"/>
              <w:bottom w:val="single" w:sz="8" w:space="0" w:color="3366CC"/>
              <w:right w:val="single" w:sz="8" w:space="0" w:color="3366CC"/>
            </w:tcBorders>
            <w:shd w:val="clear" w:color="auto" w:fill="auto"/>
            <w:noWrap/>
            <w:vAlign w:val="center"/>
            <w:hideMark/>
          </w:tcPr>
          <w:p w14:paraId="0C734D7E" w14:textId="77777777" w:rsidR="00676F0E" w:rsidRPr="00C8330C" w:rsidRDefault="00676F0E" w:rsidP="00785DBD">
            <w:pPr>
              <w:rPr>
                <w:rFonts w:ascii="Arial" w:hAnsi="Arial" w:cs="Arial"/>
                <w:sz w:val="20"/>
                <w:szCs w:val="20"/>
              </w:rPr>
            </w:pPr>
            <w:r w:rsidRPr="00C8330C">
              <w:rPr>
                <w:rFonts w:ascii="Arial" w:hAnsi="Arial" w:cs="Arial"/>
                <w:sz w:val="20"/>
                <w:szCs w:val="20"/>
              </w:rPr>
              <w:t>Doctorado</w:t>
            </w:r>
          </w:p>
        </w:tc>
        <w:tc>
          <w:tcPr>
            <w:tcW w:w="665" w:type="pct"/>
            <w:tcBorders>
              <w:top w:val="nil"/>
              <w:left w:val="nil"/>
              <w:bottom w:val="single" w:sz="8" w:space="0" w:color="3366CC"/>
              <w:right w:val="single" w:sz="4" w:space="0" w:color="A6A6A6"/>
            </w:tcBorders>
            <w:shd w:val="clear" w:color="auto" w:fill="auto"/>
            <w:noWrap/>
            <w:vAlign w:val="center"/>
            <w:hideMark/>
          </w:tcPr>
          <w:p w14:paraId="3E709212" w14:textId="77777777" w:rsidR="00676F0E" w:rsidRPr="00C8330C" w:rsidRDefault="00676F0E" w:rsidP="00785DBD">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8" w:space="0" w:color="3366CC"/>
              <w:right w:val="nil"/>
            </w:tcBorders>
            <w:shd w:val="clear" w:color="auto" w:fill="auto"/>
            <w:noWrap/>
            <w:vAlign w:val="center"/>
            <w:hideMark/>
          </w:tcPr>
          <w:p w14:paraId="7FA09853" w14:textId="77777777" w:rsidR="00676F0E" w:rsidRPr="00C8330C" w:rsidRDefault="00676F0E" w:rsidP="00785DBD">
            <w:pPr>
              <w:rPr>
                <w:rFonts w:ascii="Arial" w:hAnsi="Arial" w:cs="Arial"/>
                <w:sz w:val="20"/>
                <w:szCs w:val="20"/>
              </w:rPr>
            </w:pPr>
            <w:r w:rsidRPr="00C8330C">
              <w:rPr>
                <w:rFonts w:ascii="Arial" w:hAnsi="Arial" w:cs="Arial"/>
                <w:sz w:val="20"/>
                <w:szCs w:val="20"/>
              </w:rPr>
              <w:t>100,0%</w:t>
            </w:r>
          </w:p>
        </w:tc>
        <w:tc>
          <w:tcPr>
            <w:tcW w:w="665" w:type="pct"/>
            <w:tcBorders>
              <w:top w:val="nil"/>
              <w:left w:val="nil"/>
              <w:bottom w:val="single" w:sz="8" w:space="0" w:color="3366CC"/>
              <w:right w:val="single" w:sz="4" w:space="0" w:color="A6A6A6"/>
            </w:tcBorders>
            <w:shd w:val="clear" w:color="auto" w:fill="auto"/>
            <w:noWrap/>
            <w:vAlign w:val="center"/>
            <w:hideMark/>
          </w:tcPr>
          <w:p w14:paraId="4F00958C" w14:textId="77777777" w:rsidR="00676F0E" w:rsidRPr="00C8330C" w:rsidRDefault="00676F0E" w:rsidP="00785DBD">
            <w:pPr>
              <w:rPr>
                <w:rFonts w:ascii="Arial" w:hAnsi="Arial" w:cs="Arial"/>
                <w:sz w:val="20"/>
                <w:szCs w:val="20"/>
              </w:rPr>
            </w:pPr>
            <w:r w:rsidRPr="00C8330C">
              <w:rPr>
                <w:rFonts w:ascii="Arial" w:hAnsi="Arial" w:cs="Arial"/>
                <w:sz w:val="20"/>
                <w:szCs w:val="20"/>
              </w:rPr>
              <w:t>98,0%</w:t>
            </w:r>
          </w:p>
        </w:tc>
        <w:tc>
          <w:tcPr>
            <w:tcW w:w="665" w:type="pct"/>
            <w:tcBorders>
              <w:top w:val="nil"/>
              <w:left w:val="nil"/>
              <w:bottom w:val="single" w:sz="8" w:space="0" w:color="3366CC"/>
              <w:right w:val="single" w:sz="4" w:space="0" w:color="A6A6A6"/>
            </w:tcBorders>
            <w:shd w:val="clear" w:color="auto" w:fill="auto"/>
            <w:noWrap/>
            <w:vAlign w:val="center"/>
            <w:hideMark/>
          </w:tcPr>
          <w:p w14:paraId="6475FD30" w14:textId="77777777" w:rsidR="00676F0E" w:rsidRPr="00C8330C" w:rsidRDefault="00676F0E" w:rsidP="00785DBD">
            <w:pPr>
              <w:rPr>
                <w:rFonts w:ascii="Arial" w:hAnsi="Arial" w:cs="Arial"/>
                <w:sz w:val="20"/>
                <w:szCs w:val="20"/>
              </w:rPr>
            </w:pPr>
            <w:r w:rsidRPr="00C8330C">
              <w:rPr>
                <w:rFonts w:ascii="Arial" w:hAnsi="Arial" w:cs="Arial"/>
                <w:sz w:val="20"/>
                <w:szCs w:val="20"/>
              </w:rPr>
              <w:t>82,9%</w:t>
            </w:r>
          </w:p>
        </w:tc>
        <w:tc>
          <w:tcPr>
            <w:tcW w:w="665" w:type="pct"/>
            <w:tcBorders>
              <w:top w:val="nil"/>
              <w:left w:val="nil"/>
              <w:bottom w:val="single" w:sz="8" w:space="0" w:color="3366CC"/>
              <w:right w:val="single" w:sz="4" w:space="0" w:color="A6A6A6"/>
            </w:tcBorders>
            <w:shd w:val="clear" w:color="auto" w:fill="auto"/>
            <w:noWrap/>
            <w:vAlign w:val="center"/>
            <w:hideMark/>
          </w:tcPr>
          <w:p w14:paraId="1D7F18C5" w14:textId="77777777" w:rsidR="00676F0E" w:rsidRPr="00C8330C" w:rsidRDefault="00676F0E" w:rsidP="00785DBD">
            <w:pPr>
              <w:rPr>
                <w:rFonts w:ascii="Arial" w:hAnsi="Arial" w:cs="Arial"/>
                <w:sz w:val="20"/>
                <w:szCs w:val="20"/>
              </w:rPr>
            </w:pPr>
            <w:r w:rsidRPr="00C8330C">
              <w:rPr>
                <w:rFonts w:ascii="Arial" w:hAnsi="Arial" w:cs="Arial"/>
                <w:sz w:val="20"/>
                <w:szCs w:val="20"/>
              </w:rPr>
              <w:t>98,4%</w:t>
            </w:r>
          </w:p>
        </w:tc>
        <w:tc>
          <w:tcPr>
            <w:tcW w:w="665" w:type="pct"/>
            <w:tcBorders>
              <w:top w:val="nil"/>
              <w:left w:val="nil"/>
              <w:bottom w:val="single" w:sz="8" w:space="0" w:color="3366CC"/>
              <w:right w:val="single" w:sz="8" w:space="0" w:color="3366CC"/>
            </w:tcBorders>
            <w:shd w:val="clear" w:color="auto" w:fill="auto"/>
            <w:noWrap/>
            <w:vAlign w:val="center"/>
            <w:hideMark/>
          </w:tcPr>
          <w:p w14:paraId="2FE5FA7C" w14:textId="77777777" w:rsidR="00676F0E" w:rsidRPr="00C8330C" w:rsidRDefault="00676F0E" w:rsidP="00785DBD">
            <w:pPr>
              <w:rPr>
                <w:rFonts w:ascii="Arial" w:hAnsi="Arial" w:cs="Arial"/>
                <w:sz w:val="20"/>
                <w:szCs w:val="20"/>
              </w:rPr>
            </w:pPr>
            <w:r w:rsidRPr="00C8330C">
              <w:rPr>
                <w:rFonts w:ascii="Arial" w:hAnsi="Arial" w:cs="Arial"/>
                <w:sz w:val="20"/>
                <w:szCs w:val="20"/>
              </w:rPr>
              <w:t>96,7%</w:t>
            </w:r>
          </w:p>
        </w:tc>
      </w:tr>
    </w:tbl>
    <w:p w14:paraId="09310BBD" w14:textId="77777777" w:rsidR="00676F0E" w:rsidRPr="00C8330C" w:rsidRDefault="00676F0E" w:rsidP="00676F0E">
      <w:pPr>
        <w:jc w:val="center"/>
        <w:rPr>
          <w:rFonts w:ascii="Arial" w:hAnsi="Arial" w:cs="Arial"/>
          <w:color w:val="808080" w:themeColor="background1" w:themeShade="80"/>
          <w:sz w:val="16"/>
          <w:szCs w:val="16"/>
        </w:rPr>
      </w:pPr>
      <w:r w:rsidRPr="00C8330C">
        <w:rPr>
          <w:rFonts w:ascii="Arial" w:hAnsi="Arial" w:cs="Arial"/>
          <w:color w:val="808080" w:themeColor="background1" w:themeShade="80"/>
          <w:sz w:val="16"/>
          <w:szCs w:val="16"/>
        </w:rPr>
        <w:t>Fuente: MEN - OLE</w:t>
      </w:r>
    </w:p>
    <w:p w14:paraId="107FF92A" w14:textId="77777777" w:rsidR="00676F0E" w:rsidRDefault="00676F0E" w:rsidP="00932E1A">
      <w:pPr>
        <w:rPr>
          <w:rFonts w:ascii="Bookman Old Style" w:hAnsi="Bookman Old Style"/>
        </w:rPr>
      </w:pPr>
    </w:p>
    <w:p w14:paraId="17F05F71" w14:textId="77777777" w:rsidR="00676F0E" w:rsidRDefault="00676F0E" w:rsidP="00676F0E">
      <w:pPr>
        <w:jc w:val="both"/>
        <w:rPr>
          <w:rFonts w:ascii="Bookman Old Style" w:hAnsi="Bookman Old Style"/>
        </w:rPr>
      </w:pPr>
      <w:r w:rsidRPr="00676F0E">
        <w:rPr>
          <w:rFonts w:ascii="Bookman Old Style" w:hAnsi="Bookman Old Style"/>
        </w:rPr>
        <w:lastRenderedPageBreak/>
        <w:t xml:space="preserve">Finalmente, la tasa de </w:t>
      </w:r>
      <w:proofErr w:type="spellStart"/>
      <w:r w:rsidRPr="00676F0E">
        <w:rPr>
          <w:rFonts w:ascii="Bookman Old Style" w:hAnsi="Bookman Old Style"/>
        </w:rPr>
        <w:t>deserción</w:t>
      </w:r>
      <w:proofErr w:type="spellEnd"/>
      <w:r w:rsidRPr="00676F0E">
        <w:rPr>
          <w:rFonts w:ascii="Bookman Old Style" w:hAnsi="Bookman Old Style"/>
        </w:rPr>
        <w:t xml:space="preserve"> del departamento se ha mantenido en niveles cercanos al 5%, excepto en el año 2017, en el cual se duplicó, sin perjuicio que sea menor al promedio nacional: </w:t>
      </w:r>
    </w:p>
    <w:p w14:paraId="17A3FE71" w14:textId="77777777" w:rsidR="00676F0E" w:rsidRDefault="00676F0E" w:rsidP="00676F0E">
      <w:pPr>
        <w:jc w:val="both"/>
        <w:rPr>
          <w:rFonts w:ascii="Bookman Old Style" w:hAnsi="Bookman Old Style"/>
        </w:rPr>
      </w:pPr>
    </w:p>
    <w:p w14:paraId="688E5B6D" w14:textId="18C48F80" w:rsidR="00676F0E" w:rsidRPr="00985A2D" w:rsidRDefault="00676F0E" w:rsidP="00676F0E">
      <w:pPr>
        <w:pStyle w:val="Descripcin"/>
        <w:jc w:val="center"/>
        <w:rPr>
          <w:rFonts w:ascii="Arial" w:hAnsi="Arial" w:cs="Arial"/>
          <w:b/>
          <w:iCs w:val="0"/>
          <w:szCs w:val="22"/>
        </w:rPr>
      </w:pPr>
      <w:r>
        <w:t xml:space="preserve">Tabla </w:t>
      </w:r>
      <w:fldSimple w:instr=" SEQ Tabla \* ARABIC ">
        <w:r w:rsidR="007A7AF3">
          <w:rPr>
            <w:noProof/>
          </w:rPr>
          <w:t>6</w:t>
        </w:r>
      </w:fldSimple>
      <w:r>
        <w:t xml:space="preserve">. </w:t>
      </w:r>
      <w:r w:rsidRPr="0001053B">
        <w:t>Tasa de deserción universitaria anual (2015-2019)</w:t>
      </w:r>
    </w:p>
    <w:tbl>
      <w:tblPr>
        <w:tblW w:w="5000" w:type="pct"/>
        <w:tblBorders>
          <w:top w:val="single" w:sz="8" w:space="0" w:color="3366CC"/>
          <w:left w:val="single" w:sz="8" w:space="0" w:color="3366CC"/>
          <w:bottom w:val="single" w:sz="8" w:space="0" w:color="3366CC"/>
          <w:right w:val="single" w:sz="8" w:space="0" w:color="3366CC"/>
          <w:insideH w:val="single" w:sz="8" w:space="0" w:color="3366CC"/>
          <w:insideV w:val="single" w:sz="8" w:space="0" w:color="3366CC"/>
        </w:tblBorders>
        <w:tblCellMar>
          <w:left w:w="70" w:type="dxa"/>
          <w:right w:w="70" w:type="dxa"/>
        </w:tblCellMar>
        <w:tblLook w:val="04A0" w:firstRow="1" w:lastRow="0" w:firstColumn="1" w:lastColumn="0" w:noHBand="0" w:noVBand="1"/>
      </w:tblPr>
      <w:tblGrid>
        <w:gridCol w:w="2415"/>
        <w:gridCol w:w="1413"/>
        <w:gridCol w:w="1242"/>
        <w:gridCol w:w="1242"/>
        <w:gridCol w:w="1254"/>
        <w:gridCol w:w="1252"/>
      </w:tblGrid>
      <w:tr w:rsidR="00676F0E" w:rsidRPr="00C8330C" w14:paraId="154489A2" w14:textId="77777777" w:rsidTr="00785DBD">
        <w:trPr>
          <w:trHeight w:val="390"/>
        </w:trPr>
        <w:tc>
          <w:tcPr>
            <w:tcW w:w="1369" w:type="pct"/>
            <w:shd w:val="clear" w:color="000000" w:fill="DDEBF7"/>
            <w:noWrap/>
            <w:vAlign w:val="center"/>
            <w:hideMark/>
          </w:tcPr>
          <w:p w14:paraId="38565CC9" w14:textId="77777777" w:rsidR="00676F0E" w:rsidRPr="00C8330C" w:rsidRDefault="00676F0E" w:rsidP="00785DBD">
            <w:pPr>
              <w:rPr>
                <w:rFonts w:ascii="Arial" w:hAnsi="Arial" w:cs="Arial"/>
                <w:b/>
                <w:bCs/>
                <w:sz w:val="20"/>
                <w:szCs w:val="20"/>
              </w:rPr>
            </w:pPr>
            <w:r w:rsidRPr="00C8330C">
              <w:rPr>
                <w:rFonts w:ascii="Arial" w:hAnsi="Arial" w:cs="Arial"/>
                <w:b/>
                <w:bCs/>
                <w:sz w:val="20"/>
                <w:szCs w:val="20"/>
              </w:rPr>
              <w:t>Tasa de Deserción</w:t>
            </w:r>
          </w:p>
        </w:tc>
        <w:tc>
          <w:tcPr>
            <w:tcW w:w="801" w:type="pct"/>
            <w:shd w:val="clear" w:color="000000" w:fill="DDEBF7"/>
            <w:vAlign w:val="center"/>
            <w:hideMark/>
          </w:tcPr>
          <w:p w14:paraId="64324BFB" w14:textId="77777777" w:rsidR="00676F0E" w:rsidRPr="00C8330C" w:rsidRDefault="00676F0E" w:rsidP="00785DBD">
            <w:pPr>
              <w:rPr>
                <w:rFonts w:ascii="Arial" w:hAnsi="Arial" w:cs="Arial"/>
                <w:b/>
                <w:bCs/>
                <w:sz w:val="20"/>
                <w:szCs w:val="20"/>
              </w:rPr>
            </w:pPr>
            <w:r w:rsidRPr="00C8330C">
              <w:rPr>
                <w:rFonts w:ascii="Arial" w:hAnsi="Arial" w:cs="Arial"/>
                <w:b/>
                <w:bCs/>
                <w:sz w:val="20"/>
                <w:szCs w:val="20"/>
              </w:rPr>
              <w:t>2015</w:t>
            </w:r>
          </w:p>
        </w:tc>
        <w:tc>
          <w:tcPr>
            <w:tcW w:w="704" w:type="pct"/>
            <w:shd w:val="clear" w:color="000000" w:fill="DDEBF7"/>
            <w:vAlign w:val="center"/>
            <w:hideMark/>
          </w:tcPr>
          <w:p w14:paraId="7899C887" w14:textId="77777777" w:rsidR="00676F0E" w:rsidRPr="00C8330C" w:rsidRDefault="00676F0E" w:rsidP="00785DBD">
            <w:pPr>
              <w:rPr>
                <w:rFonts w:ascii="Arial" w:hAnsi="Arial" w:cs="Arial"/>
                <w:b/>
                <w:bCs/>
                <w:sz w:val="20"/>
                <w:szCs w:val="20"/>
              </w:rPr>
            </w:pPr>
            <w:r w:rsidRPr="00C8330C">
              <w:rPr>
                <w:rFonts w:ascii="Arial" w:hAnsi="Arial" w:cs="Arial"/>
                <w:b/>
                <w:bCs/>
                <w:sz w:val="20"/>
                <w:szCs w:val="20"/>
              </w:rPr>
              <w:t>2016</w:t>
            </w:r>
          </w:p>
        </w:tc>
        <w:tc>
          <w:tcPr>
            <w:tcW w:w="704" w:type="pct"/>
            <w:shd w:val="clear" w:color="000000" w:fill="DDEBF7"/>
            <w:vAlign w:val="center"/>
            <w:hideMark/>
          </w:tcPr>
          <w:p w14:paraId="3EAED5E9" w14:textId="77777777" w:rsidR="00676F0E" w:rsidRPr="00C8330C" w:rsidRDefault="00676F0E" w:rsidP="00785DBD">
            <w:pPr>
              <w:rPr>
                <w:rFonts w:ascii="Arial" w:hAnsi="Arial" w:cs="Arial"/>
                <w:b/>
                <w:bCs/>
                <w:sz w:val="20"/>
                <w:szCs w:val="20"/>
              </w:rPr>
            </w:pPr>
            <w:r w:rsidRPr="00C8330C">
              <w:rPr>
                <w:rFonts w:ascii="Arial" w:hAnsi="Arial" w:cs="Arial"/>
                <w:b/>
                <w:bCs/>
                <w:sz w:val="20"/>
                <w:szCs w:val="20"/>
              </w:rPr>
              <w:t>2017</w:t>
            </w:r>
          </w:p>
        </w:tc>
        <w:tc>
          <w:tcPr>
            <w:tcW w:w="711" w:type="pct"/>
            <w:shd w:val="clear" w:color="000000" w:fill="DDEBF7"/>
            <w:vAlign w:val="center"/>
            <w:hideMark/>
          </w:tcPr>
          <w:p w14:paraId="545110A7" w14:textId="77777777" w:rsidR="00676F0E" w:rsidRPr="00C8330C" w:rsidRDefault="00676F0E" w:rsidP="00785DBD">
            <w:pPr>
              <w:rPr>
                <w:rFonts w:ascii="Arial" w:hAnsi="Arial" w:cs="Arial"/>
                <w:b/>
                <w:bCs/>
                <w:sz w:val="20"/>
                <w:szCs w:val="20"/>
              </w:rPr>
            </w:pPr>
            <w:r w:rsidRPr="00C8330C">
              <w:rPr>
                <w:rFonts w:ascii="Arial" w:hAnsi="Arial" w:cs="Arial"/>
                <w:b/>
                <w:bCs/>
                <w:sz w:val="20"/>
                <w:szCs w:val="20"/>
              </w:rPr>
              <w:t>2018</w:t>
            </w:r>
          </w:p>
        </w:tc>
        <w:tc>
          <w:tcPr>
            <w:tcW w:w="710" w:type="pct"/>
            <w:shd w:val="clear" w:color="000000" w:fill="DDEBF7"/>
            <w:vAlign w:val="center"/>
            <w:hideMark/>
          </w:tcPr>
          <w:p w14:paraId="44F8BBAC" w14:textId="77777777" w:rsidR="00676F0E" w:rsidRPr="00C8330C" w:rsidRDefault="00676F0E" w:rsidP="00785DBD">
            <w:pPr>
              <w:rPr>
                <w:rFonts w:ascii="Arial" w:hAnsi="Arial" w:cs="Arial"/>
                <w:b/>
                <w:bCs/>
                <w:sz w:val="20"/>
                <w:szCs w:val="20"/>
              </w:rPr>
            </w:pPr>
            <w:r w:rsidRPr="00C8330C">
              <w:rPr>
                <w:rFonts w:ascii="Arial" w:hAnsi="Arial" w:cs="Arial"/>
                <w:b/>
                <w:bCs/>
                <w:sz w:val="20"/>
                <w:szCs w:val="20"/>
              </w:rPr>
              <w:t>2019</w:t>
            </w:r>
          </w:p>
        </w:tc>
      </w:tr>
      <w:tr w:rsidR="00676F0E" w:rsidRPr="00C8330C" w14:paraId="688B7548" w14:textId="77777777" w:rsidTr="00785DBD">
        <w:trPr>
          <w:trHeight w:val="375"/>
        </w:trPr>
        <w:tc>
          <w:tcPr>
            <w:tcW w:w="1369" w:type="pct"/>
            <w:shd w:val="clear" w:color="auto" w:fill="auto"/>
            <w:noWrap/>
            <w:vAlign w:val="center"/>
            <w:hideMark/>
          </w:tcPr>
          <w:p w14:paraId="0160BEA8" w14:textId="77777777" w:rsidR="00676F0E" w:rsidRPr="00C8330C" w:rsidRDefault="00676F0E" w:rsidP="00785DBD">
            <w:pPr>
              <w:rPr>
                <w:rFonts w:ascii="Arial" w:hAnsi="Arial" w:cs="Arial"/>
                <w:b/>
                <w:bCs/>
                <w:sz w:val="20"/>
                <w:szCs w:val="20"/>
              </w:rPr>
            </w:pPr>
            <w:r w:rsidRPr="00C8330C">
              <w:rPr>
                <w:rFonts w:ascii="Arial" w:hAnsi="Arial" w:cs="Arial"/>
                <w:b/>
                <w:bCs/>
                <w:sz w:val="20"/>
                <w:szCs w:val="20"/>
              </w:rPr>
              <w:t>Departamento</w:t>
            </w:r>
          </w:p>
        </w:tc>
        <w:tc>
          <w:tcPr>
            <w:tcW w:w="801" w:type="pct"/>
            <w:shd w:val="clear" w:color="auto" w:fill="auto"/>
            <w:noWrap/>
            <w:vAlign w:val="center"/>
            <w:hideMark/>
          </w:tcPr>
          <w:p w14:paraId="777EEC59" w14:textId="77777777" w:rsidR="00676F0E" w:rsidRPr="00C8330C" w:rsidRDefault="00676F0E" w:rsidP="00785DBD">
            <w:pPr>
              <w:rPr>
                <w:rFonts w:ascii="Arial" w:hAnsi="Arial" w:cs="Arial"/>
                <w:sz w:val="20"/>
                <w:szCs w:val="20"/>
              </w:rPr>
            </w:pPr>
            <w:r w:rsidRPr="00C8330C">
              <w:rPr>
                <w:rFonts w:ascii="Arial" w:hAnsi="Arial" w:cs="Arial"/>
                <w:sz w:val="20"/>
                <w:szCs w:val="20"/>
              </w:rPr>
              <w:t>4,9%</w:t>
            </w:r>
          </w:p>
        </w:tc>
        <w:tc>
          <w:tcPr>
            <w:tcW w:w="704" w:type="pct"/>
            <w:shd w:val="clear" w:color="auto" w:fill="auto"/>
            <w:noWrap/>
            <w:vAlign w:val="center"/>
            <w:hideMark/>
          </w:tcPr>
          <w:p w14:paraId="5B3E10D0" w14:textId="77777777" w:rsidR="00676F0E" w:rsidRPr="00C8330C" w:rsidRDefault="00676F0E" w:rsidP="00785DBD">
            <w:pPr>
              <w:rPr>
                <w:rFonts w:ascii="Arial" w:hAnsi="Arial" w:cs="Arial"/>
                <w:sz w:val="20"/>
                <w:szCs w:val="20"/>
              </w:rPr>
            </w:pPr>
            <w:r w:rsidRPr="00C8330C">
              <w:rPr>
                <w:rFonts w:ascii="Arial" w:hAnsi="Arial" w:cs="Arial"/>
                <w:sz w:val="20"/>
                <w:szCs w:val="20"/>
              </w:rPr>
              <w:t>4,7%</w:t>
            </w:r>
          </w:p>
        </w:tc>
        <w:tc>
          <w:tcPr>
            <w:tcW w:w="704" w:type="pct"/>
            <w:shd w:val="clear" w:color="auto" w:fill="auto"/>
            <w:noWrap/>
            <w:vAlign w:val="center"/>
            <w:hideMark/>
          </w:tcPr>
          <w:p w14:paraId="7717D1F4" w14:textId="77777777" w:rsidR="00676F0E" w:rsidRPr="00C8330C" w:rsidRDefault="00676F0E" w:rsidP="00785DBD">
            <w:pPr>
              <w:rPr>
                <w:rFonts w:ascii="Arial" w:hAnsi="Arial" w:cs="Arial"/>
                <w:sz w:val="20"/>
                <w:szCs w:val="20"/>
              </w:rPr>
            </w:pPr>
            <w:r w:rsidRPr="00C8330C">
              <w:rPr>
                <w:rFonts w:ascii="Arial" w:hAnsi="Arial" w:cs="Arial"/>
                <w:sz w:val="20"/>
                <w:szCs w:val="20"/>
              </w:rPr>
              <w:t>9,3%</w:t>
            </w:r>
          </w:p>
        </w:tc>
        <w:tc>
          <w:tcPr>
            <w:tcW w:w="711" w:type="pct"/>
            <w:shd w:val="clear" w:color="auto" w:fill="auto"/>
            <w:noWrap/>
            <w:vAlign w:val="center"/>
            <w:hideMark/>
          </w:tcPr>
          <w:p w14:paraId="67DE6809" w14:textId="77777777" w:rsidR="00676F0E" w:rsidRPr="00C8330C" w:rsidRDefault="00676F0E" w:rsidP="00785DBD">
            <w:pPr>
              <w:rPr>
                <w:rFonts w:ascii="Arial" w:hAnsi="Arial" w:cs="Arial"/>
                <w:sz w:val="20"/>
                <w:szCs w:val="20"/>
              </w:rPr>
            </w:pPr>
            <w:r w:rsidRPr="00C8330C">
              <w:rPr>
                <w:rFonts w:ascii="Arial" w:hAnsi="Arial" w:cs="Arial"/>
                <w:sz w:val="20"/>
                <w:szCs w:val="20"/>
              </w:rPr>
              <w:t>5,0%</w:t>
            </w:r>
          </w:p>
        </w:tc>
        <w:tc>
          <w:tcPr>
            <w:tcW w:w="710" w:type="pct"/>
            <w:shd w:val="clear" w:color="auto" w:fill="auto"/>
            <w:noWrap/>
            <w:vAlign w:val="center"/>
            <w:hideMark/>
          </w:tcPr>
          <w:p w14:paraId="5A4A1EC6" w14:textId="77777777" w:rsidR="00676F0E" w:rsidRPr="00C8330C" w:rsidRDefault="00676F0E" w:rsidP="00785DBD">
            <w:pPr>
              <w:rPr>
                <w:rFonts w:ascii="Arial" w:hAnsi="Arial" w:cs="Arial"/>
                <w:sz w:val="20"/>
                <w:szCs w:val="20"/>
              </w:rPr>
            </w:pPr>
            <w:r w:rsidRPr="00C8330C">
              <w:rPr>
                <w:rFonts w:ascii="Arial" w:hAnsi="Arial" w:cs="Arial"/>
                <w:sz w:val="20"/>
                <w:szCs w:val="20"/>
              </w:rPr>
              <w:t>4,7%</w:t>
            </w:r>
          </w:p>
        </w:tc>
      </w:tr>
      <w:tr w:rsidR="00676F0E" w:rsidRPr="00C8330C" w14:paraId="7C756C94" w14:textId="77777777" w:rsidTr="00785DBD">
        <w:trPr>
          <w:trHeight w:val="390"/>
        </w:trPr>
        <w:tc>
          <w:tcPr>
            <w:tcW w:w="1369" w:type="pct"/>
            <w:shd w:val="clear" w:color="auto" w:fill="auto"/>
            <w:noWrap/>
            <w:vAlign w:val="center"/>
            <w:hideMark/>
          </w:tcPr>
          <w:p w14:paraId="491F45D0" w14:textId="77777777" w:rsidR="00676F0E" w:rsidRPr="00C8330C" w:rsidRDefault="00676F0E" w:rsidP="00785DBD">
            <w:pPr>
              <w:rPr>
                <w:rFonts w:ascii="Arial" w:hAnsi="Arial" w:cs="Arial"/>
                <w:sz w:val="20"/>
                <w:szCs w:val="20"/>
              </w:rPr>
            </w:pPr>
            <w:r w:rsidRPr="00C8330C">
              <w:rPr>
                <w:rFonts w:ascii="Arial" w:hAnsi="Arial" w:cs="Arial"/>
                <w:sz w:val="20"/>
                <w:szCs w:val="20"/>
              </w:rPr>
              <w:t>Nacional</w:t>
            </w:r>
          </w:p>
        </w:tc>
        <w:tc>
          <w:tcPr>
            <w:tcW w:w="801" w:type="pct"/>
            <w:shd w:val="clear" w:color="auto" w:fill="auto"/>
            <w:noWrap/>
            <w:vAlign w:val="center"/>
            <w:hideMark/>
          </w:tcPr>
          <w:p w14:paraId="4FC623AA" w14:textId="77777777" w:rsidR="00676F0E" w:rsidRPr="00C8330C" w:rsidRDefault="00676F0E" w:rsidP="00785DBD">
            <w:pPr>
              <w:rPr>
                <w:rFonts w:ascii="Arial" w:hAnsi="Arial" w:cs="Arial"/>
                <w:sz w:val="20"/>
                <w:szCs w:val="20"/>
              </w:rPr>
            </w:pPr>
            <w:r w:rsidRPr="00C8330C">
              <w:rPr>
                <w:rFonts w:ascii="Arial" w:hAnsi="Arial" w:cs="Arial"/>
                <w:sz w:val="20"/>
                <w:szCs w:val="20"/>
              </w:rPr>
              <w:t>9,0%</w:t>
            </w:r>
          </w:p>
        </w:tc>
        <w:tc>
          <w:tcPr>
            <w:tcW w:w="704" w:type="pct"/>
            <w:shd w:val="clear" w:color="auto" w:fill="auto"/>
            <w:noWrap/>
            <w:vAlign w:val="center"/>
            <w:hideMark/>
          </w:tcPr>
          <w:p w14:paraId="7F530832" w14:textId="77777777" w:rsidR="00676F0E" w:rsidRPr="00C8330C" w:rsidRDefault="00676F0E" w:rsidP="00785DBD">
            <w:pPr>
              <w:rPr>
                <w:rFonts w:ascii="Arial" w:hAnsi="Arial" w:cs="Arial"/>
                <w:sz w:val="20"/>
                <w:szCs w:val="20"/>
              </w:rPr>
            </w:pPr>
            <w:r w:rsidRPr="00C8330C">
              <w:rPr>
                <w:rFonts w:ascii="Arial" w:hAnsi="Arial" w:cs="Arial"/>
                <w:sz w:val="20"/>
                <w:szCs w:val="20"/>
              </w:rPr>
              <w:t>8,2%</w:t>
            </w:r>
          </w:p>
        </w:tc>
        <w:tc>
          <w:tcPr>
            <w:tcW w:w="704" w:type="pct"/>
            <w:shd w:val="clear" w:color="auto" w:fill="auto"/>
            <w:noWrap/>
            <w:vAlign w:val="center"/>
            <w:hideMark/>
          </w:tcPr>
          <w:p w14:paraId="2F6E6565" w14:textId="77777777" w:rsidR="00676F0E" w:rsidRPr="00C8330C" w:rsidRDefault="00676F0E" w:rsidP="00785DBD">
            <w:pPr>
              <w:rPr>
                <w:rFonts w:ascii="Arial" w:hAnsi="Arial" w:cs="Arial"/>
                <w:sz w:val="20"/>
                <w:szCs w:val="20"/>
              </w:rPr>
            </w:pPr>
            <w:r w:rsidRPr="00C8330C">
              <w:rPr>
                <w:rFonts w:ascii="Arial" w:hAnsi="Arial" w:cs="Arial"/>
                <w:sz w:val="20"/>
                <w:szCs w:val="20"/>
              </w:rPr>
              <w:t>9,1%</w:t>
            </w:r>
          </w:p>
        </w:tc>
        <w:tc>
          <w:tcPr>
            <w:tcW w:w="711" w:type="pct"/>
            <w:shd w:val="clear" w:color="auto" w:fill="auto"/>
            <w:noWrap/>
            <w:vAlign w:val="center"/>
            <w:hideMark/>
          </w:tcPr>
          <w:p w14:paraId="393497A7" w14:textId="77777777" w:rsidR="00676F0E" w:rsidRPr="00C8330C" w:rsidRDefault="00676F0E" w:rsidP="00785DBD">
            <w:pPr>
              <w:rPr>
                <w:rFonts w:ascii="Arial" w:hAnsi="Arial" w:cs="Arial"/>
                <w:sz w:val="20"/>
                <w:szCs w:val="20"/>
              </w:rPr>
            </w:pPr>
            <w:r w:rsidRPr="00C8330C">
              <w:rPr>
                <w:rFonts w:ascii="Arial" w:hAnsi="Arial" w:cs="Arial"/>
                <w:sz w:val="20"/>
                <w:szCs w:val="20"/>
              </w:rPr>
              <w:t>8,8%</w:t>
            </w:r>
          </w:p>
        </w:tc>
        <w:tc>
          <w:tcPr>
            <w:tcW w:w="710" w:type="pct"/>
            <w:shd w:val="clear" w:color="auto" w:fill="auto"/>
            <w:noWrap/>
            <w:vAlign w:val="center"/>
            <w:hideMark/>
          </w:tcPr>
          <w:p w14:paraId="31AAB1D8" w14:textId="77777777" w:rsidR="00676F0E" w:rsidRPr="00C8330C" w:rsidRDefault="00676F0E" w:rsidP="00785DBD">
            <w:pPr>
              <w:rPr>
                <w:rFonts w:ascii="Arial" w:hAnsi="Arial" w:cs="Arial"/>
                <w:sz w:val="20"/>
                <w:szCs w:val="20"/>
              </w:rPr>
            </w:pPr>
            <w:r w:rsidRPr="00C8330C">
              <w:rPr>
                <w:rFonts w:ascii="Arial" w:hAnsi="Arial" w:cs="Arial"/>
                <w:sz w:val="20"/>
                <w:szCs w:val="20"/>
              </w:rPr>
              <w:t>8,3%</w:t>
            </w:r>
          </w:p>
        </w:tc>
      </w:tr>
    </w:tbl>
    <w:p w14:paraId="3FD3640D" w14:textId="77777777" w:rsidR="00676F0E" w:rsidRPr="00C8330C" w:rsidRDefault="00676F0E" w:rsidP="00676F0E">
      <w:pPr>
        <w:rPr>
          <w:rStyle w:val="Referenciasutil"/>
          <w:rFonts w:ascii="Arial" w:hAnsi="Arial" w:cs="Arial"/>
          <w:sz w:val="16"/>
          <w:szCs w:val="16"/>
        </w:rPr>
      </w:pPr>
      <w:r w:rsidRPr="00C8330C">
        <w:rPr>
          <w:rStyle w:val="Referenciasutil"/>
          <w:rFonts w:ascii="Arial" w:hAnsi="Arial" w:cs="Arial"/>
          <w:sz w:val="16"/>
          <w:szCs w:val="16"/>
        </w:rPr>
        <w:t>Fuente: MEN - SPADIES 3.0</w:t>
      </w:r>
    </w:p>
    <w:p w14:paraId="7EC659E2" w14:textId="77777777" w:rsidR="00676F0E" w:rsidRDefault="00676F0E" w:rsidP="00676F0E">
      <w:pPr>
        <w:jc w:val="both"/>
        <w:rPr>
          <w:rFonts w:ascii="Bookman Old Style" w:hAnsi="Bookman Old Style"/>
        </w:rPr>
      </w:pPr>
    </w:p>
    <w:p w14:paraId="0428A725" w14:textId="77777777" w:rsidR="00D01148" w:rsidRPr="00D01148" w:rsidRDefault="00D01148" w:rsidP="00D01148">
      <w:pPr>
        <w:jc w:val="both"/>
        <w:rPr>
          <w:rFonts w:ascii="Bookman Old Style" w:hAnsi="Bookman Old Style"/>
          <w:b/>
          <w:bCs/>
          <w:lang w:val="es-MX"/>
        </w:rPr>
      </w:pPr>
      <w:r w:rsidRPr="00D01148">
        <w:rPr>
          <w:rFonts w:ascii="Bookman Old Style" w:hAnsi="Bookman Old Style"/>
          <w:b/>
          <w:bCs/>
          <w:lang w:val="es-MX"/>
        </w:rPr>
        <w:t xml:space="preserve">2. Generación de conocimiento, investigación y patentes </w:t>
      </w:r>
    </w:p>
    <w:p w14:paraId="26A0F2B0" w14:textId="77777777" w:rsidR="00D01148" w:rsidRPr="00D01148" w:rsidRDefault="00D01148" w:rsidP="00D01148">
      <w:pPr>
        <w:jc w:val="both"/>
        <w:rPr>
          <w:rFonts w:ascii="Bookman Old Style" w:hAnsi="Bookman Old Style"/>
          <w:lang w:val="es-MX"/>
        </w:rPr>
      </w:pPr>
    </w:p>
    <w:p w14:paraId="078AFEEA" w14:textId="77777777" w:rsidR="00D01148" w:rsidRDefault="00D01148" w:rsidP="00D01148">
      <w:pPr>
        <w:jc w:val="both"/>
        <w:rPr>
          <w:rFonts w:ascii="Bookman Old Style" w:hAnsi="Bookman Old Style"/>
          <w:lang w:val="es-MX"/>
        </w:rPr>
      </w:pPr>
      <w:r w:rsidRPr="00D01148">
        <w:rPr>
          <w:rFonts w:ascii="Bookman Old Style" w:hAnsi="Bookman Old Style"/>
          <w:lang w:val="es-MX"/>
        </w:rPr>
        <w:t xml:space="preserve">De acuerdo con el informe de resultados de la Fase I de la Misión de Sabios por Caldas - 2020-2021, la inversión en ciencia, tecnología e innovación en Caldas aún es baja. El Ministerio de Ciencia, Tecnología e Innovación reporta que del total de inversión nacional el departamento tiene un 0.5%. </w:t>
      </w:r>
    </w:p>
    <w:p w14:paraId="35ABF1D6" w14:textId="77777777" w:rsidR="00D01148" w:rsidRPr="00D01148" w:rsidRDefault="00D01148" w:rsidP="00D01148">
      <w:pPr>
        <w:jc w:val="both"/>
        <w:rPr>
          <w:rFonts w:ascii="Bookman Old Style" w:hAnsi="Bookman Old Style"/>
          <w:lang w:val="es-MX"/>
        </w:rPr>
      </w:pPr>
    </w:p>
    <w:p w14:paraId="6DCEB191" w14:textId="6D41DA48" w:rsidR="00676F0E" w:rsidRDefault="00D01148" w:rsidP="00D01148">
      <w:pPr>
        <w:jc w:val="both"/>
        <w:rPr>
          <w:rFonts w:ascii="Bookman Old Style" w:hAnsi="Bookman Old Style"/>
          <w:lang w:val="es-MX"/>
        </w:rPr>
      </w:pPr>
      <w:r w:rsidRPr="00D01148">
        <w:rPr>
          <w:rFonts w:ascii="Bookman Old Style" w:hAnsi="Bookman Old Style"/>
          <w:lang w:val="es-MX"/>
        </w:rPr>
        <w:t>Respecto a los grupos de investigación, actualmente Colombia registra 5.772 grupos clasificados en el Sistema de Ciencia, Tecnología e Innovación. De ellos el 12% (717 grupos) son categoría A1, mientras que el 18% (1023 grupos) son categoría A; el 22% (1285 grupos) están en B; el 40% de los grupos (2328) se encuentran en categoría C, y el 7% de ellos (419) son reconocidos. En esta clasificación el Departamento de Caldas cuenta con 168 grupos de investigación que representan el 2.9% de los grupos de investigación registrados en el país.</w:t>
      </w:r>
    </w:p>
    <w:p w14:paraId="600B0533" w14:textId="77777777" w:rsidR="00623197" w:rsidRDefault="00623197" w:rsidP="00D01148">
      <w:pPr>
        <w:jc w:val="both"/>
        <w:rPr>
          <w:rFonts w:ascii="Bookman Old Style" w:hAnsi="Bookman Old Style"/>
          <w:lang w:val="es-MX"/>
        </w:rPr>
      </w:pPr>
    </w:p>
    <w:p w14:paraId="155EF7F0" w14:textId="0F780DBE" w:rsidR="00676F0E" w:rsidRPr="00623197" w:rsidRDefault="00623197" w:rsidP="00623197">
      <w:pPr>
        <w:pStyle w:val="Descripcin"/>
        <w:jc w:val="center"/>
        <w:rPr>
          <w:rFonts w:ascii="Bookman Old Style" w:hAnsi="Bookman Old Style"/>
          <w:lang w:val="es-MX"/>
        </w:rPr>
      </w:pPr>
      <w:r>
        <w:t xml:space="preserve">Tabla </w:t>
      </w:r>
      <w:fldSimple w:instr=" SEQ Tabla \* ARABIC ">
        <w:r w:rsidR="007A7AF3">
          <w:rPr>
            <w:noProof/>
          </w:rPr>
          <w:t>7</w:t>
        </w:r>
      </w:fldSimple>
      <w:r>
        <w:t xml:space="preserve">. </w:t>
      </w:r>
      <w:r w:rsidRPr="005305BD">
        <w:t>Distribución departamental de los grupos de investigación</w:t>
      </w:r>
    </w:p>
    <w:p w14:paraId="3C8D2418" w14:textId="77777777" w:rsidR="00623197" w:rsidRPr="00985A2D" w:rsidRDefault="00623197" w:rsidP="00623197">
      <w:pPr>
        <w:jc w:val="center"/>
        <w:rPr>
          <w:rFonts w:ascii="Arial" w:hAnsi="Arial" w:cs="Arial"/>
          <w:szCs w:val="22"/>
        </w:rPr>
      </w:pPr>
      <w:r w:rsidRPr="00985A2D">
        <w:rPr>
          <w:rFonts w:ascii="Arial" w:hAnsi="Arial" w:cs="Arial"/>
          <w:noProof/>
          <w:szCs w:val="22"/>
          <w:lang w:eastAsia="es-CO"/>
        </w:rPr>
        <w:drawing>
          <wp:inline distT="0" distB="0" distL="0" distR="0" wp14:anchorId="7C9AC00A" wp14:editId="57C634AB">
            <wp:extent cx="3821502" cy="2083709"/>
            <wp:effectExtent l="0" t="0" r="7620" b="0"/>
            <wp:docPr id="15" name="Imagen 1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abla&#10;&#10;Descripción generada automáticamente"/>
                    <pic:cNvPicPr/>
                  </pic:nvPicPr>
                  <pic:blipFill>
                    <a:blip r:embed="rId12"/>
                    <a:stretch>
                      <a:fillRect/>
                    </a:stretch>
                  </pic:blipFill>
                  <pic:spPr>
                    <a:xfrm>
                      <a:off x="0" y="0"/>
                      <a:ext cx="3838584" cy="2093023"/>
                    </a:xfrm>
                    <a:prstGeom prst="rect">
                      <a:avLst/>
                    </a:prstGeom>
                  </pic:spPr>
                </pic:pic>
              </a:graphicData>
            </a:graphic>
          </wp:inline>
        </w:drawing>
      </w:r>
    </w:p>
    <w:p w14:paraId="0DAE8E6E" w14:textId="77777777" w:rsidR="00623197" w:rsidRPr="00C8330C" w:rsidRDefault="00623197" w:rsidP="00623197">
      <w:pPr>
        <w:jc w:val="center"/>
        <w:rPr>
          <w:rStyle w:val="Referenciasutil"/>
          <w:rFonts w:ascii="Arial" w:hAnsi="Arial" w:cs="Arial"/>
          <w:sz w:val="16"/>
          <w:szCs w:val="16"/>
        </w:rPr>
      </w:pPr>
      <w:r w:rsidRPr="00C8330C">
        <w:rPr>
          <w:rStyle w:val="Referenciasutil"/>
          <w:rFonts w:ascii="Arial" w:hAnsi="Arial" w:cs="Arial"/>
          <w:sz w:val="16"/>
          <w:szCs w:val="16"/>
        </w:rPr>
        <w:t>Fuente: Alianza SUMA</w:t>
      </w:r>
    </w:p>
    <w:p w14:paraId="064FCC90" w14:textId="77777777" w:rsidR="00623197" w:rsidRDefault="00623197" w:rsidP="00623197">
      <w:pPr>
        <w:rPr>
          <w:rFonts w:ascii="Bookman Old Style" w:hAnsi="Bookman Old Style"/>
        </w:rPr>
      </w:pPr>
    </w:p>
    <w:p w14:paraId="7943B1FF" w14:textId="1FAE8C79" w:rsidR="00623197" w:rsidRDefault="00623197" w:rsidP="00623197">
      <w:pPr>
        <w:jc w:val="both"/>
        <w:rPr>
          <w:rFonts w:ascii="Bookman Old Style" w:hAnsi="Bookman Old Style"/>
        </w:rPr>
      </w:pPr>
      <w:r w:rsidRPr="00623197">
        <w:rPr>
          <w:rFonts w:ascii="Bookman Old Style" w:hAnsi="Bookman Old Style"/>
        </w:rPr>
        <w:t xml:space="preserve">Igualmente, de los 630 investigadores reconocidos por el Ministerio de Ciencia, </w:t>
      </w:r>
      <w:proofErr w:type="spellStart"/>
      <w:r w:rsidRPr="00623197">
        <w:rPr>
          <w:rFonts w:ascii="Bookman Old Style" w:hAnsi="Bookman Old Style"/>
        </w:rPr>
        <w:t>Tecnología</w:t>
      </w:r>
      <w:proofErr w:type="spellEnd"/>
      <w:r w:rsidRPr="00623197">
        <w:rPr>
          <w:rFonts w:ascii="Bookman Old Style" w:hAnsi="Bookman Old Style"/>
        </w:rPr>
        <w:t xml:space="preserve"> e </w:t>
      </w:r>
      <w:proofErr w:type="spellStart"/>
      <w:r w:rsidRPr="00623197">
        <w:rPr>
          <w:rFonts w:ascii="Bookman Old Style" w:hAnsi="Bookman Old Style"/>
        </w:rPr>
        <w:t>Innovación</w:t>
      </w:r>
      <w:proofErr w:type="spellEnd"/>
      <w:r w:rsidRPr="00623197">
        <w:rPr>
          <w:rFonts w:ascii="Bookman Old Style" w:hAnsi="Bookman Old Style"/>
        </w:rPr>
        <w:t xml:space="preserve">, 339 tienen doctorado, 205 </w:t>
      </w:r>
      <w:proofErr w:type="spellStart"/>
      <w:r w:rsidRPr="00623197">
        <w:rPr>
          <w:rFonts w:ascii="Bookman Old Style" w:hAnsi="Bookman Old Style"/>
        </w:rPr>
        <w:t>maestría</w:t>
      </w:r>
      <w:proofErr w:type="spellEnd"/>
      <w:r w:rsidRPr="00623197">
        <w:rPr>
          <w:rFonts w:ascii="Bookman Old Style" w:hAnsi="Bookman Old Style"/>
        </w:rPr>
        <w:t xml:space="preserve">, 5 </w:t>
      </w:r>
      <w:proofErr w:type="spellStart"/>
      <w:r w:rsidRPr="00623197">
        <w:rPr>
          <w:rFonts w:ascii="Bookman Old Style" w:hAnsi="Bookman Old Style"/>
        </w:rPr>
        <w:t>especialización</w:t>
      </w:r>
      <w:proofErr w:type="spellEnd"/>
      <w:r w:rsidRPr="00623197">
        <w:rPr>
          <w:rFonts w:ascii="Bookman Old Style" w:hAnsi="Bookman Old Style"/>
        </w:rPr>
        <w:t xml:space="preserve"> </w:t>
      </w:r>
      <w:proofErr w:type="spellStart"/>
      <w:r w:rsidRPr="00623197">
        <w:rPr>
          <w:rFonts w:ascii="Bookman Old Style" w:hAnsi="Bookman Old Style"/>
        </w:rPr>
        <w:t>médica</w:t>
      </w:r>
      <w:proofErr w:type="spellEnd"/>
      <w:r w:rsidRPr="00623197">
        <w:rPr>
          <w:rFonts w:ascii="Bookman Old Style" w:hAnsi="Bookman Old Style"/>
        </w:rPr>
        <w:t xml:space="preserve">, 9 </w:t>
      </w:r>
      <w:proofErr w:type="spellStart"/>
      <w:r w:rsidRPr="00623197">
        <w:rPr>
          <w:rFonts w:ascii="Bookman Old Style" w:hAnsi="Bookman Old Style"/>
        </w:rPr>
        <w:t>especialización</w:t>
      </w:r>
      <w:proofErr w:type="spellEnd"/>
      <w:r w:rsidRPr="00623197">
        <w:rPr>
          <w:rFonts w:ascii="Bookman Old Style" w:hAnsi="Bookman Old Style"/>
        </w:rPr>
        <w:t xml:space="preserve"> y 12 pregrado. </w:t>
      </w:r>
    </w:p>
    <w:p w14:paraId="16778C6A" w14:textId="77777777" w:rsidR="00623197" w:rsidRPr="00623197" w:rsidRDefault="00623197" w:rsidP="00623197">
      <w:pPr>
        <w:jc w:val="both"/>
        <w:rPr>
          <w:rFonts w:ascii="Bookman Old Style" w:hAnsi="Bookman Old Style"/>
        </w:rPr>
      </w:pPr>
    </w:p>
    <w:p w14:paraId="35107CF2" w14:textId="77777777" w:rsidR="00623197" w:rsidRPr="00623197" w:rsidRDefault="00623197" w:rsidP="00623197">
      <w:pPr>
        <w:jc w:val="both"/>
        <w:rPr>
          <w:rFonts w:ascii="Bookman Old Style" w:hAnsi="Bookman Old Style"/>
        </w:rPr>
      </w:pPr>
      <w:r w:rsidRPr="00623197">
        <w:rPr>
          <w:rFonts w:ascii="Bookman Old Style" w:hAnsi="Bookman Old Style"/>
        </w:rPr>
        <w:t xml:space="preserve">Finalmente, se cuenta con 30 patentes concedidas, 20 en </w:t>
      </w:r>
      <w:proofErr w:type="spellStart"/>
      <w:r w:rsidRPr="00623197">
        <w:rPr>
          <w:rFonts w:ascii="Bookman Old Style" w:hAnsi="Bookman Old Style"/>
        </w:rPr>
        <w:t>concesión</w:t>
      </w:r>
      <w:proofErr w:type="spellEnd"/>
      <w:r w:rsidRPr="00623197">
        <w:rPr>
          <w:rFonts w:ascii="Bookman Old Style" w:hAnsi="Bookman Old Style"/>
        </w:rPr>
        <w:t xml:space="preserve"> y 1 con </w:t>
      </w:r>
      <w:proofErr w:type="spellStart"/>
      <w:r w:rsidRPr="00623197">
        <w:rPr>
          <w:rFonts w:ascii="Bookman Old Style" w:hAnsi="Bookman Old Style"/>
        </w:rPr>
        <w:t>diseño</w:t>
      </w:r>
      <w:proofErr w:type="spellEnd"/>
      <w:r w:rsidRPr="00623197">
        <w:rPr>
          <w:rFonts w:ascii="Bookman Old Style" w:hAnsi="Bookman Old Style"/>
        </w:rPr>
        <w:t xml:space="preserve"> industrial: </w:t>
      </w:r>
    </w:p>
    <w:p w14:paraId="04E8C3A0" w14:textId="4A751F99" w:rsidR="00D01148" w:rsidRDefault="00623197" w:rsidP="00623197">
      <w:pPr>
        <w:pStyle w:val="Descripcin"/>
        <w:jc w:val="center"/>
        <w:rPr>
          <w:rFonts w:ascii="Bookman Old Style" w:hAnsi="Bookman Old Style"/>
        </w:rPr>
      </w:pPr>
      <w:r>
        <w:t xml:space="preserve">Tabla </w:t>
      </w:r>
      <w:fldSimple w:instr=" SEQ Tabla \* ARABIC ">
        <w:r w:rsidR="007A7AF3">
          <w:rPr>
            <w:noProof/>
          </w:rPr>
          <w:t>8</w:t>
        </w:r>
      </w:fldSimple>
      <w:r>
        <w:t xml:space="preserve">. </w:t>
      </w:r>
      <w:r w:rsidRPr="00AE0B6F">
        <w:t>NÚMERO DE PATENTES</w:t>
      </w:r>
    </w:p>
    <w:p w14:paraId="333603FA" w14:textId="77777777" w:rsidR="00623197" w:rsidRPr="00985A2D" w:rsidRDefault="00623197" w:rsidP="00623197">
      <w:pPr>
        <w:jc w:val="center"/>
        <w:rPr>
          <w:rFonts w:ascii="Arial" w:hAnsi="Arial" w:cs="Arial"/>
          <w:szCs w:val="22"/>
        </w:rPr>
      </w:pPr>
      <w:r w:rsidRPr="00985A2D">
        <w:rPr>
          <w:rFonts w:ascii="Arial" w:hAnsi="Arial" w:cs="Arial"/>
          <w:noProof/>
          <w:szCs w:val="22"/>
          <w:lang w:eastAsia="es-CO"/>
        </w:rPr>
        <w:drawing>
          <wp:inline distT="0" distB="0" distL="0" distR="0" wp14:anchorId="4291423F" wp14:editId="71AFB653">
            <wp:extent cx="4373245" cy="1889760"/>
            <wp:effectExtent l="0" t="0" r="0" b="2540"/>
            <wp:docPr id="17" name="Imagen 17" descr="Tabla,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Tabla, Calendario&#10;&#10;Descripción generada automáticamente"/>
                    <pic:cNvPicPr/>
                  </pic:nvPicPr>
                  <pic:blipFill>
                    <a:blip r:embed="rId13"/>
                    <a:stretch>
                      <a:fillRect/>
                    </a:stretch>
                  </pic:blipFill>
                  <pic:spPr>
                    <a:xfrm>
                      <a:off x="0" y="0"/>
                      <a:ext cx="4385018" cy="1894847"/>
                    </a:xfrm>
                    <a:prstGeom prst="rect">
                      <a:avLst/>
                    </a:prstGeom>
                  </pic:spPr>
                </pic:pic>
              </a:graphicData>
            </a:graphic>
          </wp:inline>
        </w:drawing>
      </w:r>
    </w:p>
    <w:p w14:paraId="3A434A96" w14:textId="77777777" w:rsidR="00623197" w:rsidRPr="00C8330C" w:rsidRDefault="00623197" w:rsidP="00623197">
      <w:pPr>
        <w:jc w:val="center"/>
        <w:rPr>
          <w:rStyle w:val="Referenciasutil"/>
          <w:rFonts w:ascii="Arial" w:hAnsi="Arial" w:cs="Arial"/>
          <w:sz w:val="16"/>
          <w:szCs w:val="16"/>
        </w:rPr>
      </w:pPr>
      <w:r w:rsidRPr="00C8330C">
        <w:rPr>
          <w:rStyle w:val="Referenciasutil"/>
          <w:rFonts w:ascii="Arial" w:hAnsi="Arial" w:cs="Arial"/>
          <w:sz w:val="16"/>
          <w:szCs w:val="16"/>
        </w:rPr>
        <w:t>Fuente: Alianza SUMA</w:t>
      </w:r>
    </w:p>
    <w:p w14:paraId="07ADBA22" w14:textId="77777777" w:rsidR="00166561" w:rsidRDefault="00166561" w:rsidP="00623197">
      <w:pPr>
        <w:jc w:val="both"/>
        <w:rPr>
          <w:rFonts w:ascii="Bookman Old Style" w:hAnsi="Bookman Old Style"/>
        </w:rPr>
      </w:pPr>
    </w:p>
    <w:p w14:paraId="4364CAEE" w14:textId="45166857" w:rsidR="00623197" w:rsidRPr="00166561" w:rsidRDefault="00623197" w:rsidP="00623197">
      <w:pPr>
        <w:jc w:val="both"/>
        <w:rPr>
          <w:rFonts w:ascii="Bookman Old Style" w:hAnsi="Bookman Old Style"/>
          <w:b/>
          <w:bCs/>
        </w:rPr>
      </w:pPr>
      <w:r w:rsidRPr="00623197">
        <w:rPr>
          <w:rFonts w:ascii="Bookman Old Style" w:hAnsi="Bookman Old Style"/>
          <w:b/>
          <w:bCs/>
        </w:rPr>
        <w:t xml:space="preserve">3. La estrategia de Campus Manizales </w:t>
      </w:r>
    </w:p>
    <w:p w14:paraId="652CD795" w14:textId="77777777" w:rsidR="00623197" w:rsidRPr="00623197" w:rsidRDefault="00623197" w:rsidP="00623197">
      <w:pPr>
        <w:jc w:val="both"/>
        <w:rPr>
          <w:rFonts w:ascii="Bookman Old Style" w:hAnsi="Bookman Old Style"/>
        </w:rPr>
      </w:pPr>
    </w:p>
    <w:p w14:paraId="0CC9DFDC" w14:textId="77777777" w:rsidR="00623197" w:rsidRPr="00623197" w:rsidRDefault="00623197" w:rsidP="00623197">
      <w:pPr>
        <w:jc w:val="both"/>
        <w:rPr>
          <w:rFonts w:ascii="Bookman Old Style" w:hAnsi="Bookman Old Style"/>
        </w:rPr>
      </w:pPr>
      <w:r w:rsidRPr="00623197">
        <w:rPr>
          <w:rFonts w:ascii="Bookman Old Style" w:hAnsi="Bookman Old Style"/>
        </w:rPr>
        <w:t xml:space="preserve">Campus Manizales, un proyecto de la Secretaría de Planeación de la ciudad, suma diferentes iniciativas de transformación urbana y de movilidad. A partir de este objetivo, se reconocieron las siguientes necesidades: (i) mejorar la conectividad de la población universitaria; (ii) transformar la movilidad de la ciudad atendiendo criterios de sostenibilidad medioambiental; y (iii) transformar el espacio público para el mejor aprovechamiento de la ciudadanía. </w:t>
      </w:r>
    </w:p>
    <w:p w14:paraId="2499EF22" w14:textId="77777777" w:rsidR="00623197" w:rsidRDefault="00623197" w:rsidP="00623197">
      <w:pPr>
        <w:rPr>
          <w:rFonts w:ascii="Bookman Old Style" w:hAnsi="Bookman Old Style"/>
        </w:rPr>
      </w:pPr>
    </w:p>
    <w:p w14:paraId="379DB4C4" w14:textId="78F86695" w:rsidR="00623197" w:rsidRDefault="00623197" w:rsidP="00623197">
      <w:pPr>
        <w:rPr>
          <w:rFonts w:ascii="Bookman Old Style" w:hAnsi="Bookman Old Style"/>
        </w:rPr>
      </w:pPr>
      <w:r w:rsidRPr="00623197">
        <w:rPr>
          <w:rFonts w:ascii="Bookman Old Style" w:hAnsi="Bookman Old Style"/>
        </w:rPr>
        <w:t>Fundamento jurídico</w:t>
      </w:r>
      <w:r>
        <w:rPr>
          <w:rFonts w:ascii="Bookman Old Style" w:hAnsi="Bookman Old Style"/>
        </w:rPr>
        <w:t>:</w:t>
      </w:r>
    </w:p>
    <w:p w14:paraId="29E334E9" w14:textId="77777777" w:rsidR="00623197" w:rsidRPr="00623197" w:rsidRDefault="00623197" w:rsidP="00623197">
      <w:pPr>
        <w:rPr>
          <w:rFonts w:ascii="Bookman Old Style" w:hAnsi="Bookman Old Style"/>
        </w:rPr>
      </w:pPr>
    </w:p>
    <w:p w14:paraId="382CA5BC" w14:textId="77777777" w:rsidR="00623197" w:rsidRDefault="00623197" w:rsidP="00623197">
      <w:pPr>
        <w:numPr>
          <w:ilvl w:val="0"/>
          <w:numId w:val="2"/>
        </w:numPr>
        <w:jc w:val="both"/>
        <w:rPr>
          <w:rFonts w:ascii="Bookman Old Style" w:hAnsi="Bookman Old Style"/>
        </w:rPr>
      </w:pPr>
      <w:r w:rsidRPr="00623197">
        <w:rPr>
          <w:rFonts w:ascii="Bookman Old Style" w:hAnsi="Bookman Old Style"/>
        </w:rPr>
        <w:t xml:space="preserve">Artículos 286 y 356 de la </w:t>
      </w:r>
      <w:proofErr w:type="spellStart"/>
      <w:r w:rsidRPr="00623197">
        <w:rPr>
          <w:rFonts w:ascii="Bookman Old Style" w:hAnsi="Bookman Old Style"/>
        </w:rPr>
        <w:t>Constitución</w:t>
      </w:r>
      <w:proofErr w:type="spellEnd"/>
      <w:r w:rsidRPr="00623197">
        <w:rPr>
          <w:rFonts w:ascii="Bookman Old Style" w:hAnsi="Bookman Old Style"/>
        </w:rPr>
        <w:t xml:space="preserve">. </w:t>
      </w:r>
    </w:p>
    <w:p w14:paraId="7E67F994" w14:textId="77777777" w:rsidR="00623197" w:rsidRPr="00623197" w:rsidRDefault="00623197" w:rsidP="00623197">
      <w:pPr>
        <w:ind w:left="720"/>
        <w:jc w:val="both"/>
        <w:rPr>
          <w:rFonts w:ascii="Bookman Old Style" w:hAnsi="Bookman Old Style"/>
        </w:rPr>
      </w:pPr>
    </w:p>
    <w:p w14:paraId="79F7FBB7" w14:textId="1DB42F74" w:rsidR="00623197" w:rsidRDefault="00623197" w:rsidP="00623197">
      <w:pPr>
        <w:numPr>
          <w:ilvl w:val="0"/>
          <w:numId w:val="2"/>
        </w:numPr>
        <w:jc w:val="both"/>
        <w:rPr>
          <w:rFonts w:ascii="Bookman Old Style" w:hAnsi="Bookman Old Style"/>
        </w:rPr>
      </w:pPr>
      <w:r w:rsidRPr="00623197">
        <w:rPr>
          <w:rFonts w:ascii="Bookman Old Style" w:hAnsi="Bookman Old Style"/>
        </w:rPr>
        <w:t xml:space="preserve">El artículo 29 de la Ley 1454 de 2011, que </w:t>
      </w:r>
      <w:proofErr w:type="spellStart"/>
      <w:r w:rsidRPr="00623197">
        <w:rPr>
          <w:rFonts w:ascii="Bookman Old Style" w:hAnsi="Bookman Old Style"/>
        </w:rPr>
        <w:t>señala</w:t>
      </w:r>
      <w:proofErr w:type="spellEnd"/>
      <w:r w:rsidRPr="00623197">
        <w:rPr>
          <w:rFonts w:ascii="Bookman Old Style" w:hAnsi="Bookman Old Style"/>
        </w:rPr>
        <w:t xml:space="preserve"> las competencias de los distritos en matera de ordenamiento territorial, relativas a la </w:t>
      </w:r>
      <w:proofErr w:type="spellStart"/>
      <w:r w:rsidRPr="00623197">
        <w:rPr>
          <w:rFonts w:ascii="Bookman Old Style" w:hAnsi="Bookman Old Style"/>
        </w:rPr>
        <w:t>división</w:t>
      </w:r>
      <w:proofErr w:type="spellEnd"/>
      <w:r w:rsidRPr="00623197">
        <w:rPr>
          <w:rFonts w:ascii="Bookman Old Style" w:hAnsi="Bookman Old Style"/>
        </w:rPr>
        <w:t xml:space="preserve"> del territorio en localidades y su </w:t>
      </w:r>
      <w:proofErr w:type="spellStart"/>
      <w:r w:rsidRPr="00623197">
        <w:rPr>
          <w:rFonts w:ascii="Bookman Old Style" w:hAnsi="Bookman Old Style"/>
        </w:rPr>
        <w:t>organización</w:t>
      </w:r>
      <w:proofErr w:type="spellEnd"/>
      <w:r w:rsidRPr="00623197">
        <w:rPr>
          <w:rFonts w:ascii="Bookman Old Style" w:hAnsi="Bookman Old Style"/>
        </w:rPr>
        <w:t xml:space="preserve"> como </w:t>
      </w:r>
      <w:proofErr w:type="spellStart"/>
      <w:r w:rsidRPr="00623197">
        <w:rPr>
          <w:rFonts w:ascii="Bookman Old Style" w:hAnsi="Bookman Old Style"/>
        </w:rPr>
        <w:t>áreas</w:t>
      </w:r>
      <w:proofErr w:type="spellEnd"/>
      <w:r w:rsidRPr="00623197">
        <w:rPr>
          <w:rFonts w:ascii="Bookman Old Style" w:hAnsi="Bookman Old Style"/>
        </w:rPr>
        <w:t xml:space="preserve"> metropolitanas. </w:t>
      </w:r>
    </w:p>
    <w:p w14:paraId="596CC3C3" w14:textId="77777777" w:rsidR="00623197" w:rsidRPr="00623197" w:rsidRDefault="00623197" w:rsidP="00623197">
      <w:pPr>
        <w:jc w:val="both"/>
        <w:rPr>
          <w:rFonts w:ascii="Bookman Old Style" w:hAnsi="Bookman Old Style"/>
        </w:rPr>
      </w:pPr>
    </w:p>
    <w:p w14:paraId="3AE9F4D4" w14:textId="77777777" w:rsidR="00623197" w:rsidRDefault="00623197" w:rsidP="00623197">
      <w:pPr>
        <w:numPr>
          <w:ilvl w:val="0"/>
          <w:numId w:val="2"/>
        </w:numPr>
        <w:jc w:val="both"/>
        <w:rPr>
          <w:rFonts w:ascii="Bookman Old Style" w:hAnsi="Bookman Old Style"/>
        </w:rPr>
      </w:pPr>
      <w:r w:rsidRPr="00623197">
        <w:rPr>
          <w:rFonts w:ascii="Bookman Old Style" w:hAnsi="Bookman Old Style"/>
        </w:rPr>
        <w:t xml:space="preserve">El artículo 2o de la Ley 1617 de 2013 que establece que los distritos: “son entidades territoriales organizadas de conformidad con lo </w:t>
      </w:r>
      <w:r w:rsidRPr="00623197">
        <w:rPr>
          <w:rFonts w:ascii="Bookman Old Style" w:hAnsi="Bookman Old Style"/>
        </w:rPr>
        <w:lastRenderedPageBreak/>
        <w:t xml:space="preserve">previsto en la </w:t>
      </w:r>
      <w:proofErr w:type="spellStart"/>
      <w:r w:rsidRPr="00623197">
        <w:rPr>
          <w:rFonts w:ascii="Bookman Old Style" w:hAnsi="Bookman Old Style"/>
        </w:rPr>
        <w:t>Constitución</w:t>
      </w:r>
      <w:proofErr w:type="spellEnd"/>
      <w:r w:rsidRPr="00623197">
        <w:rPr>
          <w:rFonts w:ascii="Bookman Old Style" w:hAnsi="Bookman Old Style"/>
        </w:rPr>
        <w:t xml:space="preserve"> </w:t>
      </w:r>
      <w:proofErr w:type="spellStart"/>
      <w:r w:rsidRPr="00623197">
        <w:rPr>
          <w:rFonts w:ascii="Bookman Old Style" w:hAnsi="Bookman Old Style"/>
        </w:rPr>
        <w:t>Política</w:t>
      </w:r>
      <w:proofErr w:type="spellEnd"/>
      <w:r w:rsidRPr="00623197">
        <w:rPr>
          <w:rFonts w:ascii="Bookman Old Style" w:hAnsi="Bookman Old Style"/>
        </w:rPr>
        <w:t xml:space="preserve">, que se encuentran sujetos a un </w:t>
      </w:r>
      <w:proofErr w:type="spellStart"/>
      <w:r w:rsidRPr="00623197">
        <w:rPr>
          <w:rFonts w:ascii="Bookman Old Style" w:hAnsi="Bookman Old Style"/>
        </w:rPr>
        <w:t>régimen</w:t>
      </w:r>
      <w:proofErr w:type="spellEnd"/>
      <w:r w:rsidRPr="00623197">
        <w:rPr>
          <w:rFonts w:ascii="Bookman Old Style" w:hAnsi="Bookman Old Style"/>
        </w:rPr>
        <w:t xml:space="preserve"> especial, en virtud del cual sus </w:t>
      </w:r>
      <w:proofErr w:type="spellStart"/>
      <w:r w:rsidRPr="00623197">
        <w:rPr>
          <w:rFonts w:ascii="Bookman Old Style" w:hAnsi="Bookman Old Style"/>
        </w:rPr>
        <w:t>órganos</w:t>
      </w:r>
      <w:proofErr w:type="spellEnd"/>
      <w:r w:rsidRPr="00623197">
        <w:rPr>
          <w:rFonts w:ascii="Bookman Old Style" w:hAnsi="Bookman Old Style"/>
        </w:rPr>
        <w:t xml:space="preserve"> y autoridades gozan de facultades especiales diferentes a las contempladas dentro del </w:t>
      </w:r>
      <w:proofErr w:type="spellStart"/>
      <w:r w:rsidRPr="00623197">
        <w:rPr>
          <w:rFonts w:ascii="Bookman Old Style" w:hAnsi="Bookman Old Style"/>
        </w:rPr>
        <w:t>régimen</w:t>
      </w:r>
      <w:proofErr w:type="spellEnd"/>
      <w:r w:rsidRPr="00623197">
        <w:rPr>
          <w:rFonts w:ascii="Bookman Old Style" w:hAnsi="Bookman Old Style"/>
        </w:rPr>
        <w:t xml:space="preserve"> ordinario aplicable a los demás municipios del país, así como del que rige para las otras entidades territoriales establecidas dentro de la estructura </w:t>
      </w:r>
      <w:proofErr w:type="spellStart"/>
      <w:r w:rsidRPr="00623197">
        <w:rPr>
          <w:rFonts w:ascii="Bookman Old Style" w:hAnsi="Bookman Old Style"/>
        </w:rPr>
        <w:t>político</w:t>
      </w:r>
      <w:proofErr w:type="spellEnd"/>
      <w:r w:rsidRPr="00623197">
        <w:rPr>
          <w:rFonts w:ascii="Bookman Old Style" w:hAnsi="Bookman Old Style"/>
        </w:rPr>
        <w:t xml:space="preserve"> administrativa del Estado colombiano”. Y El artículo 8o de la misma ley, que contempla los requisitos para la creación de los distritos. </w:t>
      </w:r>
    </w:p>
    <w:p w14:paraId="072FB56E" w14:textId="77777777" w:rsidR="00623197" w:rsidRPr="00623197" w:rsidRDefault="00623197" w:rsidP="00623197">
      <w:pPr>
        <w:jc w:val="both"/>
        <w:rPr>
          <w:rFonts w:ascii="Bookman Old Style" w:hAnsi="Bookman Old Style"/>
        </w:rPr>
      </w:pPr>
    </w:p>
    <w:p w14:paraId="286A8A11" w14:textId="2970640D" w:rsidR="00623197" w:rsidRPr="00623197" w:rsidRDefault="00623197" w:rsidP="00623197">
      <w:pPr>
        <w:numPr>
          <w:ilvl w:val="0"/>
          <w:numId w:val="2"/>
        </w:numPr>
        <w:jc w:val="both"/>
        <w:rPr>
          <w:rFonts w:ascii="Bookman Old Style" w:hAnsi="Bookman Old Style"/>
        </w:rPr>
      </w:pPr>
      <w:r w:rsidRPr="00623197">
        <w:rPr>
          <w:rFonts w:ascii="Bookman Old Style" w:hAnsi="Bookman Old Style"/>
        </w:rPr>
        <w:t xml:space="preserve">El inciso 2o del artículo 8o de Ley 1617 de 2013 establece requisitos para la creación de distritos. Sin embargo, el presente proyecto, al ser constitutivo de un acto legislativo, solo requiere para su </w:t>
      </w:r>
      <w:proofErr w:type="spellStart"/>
      <w:r w:rsidRPr="00623197">
        <w:rPr>
          <w:rFonts w:ascii="Bookman Old Style" w:hAnsi="Bookman Old Style"/>
        </w:rPr>
        <w:t>aprobación</w:t>
      </w:r>
      <w:proofErr w:type="spellEnd"/>
      <w:r w:rsidRPr="00623197">
        <w:rPr>
          <w:rFonts w:ascii="Bookman Old Style" w:hAnsi="Bookman Old Style"/>
        </w:rPr>
        <w:t xml:space="preserve"> que se agoten los debates constitucionales correspondientes (ver: Corte Constitucional, Sentencia C-494 de 2015). </w:t>
      </w:r>
    </w:p>
    <w:p w14:paraId="75F08070" w14:textId="77777777" w:rsidR="00623197" w:rsidRDefault="00623197" w:rsidP="00623197">
      <w:pPr>
        <w:rPr>
          <w:rFonts w:ascii="Bookman Old Style" w:hAnsi="Bookman Old Style"/>
        </w:rPr>
      </w:pPr>
    </w:p>
    <w:p w14:paraId="1A3F7463" w14:textId="48FB90D8" w:rsidR="00623197" w:rsidRPr="00623197" w:rsidRDefault="00623197" w:rsidP="00623197">
      <w:pPr>
        <w:rPr>
          <w:rFonts w:ascii="Bookman Old Style" w:hAnsi="Bookman Old Style"/>
          <w:b/>
          <w:bCs/>
        </w:rPr>
      </w:pPr>
      <w:r w:rsidRPr="00623197">
        <w:rPr>
          <w:rFonts w:ascii="Bookman Old Style" w:hAnsi="Bookman Old Style"/>
          <w:b/>
          <w:bCs/>
        </w:rPr>
        <w:t xml:space="preserve">Conflicto de intereses </w:t>
      </w:r>
    </w:p>
    <w:p w14:paraId="40F9C4B1" w14:textId="77777777" w:rsidR="00623197" w:rsidRDefault="00623197" w:rsidP="00623197">
      <w:pPr>
        <w:rPr>
          <w:rFonts w:ascii="Bookman Old Style" w:hAnsi="Bookman Old Style"/>
        </w:rPr>
      </w:pPr>
    </w:p>
    <w:p w14:paraId="0F60B503" w14:textId="57BB214F" w:rsidR="00623197" w:rsidRPr="00623197" w:rsidRDefault="00623197" w:rsidP="00623197">
      <w:pPr>
        <w:jc w:val="both"/>
        <w:rPr>
          <w:rFonts w:ascii="Bookman Old Style" w:hAnsi="Bookman Old Style"/>
        </w:rPr>
      </w:pPr>
      <w:r w:rsidRPr="00623197">
        <w:rPr>
          <w:rFonts w:ascii="Bookman Old Style" w:hAnsi="Bookman Old Style"/>
        </w:rPr>
        <w:t xml:space="preserve">De conformidad con los artículos 286 y 291 de la Ley 5o de 1992, modificados por la Ley 2003 de 2019, manifiesto que esta iniciativa se enmarca en la causal de ausencia de conflicto de intereses: “cuando el congresista participe, discuta, vote un proyecto de Ley o de acto legislativo que otorgue beneficios o cargos de carácter general, es decir cuando el </w:t>
      </w:r>
      <w:proofErr w:type="spellStart"/>
      <w:r w:rsidRPr="00623197">
        <w:rPr>
          <w:rFonts w:ascii="Bookman Old Style" w:hAnsi="Bookman Old Style"/>
        </w:rPr>
        <w:t>interés</w:t>
      </w:r>
      <w:proofErr w:type="spellEnd"/>
      <w:r w:rsidRPr="00623197">
        <w:rPr>
          <w:rFonts w:ascii="Bookman Old Style" w:hAnsi="Bookman Old Style"/>
        </w:rPr>
        <w:t xml:space="preserve"> del congresista coincide o se fusione con los intereses de los electores”, por lo cual, en principio, no </w:t>
      </w:r>
      <w:proofErr w:type="spellStart"/>
      <w:r w:rsidRPr="00623197">
        <w:rPr>
          <w:rFonts w:ascii="Bookman Old Style" w:hAnsi="Bookman Old Style"/>
        </w:rPr>
        <w:t>existirían</w:t>
      </w:r>
      <w:proofErr w:type="spellEnd"/>
      <w:r w:rsidRPr="00623197">
        <w:rPr>
          <w:rFonts w:ascii="Bookman Old Style" w:hAnsi="Bookman Old Style"/>
        </w:rPr>
        <w:t xml:space="preserve"> circunstancias para considerar que el ponente y los demás congresistas puedan incurrir en eventuales conflictos de intereses. </w:t>
      </w:r>
    </w:p>
    <w:p w14:paraId="00EC8CAA" w14:textId="77777777" w:rsidR="00623197" w:rsidRDefault="00623197" w:rsidP="00623197">
      <w:pPr>
        <w:jc w:val="both"/>
        <w:rPr>
          <w:rFonts w:ascii="Bookman Old Style" w:hAnsi="Bookman Old Style"/>
        </w:rPr>
      </w:pPr>
    </w:p>
    <w:p w14:paraId="0C0CECAA" w14:textId="0E342142" w:rsidR="00623197" w:rsidRDefault="00623197" w:rsidP="00623197">
      <w:pPr>
        <w:jc w:val="both"/>
        <w:rPr>
          <w:rFonts w:ascii="Bookman Old Style" w:hAnsi="Bookman Old Style"/>
          <w:b/>
          <w:bCs/>
        </w:rPr>
      </w:pPr>
      <w:proofErr w:type="spellStart"/>
      <w:r w:rsidRPr="00623197">
        <w:rPr>
          <w:rFonts w:ascii="Bookman Old Style" w:hAnsi="Bookman Old Style"/>
          <w:b/>
          <w:bCs/>
        </w:rPr>
        <w:t>Proposición</w:t>
      </w:r>
      <w:proofErr w:type="spellEnd"/>
      <w:r w:rsidRPr="00623197">
        <w:rPr>
          <w:rFonts w:ascii="Bookman Old Style" w:hAnsi="Bookman Old Style"/>
          <w:b/>
          <w:bCs/>
        </w:rPr>
        <w:t xml:space="preserve"> </w:t>
      </w:r>
    </w:p>
    <w:p w14:paraId="4F4E303A" w14:textId="77777777" w:rsidR="00623197" w:rsidRPr="00623197" w:rsidRDefault="00623197" w:rsidP="00623197">
      <w:pPr>
        <w:jc w:val="both"/>
        <w:rPr>
          <w:rFonts w:ascii="Bookman Old Style" w:hAnsi="Bookman Old Style"/>
          <w:b/>
          <w:bCs/>
        </w:rPr>
      </w:pPr>
    </w:p>
    <w:p w14:paraId="77F7D5DF" w14:textId="77777777" w:rsidR="00015089" w:rsidRPr="00631D03" w:rsidRDefault="00623197" w:rsidP="00015089">
      <w:pPr>
        <w:widowControl w:val="0"/>
        <w:spacing w:after="240"/>
        <w:jc w:val="both"/>
        <w:rPr>
          <w:rFonts w:ascii="Bookman Old Style" w:hAnsi="Bookman Old Style"/>
          <w:color w:val="000000" w:themeColor="text1"/>
        </w:rPr>
      </w:pPr>
      <w:r w:rsidRPr="00623197">
        <w:rPr>
          <w:rFonts w:ascii="Bookman Old Style" w:hAnsi="Bookman Old Style"/>
        </w:rPr>
        <w:t xml:space="preserve">En virtud de lo expuesto, presento ponencia favorable y propongo a los miembros de la </w:t>
      </w:r>
      <w:r>
        <w:rPr>
          <w:rFonts w:ascii="Bookman Old Style" w:hAnsi="Bookman Old Style"/>
        </w:rPr>
        <w:t>Comisión Primera Constitucional de la Cámara de Representantes</w:t>
      </w:r>
      <w:r w:rsidRPr="00623197">
        <w:rPr>
          <w:rFonts w:ascii="Bookman Old Style" w:hAnsi="Bookman Old Style"/>
        </w:rPr>
        <w:t xml:space="preserve"> dar </w:t>
      </w:r>
      <w:r>
        <w:rPr>
          <w:rFonts w:ascii="Bookman Old Style" w:hAnsi="Bookman Old Style"/>
        </w:rPr>
        <w:t xml:space="preserve">primer </w:t>
      </w:r>
      <w:r w:rsidRPr="00623197">
        <w:rPr>
          <w:rFonts w:ascii="Bookman Old Style" w:hAnsi="Bookman Old Style"/>
        </w:rPr>
        <w:t xml:space="preserve">debate al </w:t>
      </w:r>
      <w:r w:rsidR="00015089" w:rsidRPr="00631D03">
        <w:rPr>
          <w:rFonts w:ascii="Bookman Old Style" w:hAnsi="Bookman Old Style"/>
          <w:color w:val="000000" w:themeColor="text1"/>
        </w:rPr>
        <w:t xml:space="preserve">Proyecto </w:t>
      </w:r>
      <w:r w:rsidR="00015089">
        <w:rPr>
          <w:rFonts w:ascii="Bookman Old Style" w:hAnsi="Bookman Old Style"/>
          <w:color w:val="000000" w:themeColor="text1"/>
        </w:rPr>
        <w:t xml:space="preserve">de Acto </w:t>
      </w:r>
      <w:r w:rsidR="00015089" w:rsidRPr="00631D03">
        <w:rPr>
          <w:rFonts w:ascii="Bookman Old Style" w:hAnsi="Bookman Old Style"/>
          <w:color w:val="000000" w:themeColor="text1"/>
        </w:rPr>
        <w:t>Legislativo No. 449 de 2024 Cámara – No. 019 de 2024 Senado “Por el cual se otorga la</w:t>
      </w:r>
      <w:r w:rsidR="00015089">
        <w:rPr>
          <w:rFonts w:ascii="Bookman Old Style" w:hAnsi="Bookman Old Style"/>
          <w:color w:val="000000" w:themeColor="text1"/>
        </w:rPr>
        <w:t xml:space="preserve"> </w:t>
      </w:r>
      <w:r w:rsidR="00015089" w:rsidRPr="00631D03">
        <w:rPr>
          <w:rFonts w:ascii="Bookman Old Style" w:hAnsi="Bookman Old Style"/>
          <w:color w:val="000000" w:themeColor="text1"/>
        </w:rPr>
        <w:t>categoría de Distrito Especial eje del conocimiento al municipio de Manizales en el</w:t>
      </w:r>
      <w:r w:rsidR="00015089">
        <w:rPr>
          <w:rFonts w:ascii="Bookman Old Style" w:hAnsi="Bookman Old Style"/>
          <w:color w:val="000000" w:themeColor="text1"/>
        </w:rPr>
        <w:t xml:space="preserve"> </w:t>
      </w:r>
      <w:r w:rsidR="00015089" w:rsidRPr="00631D03">
        <w:rPr>
          <w:rFonts w:ascii="Bookman Old Style" w:hAnsi="Bookman Old Style"/>
          <w:color w:val="000000" w:themeColor="text1"/>
        </w:rPr>
        <w:t>departamento de Caldas” Primera Vuelta.</w:t>
      </w:r>
    </w:p>
    <w:p w14:paraId="37CF8B4A" w14:textId="79D4CDC9" w:rsidR="00623197" w:rsidRDefault="00623197" w:rsidP="00623197">
      <w:pPr>
        <w:jc w:val="both"/>
        <w:rPr>
          <w:rFonts w:ascii="Bookman Old Style" w:hAnsi="Bookman Old Style"/>
        </w:rPr>
      </w:pPr>
      <w:r w:rsidRPr="00623197">
        <w:rPr>
          <w:rFonts w:ascii="Bookman Old Style" w:hAnsi="Bookman Old Style"/>
        </w:rPr>
        <w:t xml:space="preserve">Cordialmente, </w:t>
      </w:r>
    </w:p>
    <w:p w14:paraId="72ACE1B8" w14:textId="77777777" w:rsidR="00015089" w:rsidRDefault="00015089" w:rsidP="00623197">
      <w:pPr>
        <w:jc w:val="both"/>
        <w:rPr>
          <w:rFonts w:ascii="Bookman Old Style" w:hAnsi="Bookman Old Style"/>
        </w:rPr>
      </w:pPr>
    </w:p>
    <w:p w14:paraId="2FD974CC" w14:textId="77777777" w:rsidR="00015089" w:rsidRDefault="00015089" w:rsidP="00623197">
      <w:pPr>
        <w:jc w:val="both"/>
        <w:rPr>
          <w:rFonts w:ascii="Bookman Old Style" w:hAnsi="Bookman Old Style"/>
        </w:rPr>
      </w:pPr>
    </w:p>
    <w:p w14:paraId="30239285" w14:textId="77777777" w:rsidR="00015089" w:rsidRDefault="00015089" w:rsidP="00015089">
      <w:pPr>
        <w:widowControl w:val="0"/>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JUAN SEBASTIÁN GÓMEZ GONZÁLES</w:t>
      </w:r>
    </w:p>
    <w:p w14:paraId="5FB8D41A" w14:textId="77777777" w:rsidR="00015089" w:rsidRDefault="00015089" w:rsidP="00015089">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Representante a la Cámara por Caldas</w:t>
      </w:r>
    </w:p>
    <w:p w14:paraId="26824B28" w14:textId="50ADD6D7" w:rsidR="00015089" w:rsidRPr="00623197" w:rsidRDefault="00015089" w:rsidP="00015089">
      <w:pPr>
        <w:jc w:val="both"/>
        <w:rPr>
          <w:rFonts w:ascii="Bookman Old Style" w:hAnsi="Bookman Old Style"/>
        </w:rPr>
      </w:pPr>
      <w:r>
        <w:rPr>
          <w:rFonts w:ascii="Times New Roman" w:eastAsia="Times New Roman" w:hAnsi="Times New Roman" w:cs="Times New Roman"/>
          <w:color w:val="000000"/>
        </w:rPr>
        <w:t>Ponente</w:t>
      </w:r>
    </w:p>
    <w:p w14:paraId="14199060" w14:textId="2ECA6CBD" w:rsidR="00015089" w:rsidRDefault="00015089">
      <w:pPr>
        <w:spacing w:after="160" w:line="278" w:lineRule="auto"/>
        <w:rPr>
          <w:rFonts w:ascii="Bookman Old Style" w:hAnsi="Bookman Old Style"/>
        </w:rPr>
      </w:pPr>
    </w:p>
    <w:p w14:paraId="1191711E" w14:textId="1461D83A" w:rsidR="00015089" w:rsidRDefault="00015089" w:rsidP="005F7957">
      <w:pPr>
        <w:rPr>
          <w:rFonts w:ascii="Bookman Old Style" w:hAnsi="Bookman Old Style"/>
          <w:b/>
          <w:bCs/>
        </w:rPr>
      </w:pPr>
      <w:r w:rsidRPr="00015089">
        <w:rPr>
          <w:rFonts w:ascii="Bookman Old Style" w:hAnsi="Bookman Old Style"/>
          <w:b/>
          <w:bCs/>
        </w:rPr>
        <w:t>TEXTO PROPUESTO</w:t>
      </w:r>
    </w:p>
    <w:p w14:paraId="52587FD4" w14:textId="77777777" w:rsidR="00015089" w:rsidRDefault="00015089" w:rsidP="005F7957">
      <w:pPr>
        <w:rPr>
          <w:rFonts w:ascii="Bookman Old Style" w:hAnsi="Bookman Old Style"/>
          <w:b/>
          <w:bCs/>
        </w:rPr>
      </w:pPr>
    </w:p>
    <w:p w14:paraId="64CC59E6" w14:textId="6694114A" w:rsidR="00015089" w:rsidRDefault="00015089" w:rsidP="00015089">
      <w:pPr>
        <w:widowControl w:val="0"/>
        <w:spacing w:after="240"/>
        <w:jc w:val="center"/>
        <w:rPr>
          <w:rFonts w:ascii="Bookman Old Style" w:hAnsi="Bookman Old Style"/>
          <w:color w:val="000000" w:themeColor="text1"/>
        </w:rPr>
      </w:pPr>
      <w:r w:rsidRPr="00166561">
        <w:rPr>
          <w:rFonts w:ascii="Bookman Old Style" w:eastAsia="Times New Roman" w:hAnsi="Bookman Old Style" w:cs="Times New Roman"/>
          <w:b/>
          <w:color w:val="000000"/>
        </w:rPr>
        <w:t xml:space="preserve">TEXTO PROPUESTO PARA </w:t>
      </w:r>
      <w:r w:rsidRPr="00166561">
        <w:rPr>
          <w:rFonts w:ascii="Bookman Old Style" w:hAnsi="Bookman Old Style"/>
          <w:b/>
          <w:bCs/>
        </w:rPr>
        <w:t>PRIMER DEBATE</w:t>
      </w:r>
      <w:r w:rsidRPr="00015089">
        <w:rPr>
          <w:rFonts w:ascii="Bookman Old Style" w:hAnsi="Bookman Old Style"/>
          <w:b/>
          <w:bCs/>
        </w:rPr>
        <w:t xml:space="preserve"> AL </w:t>
      </w:r>
      <w:r w:rsidRPr="00015089">
        <w:rPr>
          <w:rFonts w:ascii="Bookman Old Style" w:hAnsi="Bookman Old Style"/>
          <w:b/>
          <w:bCs/>
          <w:color w:val="000000" w:themeColor="text1"/>
        </w:rPr>
        <w:t>PROYECTO DE ACTO LEGISLATIVO NO. 449 DE 2024 CÁMARA – NO. 019 DE 2024 SENADO</w:t>
      </w:r>
    </w:p>
    <w:p w14:paraId="6B988B57" w14:textId="62154386" w:rsidR="00015089" w:rsidRPr="00015089" w:rsidRDefault="00015089" w:rsidP="00015089">
      <w:pPr>
        <w:widowControl w:val="0"/>
        <w:spacing w:after="240"/>
        <w:jc w:val="center"/>
        <w:rPr>
          <w:rFonts w:ascii="Bookman Old Style" w:hAnsi="Bookman Old Style"/>
          <w:i/>
          <w:iCs/>
          <w:color w:val="000000" w:themeColor="text1"/>
        </w:rPr>
      </w:pPr>
      <w:r w:rsidRPr="00015089">
        <w:rPr>
          <w:rFonts w:ascii="Bookman Old Style" w:hAnsi="Bookman Old Style"/>
          <w:i/>
          <w:iCs/>
          <w:color w:val="000000" w:themeColor="text1"/>
        </w:rPr>
        <w:t>“Por el cual se otorga la categoría de Distrito Especial eje del conocimiento al municipio de Manizales en el departamento de Caldas” Primera Vuelta.</w:t>
      </w:r>
    </w:p>
    <w:p w14:paraId="0E18E13C" w14:textId="77777777" w:rsidR="00015089" w:rsidRPr="00015089" w:rsidRDefault="00015089" w:rsidP="00015089">
      <w:pPr>
        <w:spacing w:after="240"/>
        <w:jc w:val="center"/>
        <w:rPr>
          <w:rFonts w:ascii="Bookman Old Style" w:eastAsia="Times New Roman" w:hAnsi="Bookman Old Style" w:cs="Times New Roman"/>
          <w:b/>
        </w:rPr>
      </w:pPr>
      <w:r w:rsidRPr="00015089">
        <w:rPr>
          <w:rFonts w:ascii="Bookman Old Style" w:eastAsia="Times New Roman" w:hAnsi="Bookman Old Style" w:cs="Times New Roman"/>
          <w:b/>
          <w:color w:val="000000"/>
        </w:rPr>
        <w:t>EL CONGRESO DE COLOMBIA</w:t>
      </w:r>
    </w:p>
    <w:p w14:paraId="6B856820" w14:textId="77777777" w:rsidR="00015089" w:rsidRPr="00015089" w:rsidRDefault="00015089" w:rsidP="00015089">
      <w:pPr>
        <w:spacing w:after="240"/>
        <w:jc w:val="center"/>
        <w:rPr>
          <w:rFonts w:ascii="Bookman Old Style" w:eastAsia="Times New Roman" w:hAnsi="Bookman Old Style" w:cs="Times New Roman"/>
          <w:b/>
        </w:rPr>
      </w:pPr>
      <w:r w:rsidRPr="00015089">
        <w:rPr>
          <w:rFonts w:ascii="Bookman Old Style" w:eastAsia="Times New Roman" w:hAnsi="Bookman Old Style" w:cs="Times New Roman"/>
          <w:b/>
          <w:color w:val="000000"/>
        </w:rPr>
        <w:t>DECRETA:</w:t>
      </w:r>
    </w:p>
    <w:p w14:paraId="7B88B84C" w14:textId="1485FBBC" w:rsidR="00015089" w:rsidRPr="00015089" w:rsidRDefault="00015089" w:rsidP="00015089">
      <w:pPr>
        <w:spacing w:line="276" w:lineRule="auto"/>
        <w:jc w:val="both"/>
        <w:rPr>
          <w:rFonts w:ascii="Bookman Old Style" w:hAnsi="Bookman Old Style" w:cs="Times New Roman"/>
          <w:b/>
          <w:bCs/>
          <w:lang w:val="es-ES"/>
        </w:rPr>
      </w:pPr>
      <w:r w:rsidRPr="00015089">
        <w:rPr>
          <w:rFonts w:ascii="Bookman Old Style" w:hAnsi="Bookman Old Style" w:cs="Times New Roman"/>
          <w:b/>
          <w:bCs/>
          <w:lang w:val="es-ES"/>
        </w:rPr>
        <w:t>Artículo 1º.</w:t>
      </w:r>
      <w:r w:rsidRPr="00015089">
        <w:rPr>
          <w:rFonts w:ascii="Bookman Old Style" w:hAnsi="Bookman Old Style" w:cs="Times New Roman"/>
          <w:lang w:val="es-ES"/>
        </w:rPr>
        <w:t xml:space="preserve"> Adiciónese el siguiente inciso al artículo 328 de la Constitución Política:</w:t>
      </w:r>
    </w:p>
    <w:p w14:paraId="4713482D" w14:textId="77777777" w:rsidR="00015089" w:rsidRPr="00015089" w:rsidRDefault="00015089" w:rsidP="00015089">
      <w:pPr>
        <w:spacing w:line="276" w:lineRule="auto"/>
        <w:jc w:val="both"/>
        <w:rPr>
          <w:rFonts w:ascii="Bookman Old Style" w:hAnsi="Bookman Old Style" w:cs="Times New Roman"/>
          <w:lang w:val="es-ES"/>
        </w:rPr>
      </w:pPr>
    </w:p>
    <w:p w14:paraId="594C3243" w14:textId="49C4B6E5" w:rsidR="00015089" w:rsidRDefault="00015089" w:rsidP="00015089">
      <w:pPr>
        <w:jc w:val="both"/>
        <w:rPr>
          <w:rFonts w:ascii="Bookman Old Style" w:hAnsi="Bookman Old Style" w:cs="Times New Roman"/>
          <w:lang w:val="es-ES"/>
        </w:rPr>
      </w:pPr>
      <w:r w:rsidRPr="00015089">
        <w:rPr>
          <w:rFonts w:ascii="Bookman Old Style" w:hAnsi="Bookman Old Style" w:cs="Times New Roman"/>
          <w:lang w:val="es-ES"/>
        </w:rPr>
        <w:t>La ciudad de Manizales se organiza como Distrito Especial eje del Conocimiento.</w:t>
      </w:r>
    </w:p>
    <w:p w14:paraId="46C69FB8" w14:textId="77777777" w:rsidR="00015089" w:rsidRDefault="00015089" w:rsidP="00015089">
      <w:pPr>
        <w:jc w:val="both"/>
        <w:rPr>
          <w:rFonts w:ascii="Bookman Old Style" w:hAnsi="Bookman Old Style"/>
          <w:b/>
          <w:bCs/>
        </w:rPr>
      </w:pPr>
    </w:p>
    <w:p w14:paraId="50A9CD6F" w14:textId="77777777" w:rsidR="00015089" w:rsidRPr="00015089" w:rsidRDefault="00015089" w:rsidP="00015089">
      <w:pPr>
        <w:jc w:val="both"/>
        <w:rPr>
          <w:rFonts w:ascii="Bookman Old Style" w:hAnsi="Bookman Old Style"/>
          <w:b/>
          <w:bCs/>
        </w:rPr>
      </w:pPr>
    </w:p>
    <w:p w14:paraId="0520DEBF" w14:textId="77777777" w:rsidR="00015089" w:rsidRDefault="00015089" w:rsidP="00015089">
      <w:pPr>
        <w:spacing w:line="276" w:lineRule="auto"/>
        <w:jc w:val="both"/>
        <w:rPr>
          <w:rFonts w:ascii="Bookman Old Style" w:hAnsi="Bookman Old Style" w:cs="Times New Roman"/>
          <w:lang w:val="es-ES"/>
        </w:rPr>
      </w:pPr>
      <w:r w:rsidRPr="00015089">
        <w:rPr>
          <w:rFonts w:ascii="Bookman Old Style" w:hAnsi="Bookman Old Style" w:cs="Times New Roman"/>
          <w:b/>
          <w:bCs/>
          <w:lang w:val="es-ES"/>
        </w:rPr>
        <w:t xml:space="preserve">Artículo 2º. </w:t>
      </w:r>
      <w:r w:rsidRPr="00015089">
        <w:rPr>
          <w:rFonts w:ascii="Bookman Old Style" w:hAnsi="Bookman Old Style" w:cs="Times New Roman"/>
          <w:lang w:val="es-ES"/>
        </w:rPr>
        <w:t>Adiciónese el siguiente inciso al artículo 356 de la Constitución Política:</w:t>
      </w:r>
    </w:p>
    <w:p w14:paraId="4E46F839" w14:textId="77777777" w:rsidR="00015089" w:rsidRPr="00015089" w:rsidRDefault="00015089" w:rsidP="00015089">
      <w:pPr>
        <w:spacing w:line="276" w:lineRule="auto"/>
        <w:jc w:val="both"/>
        <w:rPr>
          <w:rFonts w:ascii="Bookman Old Style" w:hAnsi="Bookman Old Style" w:cs="Times New Roman"/>
          <w:lang w:val="es-ES"/>
        </w:rPr>
      </w:pPr>
    </w:p>
    <w:p w14:paraId="79FE9C60" w14:textId="590E09F2" w:rsidR="00015089" w:rsidRDefault="00015089" w:rsidP="00015089">
      <w:pPr>
        <w:jc w:val="both"/>
        <w:rPr>
          <w:rFonts w:ascii="Bookman Old Style" w:hAnsi="Bookman Old Style" w:cs="Times New Roman"/>
          <w:lang w:val="es-ES"/>
        </w:rPr>
      </w:pPr>
      <w:r w:rsidRPr="00015089">
        <w:rPr>
          <w:rFonts w:ascii="Bookman Old Style" w:hAnsi="Bookman Old Style" w:cs="Times New Roman"/>
          <w:lang w:val="es-ES"/>
        </w:rPr>
        <w:t>La ciudad de Manizales se organiza como Distrito Especial eje del Conocimiento. Su régimen político y fiscal será el previsto en la Constitución y las leyes especiales que para el efecto se dicten.</w:t>
      </w:r>
    </w:p>
    <w:p w14:paraId="50023DCA" w14:textId="77777777" w:rsidR="00015089" w:rsidRDefault="00015089" w:rsidP="00015089">
      <w:pPr>
        <w:jc w:val="both"/>
        <w:rPr>
          <w:rFonts w:ascii="Bookman Old Style" w:hAnsi="Bookman Old Style" w:cs="Times New Roman"/>
          <w:lang w:val="es-ES"/>
        </w:rPr>
      </w:pPr>
    </w:p>
    <w:p w14:paraId="414769AF" w14:textId="77777777" w:rsidR="00015089" w:rsidRDefault="00015089" w:rsidP="00015089">
      <w:pPr>
        <w:spacing w:line="276" w:lineRule="auto"/>
        <w:jc w:val="both"/>
        <w:rPr>
          <w:rFonts w:ascii="Bookman Old Style" w:hAnsi="Bookman Old Style" w:cs="Times New Roman"/>
          <w:lang w:val="es-ES"/>
        </w:rPr>
      </w:pPr>
      <w:r w:rsidRPr="00015089">
        <w:rPr>
          <w:rFonts w:ascii="Bookman Old Style" w:hAnsi="Bookman Old Style" w:cs="Times New Roman"/>
          <w:b/>
          <w:bCs/>
          <w:lang w:val="es-ES"/>
        </w:rPr>
        <w:t xml:space="preserve">Artículo 3º. </w:t>
      </w:r>
      <w:r w:rsidRPr="00015089">
        <w:rPr>
          <w:rFonts w:ascii="Bookman Old Style" w:hAnsi="Bookman Old Style" w:cs="Times New Roman"/>
          <w:lang w:val="es-ES"/>
        </w:rPr>
        <w:t>Adiciónese un parágrafo al artículo 356 de la Constitución Política, así:</w:t>
      </w:r>
    </w:p>
    <w:p w14:paraId="31E36DF7" w14:textId="77777777" w:rsidR="00015089" w:rsidRPr="00015089" w:rsidRDefault="00015089" w:rsidP="00015089">
      <w:pPr>
        <w:spacing w:line="276" w:lineRule="auto"/>
        <w:jc w:val="both"/>
        <w:rPr>
          <w:rFonts w:ascii="Bookman Old Style" w:hAnsi="Bookman Old Style" w:cs="Times New Roman"/>
          <w:lang w:val="es-ES"/>
        </w:rPr>
      </w:pPr>
    </w:p>
    <w:p w14:paraId="5CB71DC8" w14:textId="50E55F9E" w:rsidR="00015089" w:rsidRDefault="00015089" w:rsidP="00015089">
      <w:pPr>
        <w:jc w:val="both"/>
        <w:rPr>
          <w:rFonts w:ascii="Bookman Old Style" w:hAnsi="Bookman Old Style" w:cs="Times New Roman"/>
          <w:lang w:val="es-ES"/>
        </w:rPr>
      </w:pPr>
      <w:r w:rsidRPr="00015089">
        <w:rPr>
          <w:rFonts w:ascii="Bookman Old Style" w:hAnsi="Bookman Old Style" w:cs="Times New Roman"/>
          <w:b/>
          <w:bCs/>
          <w:lang w:val="es-ES"/>
        </w:rPr>
        <w:t>Parágrafo 2.</w:t>
      </w:r>
      <w:r w:rsidRPr="00015089">
        <w:rPr>
          <w:rFonts w:ascii="Bookman Old Style" w:hAnsi="Bookman Old Style" w:cs="Times New Roman"/>
          <w:lang w:val="es-ES"/>
        </w:rPr>
        <w:t xml:space="preserve"> La ciudad de Manizales podrá crear mecanismos adicionales a los existentes para la promoción y el desarrollo del Distrito Especial del Conocimiento, así como la creación de un fondo de desarrollo distrital para el financiamiento de los proyectos asociados a la ciencia, la tecnología y la innovación. La ciudad de Manizales promoverá mecanismos para la inclusión de la población</w:t>
      </w:r>
      <w:r w:rsidR="00166561">
        <w:rPr>
          <w:rFonts w:ascii="Bookman Old Style" w:hAnsi="Bookman Old Style" w:cs="Times New Roman"/>
          <w:lang w:val="es-ES"/>
        </w:rPr>
        <w:t>, de las niñas y mujeres en las áreas de ciencia, tecnología, ingeniería y matemáticas</w:t>
      </w:r>
      <w:r w:rsidRPr="00015089">
        <w:rPr>
          <w:rFonts w:ascii="Bookman Old Style" w:hAnsi="Bookman Old Style" w:cs="Times New Roman"/>
          <w:lang w:val="es-ES"/>
        </w:rPr>
        <w:t xml:space="preserve"> y el enfoque diferencial para los</w:t>
      </w:r>
      <w:r w:rsidRPr="00015089">
        <w:rPr>
          <w:rFonts w:ascii="Bookman Old Style" w:hAnsi="Bookman Old Style" w:cs="Times New Roman"/>
          <w:b/>
          <w:bCs/>
          <w:lang w:val="es-ES"/>
        </w:rPr>
        <w:t xml:space="preserve"> </w:t>
      </w:r>
      <w:r w:rsidRPr="00015089">
        <w:rPr>
          <w:rFonts w:ascii="Bookman Old Style" w:hAnsi="Bookman Old Style" w:cs="Times New Roman"/>
          <w:lang w:val="es-ES"/>
        </w:rPr>
        <w:t>grupos étnicos minoritarios.</w:t>
      </w:r>
    </w:p>
    <w:p w14:paraId="562C04FC" w14:textId="77777777" w:rsidR="00166561" w:rsidRDefault="00166561" w:rsidP="00015089">
      <w:pPr>
        <w:jc w:val="both"/>
        <w:rPr>
          <w:rFonts w:ascii="Bookman Old Style" w:hAnsi="Bookman Old Style" w:cs="Times New Roman"/>
          <w:lang w:val="es-ES"/>
        </w:rPr>
      </w:pPr>
    </w:p>
    <w:p w14:paraId="248646AC" w14:textId="4E51F6F2" w:rsidR="00166561" w:rsidRDefault="00166561" w:rsidP="00015089">
      <w:pPr>
        <w:jc w:val="both"/>
        <w:rPr>
          <w:rFonts w:ascii="Bookman Old Style" w:hAnsi="Bookman Old Style" w:cs="Times New Roman"/>
          <w:lang w:val="es-ES"/>
        </w:rPr>
      </w:pPr>
      <w:r w:rsidRPr="00166561">
        <w:rPr>
          <w:rFonts w:ascii="Bookman Old Style" w:hAnsi="Bookman Old Style" w:cs="Times New Roman"/>
          <w:b/>
          <w:bCs/>
          <w:lang w:val="es-ES"/>
        </w:rPr>
        <w:lastRenderedPageBreak/>
        <w:t>Artículo 4º. Vigencia</w:t>
      </w:r>
      <w:r w:rsidRPr="00166561">
        <w:rPr>
          <w:rFonts w:ascii="Bookman Old Style" w:hAnsi="Bookman Old Style" w:cs="Times New Roman"/>
          <w:lang w:val="es-ES"/>
        </w:rPr>
        <w:t>. El presente Acto Legislativo rige a partir de su promulgación.</w:t>
      </w:r>
    </w:p>
    <w:p w14:paraId="5FBAE4F4" w14:textId="77777777" w:rsidR="00166561" w:rsidRDefault="00166561" w:rsidP="00015089">
      <w:pPr>
        <w:jc w:val="both"/>
        <w:rPr>
          <w:rFonts w:ascii="Bookman Old Style" w:hAnsi="Bookman Old Style" w:cs="Times New Roman"/>
          <w:lang w:val="es-ES"/>
        </w:rPr>
      </w:pPr>
    </w:p>
    <w:p w14:paraId="3FB8D39F" w14:textId="77777777" w:rsidR="00166561" w:rsidRDefault="00166561" w:rsidP="00015089">
      <w:pPr>
        <w:jc w:val="both"/>
        <w:rPr>
          <w:rFonts w:ascii="Bookman Old Style" w:hAnsi="Bookman Old Style" w:cs="Times New Roman"/>
          <w:lang w:val="es-ES"/>
        </w:rPr>
      </w:pPr>
    </w:p>
    <w:p w14:paraId="50BBF89E" w14:textId="77777777" w:rsidR="00166561" w:rsidRDefault="00166561" w:rsidP="00015089">
      <w:pPr>
        <w:jc w:val="both"/>
        <w:rPr>
          <w:rFonts w:ascii="Bookman Old Style" w:hAnsi="Bookman Old Style" w:cs="Times New Roman"/>
          <w:lang w:val="es-ES"/>
        </w:rPr>
      </w:pPr>
    </w:p>
    <w:p w14:paraId="17A7DB17" w14:textId="77777777" w:rsidR="00166561" w:rsidRDefault="00166561" w:rsidP="00015089">
      <w:pPr>
        <w:jc w:val="both"/>
        <w:rPr>
          <w:rFonts w:ascii="Bookman Old Style" w:hAnsi="Bookman Old Style" w:cs="Times New Roman"/>
          <w:lang w:val="es-ES"/>
        </w:rPr>
      </w:pPr>
    </w:p>
    <w:p w14:paraId="729A02CD" w14:textId="77777777" w:rsidR="00166561" w:rsidRPr="00166561" w:rsidRDefault="00166561" w:rsidP="00015089">
      <w:pPr>
        <w:jc w:val="both"/>
        <w:rPr>
          <w:rFonts w:ascii="Bookman Old Style" w:hAnsi="Bookman Old Style" w:cs="Times New Roman"/>
          <w:lang w:val="es-ES"/>
        </w:rPr>
      </w:pPr>
    </w:p>
    <w:p w14:paraId="24BB1D37" w14:textId="77777777" w:rsidR="00166561" w:rsidRPr="00166561" w:rsidRDefault="00166561" w:rsidP="00015089">
      <w:pPr>
        <w:jc w:val="both"/>
        <w:rPr>
          <w:rFonts w:ascii="Bookman Old Style" w:hAnsi="Bookman Old Style" w:cs="Times New Roman"/>
          <w:lang w:val="es-ES"/>
        </w:rPr>
      </w:pPr>
    </w:p>
    <w:p w14:paraId="69B7AC71" w14:textId="77777777" w:rsidR="00166561" w:rsidRPr="00166561" w:rsidRDefault="00166561" w:rsidP="00166561">
      <w:pPr>
        <w:widowControl w:val="0"/>
        <w:spacing w:after="240"/>
        <w:jc w:val="both"/>
        <w:rPr>
          <w:rFonts w:ascii="Bookman Old Style" w:eastAsia="Times New Roman" w:hAnsi="Bookman Old Style" w:cs="Times New Roman"/>
          <w:color w:val="000000"/>
        </w:rPr>
      </w:pPr>
      <w:r w:rsidRPr="00166561">
        <w:rPr>
          <w:rFonts w:ascii="Bookman Old Style" w:eastAsia="Times New Roman" w:hAnsi="Bookman Old Style" w:cs="Times New Roman"/>
          <w:color w:val="000000"/>
        </w:rPr>
        <w:t>De los congresistas,</w:t>
      </w:r>
    </w:p>
    <w:p w14:paraId="465F6928" w14:textId="77777777" w:rsidR="00166561" w:rsidRPr="00166561" w:rsidRDefault="00166561" w:rsidP="00166561">
      <w:pPr>
        <w:widowControl w:val="0"/>
        <w:spacing w:after="240"/>
        <w:jc w:val="both"/>
        <w:rPr>
          <w:rFonts w:ascii="Bookman Old Style" w:eastAsia="Times New Roman" w:hAnsi="Bookman Old Style" w:cs="Times New Roman"/>
          <w:color w:val="000000"/>
        </w:rPr>
      </w:pPr>
    </w:p>
    <w:p w14:paraId="64542393" w14:textId="0AE59C37" w:rsidR="00166561" w:rsidRPr="00166561" w:rsidRDefault="00166561" w:rsidP="00166561">
      <w:pPr>
        <w:widowControl w:val="0"/>
        <w:jc w:val="both"/>
        <w:rPr>
          <w:rFonts w:ascii="Bookman Old Style" w:eastAsia="Times New Roman" w:hAnsi="Bookman Old Style" w:cs="Times New Roman"/>
          <w:b/>
          <w:bCs/>
          <w:color w:val="000000"/>
        </w:rPr>
      </w:pPr>
      <w:r w:rsidRPr="00166561">
        <w:rPr>
          <w:rFonts w:ascii="Bookman Old Style" w:eastAsia="Times New Roman" w:hAnsi="Bookman Old Style" w:cs="Times New Roman"/>
          <w:b/>
          <w:bCs/>
          <w:color w:val="000000"/>
        </w:rPr>
        <w:t>JUAN SEBASTIÁN GÓMEZ GONZÁLES</w:t>
      </w:r>
    </w:p>
    <w:p w14:paraId="0654C7C3" w14:textId="6748BF48" w:rsidR="00166561" w:rsidRPr="00166561" w:rsidRDefault="00166561" w:rsidP="00166561">
      <w:pPr>
        <w:widowControl w:val="0"/>
        <w:jc w:val="both"/>
        <w:rPr>
          <w:rFonts w:ascii="Bookman Old Style" w:eastAsia="Times New Roman" w:hAnsi="Bookman Old Style" w:cs="Times New Roman"/>
          <w:color w:val="000000"/>
        </w:rPr>
      </w:pPr>
      <w:r w:rsidRPr="00166561">
        <w:rPr>
          <w:rFonts w:ascii="Bookman Old Style" w:eastAsia="Times New Roman" w:hAnsi="Bookman Old Style" w:cs="Times New Roman"/>
          <w:color w:val="000000"/>
        </w:rPr>
        <w:t>Representante a la Cámara por Caldas</w:t>
      </w:r>
    </w:p>
    <w:p w14:paraId="5551F1E8" w14:textId="36E2865C" w:rsidR="00166561" w:rsidRPr="00166561" w:rsidRDefault="00166561" w:rsidP="00166561">
      <w:pPr>
        <w:widowControl w:val="0"/>
        <w:spacing w:after="240"/>
        <w:jc w:val="both"/>
        <w:rPr>
          <w:rFonts w:ascii="Bookman Old Style" w:eastAsia="Times New Roman" w:hAnsi="Bookman Old Style" w:cs="Times New Roman"/>
          <w:color w:val="000000"/>
        </w:rPr>
      </w:pPr>
      <w:r w:rsidRPr="00166561">
        <w:rPr>
          <w:rFonts w:ascii="Bookman Old Style" w:eastAsia="Times New Roman" w:hAnsi="Bookman Old Style" w:cs="Times New Roman"/>
          <w:color w:val="000000"/>
        </w:rPr>
        <w:t>Ponente</w:t>
      </w:r>
    </w:p>
    <w:p w14:paraId="13ABB1AB" w14:textId="77777777" w:rsidR="00166561" w:rsidRPr="00166561" w:rsidRDefault="00166561" w:rsidP="00015089">
      <w:pPr>
        <w:jc w:val="both"/>
        <w:rPr>
          <w:rFonts w:ascii="Bookman Old Style" w:hAnsi="Bookman Old Style"/>
          <w:b/>
          <w:bCs/>
        </w:rPr>
      </w:pPr>
    </w:p>
    <w:sectPr w:rsidR="00166561" w:rsidRPr="00166561" w:rsidSect="00166561">
      <w:headerReference w:type="default" r:id="rId14"/>
      <w:footerReference w:type="default" r:id="rId15"/>
      <w:pgSz w:w="12240" w:h="15840"/>
      <w:pgMar w:top="2265" w:right="1701" w:bottom="165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8AFC" w14:textId="77777777" w:rsidR="00D64387" w:rsidRDefault="00D64387" w:rsidP="00166561">
      <w:r>
        <w:separator/>
      </w:r>
    </w:p>
  </w:endnote>
  <w:endnote w:type="continuationSeparator" w:id="0">
    <w:p w14:paraId="326C3D93" w14:textId="77777777" w:rsidR="00D64387" w:rsidRDefault="00D64387" w:rsidP="0016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EDF7" w14:textId="40EBCC31" w:rsidR="00881D35" w:rsidRDefault="00881D3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EF8E" w14:textId="77777777" w:rsidR="00D64387" w:rsidRDefault="00D64387" w:rsidP="00166561">
      <w:r>
        <w:separator/>
      </w:r>
    </w:p>
  </w:footnote>
  <w:footnote w:type="continuationSeparator" w:id="0">
    <w:p w14:paraId="5A8A360F" w14:textId="77777777" w:rsidR="00D64387" w:rsidRDefault="00D64387" w:rsidP="0016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4D45" w14:textId="2EFD27C7" w:rsidR="00881D35" w:rsidRDefault="007A7AF3" w:rsidP="007A7AF3">
    <w:pPr>
      <w:pBdr>
        <w:top w:val="nil"/>
        <w:left w:val="nil"/>
        <w:bottom w:val="nil"/>
        <w:right w:val="nil"/>
        <w:between w:val="nil"/>
      </w:pBdr>
      <w:tabs>
        <w:tab w:val="left" w:pos="633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CF0767"/>
    <w:multiLevelType w:val="multilevel"/>
    <w:tmpl w:val="5220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D9"/>
    <w:rsid w:val="00015089"/>
    <w:rsid w:val="000F28E2"/>
    <w:rsid w:val="00156E48"/>
    <w:rsid w:val="00166561"/>
    <w:rsid w:val="005F7957"/>
    <w:rsid w:val="00623197"/>
    <w:rsid w:val="00676F0E"/>
    <w:rsid w:val="007A7AF3"/>
    <w:rsid w:val="008414D9"/>
    <w:rsid w:val="00881D35"/>
    <w:rsid w:val="00932E1A"/>
    <w:rsid w:val="009C06E4"/>
    <w:rsid w:val="009D481E"/>
    <w:rsid w:val="00A91E8F"/>
    <w:rsid w:val="00B1267E"/>
    <w:rsid w:val="00D01148"/>
    <w:rsid w:val="00D64387"/>
    <w:rsid w:val="00E402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96365"/>
  <w15:chartTrackingRefBased/>
  <w15:docId w15:val="{7C499CE5-2FAC-B440-AC6A-70C7707A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D9"/>
    <w:pPr>
      <w:spacing w:after="0" w:line="240" w:lineRule="auto"/>
    </w:pPr>
    <w:rPr>
      <w:rFonts w:ascii="Calibri" w:eastAsia="Calibri" w:hAnsi="Calibri" w:cs="Calibri"/>
      <w:kern w:val="0"/>
      <w:lang w:eastAsia="es-MX"/>
      <w14:ligatures w14:val="none"/>
    </w:rPr>
  </w:style>
  <w:style w:type="paragraph" w:styleId="Ttulo1">
    <w:name w:val="heading 1"/>
    <w:basedOn w:val="Normal"/>
    <w:next w:val="Normal"/>
    <w:link w:val="Ttulo1Car"/>
    <w:uiPriority w:val="9"/>
    <w:qFormat/>
    <w:rsid w:val="0084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1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14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14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14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14D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14D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14D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14D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4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14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14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14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14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14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14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14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14D9"/>
    <w:rPr>
      <w:rFonts w:eastAsiaTheme="majorEastAsia" w:cstheme="majorBidi"/>
      <w:color w:val="272727" w:themeColor="text1" w:themeTint="D8"/>
    </w:rPr>
  </w:style>
  <w:style w:type="paragraph" w:styleId="Ttulo">
    <w:name w:val="Title"/>
    <w:basedOn w:val="Normal"/>
    <w:next w:val="Normal"/>
    <w:link w:val="TtuloCar"/>
    <w:uiPriority w:val="10"/>
    <w:qFormat/>
    <w:rsid w:val="008414D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14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14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14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14D9"/>
    <w:pPr>
      <w:spacing w:before="160"/>
      <w:jc w:val="center"/>
    </w:pPr>
    <w:rPr>
      <w:i/>
      <w:iCs/>
      <w:color w:val="404040" w:themeColor="text1" w:themeTint="BF"/>
    </w:rPr>
  </w:style>
  <w:style w:type="character" w:customStyle="1" w:styleId="CitaCar">
    <w:name w:val="Cita Car"/>
    <w:basedOn w:val="Fuentedeprrafopredeter"/>
    <w:link w:val="Cita"/>
    <w:uiPriority w:val="29"/>
    <w:rsid w:val="008414D9"/>
    <w:rPr>
      <w:i/>
      <w:iCs/>
      <w:color w:val="404040" w:themeColor="text1" w:themeTint="BF"/>
    </w:rPr>
  </w:style>
  <w:style w:type="paragraph" w:styleId="Prrafodelista">
    <w:name w:val="List Paragraph"/>
    <w:basedOn w:val="Normal"/>
    <w:uiPriority w:val="34"/>
    <w:qFormat/>
    <w:rsid w:val="008414D9"/>
    <w:pPr>
      <w:ind w:left="720"/>
      <w:contextualSpacing/>
    </w:pPr>
  </w:style>
  <w:style w:type="character" w:styleId="nfasisintenso">
    <w:name w:val="Intense Emphasis"/>
    <w:basedOn w:val="Fuentedeprrafopredeter"/>
    <w:uiPriority w:val="21"/>
    <w:qFormat/>
    <w:rsid w:val="008414D9"/>
    <w:rPr>
      <w:i/>
      <w:iCs/>
      <w:color w:val="0F4761" w:themeColor="accent1" w:themeShade="BF"/>
    </w:rPr>
  </w:style>
  <w:style w:type="paragraph" w:styleId="Citadestacada">
    <w:name w:val="Intense Quote"/>
    <w:basedOn w:val="Normal"/>
    <w:next w:val="Normal"/>
    <w:link w:val="CitadestacadaCar"/>
    <w:uiPriority w:val="30"/>
    <w:qFormat/>
    <w:rsid w:val="0084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14D9"/>
    <w:rPr>
      <w:i/>
      <w:iCs/>
      <w:color w:val="0F4761" w:themeColor="accent1" w:themeShade="BF"/>
    </w:rPr>
  </w:style>
  <w:style w:type="character" w:styleId="Referenciaintensa">
    <w:name w:val="Intense Reference"/>
    <w:basedOn w:val="Fuentedeprrafopredeter"/>
    <w:uiPriority w:val="32"/>
    <w:qFormat/>
    <w:rsid w:val="008414D9"/>
    <w:rPr>
      <w:b/>
      <w:bCs/>
      <w:smallCaps/>
      <w:color w:val="0F4761" w:themeColor="accent1" w:themeShade="BF"/>
      <w:spacing w:val="5"/>
    </w:rPr>
  </w:style>
  <w:style w:type="character" w:styleId="Referenciasutil">
    <w:name w:val="Subtle Reference"/>
    <w:basedOn w:val="CitaHTML"/>
    <w:uiPriority w:val="31"/>
    <w:qFormat/>
    <w:rsid w:val="008414D9"/>
    <w:rPr>
      <w:rFonts w:ascii="Tahoma" w:hAnsi="Tahoma"/>
      <w:i/>
      <w:iCs/>
      <w:smallCaps/>
      <w:color w:val="5A5A5A" w:themeColor="text1" w:themeTint="A5"/>
      <w:sz w:val="20"/>
    </w:rPr>
  </w:style>
  <w:style w:type="paragraph" w:styleId="Descripcin">
    <w:name w:val="caption"/>
    <w:basedOn w:val="Normal"/>
    <w:next w:val="Normal"/>
    <w:uiPriority w:val="35"/>
    <w:unhideWhenUsed/>
    <w:qFormat/>
    <w:rsid w:val="008414D9"/>
    <w:pPr>
      <w:spacing w:after="200"/>
    </w:pPr>
    <w:rPr>
      <w:i/>
      <w:iCs/>
      <w:color w:val="0E2841" w:themeColor="text2"/>
      <w:sz w:val="18"/>
      <w:szCs w:val="18"/>
    </w:rPr>
  </w:style>
  <w:style w:type="character" w:styleId="CitaHTML">
    <w:name w:val="HTML Cite"/>
    <w:basedOn w:val="Fuentedeprrafopredeter"/>
    <w:uiPriority w:val="99"/>
    <w:semiHidden/>
    <w:unhideWhenUsed/>
    <w:rsid w:val="008414D9"/>
    <w:rPr>
      <w:i/>
      <w:iCs/>
    </w:rPr>
  </w:style>
  <w:style w:type="paragraph" w:styleId="Encabezado">
    <w:name w:val="header"/>
    <w:basedOn w:val="Normal"/>
    <w:link w:val="EncabezadoCar"/>
    <w:uiPriority w:val="99"/>
    <w:unhideWhenUsed/>
    <w:rsid w:val="00166561"/>
    <w:pPr>
      <w:tabs>
        <w:tab w:val="center" w:pos="4419"/>
        <w:tab w:val="right" w:pos="8838"/>
      </w:tabs>
    </w:pPr>
  </w:style>
  <w:style w:type="character" w:customStyle="1" w:styleId="EncabezadoCar">
    <w:name w:val="Encabezado Car"/>
    <w:basedOn w:val="Fuentedeprrafopredeter"/>
    <w:link w:val="Encabezado"/>
    <w:uiPriority w:val="99"/>
    <w:rsid w:val="00166561"/>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166561"/>
    <w:pPr>
      <w:tabs>
        <w:tab w:val="center" w:pos="4419"/>
        <w:tab w:val="right" w:pos="8838"/>
      </w:tabs>
    </w:pPr>
  </w:style>
  <w:style w:type="character" w:customStyle="1" w:styleId="PiedepginaCar">
    <w:name w:val="Pie de página Car"/>
    <w:basedOn w:val="Fuentedeprrafopredeter"/>
    <w:link w:val="Piedepgina"/>
    <w:uiPriority w:val="99"/>
    <w:rsid w:val="00166561"/>
    <w:rPr>
      <w:rFonts w:ascii="Calibri" w:eastAsia="Calibri" w:hAnsi="Calibri" w:cs="Calibri"/>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1205">
      <w:bodyDiv w:val="1"/>
      <w:marLeft w:val="0"/>
      <w:marRight w:val="0"/>
      <w:marTop w:val="0"/>
      <w:marBottom w:val="0"/>
      <w:divBdr>
        <w:top w:val="none" w:sz="0" w:space="0" w:color="auto"/>
        <w:left w:val="none" w:sz="0" w:space="0" w:color="auto"/>
        <w:bottom w:val="none" w:sz="0" w:space="0" w:color="auto"/>
        <w:right w:val="none" w:sz="0" w:space="0" w:color="auto"/>
      </w:divBdr>
      <w:divsChild>
        <w:div w:id="834761823">
          <w:marLeft w:val="0"/>
          <w:marRight w:val="0"/>
          <w:marTop w:val="0"/>
          <w:marBottom w:val="0"/>
          <w:divBdr>
            <w:top w:val="none" w:sz="0" w:space="0" w:color="auto"/>
            <w:left w:val="none" w:sz="0" w:space="0" w:color="auto"/>
            <w:bottom w:val="none" w:sz="0" w:space="0" w:color="auto"/>
            <w:right w:val="none" w:sz="0" w:space="0" w:color="auto"/>
          </w:divBdr>
          <w:divsChild>
            <w:div w:id="88700083">
              <w:marLeft w:val="0"/>
              <w:marRight w:val="0"/>
              <w:marTop w:val="0"/>
              <w:marBottom w:val="0"/>
              <w:divBdr>
                <w:top w:val="none" w:sz="0" w:space="0" w:color="auto"/>
                <w:left w:val="none" w:sz="0" w:space="0" w:color="auto"/>
                <w:bottom w:val="none" w:sz="0" w:space="0" w:color="auto"/>
                <w:right w:val="none" w:sz="0" w:space="0" w:color="auto"/>
              </w:divBdr>
              <w:divsChild>
                <w:div w:id="215894987">
                  <w:marLeft w:val="0"/>
                  <w:marRight w:val="0"/>
                  <w:marTop w:val="0"/>
                  <w:marBottom w:val="0"/>
                  <w:divBdr>
                    <w:top w:val="none" w:sz="0" w:space="0" w:color="auto"/>
                    <w:left w:val="none" w:sz="0" w:space="0" w:color="auto"/>
                    <w:bottom w:val="none" w:sz="0" w:space="0" w:color="auto"/>
                    <w:right w:val="none" w:sz="0" w:space="0" w:color="auto"/>
                  </w:divBdr>
                  <w:divsChild>
                    <w:div w:id="803625113">
                      <w:marLeft w:val="0"/>
                      <w:marRight w:val="0"/>
                      <w:marTop w:val="0"/>
                      <w:marBottom w:val="0"/>
                      <w:divBdr>
                        <w:top w:val="none" w:sz="0" w:space="0" w:color="auto"/>
                        <w:left w:val="none" w:sz="0" w:space="0" w:color="auto"/>
                        <w:bottom w:val="none" w:sz="0" w:space="0" w:color="auto"/>
                        <w:right w:val="none" w:sz="0" w:space="0" w:color="auto"/>
                      </w:divBdr>
                    </w:div>
                  </w:divsChild>
                </w:div>
                <w:div w:id="149950420">
                  <w:marLeft w:val="0"/>
                  <w:marRight w:val="0"/>
                  <w:marTop w:val="0"/>
                  <w:marBottom w:val="0"/>
                  <w:divBdr>
                    <w:top w:val="none" w:sz="0" w:space="0" w:color="auto"/>
                    <w:left w:val="none" w:sz="0" w:space="0" w:color="auto"/>
                    <w:bottom w:val="none" w:sz="0" w:space="0" w:color="auto"/>
                    <w:right w:val="none" w:sz="0" w:space="0" w:color="auto"/>
                  </w:divBdr>
                  <w:divsChild>
                    <w:div w:id="1297375529">
                      <w:marLeft w:val="0"/>
                      <w:marRight w:val="0"/>
                      <w:marTop w:val="0"/>
                      <w:marBottom w:val="0"/>
                      <w:divBdr>
                        <w:top w:val="none" w:sz="0" w:space="0" w:color="auto"/>
                        <w:left w:val="none" w:sz="0" w:space="0" w:color="auto"/>
                        <w:bottom w:val="none" w:sz="0" w:space="0" w:color="auto"/>
                        <w:right w:val="none" w:sz="0" w:space="0" w:color="auto"/>
                      </w:divBdr>
                    </w:div>
                  </w:divsChild>
                </w:div>
                <w:div w:id="1077559385">
                  <w:marLeft w:val="0"/>
                  <w:marRight w:val="0"/>
                  <w:marTop w:val="0"/>
                  <w:marBottom w:val="0"/>
                  <w:divBdr>
                    <w:top w:val="none" w:sz="0" w:space="0" w:color="auto"/>
                    <w:left w:val="none" w:sz="0" w:space="0" w:color="auto"/>
                    <w:bottom w:val="none" w:sz="0" w:space="0" w:color="auto"/>
                    <w:right w:val="none" w:sz="0" w:space="0" w:color="auto"/>
                  </w:divBdr>
                  <w:divsChild>
                    <w:div w:id="1046680199">
                      <w:marLeft w:val="0"/>
                      <w:marRight w:val="0"/>
                      <w:marTop w:val="0"/>
                      <w:marBottom w:val="0"/>
                      <w:divBdr>
                        <w:top w:val="none" w:sz="0" w:space="0" w:color="auto"/>
                        <w:left w:val="none" w:sz="0" w:space="0" w:color="auto"/>
                        <w:bottom w:val="none" w:sz="0" w:space="0" w:color="auto"/>
                        <w:right w:val="none" w:sz="0" w:space="0" w:color="auto"/>
                      </w:divBdr>
                    </w:div>
                  </w:divsChild>
                </w:div>
                <w:div w:id="992870722">
                  <w:marLeft w:val="0"/>
                  <w:marRight w:val="0"/>
                  <w:marTop w:val="0"/>
                  <w:marBottom w:val="0"/>
                  <w:divBdr>
                    <w:top w:val="none" w:sz="0" w:space="0" w:color="auto"/>
                    <w:left w:val="none" w:sz="0" w:space="0" w:color="auto"/>
                    <w:bottom w:val="none" w:sz="0" w:space="0" w:color="auto"/>
                    <w:right w:val="none" w:sz="0" w:space="0" w:color="auto"/>
                  </w:divBdr>
                  <w:divsChild>
                    <w:div w:id="865756222">
                      <w:marLeft w:val="0"/>
                      <w:marRight w:val="0"/>
                      <w:marTop w:val="0"/>
                      <w:marBottom w:val="0"/>
                      <w:divBdr>
                        <w:top w:val="none" w:sz="0" w:space="0" w:color="auto"/>
                        <w:left w:val="none" w:sz="0" w:space="0" w:color="auto"/>
                        <w:bottom w:val="none" w:sz="0" w:space="0" w:color="auto"/>
                        <w:right w:val="none" w:sz="0" w:space="0" w:color="auto"/>
                      </w:divBdr>
                    </w:div>
                  </w:divsChild>
                </w:div>
                <w:div w:id="534462735">
                  <w:marLeft w:val="0"/>
                  <w:marRight w:val="0"/>
                  <w:marTop w:val="0"/>
                  <w:marBottom w:val="0"/>
                  <w:divBdr>
                    <w:top w:val="none" w:sz="0" w:space="0" w:color="auto"/>
                    <w:left w:val="none" w:sz="0" w:space="0" w:color="auto"/>
                    <w:bottom w:val="none" w:sz="0" w:space="0" w:color="auto"/>
                    <w:right w:val="none" w:sz="0" w:space="0" w:color="auto"/>
                  </w:divBdr>
                  <w:divsChild>
                    <w:div w:id="914389331">
                      <w:marLeft w:val="0"/>
                      <w:marRight w:val="0"/>
                      <w:marTop w:val="0"/>
                      <w:marBottom w:val="0"/>
                      <w:divBdr>
                        <w:top w:val="none" w:sz="0" w:space="0" w:color="auto"/>
                        <w:left w:val="none" w:sz="0" w:space="0" w:color="auto"/>
                        <w:bottom w:val="none" w:sz="0" w:space="0" w:color="auto"/>
                        <w:right w:val="none" w:sz="0" w:space="0" w:color="auto"/>
                      </w:divBdr>
                    </w:div>
                  </w:divsChild>
                </w:div>
                <w:div w:id="1580405418">
                  <w:marLeft w:val="0"/>
                  <w:marRight w:val="0"/>
                  <w:marTop w:val="0"/>
                  <w:marBottom w:val="0"/>
                  <w:divBdr>
                    <w:top w:val="none" w:sz="0" w:space="0" w:color="auto"/>
                    <w:left w:val="none" w:sz="0" w:space="0" w:color="auto"/>
                    <w:bottom w:val="none" w:sz="0" w:space="0" w:color="auto"/>
                    <w:right w:val="none" w:sz="0" w:space="0" w:color="auto"/>
                  </w:divBdr>
                  <w:divsChild>
                    <w:div w:id="2061443707">
                      <w:marLeft w:val="0"/>
                      <w:marRight w:val="0"/>
                      <w:marTop w:val="0"/>
                      <w:marBottom w:val="0"/>
                      <w:divBdr>
                        <w:top w:val="none" w:sz="0" w:space="0" w:color="auto"/>
                        <w:left w:val="none" w:sz="0" w:space="0" w:color="auto"/>
                        <w:bottom w:val="none" w:sz="0" w:space="0" w:color="auto"/>
                        <w:right w:val="none" w:sz="0" w:space="0" w:color="auto"/>
                      </w:divBdr>
                    </w:div>
                  </w:divsChild>
                </w:div>
                <w:div w:id="1307515324">
                  <w:marLeft w:val="0"/>
                  <w:marRight w:val="0"/>
                  <w:marTop w:val="0"/>
                  <w:marBottom w:val="0"/>
                  <w:divBdr>
                    <w:top w:val="none" w:sz="0" w:space="0" w:color="auto"/>
                    <w:left w:val="none" w:sz="0" w:space="0" w:color="auto"/>
                    <w:bottom w:val="none" w:sz="0" w:space="0" w:color="auto"/>
                    <w:right w:val="none" w:sz="0" w:space="0" w:color="auto"/>
                  </w:divBdr>
                  <w:divsChild>
                    <w:div w:id="561790355">
                      <w:marLeft w:val="0"/>
                      <w:marRight w:val="0"/>
                      <w:marTop w:val="0"/>
                      <w:marBottom w:val="0"/>
                      <w:divBdr>
                        <w:top w:val="none" w:sz="0" w:space="0" w:color="auto"/>
                        <w:left w:val="none" w:sz="0" w:space="0" w:color="auto"/>
                        <w:bottom w:val="none" w:sz="0" w:space="0" w:color="auto"/>
                        <w:right w:val="none" w:sz="0" w:space="0" w:color="auto"/>
                      </w:divBdr>
                    </w:div>
                  </w:divsChild>
                </w:div>
                <w:div w:id="1803884569">
                  <w:marLeft w:val="0"/>
                  <w:marRight w:val="0"/>
                  <w:marTop w:val="0"/>
                  <w:marBottom w:val="0"/>
                  <w:divBdr>
                    <w:top w:val="none" w:sz="0" w:space="0" w:color="auto"/>
                    <w:left w:val="none" w:sz="0" w:space="0" w:color="auto"/>
                    <w:bottom w:val="none" w:sz="0" w:space="0" w:color="auto"/>
                    <w:right w:val="none" w:sz="0" w:space="0" w:color="auto"/>
                  </w:divBdr>
                  <w:divsChild>
                    <w:div w:id="12131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3677">
      <w:bodyDiv w:val="1"/>
      <w:marLeft w:val="0"/>
      <w:marRight w:val="0"/>
      <w:marTop w:val="0"/>
      <w:marBottom w:val="0"/>
      <w:divBdr>
        <w:top w:val="none" w:sz="0" w:space="0" w:color="auto"/>
        <w:left w:val="none" w:sz="0" w:space="0" w:color="auto"/>
        <w:bottom w:val="none" w:sz="0" w:space="0" w:color="auto"/>
        <w:right w:val="none" w:sz="0" w:space="0" w:color="auto"/>
      </w:divBdr>
      <w:divsChild>
        <w:div w:id="1301224971">
          <w:marLeft w:val="0"/>
          <w:marRight w:val="0"/>
          <w:marTop w:val="0"/>
          <w:marBottom w:val="0"/>
          <w:divBdr>
            <w:top w:val="none" w:sz="0" w:space="0" w:color="auto"/>
            <w:left w:val="none" w:sz="0" w:space="0" w:color="auto"/>
            <w:bottom w:val="none" w:sz="0" w:space="0" w:color="auto"/>
            <w:right w:val="none" w:sz="0" w:space="0" w:color="auto"/>
          </w:divBdr>
          <w:divsChild>
            <w:div w:id="903881606">
              <w:marLeft w:val="0"/>
              <w:marRight w:val="0"/>
              <w:marTop w:val="0"/>
              <w:marBottom w:val="0"/>
              <w:divBdr>
                <w:top w:val="none" w:sz="0" w:space="0" w:color="auto"/>
                <w:left w:val="none" w:sz="0" w:space="0" w:color="auto"/>
                <w:bottom w:val="none" w:sz="0" w:space="0" w:color="auto"/>
                <w:right w:val="none" w:sz="0" w:space="0" w:color="auto"/>
              </w:divBdr>
              <w:divsChild>
                <w:div w:id="786628919">
                  <w:marLeft w:val="0"/>
                  <w:marRight w:val="0"/>
                  <w:marTop w:val="0"/>
                  <w:marBottom w:val="0"/>
                  <w:divBdr>
                    <w:top w:val="none" w:sz="0" w:space="0" w:color="auto"/>
                    <w:left w:val="none" w:sz="0" w:space="0" w:color="auto"/>
                    <w:bottom w:val="none" w:sz="0" w:space="0" w:color="auto"/>
                    <w:right w:val="none" w:sz="0" w:space="0" w:color="auto"/>
                  </w:divBdr>
                  <w:divsChild>
                    <w:div w:id="14209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9006">
      <w:bodyDiv w:val="1"/>
      <w:marLeft w:val="0"/>
      <w:marRight w:val="0"/>
      <w:marTop w:val="0"/>
      <w:marBottom w:val="0"/>
      <w:divBdr>
        <w:top w:val="none" w:sz="0" w:space="0" w:color="auto"/>
        <w:left w:val="none" w:sz="0" w:space="0" w:color="auto"/>
        <w:bottom w:val="none" w:sz="0" w:space="0" w:color="auto"/>
        <w:right w:val="none" w:sz="0" w:space="0" w:color="auto"/>
      </w:divBdr>
      <w:divsChild>
        <w:div w:id="1198658925">
          <w:marLeft w:val="0"/>
          <w:marRight w:val="0"/>
          <w:marTop w:val="0"/>
          <w:marBottom w:val="0"/>
          <w:divBdr>
            <w:top w:val="none" w:sz="0" w:space="0" w:color="auto"/>
            <w:left w:val="none" w:sz="0" w:space="0" w:color="auto"/>
            <w:bottom w:val="none" w:sz="0" w:space="0" w:color="auto"/>
            <w:right w:val="none" w:sz="0" w:space="0" w:color="auto"/>
          </w:divBdr>
          <w:divsChild>
            <w:div w:id="803471445">
              <w:marLeft w:val="0"/>
              <w:marRight w:val="0"/>
              <w:marTop w:val="0"/>
              <w:marBottom w:val="0"/>
              <w:divBdr>
                <w:top w:val="none" w:sz="0" w:space="0" w:color="auto"/>
                <w:left w:val="none" w:sz="0" w:space="0" w:color="auto"/>
                <w:bottom w:val="none" w:sz="0" w:space="0" w:color="auto"/>
                <w:right w:val="none" w:sz="0" w:space="0" w:color="auto"/>
              </w:divBdr>
              <w:divsChild>
                <w:div w:id="918903312">
                  <w:marLeft w:val="0"/>
                  <w:marRight w:val="0"/>
                  <w:marTop w:val="0"/>
                  <w:marBottom w:val="0"/>
                  <w:divBdr>
                    <w:top w:val="none" w:sz="0" w:space="0" w:color="auto"/>
                    <w:left w:val="none" w:sz="0" w:space="0" w:color="auto"/>
                    <w:bottom w:val="none" w:sz="0" w:space="0" w:color="auto"/>
                    <w:right w:val="none" w:sz="0" w:space="0" w:color="auto"/>
                  </w:divBdr>
                  <w:divsChild>
                    <w:div w:id="20982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52524">
      <w:bodyDiv w:val="1"/>
      <w:marLeft w:val="0"/>
      <w:marRight w:val="0"/>
      <w:marTop w:val="0"/>
      <w:marBottom w:val="0"/>
      <w:divBdr>
        <w:top w:val="none" w:sz="0" w:space="0" w:color="auto"/>
        <w:left w:val="none" w:sz="0" w:space="0" w:color="auto"/>
        <w:bottom w:val="none" w:sz="0" w:space="0" w:color="auto"/>
        <w:right w:val="none" w:sz="0" w:space="0" w:color="auto"/>
      </w:divBdr>
      <w:divsChild>
        <w:div w:id="1576354738">
          <w:marLeft w:val="0"/>
          <w:marRight w:val="0"/>
          <w:marTop w:val="0"/>
          <w:marBottom w:val="0"/>
          <w:divBdr>
            <w:top w:val="none" w:sz="0" w:space="0" w:color="auto"/>
            <w:left w:val="none" w:sz="0" w:space="0" w:color="auto"/>
            <w:bottom w:val="none" w:sz="0" w:space="0" w:color="auto"/>
            <w:right w:val="none" w:sz="0" w:space="0" w:color="auto"/>
          </w:divBdr>
          <w:divsChild>
            <w:div w:id="449474804">
              <w:marLeft w:val="0"/>
              <w:marRight w:val="0"/>
              <w:marTop w:val="0"/>
              <w:marBottom w:val="0"/>
              <w:divBdr>
                <w:top w:val="none" w:sz="0" w:space="0" w:color="auto"/>
                <w:left w:val="none" w:sz="0" w:space="0" w:color="auto"/>
                <w:bottom w:val="none" w:sz="0" w:space="0" w:color="auto"/>
                <w:right w:val="none" w:sz="0" w:space="0" w:color="auto"/>
              </w:divBdr>
              <w:divsChild>
                <w:div w:id="937448785">
                  <w:marLeft w:val="0"/>
                  <w:marRight w:val="0"/>
                  <w:marTop w:val="0"/>
                  <w:marBottom w:val="0"/>
                  <w:divBdr>
                    <w:top w:val="none" w:sz="0" w:space="0" w:color="auto"/>
                    <w:left w:val="none" w:sz="0" w:space="0" w:color="auto"/>
                    <w:bottom w:val="none" w:sz="0" w:space="0" w:color="auto"/>
                    <w:right w:val="none" w:sz="0" w:space="0" w:color="auto"/>
                  </w:divBdr>
                  <w:divsChild>
                    <w:div w:id="10958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86691">
      <w:bodyDiv w:val="1"/>
      <w:marLeft w:val="0"/>
      <w:marRight w:val="0"/>
      <w:marTop w:val="0"/>
      <w:marBottom w:val="0"/>
      <w:divBdr>
        <w:top w:val="none" w:sz="0" w:space="0" w:color="auto"/>
        <w:left w:val="none" w:sz="0" w:space="0" w:color="auto"/>
        <w:bottom w:val="none" w:sz="0" w:space="0" w:color="auto"/>
        <w:right w:val="none" w:sz="0" w:space="0" w:color="auto"/>
      </w:divBdr>
      <w:divsChild>
        <w:div w:id="2081825846">
          <w:marLeft w:val="0"/>
          <w:marRight w:val="0"/>
          <w:marTop w:val="0"/>
          <w:marBottom w:val="0"/>
          <w:divBdr>
            <w:top w:val="none" w:sz="0" w:space="0" w:color="auto"/>
            <w:left w:val="none" w:sz="0" w:space="0" w:color="auto"/>
            <w:bottom w:val="none" w:sz="0" w:space="0" w:color="auto"/>
            <w:right w:val="none" w:sz="0" w:space="0" w:color="auto"/>
          </w:divBdr>
          <w:divsChild>
            <w:div w:id="1994337606">
              <w:marLeft w:val="0"/>
              <w:marRight w:val="0"/>
              <w:marTop w:val="0"/>
              <w:marBottom w:val="0"/>
              <w:divBdr>
                <w:top w:val="none" w:sz="0" w:space="0" w:color="auto"/>
                <w:left w:val="none" w:sz="0" w:space="0" w:color="auto"/>
                <w:bottom w:val="none" w:sz="0" w:space="0" w:color="auto"/>
                <w:right w:val="none" w:sz="0" w:space="0" w:color="auto"/>
              </w:divBdr>
              <w:divsChild>
                <w:div w:id="1436826024">
                  <w:marLeft w:val="0"/>
                  <w:marRight w:val="0"/>
                  <w:marTop w:val="0"/>
                  <w:marBottom w:val="0"/>
                  <w:divBdr>
                    <w:top w:val="none" w:sz="0" w:space="0" w:color="auto"/>
                    <w:left w:val="none" w:sz="0" w:space="0" w:color="auto"/>
                    <w:bottom w:val="none" w:sz="0" w:space="0" w:color="auto"/>
                    <w:right w:val="none" w:sz="0" w:space="0" w:color="auto"/>
                  </w:divBdr>
                  <w:divsChild>
                    <w:div w:id="13271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762668">
      <w:bodyDiv w:val="1"/>
      <w:marLeft w:val="0"/>
      <w:marRight w:val="0"/>
      <w:marTop w:val="0"/>
      <w:marBottom w:val="0"/>
      <w:divBdr>
        <w:top w:val="none" w:sz="0" w:space="0" w:color="auto"/>
        <w:left w:val="none" w:sz="0" w:space="0" w:color="auto"/>
        <w:bottom w:val="none" w:sz="0" w:space="0" w:color="auto"/>
        <w:right w:val="none" w:sz="0" w:space="0" w:color="auto"/>
      </w:divBdr>
      <w:divsChild>
        <w:div w:id="875503082">
          <w:marLeft w:val="0"/>
          <w:marRight w:val="0"/>
          <w:marTop w:val="0"/>
          <w:marBottom w:val="0"/>
          <w:divBdr>
            <w:top w:val="none" w:sz="0" w:space="0" w:color="auto"/>
            <w:left w:val="none" w:sz="0" w:space="0" w:color="auto"/>
            <w:bottom w:val="none" w:sz="0" w:space="0" w:color="auto"/>
            <w:right w:val="none" w:sz="0" w:space="0" w:color="auto"/>
          </w:divBdr>
          <w:divsChild>
            <w:div w:id="345324009">
              <w:marLeft w:val="0"/>
              <w:marRight w:val="0"/>
              <w:marTop w:val="0"/>
              <w:marBottom w:val="0"/>
              <w:divBdr>
                <w:top w:val="none" w:sz="0" w:space="0" w:color="auto"/>
                <w:left w:val="none" w:sz="0" w:space="0" w:color="auto"/>
                <w:bottom w:val="none" w:sz="0" w:space="0" w:color="auto"/>
                <w:right w:val="none" w:sz="0" w:space="0" w:color="auto"/>
              </w:divBdr>
              <w:divsChild>
                <w:div w:id="12244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5042">
      <w:bodyDiv w:val="1"/>
      <w:marLeft w:val="0"/>
      <w:marRight w:val="0"/>
      <w:marTop w:val="0"/>
      <w:marBottom w:val="0"/>
      <w:divBdr>
        <w:top w:val="none" w:sz="0" w:space="0" w:color="auto"/>
        <w:left w:val="none" w:sz="0" w:space="0" w:color="auto"/>
        <w:bottom w:val="none" w:sz="0" w:space="0" w:color="auto"/>
        <w:right w:val="none" w:sz="0" w:space="0" w:color="auto"/>
      </w:divBdr>
      <w:divsChild>
        <w:div w:id="1830558183">
          <w:marLeft w:val="0"/>
          <w:marRight w:val="0"/>
          <w:marTop w:val="0"/>
          <w:marBottom w:val="0"/>
          <w:divBdr>
            <w:top w:val="none" w:sz="0" w:space="0" w:color="auto"/>
            <w:left w:val="none" w:sz="0" w:space="0" w:color="auto"/>
            <w:bottom w:val="none" w:sz="0" w:space="0" w:color="auto"/>
            <w:right w:val="none" w:sz="0" w:space="0" w:color="auto"/>
          </w:divBdr>
          <w:divsChild>
            <w:div w:id="1062560574">
              <w:marLeft w:val="0"/>
              <w:marRight w:val="0"/>
              <w:marTop w:val="0"/>
              <w:marBottom w:val="0"/>
              <w:divBdr>
                <w:top w:val="none" w:sz="0" w:space="0" w:color="auto"/>
                <w:left w:val="none" w:sz="0" w:space="0" w:color="auto"/>
                <w:bottom w:val="none" w:sz="0" w:space="0" w:color="auto"/>
                <w:right w:val="none" w:sz="0" w:space="0" w:color="auto"/>
              </w:divBdr>
              <w:divsChild>
                <w:div w:id="1888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47040">
      <w:bodyDiv w:val="1"/>
      <w:marLeft w:val="0"/>
      <w:marRight w:val="0"/>
      <w:marTop w:val="0"/>
      <w:marBottom w:val="0"/>
      <w:divBdr>
        <w:top w:val="none" w:sz="0" w:space="0" w:color="auto"/>
        <w:left w:val="none" w:sz="0" w:space="0" w:color="auto"/>
        <w:bottom w:val="none" w:sz="0" w:space="0" w:color="auto"/>
        <w:right w:val="none" w:sz="0" w:space="0" w:color="auto"/>
      </w:divBdr>
      <w:divsChild>
        <w:div w:id="915823881">
          <w:marLeft w:val="0"/>
          <w:marRight w:val="0"/>
          <w:marTop w:val="0"/>
          <w:marBottom w:val="0"/>
          <w:divBdr>
            <w:top w:val="none" w:sz="0" w:space="0" w:color="auto"/>
            <w:left w:val="none" w:sz="0" w:space="0" w:color="auto"/>
            <w:bottom w:val="none" w:sz="0" w:space="0" w:color="auto"/>
            <w:right w:val="none" w:sz="0" w:space="0" w:color="auto"/>
          </w:divBdr>
          <w:divsChild>
            <w:div w:id="366760643">
              <w:marLeft w:val="0"/>
              <w:marRight w:val="0"/>
              <w:marTop w:val="0"/>
              <w:marBottom w:val="0"/>
              <w:divBdr>
                <w:top w:val="none" w:sz="0" w:space="0" w:color="auto"/>
                <w:left w:val="none" w:sz="0" w:space="0" w:color="auto"/>
                <w:bottom w:val="none" w:sz="0" w:space="0" w:color="auto"/>
                <w:right w:val="none" w:sz="0" w:space="0" w:color="auto"/>
              </w:divBdr>
              <w:divsChild>
                <w:div w:id="864631449">
                  <w:marLeft w:val="0"/>
                  <w:marRight w:val="0"/>
                  <w:marTop w:val="0"/>
                  <w:marBottom w:val="0"/>
                  <w:divBdr>
                    <w:top w:val="none" w:sz="0" w:space="0" w:color="auto"/>
                    <w:left w:val="none" w:sz="0" w:space="0" w:color="auto"/>
                    <w:bottom w:val="none" w:sz="0" w:space="0" w:color="auto"/>
                    <w:right w:val="none" w:sz="0" w:space="0" w:color="auto"/>
                  </w:divBdr>
                  <w:divsChild>
                    <w:div w:id="1374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62469">
      <w:bodyDiv w:val="1"/>
      <w:marLeft w:val="0"/>
      <w:marRight w:val="0"/>
      <w:marTop w:val="0"/>
      <w:marBottom w:val="0"/>
      <w:divBdr>
        <w:top w:val="none" w:sz="0" w:space="0" w:color="auto"/>
        <w:left w:val="none" w:sz="0" w:space="0" w:color="auto"/>
        <w:bottom w:val="none" w:sz="0" w:space="0" w:color="auto"/>
        <w:right w:val="none" w:sz="0" w:space="0" w:color="auto"/>
      </w:divBdr>
      <w:divsChild>
        <w:div w:id="537356490">
          <w:marLeft w:val="0"/>
          <w:marRight w:val="0"/>
          <w:marTop w:val="0"/>
          <w:marBottom w:val="0"/>
          <w:divBdr>
            <w:top w:val="none" w:sz="0" w:space="0" w:color="auto"/>
            <w:left w:val="none" w:sz="0" w:space="0" w:color="auto"/>
            <w:bottom w:val="none" w:sz="0" w:space="0" w:color="auto"/>
            <w:right w:val="none" w:sz="0" w:space="0" w:color="auto"/>
          </w:divBdr>
          <w:divsChild>
            <w:div w:id="2010474791">
              <w:marLeft w:val="0"/>
              <w:marRight w:val="0"/>
              <w:marTop w:val="0"/>
              <w:marBottom w:val="0"/>
              <w:divBdr>
                <w:top w:val="none" w:sz="0" w:space="0" w:color="auto"/>
                <w:left w:val="none" w:sz="0" w:space="0" w:color="auto"/>
                <w:bottom w:val="none" w:sz="0" w:space="0" w:color="auto"/>
                <w:right w:val="none" w:sz="0" w:space="0" w:color="auto"/>
              </w:divBdr>
              <w:divsChild>
                <w:div w:id="28603817">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38384">
      <w:bodyDiv w:val="1"/>
      <w:marLeft w:val="0"/>
      <w:marRight w:val="0"/>
      <w:marTop w:val="0"/>
      <w:marBottom w:val="0"/>
      <w:divBdr>
        <w:top w:val="none" w:sz="0" w:space="0" w:color="auto"/>
        <w:left w:val="none" w:sz="0" w:space="0" w:color="auto"/>
        <w:bottom w:val="none" w:sz="0" w:space="0" w:color="auto"/>
        <w:right w:val="none" w:sz="0" w:space="0" w:color="auto"/>
      </w:divBdr>
      <w:divsChild>
        <w:div w:id="576597651">
          <w:marLeft w:val="0"/>
          <w:marRight w:val="0"/>
          <w:marTop w:val="0"/>
          <w:marBottom w:val="0"/>
          <w:divBdr>
            <w:top w:val="none" w:sz="0" w:space="0" w:color="auto"/>
            <w:left w:val="none" w:sz="0" w:space="0" w:color="auto"/>
            <w:bottom w:val="none" w:sz="0" w:space="0" w:color="auto"/>
            <w:right w:val="none" w:sz="0" w:space="0" w:color="auto"/>
          </w:divBdr>
          <w:divsChild>
            <w:div w:id="1035932707">
              <w:marLeft w:val="0"/>
              <w:marRight w:val="0"/>
              <w:marTop w:val="0"/>
              <w:marBottom w:val="0"/>
              <w:divBdr>
                <w:top w:val="none" w:sz="0" w:space="0" w:color="auto"/>
                <w:left w:val="none" w:sz="0" w:space="0" w:color="auto"/>
                <w:bottom w:val="none" w:sz="0" w:space="0" w:color="auto"/>
                <w:right w:val="none" w:sz="0" w:space="0" w:color="auto"/>
              </w:divBdr>
              <w:divsChild>
                <w:div w:id="10800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8277">
      <w:bodyDiv w:val="1"/>
      <w:marLeft w:val="0"/>
      <w:marRight w:val="0"/>
      <w:marTop w:val="0"/>
      <w:marBottom w:val="0"/>
      <w:divBdr>
        <w:top w:val="none" w:sz="0" w:space="0" w:color="auto"/>
        <w:left w:val="none" w:sz="0" w:space="0" w:color="auto"/>
        <w:bottom w:val="none" w:sz="0" w:space="0" w:color="auto"/>
        <w:right w:val="none" w:sz="0" w:space="0" w:color="auto"/>
      </w:divBdr>
      <w:divsChild>
        <w:div w:id="2110079874">
          <w:marLeft w:val="0"/>
          <w:marRight w:val="0"/>
          <w:marTop w:val="0"/>
          <w:marBottom w:val="0"/>
          <w:divBdr>
            <w:top w:val="none" w:sz="0" w:space="0" w:color="auto"/>
            <w:left w:val="none" w:sz="0" w:space="0" w:color="auto"/>
            <w:bottom w:val="none" w:sz="0" w:space="0" w:color="auto"/>
            <w:right w:val="none" w:sz="0" w:space="0" w:color="auto"/>
          </w:divBdr>
          <w:divsChild>
            <w:div w:id="646935503">
              <w:marLeft w:val="0"/>
              <w:marRight w:val="0"/>
              <w:marTop w:val="0"/>
              <w:marBottom w:val="0"/>
              <w:divBdr>
                <w:top w:val="none" w:sz="0" w:space="0" w:color="auto"/>
                <w:left w:val="none" w:sz="0" w:space="0" w:color="auto"/>
                <w:bottom w:val="none" w:sz="0" w:space="0" w:color="auto"/>
                <w:right w:val="none" w:sz="0" w:space="0" w:color="auto"/>
              </w:divBdr>
              <w:divsChild>
                <w:div w:id="222109098">
                  <w:marLeft w:val="0"/>
                  <w:marRight w:val="0"/>
                  <w:marTop w:val="0"/>
                  <w:marBottom w:val="0"/>
                  <w:divBdr>
                    <w:top w:val="none" w:sz="0" w:space="0" w:color="auto"/>
                    <w:left w:val="none" w:sz="0" w:space="0" w:color="auto"/>
                    <w:bottom w:val="none" w:sz="0" w:space="0" w:color="auto"/>
                    <w:right w:val="none" w:sz="0" w:space="0" w:color="auto"/>
                  </w:divBdr>
                  <w:divsChild>
                    <w:div w:id="16943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1610">
      <w:bodyDiv w:val="1"/>
      <w:marLeft w:val="0"/>
      <w:marRight w:val="0"/>
      <w:marTop w:val="0"/>
      <w:marBottom w:val="0"/>
      <w:divBdr>
        <w:top w:val="none" w:sz="0" w:space="0" w:color="auto"/>
        <w:left w:val="none" w:sz="0" w:space="0" w:color="auto"/>
        <w:bottom w:val="none" w:sz="0" w:space="0" w:color="auto"/>
        <w:right w:val="none" w:sz="0" w:space="0" w:color="auto"/>
      </w:divBdr>
      <w:divsChild>
        <w:div w:id="1463303205">
          <w:marLeft w:val="0"/>
          <w:marRight w:val="0"/>
          <w:marTop w:val="0"/>
          <w:marBottom w:val="0"/>
          <w:divBdr>
            <w:top w:val="none" w:sz="0" w:space="0" w:color="auto"/>
            <w:left w:val="none" w:sz="0" w:space="0" w:color="auto"/>
            <w:bottom w:val="none" w:sz="0" w:space="0" w:color="auto"/>
            <w:right w:val="none" w:sz="0" w:space="0" w:color="auto"/>
          </w:divBdr>
          <w:divsChild>
            <w:div w:id="2105615491">
              <w:marLeft w:val="0"/>
              <w:marRight w:val="0"/>
              <w:marTop w:val="0"/>
              <w:marBottom w:val="0"/>
              <w:divBdr>
                <w:top w:val="none" w:sz="0" w:space="0" w:color="auto"/>
                <w:left w:val="none" w:sz="0" w:space="0" w:color="auto"/>
                <w:bottom w:val="none" w:sz="0" w:space="0" w:color="auto"/>
                <w:right w:val="none" w:sz="0" w:space="0" w:color="auto"/>
              </w:divBdr>
              <w:divsChild>
                <w:div w:id="1521047932">
                  <w:marLeft w:val="0"/>
                  <w:marRight w:val="0"/>
                  <w:marTop w:val="0"/>
                  <w:marBottom w:val="0"/>
                  <w:divBdr>
                    <w:top w:val="none" w:sz="0" w:space="0" w:color="auto"/>
                    <w:left w:val="none" w:sz="0" w:space="0" w:color="auto"/>
                    <w:bottom w:val="none" w:sz="0" w:space="0" w:color="auto"/>
                    <w:right w:val="none" w:sz="0" w:space="0" w:color="auto"/>
                  </w:divBdr>
                  <w:divsChild>
                    <w:div w:id="655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5621">
      <w:bodyDiv w:val="1"/>
      <w:marLeft w:val="0"/>
      <w:marRight w:val="0"/>
      <w:marTop w:val="0"/>
      <w:marBottom w:val="0"/>
      <w:divBdr>
        <w:top w:val="none" w:sz="0" w:space="0" w:color="auto"/>
        <w:left w:val="none" w:sz="0" w:space="0" w:color="auto"/>
        <w:bottom w:val="none" w:sz="0" w:space="0" w:color="auto"/>
        <w:right w:val="none" w:sz="0" w:space="0" w:color="auto"/>
      </w:divBdr>
      <w:divsChild>
        <w:div w:id="1243032288">
          <w:marLeft w:val="0"/>
          <w:marRight w:val="0"/>
          <w:marTop w:val="0"/>
          <w:marBottom w:val="0"/>
          <w:divBdr>
            <w:top w:val="none" w:sz="0" w:space="0" w:color="auto"/>
            <w:left w:val="none" w:sz="0" w:space="0" w:color="auto"/>
            <w:bottom w:val="none" w:sz="0" w:space="0" w:color="auto"/>
            <w:right w:val="none" w:sz="0" w:space="0" w:color="auto"/>
          </w:divBdr>
          <w:divsChild>
            <w:div w:id="492263065">
              <w:marLeft w:val="0"/>
              <w:marRight w:val="0"/>
              <w:marTop w:val="0"/>
              <w:marBottom w:val="0"/>
              <w:divBdr>
                <w:top w:val="none" w:sz="0" w:space="0" w:color="auto"/>
                <w:left w:val="none" w:sz="0" w:space="0" w:color="auto"/>
                <w:bottom w:val="none" w:sz="0" w:space="0" w:color="auto"/>
                <w:right w:val="none" w:sz="0" w:space="0" w:color="auto"/>
              </w:divBdr>
              <w:divsChild>
                <w:div w:id="73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CATALINA\OTROS\OTROS\MANIZALES%20COMO%20VAMOS\MCV_2020\Acceso\Origen%20estudiantes\Union_Universidad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NALMAN\Dropbox\MCV_2020\Calidad\Sali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1388163458734325"/>
          <c:w val="0.95833333333333337"/>
          <c:h val="0.67468175853018386"/>
        </c:manualLayout>
      </c:layout>
      <c:ofPieChart>
        <c:ofPieType val="bar"/>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9E-4646-8A6A-E89578AABF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9E-4646-8A6A-E89578AABF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99E-4646-8A6A-E89578AABFC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99E-4646-8A6A-E89578AABFC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99E-4646-8A6A-E89578AABFC2}"/>
              </c:ext>
            </c:extLst>
          </c:dPt>
          <c:dLbls>
            <c:dLbl>
              <c:idx val="0"/>
              <c:tx>
                <c:rich>
                  <a:bodyPr/>
                  <a:lstStyle/>
                  <a:p>
                    <a:r>
                      <a:rPr lang="en-US"/>
                      <a:t>Manizales</a:t>
                    </a:r>
                  </a:p>
                  <a:p>
                    <a:fld id="{D6198B6C-8D47-491B-BCE6-7C424B00380D}" type="VALUE">
                      <a:rPr lang="en-US"/>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99E-4646-8A6A-E89578AABFC2}"/>
                </c:ext>
              </c:extLst>
            </c:dLbl>
            <c:dLbl>
              <c:idx val="2"/>
              <c:layout>
                <c:manualLayout>
                  <c:x val="4.1666666666666567E-2"/>
                  <c:y val="2.5428331875182269E-2"/>
                </c:manualLayout>
              </c:layout>
              <c:tx>
                <c:rich>
                  <a:bodyPr/>
                  <a:lstStyle/>
                  <a:p>
                    <a:r>
                      <a:rPr lang="en-US"/>
                      <a:t>Otros municipios de Caldas </a:t>
                    </a:r>
                    <a:fld id="{D299C40A-A81F-4B0E-94B4-2149217DBA9F}" type="VALUE">
                      <a:rPr lang="en-US"/>
                      <a:pPr/>
                      <a:t>[VALOR]</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99E-4646-8A6A-E89578AABFC2}"/>
                </c:ext>
              </c:extLst>
            </c:dLbl>
            <c:dLbl>
              <c:idx val="3"/>
              <c:tx>
                <c:rich>
                  <a:bodyPr/>
                  <a:lstStyle/>
                  <a:p>
                    <a:r>
                      <a:rPr lang="en-US"/>
                      <a:t>Otros departamentos y extranjeros</a:t>
                    </a:r>
                  </a:p>
                  <a:p>
                    <a:fld id="{FF1536FE-F44D-43A9-982D-6F3215909495}" type="VALUE">
                      <a:rPr lang="en-US"/>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99E-4646-8A6A-E89578AABFC2}"/>
                </c:ext>
              </c:extLst>
            </c:dLbl>
            <c:dLbl>
              <c:idx val="4"/>
              <c:layout>
                <c:manualLayout>
                  <c:x val="-0.16172364391951005"/>
                  <c:y val="2.840332458442694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solidFill>
                          <a:schemeClr val="bg1"/>
                        </a:solidFill>
                      </a:rPr>
                      <a:t>Otro</a:t>
                    </a:r>
                    <a:r>
                      <a:rPr lang="en-US" baseline="0">
                        <a:solidFill>
                          <a:schemeClr val="bg1"/>
                        </a:solidFill>
                      </a:rPr>
                      <a:t> origen</a:t>
                    </a:r>
                  </a:p>
                  <a:p>
                    <a:pPr>
                      <a:defRPr sz="900" b="0" i="0" u="none" strike="noStrike" kern="1200" baseline="0">
                        <a:solidFill>
                          <a:schemeClr val="bg1"/>
                        </a:solidFill>
                        <a:latin typeface="+mn-lt"/>
                        <a:ea typeface="+mn-ea"/>
                        <a:cs typeface="+mn-cs"/>
                      </a:defRPr>
                    </a:pPr>
                    <a:r>
                      <a:rPr lang="en-US">
                        <a:solidFill>
                          <a:schemeClr val="bg1"/>
                        </a:solidFill>
                      </a:rPr>
                      <a:t>67,1%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99E-4646-8A6A-E89578AAB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Hoja1!$J$15:$J$18</c:f>
              <c:numCache>
                <c:formatCode>General</c:formatCode>
                <c:ptCount val="4"/>
                <c:pt idx="0" formatCode="#,#00%">
                  <c:v>0.31156156156156156</c:v>
                </c:pt>
                <c:pt idx="2" formatCode="#,#00%">
                  <c:v>8.2957957957957962E-2</c:v>
                </c:pt>
                <c:pt idx="3" formatCode="#,#00%">
                  <c:v>0.60548048048048053</c:v>
                </c:pt>
              </c:numCache>
            </c:numRef>
          </c:val>
          <c:extLst>
            <c:ext xmlns:c16="http://schemas.microsoft.com/office/drawing/2014/chart" uri="{C3380CC4-5D6E-409C-BE32-E72D297353CC}">
              <c16:uniqueId val="{0000000A-599E-4646-8A6A-E89578AABFC2}"/>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Hoja2!$I$29</c:f>
              <c:strCache>
                <c:ptCount val="1"/>
                <c:pt idx="0">
                  <c:v>2016 </c:v>
                </c:pt>
              </c:strCache>
            </c:strRef>
          </c:tx>
          <c:spPr>
            <a:solidFill>
              <a:schemeClr val="accent1"/>
            </a:solidFill>
            <a:ln>
              <a:noFill/>
            </a:ln>
            <a:effectLst/>
          </c:spPr>
          <c:invertIfNegative val="0"/>
          <c:cat>
            <c:strRef>
              <c:f>Hoja2!$H$30:$H$52</c:f>
              <c:strCache>
                <c:ptCount val="23"/>
                <c:pt idx="0">
                  <c:v>Florencia</c:v>
                </c:pt>
                <c:pt idx="1">
                  <c:v>Quibdó</c:v>
                </c:pt>
                <c:pt idx="2">
                  <c:v>Riohacha</c:v>
                </c:pt>
                <c:pt idx="3">
                  <c:v>Sincelejo</c:v>
                </c:pt>
                <c:pt idx="4">
                  <c:v>Valledupar</c:v>
                </c:pt>
                <c:pt idx="5">
                  <c:v>Cúcuta</c:v>
                </c:pt>
                <c:pt idx="6">
                  <c:v>Villavicencio</c:v>
                </c:pt>
                <c:pt idx="7">
                  <c:v>Ibagué</c:v>
                </c:pt>
                <c:pt idx="8">
                  <c:v>Pasto</c:v>
                </c:pt>
                <c:pt idx="9">
                  <c:v>Cali</c:v>
                </c:pt>
                <c:pt idx="10">
                  <c:v>Popayán</c:v>
                </c:pt>
                <c:pt idx="11">
                  <c:v>Bogotá</c:v>
                </c:pt>
                <c:pt idx="12">
                  <c:v>Neiva</c:v>
                </c:pt>
                <c:pt idx="13">
                  <c:v>Medellin</c:v>
                </c:pt>
                <c:pt idx="14">
                  <c:v>Pereira</c:v>
                </c:pt>
                <c:pt idx="15">
                  <c:v>Bucaramanga</c:v>
                </c:pt>
                <c:pt idx="16">
                  <c:v>Cartagena</c:v>
                </c:pt>
                <c:pt idx="17">
                  <c:v>Armenia</c:v>
                </c:pt>
                <c:pt idx="18">
                  <c:v>Tunja</c:v>
                </c:pt>
                <c:pt idx="19">
                  <c:v>Barranquilla</c:v>
                </c:pt>
                <c:pt idx="20">
                  <c:v>Santa Marta</c:v>
                </c:pt>
                <c:pt idx="21">
                  <c:v>Monteria</c:v>
                </c:pt>
                <c:pt idx="22">
                  <c:v>Manizales</c:v>
                </c:pt>
              </c:strCache>
            </c:strRef>
          </c:cat>
          <c:val>
            <c:numRef>
              <c:f>Hoja2!$I$30:$I$52</c:f>
              <c:numCache>
                <c:formatCode>#,#00%</c:formatCode>
                <c:ptCount val="23"/>
                <c:pt idx="0">
                  <c:v>0</c:v>
                </c:pt>
                <c:pt idx="1">
                  <c:v>0</c:v>
                </c:pt>
                <c:pt idx="2">
                  <c:v>0</c:v>
                </c:pt>
                <c:pt idx="3">
                  <c:v>0</c:v>
                </c:pt>
                <c:pt idx="4">
                  <c:v>0</c:v>
                </c:pt>
                <c:pt idx="5">
                  <c:v>0.24605157301943514</c:v>
                </c:pt>
                <c:pt idx="6">
                  <c:v>0.14234934740349903</c:v>
                </c:pt>
                <c:pt idx="7">
                  <c:v>2.7416038382453737E-3</c:v>
                </c:pt>
                <c:pt idx="8">
                  <c:v>3.7616611495636476E-5</c:v>
                </c:pt>
                <c:pt idx="9">
                  <c:v>0.56540772069717948</c:v>
                </c:pt>
                <c:pt idx="10">
                  <c:v>0.52266591449409683</c:v>
                </c:pt>
                <c:pt idx="11">
                  <c:v>0.4949073130983907</c:v>
                </c:pt>
                <c:pt idx="12">
                  <c:v>1.7035775127768313E-4</c:v>
                </c:pt>
                <c:pt idx="13">
                  <c:v>0.52359064575011238</c:v>
                </c:pt>
                <c:pt idx="14">
                  <c:v>0.66680777371560518</c:v>
                </c:pt>
                <c:pt idx="15">
                  <c:v>0.41406656786958784</c:v>
                </c:pt>
                <c:pt idx="16">
                  <c:v>0.48005339790754709</c:v>
                </c:pt>
                <c:pt idx="17">
                  <c:v>0</c:v>
                </c:pt>
                <c:pt idx="18">
                  <c:v>0.69889880234707824</c:v>
                </c:pt>
                <c:pt idx="19">
                  <c:v>0.32689326628605997</c:v>
                </c:pt>
                <c:pt idx="20">
                  <c:v>0.71834239130434785</c:v>
                </c:pt>
                <c:pt idx="21">
                  <c:v>0</c:v>
                </c:pt>
                <c:pt idx="22">
                  <c:v>0.86871762426351373</c:v>
                </c:pt>
              </c:numCache>
            </c:numRef>
          </c:val>
          <c:extLst>
            <c:ext xmlns:c16="http://schemas.microsoft.com/office/drawing/2014/chart" uri="{C3380CC4-5D6E-409C-BE32-E72D297353CC}">
              <c16:uniqueId val="{00000000-28D6-164A-91B0-377DD263D08D}"/>
            </c:ext>
          </c:extLst>
        </c:ser>
        <c:ser>
          <c:idx val="3"/>
          <c:order val="1"/>
          <c:tx>
            <c:strRef>
              <c:f>Hoja2!$L$29</c:f>
              <c:strCache>
                <c:ptCount val="1"/>
                <c:pt idx="0">
                  <c:v>2019 </c:v>
                </c:pt>
              </c:strCache>
            </c:strRef>
          </c:tx>
          <c:spPr>
            <a:solidFill>
              <a:schemeClr val="accent4"/>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Hoja2!$L$30:$L$52</c:f>
              <c:numCache>
                <c:formatCode>#,#00%</c:formatCode>
                <c:ptCount val="23"/>
                <c:pt idx="0">
                  <c:v>0</c:v>
                </c:pt>
                <c:pt idx="1">
                  <c:v>0</c:v>
                </c:pt>
                <c:pt idx="2">
                  <c:v>0</c:v>
                </c:pt>
                <c:pt idx="3">
                  <c:v>0</c:v>
                </c:pt>
                <c:pt idx="4">
                  <c:v>0</c:v>
                </c:pt>
                <c:pt idx="5">
                  <c:v>0.20368881932399849</c:v>
                </c:pt>
                <c:pt idx="6">
                  <c:v>0.21140992579337931</c:v>
                </c:pt>
                <c:pt idx="7">
                  <c:v>0.34491962749866539</c:v>
                </c:pt>
                <c:pt idx="8">
                  <c:v>0.41260649872754768</c:v>
                </c:pt>
                <c:pt idx="9">
                  <c:v>0.50993592238047059</c:v>
                </c:pt>
                <c:pt idx="10">
                  <c:v>0.53840375586854461</c:v>
                </c:pt>
                <c:pt idx="11">
                  <c:v>0.57085041219545896</c:v>
                </c:pt>
                <c:pt idx="12">
                  <c:v>0.58439755691282624</c:v>
                </c:pt>
                <c:pt idx="13">
                  <c:v>0.62845186036045109</c:v>
                </c:pt>
                <c:pt idx="14">
                  <c:v>0.63542909944942827</c:v>
                </c:pt>
                <c:pt idx="15">
                  <c:v>0.65224142049526235</c:v>
                </c:pt>
                <c:pt idx="16">
                  <c:v>0.68974194089523866</c:v>
                </c:pt>
                <c:pt idx="17">
                  <c:v>0.72447562669005339</c:v>
                </c:pt>
                <c:pt idx="18">
                  <c:v>0.73200045785798773</c:v>
                </c:pt>
                <c:pt idx="19">
                  <c:v>0.73267948412050588</c:v>
                </c:pt>
                <c:pt idx="20">
                  <c:v>0.81118787608647203</c:v>
                </c:pt>
                <c:pt idx="21">
                  <c:v>0.81857683703321282</c:v>
                </c:pt>
                <c:pt idx="22">
                  <c:v>0.92692585963977003</c:v>
                </c:pt>
              </c:numCache>
            </c:numRef>
          </c:val>
          <c:extLst>
            <c:ext xmlns:c16="http://schemas.microsoft.com/office/drawing/2014/chart" uri="{C3380CC4-5D6E-409C-BE32-E72D297353CC}">
              <c16:uniqueId val="{00000001-28D6-164A-91B0-377DD263D08D}"/>
            </c:ext>
          </c:extLst>
        </c:ser>
        <c:dLbls>
          <c:showLegendKey val="0"/>
          <c:showVal val="0"/>
          <c:showCatName val="0"/>
          <c:showSerName val="0"/>
          <c:showPercent val="0"/>
          <c:showBubbleSize val="0"/>
        </c:dLbls>
        <c:gapWidth val="182"/>
        <c:axId val="251661824"/>
        <c:axId val="41602432"/>
      </c:barChart>
      <c:catAx>
        <c:axId val="251661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s-CO"/>
          </a:p>
        </c:txPr>
        <c:crossAx val="41602432"/>
        <c:crosses val="autoZero"/>
        <c:auto val="1"/>
        <c:lblAlgn val="ctr"/>
        <c:lblOffset val="100"/>
        <c:noMultiLvlLbl val="0"/>
      </c:catAx>
      <c:valAx>
        <c:axId val="41602432"/>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s-CO"/>
          </a:p>
        </c:txPr>
        <c:crossAx val="25166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800">
          <a:latin typeface="Segoe UI" panose="020B0502040204020203" pitchFamily="34" charset="0"/>
          <a:cs typeface="Segoe UI" panose="020B0502040204020203" pitchFamily="34" charset="0"/>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C3247-A465-CB45-A11D-6F0A79D2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3133</Words>
  <Characters>17237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Paola Marcela Onatra Erazo</cp:lastModifiedBy>
  <cp:revision>3</cp:revision>
  <cp:lastPrinted>2024-06-12T16:37:00Z</cp:lastPrinted>
  <dcterms:created xsi:type="dcterms:W3CDTF">2024-06-12T16:37:00Z</dcterms:created>
  <dcterms:modified xsi:type="dcterms:W3CDTF">2024-06-12T19:49:00Z</dcterms:modified>
</cp:coreProperties>
</file>